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3.xml" ContentType="application/vnd.openxmlformats-officedocument.wordprocessingml.footer+xml"/>
  <Override PartName="/word/header8.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9.xml" ContentType="application/vnd.openxmlformats-officedocument.wordprocessingml.header+xml"/>
  <Override PartName="/word/footer7.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footer8.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3608A6" w14:textId="77777777" w:rsidR="00A77B3E" w:rsidRDefault="00A77B3E">
      <w:pPr>
        <w:spacing w:line="288" w:lineRule="auto"/>
        <w:ind w:firstLine="450"/>
        <w:jc w:val="center"/>
        <w:rPr>
          <w:rFonts w:ascii="Arial" w:eastAsia="Arial" w:hAnsi="Arial" w:cs="Arial"/>
          <w:b/>
          <w:sz w:val="32"/>
        </w:rPr>
      </w:pPr>
      <w:bookmarkStart w:id="0" w:name="Section1"/>
      <w:bookmarkEnd w:id="0"/>
    </w:p>
    <w:p w14:paraId="52F681A0" w14:textId="77777777" w:rsidR="00A77B3E" w:rsidRDefault="004468F9">
      <w:pPr>
        <w:spacing w:line="288" w:lineRule="auto"/>
        <w:ind w:firstLine="450"/>
        <w:jc w:val="center"/>
        <w:outlineLvl w:val="0"/>
        <w:rPr>
          <w:rFonts w:ascii="Arial" w:eastAsia="Arial" w:hAnsi="Arial" w:cs="Arial"/>
          <w:b/>
          <w:sz w:val="32"/>
        </w:rPr>
      </w:pPr>
      <w:r>
        <w:rPr>
          <w:rFonts w:ascii="Arial" w:eastAsia="Arial" w:hAnsi="Arial" w:cs="Arial"/>
          <w:b/>
          <w:sz w:val="32"/>
        </w:rPr>
        <w:t>UNITED STATES</w:t>
      </w:r>
    </w:p>
    <w:p w14:paraId="55D7AF3D" w14:textId="77777777" w:rsidR="00A77B3E" w:rsidRDefault="004468F9">
      <w:pPr>
        <w:spacing w:line="288" w:lineRule="auto"/>
        <w:ind w:firstLine="450"/>
        <w:jc w:val="center"/>
        <w:rPr>
          <w:rFonts w:ascii="Arial" w:eastAsia="Arial" w:hAnsi="Arial" w:cs="Arial"/>
          <w:b/>
          <w:sz w:val="32"/>
        </w:rPr>
      </w:pPr>
      <w:r>
        <w:rPr>
          <w:rFonts w:ascii="Arial" w:eastAsia="Arial" w:hAnsi="Arial" w:cs="Arial"/>
          <w:b/>
          <w:sz w:val="32"/>
        </w:rPr>
        <w:t>SECURITIES AND EXCHANGE COMMISSION</w:t>
      </w:r>
    </w:p>
    <w:p w14:paraId="4E6AA860" w14:textId="77777777" w:rsidR="00A77B3E" w:rsidRDefault="004468F9">
      <w:pPr>
        <w:spacing w:line="288" w:lineRule="auto"/>
        <w:ind w:firstLine="450"/>
        <w:jc w:val="center"/>
        <w:rPr>
          <w:rFonts w:ascii="Arial" w:eastAsia="Arial" w:hAnsi="Arial" w:cs="Arial"/>
          <w:b/>
          <w:sz w:val="32"/>
        </w:rPr>
      </w:pPr>
      <w:r>
        <w:rPr>
          <w:rFonts w:ascii="Arial" w:eastAsia="Arial" w:hAnsi="Arial" w:cs="Arial"/>
          <w:b/>
        </w:rPr>
        <w:t>Washington, D.C. 20549</w:t>
      </w:r>
    </w:p>
    <w:p w14:paraId="6CCA5652" w14:textId="77777777" w:rsidR="00A77B3E" w:rsidRDefault="004468F9">
      <w:pPr>
        <w:ind w:firstLine="450"/>
        <w:jc w:val="center"/>
        <w:rPr>
          <w:rFonts w:ascii="Arial" w:eastAsia="Arial" w:hAnsi="Arial" w:cs="Arial"/>
          <w:b/>
        </w:rPr>
      </w:pPr>
      <w:r>
        <w:rPr>
          <w:rFonts w:ascii="Arial" w:eastAsia="Arial" w:hAnsi="Arial" w:cs="Arial"/>
          <w:b/>
        </w:rPr>
        <w:t>_____________________________</w:t>
      </w:r>
    </w:p>
    <w:p w14:paraId="295E73C3" w14:textId="77777777" w:rsidR="00A77B3E" w:rsidRDefault="00A77B3E">
      <w:pPr>
        <w:ind w:firstLine="450"/>
        <w:jc w:val="center"/>
        <w:rPr>
          <w:rFonts w:ascii="Arial" w:eastAsia="Arial" w:hAnsi="Arial" w:cs="Arial"/>
          <w:b/>
        </w:rPr>
      </w:pPr>
    </w:p>
    <w:p w14:paraId="278BCFF1" w14:textId="77777777" w:rsidR="00A77B3E" w:rsidRDefault="004468F9">
      <w:pPr>
        <w:spacing w:line="288" w:lineRule="auto"/>
        <w:ind w:firstLine="450"/>
        <w:jc w:val="center"/>
        <w:rPr>
          <w:rFonts w:ascii="Arial" w:eastAsia="Arial" w:hAnsi="Arial" w:cs="Arial"/>
          <w:b/>
          <w:sz w:val="32"/>
        </w:rPr>
      </w:pPr>
      <w:r>
        <w:rPr>
          <w:rFonts w:ascii="Arial" w:eastAsia="Arial" w:hAnsi="Arial" w:cs="Arial"/>
          <w:b/>
          <w:sz w:val="32"/>
        </w:rPr>
        <w:t xml:space="preserve">FORM 10-Q </w:t>
      </w:r>
    </w:p>
    <w:p w14:paraId="39B50AB2" w14:textId="77777777" w:rsidR="00A77B3E" w:rsidRDefault="004468F9">
      <w:pPr>
        <w:ind w:firstLine="450"/>
        <w:jc w:val="center"/>
        <w:rPr>
          <w:rFonts w:ascii="Arial" w:eastAsia="Arial" w:hAnsi="Arial" w:cs="Arial"/>
          <w:b/>
        </w:rPr>
      </w:pPr>
      <w:r>
        <w:rPr>
          <w:rFonts w:ascii="Arial" w:eastAsia="Arial" w:hAnsi="Arial" w:cs="Arial"/>
          <w:b/>
        </w:rPr>
        <w:t>_____________________________</w:t>
      </w:r>
    </w:p>
    <w:p w14:paraId="716826B4" w14:textId="77777777" w:rsidR="00A77B3E" w:rsidRDefault="004468F9">
      <w:pPr>
        <w:spacing w:line="288" w:lineRule="auto"/>
        <w:ind w:left="990"/>
        <w:rPr>
          <w:rFonts w:ascii="Arial" w:eastAsia="Arial" w:hAnsi="Arial" w:cs="Arial"/>
          <w:sz w:val="16"/>
        </w:rPr>
      </w:pPr>
      <w:r>
        <w:rPr>
          <w:rFonts w:ascii="Arial" w:eastAsia="Arial" w:hAnsi="Arial" w:cs="Arial"/>
          <w:sz w:val="16"/>
        </w:rPr>
        <w:t>(Mark One)</w:t>
      </w:r>
    </w:p>
    <w:tbl>
      <w:tblPr>
        <w:tblW w:w="98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
        <w:gridCol w:w="9547"/>
      </w:tblGrid>
      <w:tr w:rsidR="001614AC" w14:paraId="0C0C0900" w14:textId="77777777">
        <w:trPr>
          <w:cantSplit/>
          <w:trHeight w:hRule="exact" w:val="300"/>
          <w:jc w:val="center"/>
        </w:trPr>
        <w:tc>
          <w:tcPr>
            <w:tcW w:w="345" w:type="dxa"/>
            <w:tcBorders>
              <w:top w:val="nil"/>
              <w:left w:val="nil"/>
              <w:bottom w:val="nil"/>
              <w:right w:val="nil"/>
            </w:tcBorders>
            <w:tcMar>
              <w:top w:w="0" w:type="dxa"/>
              <w:left w:w="53" w:type="dxa"/>
              <w:bottom w:w="0" w:type="dxa"/>
              <w:right w:w="53" w:type="dxa"/>
            </w:tcMar>
            <w:vAlign w:val="bottom"/>
          </w:tcPr>
          <w:p w14:paraId="43A1B1A4" w14:textId="77777777" w:rsidR="001614AC" w:rsidRDefault="004468F9">
            <w:pPr>
              <w:spacing w:before="75" w:after="30" w:line="288" w:lineRule="auto"/>
              <w:jc w:val="center"/>
            </w:pPr>
            <w:r>
              <w:rPr>
                <w:rFonts w:ascii="Arial Unicode MS" w:eastAsia="Arial Unicode MS" w:hAnsi="Arial Unicode MS" w:cs="Arial Unicode MS"/>
                <w:color w:val="000000"/>
              </w:rPr>
              <w:t>☒</w:t>
            </w:r>
          </w:p>
        </w:tc>
        <w:tc>
          <w:tcPr>
            <w:tcW w:w="9360" w:type="dxa"/>
            <w:tcBorders>
              <w:top w:val="nil"/>
              <w:left w:val="nil"/>
              <w:bottom w:val="nil"/>
              <w:right w:val="nil"/>
            </w:tcBorders>
            <w:tcMar>
              <w:top w:w="0" w:type="dxa"/>
              <w:left w:w="53" w:type="dxa"/>
              <w:bottom w:w="0" w:type="dxa"/>
              <w:right w:w="53" w:type="dxa"/>
            </w:tcMar>
          </w:tcPr>
          <w:p w14:paraId="2D28A9EF" w14:textId="77777777" w:rsidR="001614AC" w:rsidRDefault="004468F9">
            <w:pPr>
              <w:spacing w:before="75" w:after="30" w:line="288" w:lineRule="auto"/>
            </w:pPr>
            <w:r>
              <w:rPr>
                <w:rFonts w:ascii="Arial" w:eastAsia="Arial" w:hAnsi="Arial" w:cs="Arial"/>
                <w:b/>
                <w:color w:val="000000"/>
                <w:sz w:val="18"/>
              </w:rPr>
              <w:t>QUARTERLY REPORT PURSUANT TO SECTION 13 OR 15(d) OF THE SECURITIES EXCHANGE ACT OF 1934</w:t>
            </w:r>
          </w:p>
        </w:tc>
      </w:tr>
    </w:tbl>
    <w:p w14:paraId="44C1E9F1" w14:textId="77777777" w:rsidR="00A77B3E" w:rsidRDefault="004468F9">
      <w:pPr>
        <w:spacing w:line="288" w:lineRule="auto"/>
        <w:ind w:firstLine="450"/>
        <w:jc w:val="center"/>
        <w:rPr>
          <w:rFonts w:ascii="Arial" w:eastAsia="Arial" w:hAnsi="Arial" w:cs="Arial"/>
          <w:sz w:val="18"/>
        </w:rPr>
      </w:pPr>
      <w:r>
        <w:rPr>
          <w:rFonts w:ascii="Arial" w:eastAsia="Arial" w:hAnsi="Arial" w:cs="Arial"/>
          <w:sz w:val="18"/>
        </w:rPr>
        <w:t xml:space="preserve">For the quarterly period ended June 30, 2021 </w:t>
      </w:r>
    </w:p>
    <w:p w14:paraId="5E388B14" w14:textId="77777777" w:rsidR="00A77B3E" w:rsidRDefault="004468F9">
      <w:pPr>
        <w:spacing w:line="288" w:lineRule="auto"/>
        <w:ind w:firstLine="450"/>
        <w:jc w:val="center"/>
        <w:rPr>
          <w:rFonts w:ascii="Arial" w:eastAsia="Arial" w:hAnsi="Arial" w:cs="Arial"/>
          <w:sz w:val="18"/>
        </w:rPr>
      </w:pPr>
      <w:r>
        <w:rPr>
          <w:rFonts w:ascii="Arial" w:eastAsia="Arial" w:hAnsi="Arial" w:cs="Arial"/>
          <w:sz w:val="18"/>
        </w:rPr>
        <w:t>OR</w:t>
      </w:r>
    </w:p>
    <w:tbl>
      <w:tblPr>
        <w:tblW w:w="99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
        <w:gridCol w:w="9532"/>
      </w:tblGrid>
      <w:tr w:rsidR="001614AC" w14:paraId="04060AB8" w14:textId="77777777">
        <w:trPr>
          <w:cantSplit/>
          <w:trHeight w:hRule="exact" w:val="345"/>
          <w:jc w:val="center"/>
        </w:trPr>
        <w:tc>
          <w:tcPr>
            <w:tcW w:w="375" w:type="dxa"/>
            <w:tcBorders>
              <w:top w:val="nil"/>
              <w:left w:val="nil"/>
              <w:bottom w:val="nil"/>
              <w:right w:val="nil"/>
            </w:tcBorders>
            <w:tcMar>
              <w:top w:w="0" w:type="dxa"/>
              <w:left w:w="53" w:type="dxa"/>
              <w:bottom w:w="0" w:type="dxa"/>
              <w:right w:w="53" w:type="dxa"/>
            </w:tcMar>
            <w:vAlign w:val="bottom"/>
          </w:tcPr>
          <w:p w14:paraId="3A3C77E0" w14:textId="77777777" w:rsidR="001614AC" w:rsidRDefault="004468F9">
            <w:pPr>
              <w:spacing w:before="75" w:after="30" w:line="288" w:lineRule="auto"/>
              <w:jc w:val="center"/>
            </w:pPr>
            <w:r>
              <w:rPr>
                <w:rFonts w:ascii="Arial Unicode MS" w:eastAsia="Arial Unicode MS" w:hAnsi="Arial Unicode MS" w:cs="Arial Unicode MS"/>
                <w:color w:val="000000"/>
              </w:rPr>
              <w:t>☐</w:t>
            </w:r>
          </w:p>
        </w:tc>
        <w:tc>
          <w:tcPr>
            <w:tcW w:w="9345" w:type="dxa"/>
            <w:tcBorders>
              <w:top w:val="nil"/>
              <w:left w:val="nil"/>
              <w:bottom w:val="nil"/>
              <w:right w:val="nil"/>
            </w:tcBorders>
            <w:tcMar>
              <w:top w:w="0" w:type="dxa"/>
              <w:left w:w="53" w:type="dxa"/>
              <w:bottom w:w="0" w:type="dxa"/>
              <w:right w:w="53" w:type="dxa"/>
            </w:tcMar>
          </w:tcPr>
          <w:p w14:paraId="3CCF9EA6" w14:textId="77777777" w:rsidR="001614AC" w:rsidRDefault="004468F9">
            <w:pPr>
              <w:spacing w:before="75" w:after="30" w:line="288" w:lineRule="auto"/>
            </w:pPr>
            <w:r>
              <w:rPr>
                <w:rFonts w:ascii="Arial" w:eastAsia="Arial" w:hAnsi="Arial" w:cs="Arial"/>
                <w:b/>
                <w:color w:val="000000"/>
                <w:sz w:val="18"/>
              </w:rPr>
              <w:t>TRANSITION REPORT PURSUANT TO SECTION 13 OR 15(d) OF THE SECURITIES EXCHANGE ACT OF 1934</w:t>
            </w:r>
          </w:p>
        </w:tc>
      </w:tr>
    </w:tbl>
    <w:p w14:paraId="76D5E219" w14:textId="77777777" w:rsidR="00A77B3E" w:rsidRDefault="004468F9">
      <w:pPr>
        <w:spacing w:line="288" w:lineRule="auto"/>
        <w:ind w:firstLine="450"/>
        <w:jc w:val="center"/>
        <w:rPr>
          <w:rFonts w:ascii="Arial" w:eastAsia="Arial" w:hAnsi="Arial" w:cs="Arial"/>
          <w:sz w:val="18"/>
        </w:rPr>
      </w:pPr>
      <w:r>
        <w:rPr>
          <w:rFonts w:ascii="Arial" w:eastAsia="Arial" w:hAnsi="Arial" w:cs="Arial"/>
          <w:sz w:val="18"/>
        </w:rPr>
        <w:t>For the transition period from              to             </w:t>
      </w:r>
    </w:p>
    <w:p w14:paraId="064FCE33" w14:textId="77777777" w:rsidR="00A77B3E" w:rsidRDefault="004468F9">
      <w:pPr>
        <w:spacing w:before="100" w:line="288" w:lineRule="auto"/>
        <w:ind w:firstLine="450"/>
        <w:jc w:val="center"/>
        <w:rPr>
          <w:rFonts w:ascii="Arial" w:eastAsia="Arial" w:hAnsi="Arial" w:cs="Arial"/>
          <w:sz w:val="18"/>
        </w:rPr>
      </w:pPr>
      <w:r>
        <w:rPr>
          <w:rFonts w:ascii="Arial" w:eastAsia="Arial" w:hAnsi="Arial" w:cs="Arial"/>
          <w:sz w:val="18"/>
        </w:rPr>
        <w:t xml:space="preserve">Commission File Number 1-11356 </w:t>
      </w:r>
    </w:p>
    <w:p w14:paraId="3EA62A68" w14:textId="77777777" w:rsidR="00A77B3E" w:rsidRDefault="004468F9">
      <w:pPr>
        <w:ind w:firstLine="450"/>
        <w:jc w:val="center"/>
        <w:rPr>
          <w:rFonts w:ascii="Arial" w:eastAsia="Arial" w:hAnsi="Arial" w:cs="Arial"/>
          <w:b/>
        </w:rPr>
      </w:pPr>
      <w:r>
        <w:rPr>
          <w:rFonts w:ascii="Arial" w:eastAsia="Arial" w:hAnsi="Arial" w:cs="Arial"/>
          <w:b/>
        </w:rPr>
        <w:t>_______________________________</w:t>
      </w:r>
    </w:p>
    <w:p w14:paraId="07B5B43F" w14:textId="77777777" w:rsidR="00A77B3E" w:rsidRDefault="004468F9">
      <w:pPr>
        <w:spacing w:before="100" w:after="200"/>
        <w:ind w:firstLine="450"/>
        <w:jc w:val="center"/>
        <w:rPr>
          <w:rFonts w:ascii="Arial" w:eastAsia="Arial" w:hAnsi="Arial" w:cs="Arial"/>
          <w:sz w:val="18"/>
        </w:rPr>
      </w:pPr>
      <w:r>
        <w:rPr>
          <w:noProof/>
        </w:rPr>
        <w:drawing>
          <wp:inline distT="0" distB="0" distL="0" distR="0" wp14:anchorId="0E2C0CDE" wp14:editId="4AF6540D">
            <wp:extent cx="2171700" cy="889000"/>
            <wp:effectExtent l="0" t="0" r="0" b="0"/>
            <wp:docPr id="1025" name="Image 10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5" name="Image 1025"/>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71700" cy="889000"/>
                    </a:xfrm>
                    <a:prstGeom prst="rect">
                      <a:avLst/>
                    </a:prstGeom>
                    <a:noFill/>
                    <a:ln>
                      <a:noFill/>
                    </a:ln>
                  </pic:spPr>
                </pic:pic>
              </a:graphicData>
            </a:graphic>
          </wp:inline>
        </w:drawing>
      </w:r>
    </w:p>
    <w:p w14:paraId="60D08DE8" w14:textId="77777777" w:rsidR="00A77B3E" w:rsidRDefault="004468F9">
      <w:pPr>
        <w:spacing w:line="288" w:lineRule="auto"/>
        <w:ind w:firstLine="450"/>
        <w:jc w:val="center"/>
        <w:rPr>
          <w:rFonts w:ascii="Arial" w:eastAsia="Arial" w:hAnsi="Arial" w:cs="Arial"/>
          <w:b/>
          <w:sz w:val="40"/>
        </w:rPr>
      </w:pPr>
      <w:r>
        <w:rPr>
          <w:rFonts w:ascii="Arial" w:eastAsia="Arial" w:hAnsi="Arial" w:cs="Arial"/>
          <w:b/>
          <w:sz w:val="40"/>
        </w:rPr>
        <w:t>Radian Group Inc.</w:t>
      </w:r>
    </w:p>
    <w:p w14:paraId="3BE0DFE3" w14:textId="77777777" w:rsidR="00A77B3E" w:rsidRDefault="004468F9">
      <w:pPr>
        <w:spacing w:after="100" w:line="288" w:lineRule="auto"/>
        <w:ind w:firstLine="450"/>
        <w:jc w:val="center"/>
        <w:rPr>
          <w:rFonts w:ascii="Arial" w:eastAsia="Arial" w:hAnsi="Arial" w:cs="Arial"/>
          <w:b/>
          <w:sz w:val="16"/>
        </w:rPr>
      </w:pPr>
      <w:r>
        <w:rPr>
          <w:rFonts w:ascii="Arial" w:eastAsia="Arial" w:hAnsi="Arial" w:cs="Arial"/>
          <w:b/>
          <w:sz w:val="16"/>
        </w:rPr>
        <w:t>(Exact name of registrant as specified in its charter)</w:t>
      </w:r>
    </w:p>
    <w:p w14:paraId="3CF9E2CE" w14:textId="77777777" w:rsidR="00A77B3E" w:rsidRDefault="004468F9">
      <w:pPr>
        <w:ind w:firstLine="450"/>
        <w:jc w:val="center"/>
        <w:rPr>
          <w:rFonts w:ascii="Arial" w:eastAsia="Arial" w:hAnsi="Arial" w:cs="Arial"/>
          <w:b/>
        </w:rPr>
      </w:pPr>
      <w:r>
        <w:rPr>
          <w:rFonts w:ascii="Arial" w:eastAsia="Arial" w:hAnsi="Arial" w:cs="Arial"/>
          <w:b/>
        </w:rPr>
        <w:t>_______________________________</w:t>
      </w:r>
    </w:p>
    <w:tbl>
      <w:tblPr>
        <w:tblW w:w="106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5"/>
        <w:gridCol w:w="184"/>
        <w:gridCol w:w="1224"/>
        <w:gridCol w:w="184"/>
        <w:gridCol w:w="1346"/>
        <w:gridCol w:w="230"/>
        <w:gridCol w:w="4820"/>
      </w:tblGrid>
      <w:tr w:rsidR="001614AC" w14:paraId="174C74C3" w14:textId="77777777">
        <w:trPr>
          <w:cantSplit/>
          <w:trHeight w:hRule="exact" w:val="255"/>
          <w:jc w:val="center"/>
        </w:trPr>
        <w:tc>
          <w:tcPr>
            <w:tcW w:w="5445" w:type="dxa"/>
            <w:gridSpan w:val="5"/>
            <w:tcBorders>
              <w:top w:val="nil"/>
              <w:left w:val="nil"/>
              <w:bottom w:val="nil"/>
              <w:right w:val="nil"/>
            </w:tcBorders>
            <w:tcMar>
              <w:top w:w="0" w:type="dxa"/>
              <w:left w:w="53" w:type="dxa"/>
              <w:bottom w:w="0" w:type="dxa"/>
              <w:right w:w="53" w:type="dxa"/>
            </w:tcMar>
          </w:tcPr>
          <w:p w14:paraId="597EBC6C" w14:textId="77777777" w:rsidR="001614AC" w:rsidRDefault="004468F9">
            <w:pPr>
              <w:spacing w:before="75" w:after="30" w:line="288" w:lineRule="auto"/>
              <w:jc w:val="center"/>
            </w:pPr>
            <w:r>
              <w:rPr>
                <w:rFonts w:ascii="Arial" w:eastAsia="Arial" w:hAnsi="Arial" w:cs="Arial"/>
                <w:b/>
                <w:color w:val="000000"/>
                <w:sz w:val="18"/>
              </w:rPr>
              <w:t>Delaware</w:t>
            </w:r>
          </w:p>
        </w:tc>
        <w:tc>
          <w:tcPr>
            <w:tcW w:w="225" w:type="dxa"/>
            <w:tcBorders>
              <w:top w:val="nil"/>
              <w:left w:val="nil"/>
              <w:bottom w:val="nil"/>
              <w:right w:val="nil"/>
            </w:tcBorders>
            <w:tcMar>
              <w:top w:w="0" w:type="dxa"/>
              <w:left w:w="0" w:type="dxa"/>
              <w:bottom w:w="0" w:type="dxa"/>
              <w:right w:w="0" w:type="dxa"/>
            </w:tcMar>
            <w:vAlign w:val="bottom"/>
          </w:tcPr>
          <w:p w14:paraId="6E0F4EED" w14:textId="77777777" w:rsidR="001614AC" w:rsidRDefault="001614AC"/>
        </w:tc>
        <w:tc>
          <w:tcPr>
            <w:tcW w:w="4725" w:type="dxa"/>
            <w:tcBorders>
              <w:top w:val="nil"/>
              <w:left w:val="nil"/>
              <w:bottom w:val="nil"/>
              <w:right w:val="nil"/>
            </w:tcBorders>
            <w:tcMar>
              <w:top w:w="0" w:type="dxa"/>
              <w:left w:w="53" w:type="dxa"/>
              <w:bottom w:w="0" w:type="dxa"/>
              <w:right w:w="53" w:type="dxa"/>
            </w:tcMar>
          </w:tcPr>
          <w:p w14:paraId="5C53D62D" w14:textId="77777777" w:rsidR="001614AC" w:rsidRDefault="004468F9">
            <w:pPr>
              <w:spacing w:before="75" w:after="30" w:line="288" w:lineRule="auto"/>
              <w:jc w:val="center"/>
            </w:pPr>
            <w:r>
              <w:rPr>
                <w:rFonts w:ascii="Arial" w:eastAsia="Arial" w:hAnsi="Arial" w:cs="Arial"/>
                <w:b/>
                <w:color w:val="000000"/>
                <w:sz w:val="18"/>
              </w:rPr>
              <w:t>23-2691170</w:t>
            </w:r>
          </w:p>
        </w:tc>
      </w:tr>
      <w:tr w:rsidR="001614AC" w14:paraId="4AAE1A61" w14:textId="77777777">
        <w:trPr>
          <w:cantSplit/>
          <w:trHeight w:hRule="exact" w:val="255"/>
          <w:jc w:val="center"/>
        </w:trPr>
        <w:tc>
          <w:tcPr>
            <w:tcW w:w="5445" w:type="dxa"/>
            <w:gridSpan w:val="5"/>
            <w:tcBorders>
              <w:top w:val="nil"/>
              <w:left w:val="nil"/>
              <w:bottom w:val="nil"/>
              <w:right w:val="nil"/>
            </w:tcBorders>
            <w:tcMar>
              <w:top w:w="0" w:type="dxa"/>
              <w:left w:w="53" w:type="dxa"/>
              <w:bottom w:w="0" w:type="dxa"/>
              <w:right w:w="53" w:type="dxa"/>
            </w:tcMar>
          </w:tcPr>
          <w:p w14:paraId="6B280C58" w14:textId="77777777" w:rsidR="001614AC" w:rsidRDefault="004468F9">
            <w:pPr>
              <w:spacing w:before="75" w:after="30" w:line="288" w:lineRule="auto"/>
              <w:jc w:val="center"/>
            </w:pPr>
            <w:r>
              <w:rPr>
                <w:rFonts w:ascii="Arial" w:eastAsia="Arial" w:hAnsi="Arial" w:cs="Arial"/>
                <w:b/>
                <w:color w:val="000000"/>
                <w:sz w:val="16"/>
              </w:rPr>
              <w:t>(State or other jurisdiction of incorporation or organization)</w:t>
            </w:r>
          </w:p>
        </w:tc>
        <w:tc>
          <w:tcPr>
            <w:tcW w:w="225" w:type="dxa"/>
            <w:tcBorders>
              <w:top w:val="nil"/>
              <w:left w:val="nil"/>
              <w:bottom w:val="nil"/>
              <w:right w:val="nil"/>
            </w:tcBorders>
            <w:tcMar>
              <w:top w:w="0" w:type="dxa"/>
              <w:left w:w="0" w:type="dxa"/>
              <w:bottom w:w="0" w:type="dxa"/>
              <w:right w:w="0" w:type="dxa"/>
            </w:tcMar>
            <w:vAlign w:val="bottom"/>
          </w:tcPr>
          <w:p w14:paraId="7A6E6BF3" w14:textId="77777777" w:rsidR="001614AC" w:rsidRDefault="001614AC"/>
        </w:tc>
        <w:tc>
          <w:tcPr>
            <w:tcW w:w="4725" w:type="dxa"/>
            <w:tcBorders>
              <w:top w:val="nil"/>
              <w:left w:val="nil"/>
              <w:bottom w:val="nil"/>
              <w:right w:val="nil"/>
            </w:tcBorders>
            <w:tcMar>
              <w:top w:w="0" w:type="dxa"/>
              <w:left w:w="53" w:type="dxa"/>
              <w:bottom w:w="0" w:type="dxa"/>
              <w:right w:w="53" w:type="dxa"/>
            </w:tcMar>
          </w:tcPr>
          <w:p w14:paraId="79303D57" w14:textId="77777777" w:rsidR="001614AC" w:rsidRDefault="004468F9">
            <w:pPr>
              <w:spacing w:before="75" w:after="30" w:line="288" w:lineRule="auto"/>
              <w:jc w:val="center"/>
            </w:pPr>
            <w:r>
              <w:rPr>
                <w:rFonts w:ascii="Arial" w:eastAsia="Arial" w:hAnsi="Arial" w:cs="Arial"/>
                <w:b/>
                <w:color w:val="000000"/>
                <w:sz w:val="16"/>
              </w:rPr>
              <w:t xml:space="preserve">(I.R.S. Employer </w:t>
            </w:r>
            <w:r>
              <w:rPr>
                <w:rFonts w:ascii="Arial" w:eastAsia="Arial" w:hAnsi="Arial" w:cs="Arial"/>
                <w:b/>
                <w:color w:val="000000"/>
                <w:sz w:val="16"/>
              </w:rPr>
              <w:t>Identification No.)</w:t>
            </w:r>
          </w:p>
        </w:tc>
      </w:tr>
      <w:tr w:rsidR="001614AC" w14:paraId="4E77D554" w14:textId="77777777">
        <w:trPr>
          <w:cantSplit/>
          <w:trHeight w:hRule="exact" w:val="75"/>
          <w:jc w:val="center"/>
        </w:trPr>
        <w:tc>
          <w:tcPr>
            <w:tcW w:w="2565" w:type="dxa"/>
            <w:tcBorders>
              <w:top w:val="nil"/>
              <w:left w:val="nil"/>
              <w:bottom w:val="nil"/>
              <w:right w:val="nil"/>
            </w:tcBorders>
            <w:tcMar>
              <w:top w:w="0" w:type="dxa"/>
              <w:left w:w="0" w:type="dxa"/>
              <w:bottom w:w="0" w:type="dxa"/>
              <w:right w:w="0" w:type="dxa"/>
            </w:tcMar>
            <w:vAlign w:val="bottom"/>
          </w:tcPr>
          <w:p w14:paraId="1436EB1C" w14:textId="77777777" w:rsidR="001614AC" w:rsidRDefault="001614AC"/>
        </w:tc>
        <w:tc>
          <w:tcPr>
            <w:tcW w:w="180" w:type="dxa"/>
            <w:tcBorders>
              <w:top w:val="nil"/>
              <w:left w:val="nil"/>
              <w:bottom w:val="nil"/>
              <w:right w:val="nil"/>
            </w:tcBorders>
            <w:tcMar>
              <w:top w:w="0" w:type="dxa"/>
              <w:left w:w="0" w:type="dxa"/>
              <w:bottom w:w="0" w:type="dxa"/>
              <w:right w:w="0" w:type="dxa"/>
            </w:tcMar>
            <w:vAlign w:val="bottom"/>
          </w:tcPr>
          <w:p w14:paraId="19E64BEB" w14:textId="77777777" w:rsidR="001614AC" w:rsidRDefault="001614AC"/>
        </w:tc>
        <w:tc>
          <w:tcPr>
            <w:tcW w:w="1200" w:type="dxa"/>
            <w:tcBorders>
              <w:top w:val="nil"/>
              <w:left w:val="nil"/>
              <w:bottom w:val="nil"/>
              <w:right w:val="nil"/>
            </w:tcBorders>
            <w:tcMar>
              <w:top w:w="0" w:type="dxa"/>
              <w:left w:w="0" w:type="dxa"/>
              <w:bottom w:w="0" w:type="dxa"/>
              <w:right w:w="0" w:type="dxa"/>
            </w:tcMar>
            <w:vAlign w:val="bottom"/>
          </w:tcPr>
          <w:p w14:paraId="32FB396F" w14:textId="77777777" w:rsidR="001614AC" w:rsidRDefault="001614AC"/>
        </w:tc>
        <w:tc>
          <w:tcPr>
            <w:tcW w:w="180" w:type="dxa"/>
            <w:tcBorders>
              <w:top w:val="nil"/>
              <w:left w:val="nil"/>
              <w:bottom w:val="nil"/>
              <w:right w:val="nil"/>
            </w:tcBorders>
            <w:tcMar>
              <w:top w:w="0" w:type="dxa"/>
              <w:left w:w="0" w:type="dxa"/>
              <w:bottom w:w="0" w:type="dxa"/>
              <w:right w:w="0" w:type="dxa"/>
            </w:tcMar>
            <w:vAlign w:val="bottom"/>
          </w:tcPr>
          <w:p w14:paraId="6AD7209A" w14:textId="77777777" w:rsidR="001614AC" w:rsidRDefault="001614AC"/>
        </w:tc>
        <w:tc>
          <w:tcPr>
            <w:tcW w:w="1320" w:type="dxa"/>
            <w:tcBorders>
              <w:top w:val="nil"/>
              <w:left w:val="nil"/>
              <w:bottom w:val="nil"/>
              <w:right w:val="nil"/>
            </w:tcBorders>
            <w:tcMar>
              <w:top w:w="0" w:type="dxa"/>
              <w:left w:w="0" w:type="dxa"/>
              <w:bottom w:w="0" w:type="dxa"/>
              <w:right w:w="0" w:type="dxa"/>
            </w:tcMar>
            <w:vAlign w:val="bottom"/>
          </w:tcPr>
          <w:p w14:paraId="5A0AA682" w14:textId="77777777" w:rsidR="001614AC" w:rsidRDefault="001614AC"/>
        </w:tc>
        <w:tc>
          <w:tcPr>
            <w:tcW w:w="225" w:type="dxa"/>
            <w:tcBorders>
              <w:top w:val="nil"/>
              <w:left w:val="nil"/>
              <w:bottom w:val="nil"/>
              <w:right w:val="nil"/>
            </w:tcBorders>
            <w:tcMar>
              <w:top w:w="0" w:type="dxa"/>
              <w:left w:w="0" w:type="dxa"/>
              <w:bottom w:w="0" w:type="dxa"/>
              <w:right w:w="0" w:type="dxa"/>
            </w:tcMar>
            <w:vAlign w:val="bottom"/>
          </w:tcPr>
          <w:p w14:paraId="65A2BF16" w14:textId="77777777" w:rsidR="001614AC" w:rsidRDefault="001614AC"/>
        </w:tc>
        <w:tc>
          <w:tcPr>
            <w:tcW w:w="4725" w:type="dxa"/>
            <w:tcBorders>
              <w:top w:val="nil"/>
              <w:left w:val="nil"/>
              <w:bottom w:val="nil"/>
              <w:right w:val="nil"/>
            </w:tcBorders>
            <w:tcMar>
              <w:top w:w="0" w:type="dxa"/>
              <w:left w:w="0" w:type="dxa"/>
              <w:bottom w:w="0" w:type="dxa"/>
              <w:right w:w="0" w:type="dxa"/>
            </w:tcMar>
            <w:vAlign w:val="bottom"/>
          </w:tcPr>
          <w:p w14:paraId="2F89A47B" w14:textId="77777777" w:rsidR="001614AC" w:rsidRDefault="001614AC"/>
        </w:tc>
      </w:tr>
      <w:tr w:rsidR="001614AC" w14:paraId="2B3D581C" w14:textId="77777777">
        <w:trPr>
          <w:cantSplit/>
          <w:trHeight w:hRule="exact" w:val="285"/>
          <w:jc w:val="center"/>
        </w:trPr>
        <w:tc>
          <w:tcPr>
            <w:tcW w:w="2565" w:type="dxa"/>
            <w:tcBorders>
              <w:top w:val="nil"/>
              <w:left w:val="nil"/>
              <w:bottom w:val="nil"/>
              <w:right w:val="nil"/>
            </w:tcBorders>
            <w:tcMar>
              <w:top w:w="0" w:type="dxa"/>
              <w:left w:w="53" w:type="dxa"/>
              <w:bottom w:w="0" w:type="dxa"/>
              <w:right w:w="53" w:type="dxa"/>
            </w:tcMar>
          </w:tcPr>
          <w:p w14:paraId="663FDEC4" w14:textId="77777777" w:rsidR="001614AC" w:rsidRDefault="004468F9">
            <w:pPr>
              <w:spacing w:before="75" w:after="30" w:line="288" w:lineRule="auto"/>
              <w:jc w:val="right"/>
            </w:pPr>
            <w:r>
              <w:rPr>
                <w:rFonts w:ascii="Arial" w:eastAsia="Arial" w:hAnsi="Arial" w:cs="Arial"/>
                <w:b/>
                <w:color w:val="000000"/>
                <w:sz w:val="18"/>
              </w:rPr>
              <w:t>1500 Market Street</w:t>
            </w:r>
          </w:p>
        </w:tc>
        <w:tc>
          <w:tcPr>
            <w:tcW w:w="180" w:type="dxa"/>
            <w:tcBorders>
              <w:top w:val="nil"/>
              <w:left w:val="nil"/>
              <w:bottom w:val="nil"/>
              <w:right w:val="nil"/>
            </w:tcBorders>
            <w:tcMar>
              <w:top w:w="0" w:type="dxa"/>
              <w:left w:w="53" w:type="dxa"/>
              <w:bottom w:w="0" w:type="dxa"/>
              <w:right w:w="53" w:type="dxa"/>
            </w:tcMar>
            <w:vAlign w:val="bottom"/>
          </w:tcPr>
          <w:p w14:paraId="3B51EA95" w14:textId="77777777" w:rsidR="001614AC" w:rsidRDefault="004468F9">
            <w:pPr>
              <w:spacing w:before="75" w:after="30" w:line="288" w:lineRule="auto"/>
            </w:pPr>
            <w:r>
              <w:rPr>
                <w:rFonts w:ascii="Arial" w:eastAsia="Arial" w:hAnsi="Arial" w:cs="Arial"/>
                <w:b/>
                <w:color w:val="000000"/>
                <w:sz w:val="18"/>
              </w:rPr>
              <w:t>,</w:t>
            </w:r>
          </w:p>
        </w:tc>
        <w:tc>
          <w:tcPr>
            <w:tcW w:w="1200" w:type="dxa"/>
            <w:tcBorders>
              <w:top w:val="nil"/>
              <w:left w:val="nil"/>
              <w:bottom w:val="nil"/>
              <w:right w:val="nil"/>
            </w:tcBorders>
            <w:tcMar>
              <w:top w:w="0" w:type="dxa"/>
              <w:left w:w="53" w:type="dxa"/>
              <w:bottom w:w="0" w:type="dxa"/>
              <w:right w:w="53" w:type="dxa"/>
            </w:tcMar>
            <w:vAlign w:val="bottom"/>
          </w:tcPr>
          <w:p w14:paraId="50A126C0" w14:textId="77777777" w:rsidR="001614AC" w:rsidRDefault="004468F9">
            <w:pPr>
              <w:spacing w:before="75" w:after="30" w:line="288" w:lineRule="auto"/>
              <w:jc w:val="right"/>
            </w:pPr>
            <w:r>
              <w:rPr>
                <w:rFonts w:ascii="Arial" w:eastAsia="Arial" w:hAnsi="Arial" w:cs="Arial"/>
                <w:b/>
                <w:color w:val="000000"/>
                <w:sz w:val="18"/>
              </w:rPr>
              <w:t>Philadelphia</w:t>
            </w:r>
          </w:p>
        </w:tc>
        <w:tc>
          <w:tcPr>
            <w:tcW w:w="180" w:type="dxa"/>
            <w:tcBorders>
              <w:top w:val="nil"/>
              <w:left w:val="nil"/>
              <w:bottom w:val="nil"/>
              <w:right w:val="nil"/>
            </w:tcBorders>
            <w:tcMar>
              <w:top w:w="0" w:type="dxa"/>
              <w:left w:w="53" w:type="dxa"/>
              <w:bottom w:w="0" w:type="dxa"/>
              <w:right w:w="53" w:type="dxa"/>
            </w:tcMar>
            <w:vAlign w:val="bottom"/>
          </w:tcPr>
          <w:p w14:paraId="51587EAC" w14:textId="77777777" w:rsidR="001614AC" w:rsidRDefault="004468F9">
            <w:pPr>
              <w:spacing w:before="75" w:after="30" w:line="288" w:lineRule="auto"/>
            </w:pPr>
            <w:r>
              <w:rPr>
                <w:rFonts w:ascii="Arial" w:eastAsia="Arial" w:hAnsi="Arial" w:cs="Arial"/>
                <w:b/>
                <w:color w:val="000000"/>
                <w:sz w:val="18"/>
              </w:rPr>
              <w:t>,</w:t>
            </w:r>
          </w:p>
        </w:tc>
        <w:tc>
          <w:tcPr>
            <w:tcW w:w="1320" w:type="dxa"/>
            <w:tcBorders>
              <w:top w:val="nil"/>
              <w:left w:val="nil"/>
              <w:bottom w:val="nil"/>
              <w:right w:val="nil"/>
            </w:tcBorders>
            <w:tcMar>
              <w:top w:w="0" w:type="dxa"/>
              <w:left w:w="53" w:type="dxa"/>
              <w:bottom w:w="0" w:type="dxa"/>
              <w:right w:w="53" w:type="dxa"/>
            </w:tcMar>
            <w:vAlign w:val="bottom"/>
          </w:tcPr>
          <w:p w14:paraId="4B006E0A" w14:textId="77777777" w:rsidR="001614AC" w:rsidRDefault="004468F9">
            <w:pPr>
              <w:spacing w:before="75" w:after="30" w:line="288" w:lineRule="auto"/>
            </w:pPr>
            <w:r>
              <w:rPr>
                <w:rFonts w:ascii="Arial" w:eastAsia="Arial" w:hAnsi="Arial" w:cs="Arial"/>
                <w:b/>
                <w:color w:val="000000"/>
                <w:sz w:val="18"/>
              </w:rPr>
              <w:t>PA</w:t>
            </w:r>
          </w:p>
        </w:tc>
        <w:tc>
          <w:tcPr>
            <w:tcW w:w="225" w:type="dxa"/>
            <w:tcBorders>
              <w:top w:val="nil"/>
              <w:left w:val="nil"/>
              <w:bottom w:val="nil"/>
              <w:right w:val="nil"/>
            </w:tcBorders>
            <w:tcMar>
              <w:top w:w="0" w:type="dxa"/>
              <w:left w:w="0" w:type="dxa"/>
              <w:bottom w:w="0" w:type="dxa"/>
              <w:right w:w="0" w:type="dxa"/>
            </w:tcMar>
            <w:vAlign w:val="bottom"/>
          </w:tcPr>
          <w:p w14:paraId="6A8A6280" w14:textId="77777777" w:rsidR="001614AC" w:rsidRDefault="001614AC"/>
        </w:tc>
        <w:tc>
          <w:tcPr>
            <w:tcW w:w="4725" w:type="dxa"/>
            <w:tcBorders>
              <w:top w:val="nil"/>
              <w:left w:val="nil"/>
              <w:bottom w:val="nil"/>
              <w:right w:val="nil"/>
            </w:tcBorders>
            <w:tcMar>
              <w:top w:w="0" w:type="dxa"/>
              <w:left w:w="53" w:type="dxa"/>
              <w:bottom w:w="0" w:type="dxa"/>
              <w:right w:w="53" w:type="dxa"/>
            </w:tcMar>
          </w:tcPr>
          <w:p w14:paraId="59F1C5C7" w14:textId="77777777" w:rsidR="001614AC" w:rsidRDefault="004468F9">
            <w:pPr>
              <w:spacing w:before="75" w:after="30" w:line="288" w:lineRule="auto"/>
              <w:jc w:val="center"/>
            </w:pPr>
            <w:r>
              <w:rPr>
                <w:rFonts w:ascii="Arial" w:eastAsia="Arial" w:hAnsi="Arial" w:cs="Arial"/>
                <w:b/>
                <w:color w:val="000000"/>
                <w:sz w:val="18"/>
              </w:rPr>
              <w:t>19102</w:t>
            </w:r>
          </w:p>
        </w:tc>
      </w:tr>
      <w:tr w:rsidR="001614AC" w14:paraId="485DA22A" w14:textId="77777777">
        <w:trPr>
          <w:cantSplit/>
          <w:trHeight w:hRule="exact" w:val="255"/>
          <w:jc w:val="center"/>
        </w:trPr>
        <w:tc>
          <w:tcPr>
            <w:tcW w:w="5445" w:type="dxa"/>
            <w:gridSpan w:val="5"/>
            <w:tcBorders>
              <w:top w:val="nil"/>
              <w:left w:val="nil"/>
              <w:bottom w:val="nil"/>
              <w:right w:val="nil"/>
            </w:tcBorders>
            <w:tcMar>
              <w:top w:w="0" w:type="dxa"/>
              <w:left w:w="53" w:type="dxa"/>
              <w:bottom w:w="0" w:type="dxa"/>
              <w:right w:w="53" w:type="dxa"/>
            </w:tcMar>
          </w:tcPr>
          <w:p w14:paraId="6B69E477" w14:textId="77777777" w:rsidR="001614AC" w:rsidRDefault="004468F9">
            <w:pPr>
              <w:spacing w:before="75" w:after="30" w:line="288" w:lineRule="auto"/>
              <w:jc w:val="center"/>
            </w:pPr>
            <w:r>
              <w:rPr>
                <w:rFonts w:ascii="Arial" w:eastAsia="Arial" w:hAnsi="Arial" w:cs="Arial"/>
                <w:b/>
                <w:color w:val="000000"/>
                <w:sz w:val="16"/>
              </w:rPr>
              <w:t>(Address of principal executive offices)</w:t>
            </w:r>
          </w:p>
        </w:tc>
        <w:tc>
          <w:tcPr>
            <w:tcW w:w="225" w:type="dxa"/>
            <w:tcBorders>
              <w:top w:val="nil"/>
              <w:left w:val="nil"/>
              <w:bottom w:val="nil"/>
              <w:right w:val="nil"/>
            </w:tcBorders>
            <w:tcMar>
              <w:top w:w="0" w:type="dxa"/>
              <w:left w:w="0" w:type="dxa"/>
              <w:bottom w:w="0" w:type="dxa"/>
              <w:right w:w="0" w:type="dxa"/>
            </w:tcMar>
            <w:vAlign w:val="bottom"/>
          </w:tcPr>
          <w:p w14:paraId="586E8F35" w14:textId="77777777" w:rsidR="001614AC" w:rsidRDefault="001614AC"/>
        </w:tc>
        <w:tc>
          <w:tcPr>
            <w:tcW w:w="4725" w:type="dxa"/>
            <w:tcBorders>
              <w:top w:val="nil"/>
              <w:left w:val="nil"/>
              <w:bottom w:val="nil"/>
              <w:right w:val="nil"/>
            </w:tcBorders>
            <w:tcMar>
              <w:top w:w="0" w:type="dxa"/>
              <w:left w:w="53" w:type="dxa"/>
              <w:bottom w:w="0" w:type="dxa"/>
              <w:right w:w="53" w:type="dxa"/>
            </w:tcMar>
          </w:tcPr>
          <w:p w14:paraId="2478C656" w14:textId="77777777" w:rsidR="001614AC" w:rsidRDefault="004468F9">
            <w:pPr>
              <w:spacing w:before="75" w:after="30" w:line="288" w:lineRule="auto"/>
              <w:jc w:val="center"/>
            </w:pPr>
            <w:r>
              <w:rPr>
                <w:rFonts w:ascii="Arial" w:eastAsia="Arial" w:hAnsi="Arial" w:cs="Arial"/>
                <w:b/>
                <w:color w:val="000000"/>
                <w:sz w:val="16"/>
              </w:rPr>
              <w:t>(Zip Code)</w:t>
            </w:r>
          </w:p>
        </w:tc>
      </w:tr>
    </w:tbl>
    <w:p w14:paraId="4B2305B1" w14:textId="77777777" w:rsidR="00A77B3E" w:rsidRDefault="004468F9">
      <w:pPr>
        <w:spacing w:line="288" w:lineRule="auto"/>
        <w:ind w:firstLine="450"/>
        <w:jc w:val="center"/>
        <w:rPr>
          <w:rFonts w:ascii="Arial" w:eastAsia="Arial" w:hAnsi="Arial" w:cs="Arial"/>
          <w:b/>
          <w:sz w:val="18"/>
        </w:rPr>
      </w:pPr>
      <w:r>
        <w:rPr>
          <w:rFonts w:ascii="Arial" w:eastAsia="Arial" w:hAnsi="Arial" w:cs="Arial"/>
          <w:b/>
          <w:sz w:val="18"/>
        </w:rPr>
        <w:t xml:space="preserve">(215) 231-1000 </w:t>
      </w:r>
    </w:p>
    <w:p w14:paraId="199E2860" w14:textId="77777777" w:rsidR="00A77B3E" w:rsidRDefault="004468F9">
      <w:pPr>
        <w:spacing w:before="100" w:after="100" w:line="288" w:lineRule="auto"/>
        <w:ind w:firstLine="450"/>
        <w:jc w:val="center"/>
        <w:rPr>
          <w:rFonts w:ascii="Arial" w:eastAsia="Arial" w:hAnsi="Arial" w:cs="Arial"/>
          <w:b/>
          <w:sz w:val="16"/>
        </w:rPr>
      </w:pPr>
      <w:r>
        <w:rPr>
          <w:rFonts w:ascii="Arial" w:eastAsia="Arial" w:hAnsi="Arial" w:cs="Arial"/>
          <w:b/>
          <w:sz w:val="16"/>
        </w:rPr>
        <w:t>(Registrant’s telephone number, including area code)</w:t>
      </w:r>
    </w:p>
    <w:p w14:paraId="637FB2E1" w14:textId="77777777" w:rsidR="00A77B3E" w:rsidRDefault="004468F9">
      <w:pPr>
        <w:spacing w:line="288" w:lineRule="auto"/>
        <w:ind w:left="810" w:firstLine="450"/>
        <w:rPr>
          <w:rFonts w:ascii="Arial" w:eastAsia="Arial" w:hAnsi="Arial" w:cs="Arial"/>
          <w:b/>
          <w:sz w:val="16"/>
        </w:rPr>
      </w:pPr>
      <w:r>
        <w:rPr>
          <w:rFonts w:ascii="Arial" w:eastAsia="Arial" w:hAnsi="Arial" w:cs="Arial"/>
          <w:b/>
          <w:sz w:val="16"/>
        </w:rPr>
        <w:t xml:space="preserve">Securities registered pursuant to Section 12(b) of the </w:t>
      </w:r>
      <w:r>
        <w:rPr>
          <w:rFonts w:ascii="Arial" w:eastAsia="Arial" w:hAnsi="Arial" w:cs="Arial"/>
          <w:b/>
          <w:sz w:val="16"/>
        </w:rPr>
        <w:t>Act:</w:t>
      </w:r>
    </w:p>
    <w:tbl>
      <w:tblPr>
        <w:tblW w:w="10174" w:type="dxa"/>
        <w:tblInd w:w="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88"/>
        <w:gridCol w:w="2754"/>
        <w:gridCol w:w="3932"/>
      </w:tblGrid>
      <w:tr w:rsidR="001614AC" w14:paraId="34A14F48" w14:textId="77777777">
        <w:trPr>
          <w:cantSplit/>
          <w:trHeight w:hRule="exact" w:val="240"/>
        </w:trPr>
        <w:tc>
          <w:tcPr>
            <w:tcW w:w="3420" w:type="dxa"/>
            <w:tcBorders>
              <w:top w:val="nil"/>
              <w:left w:val="nil"/>
              <w:bottom w:val="nil"/>
              <w:right w:val="nil"/>
            </w:tcBorders>
            <w:tcMar>
              <w:top w:w="0" w:type="dxa"/>
              <w:left w:w="53" w:type="dxa"/>
              <w:bottom w:w="0" w:type="dxa"/>
              <w:right w:w="53" w:type="dxa"/>
            </w:tcMar>
            <w:vAlign w:val="bottom"/>
          </w:tcPr>
          <w:p w14:paraId="34FE50EF" w14:textId="77777777" w:rsidR="001614AC" w:rsidRDefault="004468F9">
            <w:pPr>
              <w:spacing w:before="75" w:after="30" w:line="288" w:lineRule="auto"/>
              <w:jc w:val="center"/>
            </w:pPr>
            <w:r>
              <w:rPr>
                <w:rFonts w:ascii="Arial" w:eastAsia="Arial" w:hAnsi="Arial" w:cs="Arial"/>
                <w:b/>
                <w:color w:val="000000"/>
                <w:sz w:val="14"/>
                <w:u w:val="single"/>
              </w:rPr>
              <w:t>Title of each class</w:t>
            </w:r>
          </w:p>
        </w:tc>
        <w:tc>
          <w:tcPr>
            <w:tcW w:w="2700" w:type="dxa"/>
            <w:tcBorders>
              <w:top w:val="nil"/>
              <w:left w:val="nil"/>
              <w:bottom w:val="nil"/>
              <w:right w:val="nil"/>
            </w:tcBorders>
            <w:tcMar>
              <w:top w:w="0" w:type="dxa"/>
              <w:left w:w="53" w:type="dxa"/>
              <w:bottom w:w="0" w:type="dxa"/>
              <w:right w:w="53" w:type="dxa"/>
            </w:tcMar>
            <w:vAlign w:val="bottom"/>
          </w:tcPr>
          <w:p w14:paraId="1B73A995" w14:textId="77777777" w:rsidR="001614AC" w:rsidRDefault="004468F9">
            <w:pPr>
              <w:spacing w:before="75" w:after="30" w:line="288" w:lineRule="auto"/>
              <w:jc w:val="center"/>
            </w:pPr>
            <w:r>
              <w:rPr>
                <w:rFonts w:ascii="Arial" w:eastAsia="Arial" w:hAnsi="Arial" w:cs="Arial"/>
                <w:b/>
                <w:color w:val="000000"/>
                <w:sz w:val="14"/>
                <w:u w:val="single"/>
              </w:rPr>
              <w:t>Trading Symbol(s)</w:t>
            </w:r>
          </w:p>
        </w:tc>
        <w:tc>
          <w:tcPr>
            <w:tcW w:w="3855" w:type="dxa"/>
            <w:tcBorders>
              <w:top w:val="nil"/>
              <w:left w:val="nil"/>
              <w:bottom w:val="nil"/>
              <w:right w:val="nil"/>
            </w:tcBorders>
            <w:tcMar>
              <w:top w:w="0" w:type="dxa"/>
              <w:left w:w="53" w:type="dxa"/>
              <w:bottom w:w="0" w:type="dxa"/>
              <w:right w:w="53" w:type="dxa"/>
            </w:tcMar>
            <w:vAlign w:val="bottom"/>
          </w:tcPr>
          <w:p w14:paraId="3F3D7AEB" w14:textId="77777777" w:rsidR="001614AC" w:rsidRDefault="004468F9">
            <w:pPr>
              <w:spacing w:before="75" w:after="30" w:line="288" w:lineRule="auto"/>
              <w:jc w:val="center"/>
            </w:pPr>
            <w:r>
              <w:rPr>
                <w:rFonts w:ascii="Arial" w:eastAsia="Arial" w:hAnsi="Arial" w:cs="Arial"/>
                <w:b/>
                <w:color w:val="000000"/>
                <w:sz w:val="14"/>
                <w:u w:val="single"/>
              </w:rPr>
              <w:t>Name of each exchange on which registered</w:t>
            </w:r>
          </w:p>
        </w:tc>
      </w:tr>
      <w:tr w:rsidR="001614AC" w14:paraId="35A13FA2" w14:textId="77777777">
        <w:trPr>
          <w:cantSplit/>
          <w:trHeight w:hRule="exact" w:val="285"/>
        </w:trPr>
        <w:tc>
          <w:tcPr>
            <w:tcW w:w="3420" w:type="dxa"/>
            <w:tcBorders>
              <w:top w:val="nil"/>
              <w:left w:val="nil"/>
              <w:bottom w:val="nil"/>
              <w:right w:val="nil"/>
            </w:tcBorders>
            <w:tcMar>
              <w:top w:w="0" w:type="dxa"/>
              <w:left w:w="53" w:type="dxa"/>
              <w:bottom w:w="0" w:type="dxa"/>
              <w:right w:w="53" w:type="dxa"/>
            </w:tcMar>
            <w:vAlign w:val="bottom"/>
          </w:tcPr>
          <w:p w14:paraId="2B6B42B1" w14:textId="77777777" w:rsidR="001614AC" w:rsidRDefault="004468F9">
            <w:pPr>
              <w:spacing w:before="75" w:after="30" w:line="288" w:lineRule="auto"/>
              <w:jc w:val="center"/>
            </w:pPr>
            <w:r>
              <w:rPr>
                <w:rFonts w:ascii="Arial" w:eastAsia="Arial" w:hAnsi="Arial" w:cs="Arial"/>
                <w:b/>
                <w:color w:val="000000"/>
                <w:sz w:val="16"/>
              </w:rPr>
              <w:t>Common Stock, $0.001 par value per share</w:t>
            </w:r>
          </w:p>
        </w:tc>
        <w:tc>
          <w:tcPr>
            <w:tcW w:w="2700" w:type="dxa"/>
            <w:tcBorders>
              <w:top w:val="nil"/>
              <w:left w:val="nil"/>
              <w:bottom w:val="nil"/>
              <w:right w:val="nil"/>
            </w:tcBorders>
            <w:tcMar>
              <w:top w:w="0" w:type="dxa"/>
              <w:left w:w="53" w:type="dxa"/>
              <w:bottom w:w="0" w:type="dxa"/>
              <w:right w:w="53" w:type="dxa"/>
            </w:tcMar>
            <w:vAlign w:val="bottom"/>
          </w:tcPr>
          <w:p w14:paraId="4CEA495B" w14:textId="77777777" w:rsidR="001614AC" w:rsidRDefault="004468F9">
            <w:pPr>
              <w:spacing w:before="75" w:after="30" w:line="288" w:lineRule="auto"/>
              <w:jc w:val="center"/>
            </w:pPr>
            <w:r>
              <w:rPr>
                <w:rFonts w:ascii="Arial" w:eastAsia="Arial" w:hAnsi="Arial" w:cs="Arial"/>
                <w:b/>
                <w:color w:val="000000"/>
                <w:sz w:val="16"/>
              </w:rPr>
              <w:t>RDN</w:t>
            </w:r>
          </w:p>
        </w:tc>
        <w:tc>
          <w:tcPr>
            <w:tcW w:w="3855" w:type="dxa"/>
            <w:tcBorders>
              <w:top w:val="nil"/>
              <w:left w:val="nil"/>
              <w:bottom w:val="nil"/>
              <w:right w:val="nil"/>
            </w:tcBorders>
            <w:tcMar>
              <w:top w:w="0" w:type="dxa"/>
              <w:left w:w="53" w:type="dxa"/>
              <w:bottom w:w="0" w:type="dxa"/>
              <w:right w:w="53" w:type="dxa"/>
            </w:tcMar>
            <w:vAlign w:val="bottom"/>
          </w:tcPr>
          <w:p w14:paraId="530D05B8" w14:textId="77777777" w:rsidR="001614AC" w:rsidRDefault="004468F9">
            <w:pPr>
              <w:spacing w:before="75" w:after="30" w:line="288" w:lineRule="auto"/>
              <w:jc w:val="center"/>
            </w:pPr>
            <w:r>
              <w:rPr>
                <w:rFonts w:ascii="Arial" w:eastAsia="Arial" w:hAnsi="Arial" w:cs="Arial"/>
                <w:b/>
                <w:color w:val="000000"/>
                <w:sz w:val="16"/>
              </w:rPr>
              <w:t>New York Stock Exchange</w:t>
            </w:r>
          </w:p>
        </w:tc>
      </w:tr>
    </w:tbl>
    <w:p w14:paraId="0612F0E3" w14:textId="77777777" w:rsidR="00A77B3E" w:rsidRDefault="00A77B3E">
      <w:pPr>
        <w:spacing w:line="288" w:lineRule="auto"/>
        <w:ind w:firstLine="450"/>
        <w:jc w:val="center"/>
        <w:rPr>
          <w:rFonts w:ascii="Arial" w:eastAsia="Arial" w:hAnsi="Arial" w:cs="Arial"/>
          <w:b/>
          <w:sz w:val="16"/>
        </w:rPr>
      </w:pPr>
    </w:p>
    <w:p w14:paraId="1FAFEF70" w14:textId="77777777" w:rsidR="00A77B3E" w:rsidRDefault="004468F9">
      <w:pPr>
        <w:spacing w:before="100" w:after="100" w:line="288" w:lineRule="auto"/>
        <w:ind w:firstLine="450"/>
        <w:rPr>
          <w:rFonts w:ascii="Arial" w:eastAsia="Arial" w:hAnsi="Arial" w:cs="Arial"/>
          <w:b/>
          <w:sz w:val="16"/>
        </w:rPr>
      </w:pPr>
      <w:r>
        <w:rPr>
          <w:rFonts w:ascii="Arial" w:eastAsia="Arial" w:hAnsi="Arial" w:cs="Arial"/>
          <w:sz w:val="16"/>
        </w:rPr>
        <w:t xml:space="preserve">Indicate by check mark whether the registrant: (1) has filed all reports required to be filed by </w:t>
      </w:r>
      <w:r>
        <w:rPr>
          <w:rFonts w:ascii="Arial" w:eastAsia="Arial" w:hAnsi="Arial" w:cs="Arial"/>
          <w:sz w:val="16"/>
        </w:rPr>
        <w:t>Section 13 or 15(d) of the Securities Exchange Act of 1934 during the preceding 12 months (or for such shorter period that the registrant was required to file such reports), and (2) has been subject to such filing requirements for the past 90 days.    Yes </w:t>
      </w:r>
      <w:r>
        <w:rPr>
          <w:rFonts w:ascii="Arial" w:eastAsia="Arial" w:hAnsi="Arial" w:cs="Arial"/>
          <w:sz w:val="16"/>
        </w:rPr>
        <w:t> </w:t>
      </w:r>
      <w:r>
        <w:rPr>
          <w:rFonts w:ascii="Arial Unicode MS" w:eastAsia="Arial Unicode MS" w:hAnsi="Arial Unicode MS" w:cs="Arial Unicode MS"/>
          <w:sz w:val="18"/>
        </w:rPr>
        <w:t>☒</w:t>
      </w:r>
      <w:r>
        <w:rPr>
          <w:rFonts w:ascii="Arial" w:eastAsia="Arial" w:hAnsi="Arial" w:cs="Arial"/>
          <w:sz w:val="16"/>
        </w:rPr>
        <w:t>    No  </w:t>
      </w:r>
      <w:r>
        <w:rPr>
          <w:rFonts w:ascii="Arial Unicode MS" w:eastAsia="Arial Unicode MS" w:hAnsi="Arial Unicode MS" w:cs="Arial Unicode MS"/>
          <w:sz w:val="16"/>
        </w:rPr>
        <w:t>☐</w:t>
      </w:r>
    </w:p>
    <w:p w14:paraId="3B814D4A" w14:textId="77777777" w:rsidR="00A77B3E" w:rsidRDefault="004468F9">
      <w:pPr>
        <w:spacing w:before="100" w:after="100" w:line="288" w:lineRule="auto"/>
        <w:ind w:firstLine="495"/>
        <w:rPr>
          <w:rFonts w:ascii="Arial" w:eastAsia="Arial" w:hAnsi="Arial" w:cs="Arial"/>
          <w:b/>
          <w:sz w:val="16"/>
        </w:rPr>
      </w:pPr>
      <w:r>
        <w:rPr>
          <w:rFonts w:ascii="Arial" w:eastAsia="Arial" w:hAnsi="Arial" w:cs="Arial"/>
          <w:sz w:val="16"/>
        </w:rPr>
        <w:t>Indicate by check mark whether the registrant has submitted electronically every Interactive Data File required to be submitted pursuant to Rule 405 of Regulation S-T (§232.405 of this chapter) during the preceding 12 months (or for such shorte</w:t>
      </w:r>
      <w:r>
        <w:rPr>
          <w:rFonts w:ascii="Arial" w:eastAsia="Arial" w:hAnsi="Arial" w:cs="Arial"/>
          <w:sz w:val="16"/>
        </w:rPr>
        <w:t>r period that the registrant was required to submit such files).    Yes  </w:t>
      </w:r>
      <w:r>
        <w:rPr>
          <w:rFonts w:ascii="Arial Unicode MS" w:eastAsia="Arial Unicode MS" w:hAnsi="Arial Unicode MS" w:cs="Arial Unicode MS"/>
          <w:sz w:val="18"/>
        </w:rPr>
        <w:t>☒</w:t>
      </w:r>
      <w:r>
        <w:rPr>
          <w:rFonts w:ascii="Arial" w:eastAsia="Arial" w:hAnsi="Arial" w:cs="Arial"/>
          <w:sz w:val="16"/>
        </w:rPr>
        <w:t>    No  </w:t>
      </w:r>
      <w:r>
        <w:rPr>
          <w:rFonts w:ascii="Arial Unicode MS" w:eastAsia="Arial Unicode MS" w:hAnsi="Arial Unicode MS" w:cs="Arial Unicode MS"/>
          <w:sz w:val="16"/>
        </w:rPr>
        <w:t>☐</w:t>
      </w:r>
    </w:p>
    <w:p w14:paraId="6A7EF329" w14:textId="77777777" w:rsidR="00A77B3E" w:rsidRDefault="004468F9">
      <w:pPr>
        <w:spacing w:line="288" w:lineRule="auto"/>
        <w:ind w:firstLine="495"/>
        <w:rPr>
          <w:rFonts w:ascii="Arial" w:eastAsia="Arial" w:hAnsi="Arial" w:cs="Arial"/>
          <w:b/>
          <w:sz w:val="16"/>
        </w:rPr>
      </w:pPr>
      <w:r>
        <w:rPr>
          <w:rFonts w:ascii="Arial" w:eastAsia="Arial" w:hAnsi="Arial" w:cs="Arial"/>
          <w:sz w:val="16"/>
        </w:rPr>
        <w:t>Indicate by check mark whether the registrant is a large accelerated filer, an accelerated filer, a non-accelerated filer, a smaller reporting company, or an emerging growt</w:t>
      </w:r>
      <w:r>
        <w:rPr>
          <w:rFonts w:ascii="Arial" w:eastAsia="Arial" w:hAnsi="Arial" w:cs="Arial"/>
          <w:sz w:val="16"/>
        </w:rPr>
        <w:t>h company. See the definitions of “large accelerated filer,” “accelerated filer,” “smaller reporting company” and “emerging growth company” in Rule 12b-2 of the Exchange Act.</w:t>
      </w:r>
    </w:p>
    <w:tbl>
      <w:tblPr>
        <w:tblW w:w="11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2"/>
        <w:gridCol w:w="305"/>
        <w:gridCol w:w="77"/>
        <w:gridCol w:w="1515"/>
        <w:gridCol w:w="306"/>
        <w:gridCol w:w="77"/>
        <w:gridCol w:w="1943"/>
        <w:gridCol w:w="306"/>
        <w:gridCol w:w="77"/>
        <w:gridCol w:w="2249"/>
        <w:gridCol w:w="306"/>
        <w:gridCol w:w="77"/>
        <w:gridCol w:w="2142"/>
        <w:gridCol w:w="306"/>
      </w:tblGrid>
      <w:tr w:rsidR="001614AC" w14:paraId="26C8B591" w14:textId="77777777">
        <w:trPr>
          <w:cantSplit/>
          <w:trHeight w:hRule="exact" w:val="300"/>
        </w:trPr>
        <w:tc>
          <w:tcPr>
            <w:tcW w:w="1905" w:type="dxa"/>
            <w:tcBorders>
              <w:top w:val="nil"/>
              <w:left w:val="nil"/>
              <w:bottom w:val="nil"/>
              <w:right w:val="nil"/>
            </w:tcBorders>
            <w:tcMar>
              <w:top w:w="0" w:type="dxa"/>
              <w:left w:w="53" w:type="dxa"/>
              <w:bottom w:w="0" w:type="dxa"/>
              <w:right w:w="53" w:type="dxa"/>
            </w:tcMar>
            <w:vAlign w:val="bottom"/>
          </w:tcPr>
          <w:p w14:paraId="23435F96" w14:textId="77777777" w:rsidR="001614AC" w:rsidRDefault="004468F9">
            <w:pPr>
              <w:spacing w:before="75" w:after="30" w:line="288" w:lineRule="auto"/>
            </w:pPr>
            <w:r>
              <w:rPr>
                <w:rFonts w:ascii="Arial" w:eastAsia="Arial" w:hAnsi="Arial" w:cs="Arial"/>
                <w:color w:val="000000"/>
                <w:sz w:val="16"/>
              </w:rPr>
              <w:t>Large Accelerated Filer</w:t>
            </w:r>
          </w:p>
        </w:tc>
        <w:tc>
          <w:tcPr>
            <w:tcW w:w="300" w:type="dxa"/>
            <w:tcBorders>
              <w:top w:val="nil"/>
              <w:left w:val="nil"/>
              <w:bottom w:val="nil"/>
              <w:right w:val="nil"/>
            </w:tcBorders>
            <w:tcMar>
              <w:top w:w="0" w:type="dxa"/>
              <w:left w:w="53" w:type="dxa"/>
              <w:bottom w:w="0" w:type="dxa"/>
              <w:right w:w="53" w:type="dxa"/>
            </w:tcMar>
            <w:vAlign w:val="bottom"/>
          </w:tcPr>
          <w:p w14:paraId="6AB6C259" w14:textId="77777777" w:rsidR="001614AC" w:rsidRDefault="004468F9">
            <w:pPr>
              <w:spacing w:before="75" w:after="30" w:line="288" w:lineRule="auto"/>
              <w:jc w:val="center"/>
            </w:pPr>
            <w:r>
              <w:rPr>
                <w:rFonts w:ascii="Arial Unicode MS" w:eastAsia="Arial Unicode MS" w:hAnsi="Arial Unicode MS" w:cs="Arial Unicode MS"/>
                <w:color w:val="000000"/>
                <w:sz w:val="18"/>
              </w:rPr>
              <w:t>☒</w:t>
            </w:r>
          </w:p>
        </w:tc>
        <w:tc>
          <w:tcPr>
            <w:tcW w:w="75" w:type="dxa"/>
            <w:tcBorders>
              <w:top w:val="nil"/>
              <w:left w:val="nil"/>
              <w:bottom w:val="nil"/>
              <w:right w:val="nil"/>
            </w:tcBorders>
            <w:tcMar>
              <w:top w:w="0" w:type="dxa"/>
              <w:left w:w="0" w:type="dxa"/>
              <w:bottom w:w="0" w:type="dxa"/>
              <w:right w:w="0" w:type="dxa"/>
            </w:tcMar>
            <w:vAlign w:val="bottom"/>
          </w:tcPr>
          <w:p w14:paraId="004ACDC4" w14:textId="77777777" w:rsidR="001614AC" w:rsidRDefault="001614AC"/>
        </w:tc>
        <w:tc>
          <w:tcPr>
            <w:tcW w:w="1485" w:type="dxa"/>
            <w:tcBorders>
              <w:top w:val="nil"/>
              <w:left w:val="nil"/>
              <w:bottom w:val="nil"/>
              <w:right w:val="nil"/>
            </w:tcBorders>
            <w:tcMar>
              <w:top w:w="0" w:type="dxa"/>
              <w:left w:w="53" w:type="dxa"/>
              <w:bottom w:w="0" w:type="dxa"/>
              <w:right w:w="53" w:type="dxa"/>
            </w:tcMar>
            <w:vAlign w:val="bottom"/>
          </w:tcPr>
          <w:p w14:paraId="50C48E3A" w14:textId="77777777" w:rsidR="001614AC" w:rsidRDefault="004468F9">
            <w:pPr>
              <w:spacing w:before="75" w:after="30" w:line="288" w:lineRule="auto"/>
            </w:pPr>
            <w:r>
              <w:rPr>
                <w:rFonts w:ascii="Arial" w:eastAsia="Arial" w:hAnsi="Arial" w:cs="Arial"/>
                <w:color w:val="000000"/>
                <w:sz w:val="16"/>
              </w:rPr>
              <w:t>Accelerated filer</w:t>
            </w:r>
          </w:p>
        </w:tc>
        <w:tc>
          <w:tcPr>
            <w:tcW w:w="300" w:type="dxa"/>
            <w:tcBorders>
              <w:top w:val="nil"/>
              <w:left w:val="nil"/>
              <w:bottom w:val="nil"/>
              <w:right w:val="nil"/>
            </w:tcBorders>
            <w:tcMar>
              <w:top w:w="0" w:type="dxa"/>
              <w:left w:w="53" w:type="dxa"/>
              <w:bottom w:w="0" w:type="dxa"/>
              <w:right w:w="53" w:type="dxa"/>
            </w:tcMar>
            <w:vAlign w:val="bottom"/>
          </w:tcPr>
          <w:p w14:paraId="1F911F7D" w14:textId="77777777" w:rsidR="001614AC" w:rsidRDefault="004468F9">
            <w:pPr>
              <w:spacing w:before="75" w:after="30" w:line="288" w:lineRule="auto"/>
            </w:pPr>
            <w:r>
              <w:rPr>
                <w:rFonts w:ascii="Arial Unicode MS" w:eastAsia="Arial Unicode MS" w:hAnsi="Arial Unicode MS" w:cs="Arial Unicode MS"/>
                <w:color w:val="000000"/>
                <w:sz w:val="16"/>
              </w:rPr>
              <w:t>☐</w:t>
            </w:r>
          </w:p>
        </w:tc>
        <w:tc>
          <w:tcPr>
            <w:tcW w:w="75" w:type="dxa"/>
            <w:tcBorders>
              <w:top w:val="nil"/>
              <w:left w:val="nil"/>
              <w:bottom w:val="nil"/>
              <w:right w:val="nil"/>
            </w:tcBorders>
            <w:tcMar>
              <w:top w:w="0" w:type="dxa"/>
              <w:left w:w="0" w:type="dxa"/>
              <w:bottom w:w="0" w:type="dxa"/>
              <w:right w:w="0" w:type="dxa"/>
            </w:tcMar>
            <w:vAlign w:val="bottom"/>
          </w:tcPr>
          <w:p w14:paraId="1D71CD2A" w14:textId="77777777" w:rsidR="001614AC" w:rsidRDefault="001614AC"/>
        </w:tc>
        <w:tc>
          <w:tcPr>
            <w:tcW w:w="1905" w:type="dxa"/>
            <w:tcBorders>
              <w:top w:val="nil"/>
              <w:left w:val="nil"/>
              <w:bottom w:val="nil"/>
              <w:right w:val="nil"/>
            </w:tcBorders>
            <w:tcMar>
              <w:top w:w="0" w:type="dxa"/>
              <w:left w:w="53" w:type="dxa"/>
              <w:bottom w:w="0" w:type="dxa"/>
              <w:right w:w="53" w:type="dxa"/>
            </w:tcMar>
            <w:vAlign w:val="bottom"/>
          </w:tcPr>
          <w:p w14:paraId="31D87410" w14:textId="77777777" w:rsidR="001614AC" w:rsidRDefault="004468F9">
            <w:pPr>
              <w:spacing w:before="75" w:after="30" w:line="288" w:lineRule="auto"/>
            </w:pPr>
            <w:r>
              <w:rPr>
                <w:rFonts w:ascii="Arial" w:eastAsia="Arial" w:hAnsi="Arial" w:cs="Arial"/>
                <w:color w:val="000000"/>
                <w:sz w:val="16"/>
              </w:rPr>
              <w:t>Non-accelerated filer</w:t>
            </w:r>
          </w:p>
        </w:tc>
        <w:tc>
          <w:tcPr>
            <w:tcW w:w="300" w:type="dxa"/>
            <w:tcBorders>
              <w:top w:val="nil"/>
              <w:left w:val="nil"/>
              <w:bottom w:val="nil"/>
              <w:right w:val="nil"/>
            </w:tcBorders>
            <w:tcMar>
              <w:top w:w="0" w:type="dxa"/>
              <w:left w:w="53" w:type="dxa"/>
              <w:bottom w:w="0" w:type="dxa"/>
              <w:right w:w="53" w:type="dxa"/>
            </w:tcMar>
            <w:vAlign w:val="bottom"/>
          </w:tcPr>
          <w:p w14:paraId="57E95F4E" w14:textId="77777777" w:rsidR="001614AC" w:rsidRDefault="004468F9">
            <w:pPr>
              <w:spacing w:before="75" w:after="30" w:line="288" w:lineRule="auto"/>
            </w:pPr>
            <w:r>
              <w:rPr>
                <w:rFonts w:ascii="Arial Unicode MS" w:eastAsia="Arial Unicode MS" w:hAnsi="Arial Unicode MS" w:cs="Arial Unicode MS"/>
                <w:color w:val="000000"/>
                <w:sz w:val="16"/>
              </w:rPr>
              <w:t>☐</w:t>
            </w:r>
          </w:p>
        </w:tc>
        <w:tc>
          <w:tcPr>
            <w:tcW w:w="75" w:type="dxa"/>
            <w:tcBorders>
              <w:top w:val="nil"/>
              <w:left w:val="nil"/>
              <w:bottom w:val="nil"/>
              <w:right w:val="nil"/>
            </w:tcBorders>
            <w:tcMar>
              <w:top w:w="0" w:type="dxa"/>
              <w:left w:w="0" w:type="dxa"/>
              <w:bottom w:w="0" w:type="dxa"/>
              <w:right w:w="0" w:type="dxa"/>
            </w:tcMar>
            <w:vAlign w:val="bottom"/>
          </w:tcPr>
          <w:p w14:paraId="2EFA16D8" w14:textId="77777777" w:rsidR="001614AC" w:rsidRDefault="001614AC"/>
        </w:tc>
        <w:tc>
          <w:tcPr>
            <w:tcW w:w="2205" w:type="dxa"/>
            <w:tcBorders>
              <w:top w:val="nil"/>
              <w:left w:val="nil"/>
              <w:bottom w:val="nil"/>
              <w:right w:val="nil"/>
            </w:tcBorders>
            <w:tcMar>
              <w:top w:w="0" w:type="dxa"/>
              <w:left w:w="53" w:type="dxa"/>
              <w:bottom w:w="0" w:type="dxa"/>
              <w:right w:w="53" w:type="dxa"/>
            </w:tcMar>
            <w:vAlign w:val="bottom"/>
          </w:tcPr>
          <w:p w14:paraId="4B4B1856" w14:textId="77777777" w:rsidR="001614AC" w:rsidRDefault="004468F9">
            <w:pPr>
              <w:spacing w:before="75" w:after="30" w:line="288" w:lineRule="auto"/>
            </w:pPr>
            <w:r>
              <w:rPr>
                <w:rFonts w:ascii="Arial" w:eastAsia="Arial" w:hAnsi="Arial" w:cs="Arial"/>
                <w:color w:val="000000"/>
                <w:sz w:val="16"/>
              </w:rPr>
              <w:t>Smaller reporting company</w:t>
            </w:r>
          </w:p>
        </w:tc>
        <w:tc>
          <w:tcPr>
            <w:tcW w:w="300" w:type="dxa"/>
            <w:tcBorders>
              <w:top w:val="nil"/>
              <w:left w:val="nil"/>
              <w:bottom w:val="nil"/>
              <w:right w:val="nil"/>
            </w:tcBorders>
            <w:tcMar>
              <w:top w:w="0" w:type="dxa"/>
              <w:left w:w="53" w:type="dxa"/>
              <w:bottom w:w="0" w:type="dxa"/>
              <w:right w:w="53" w:type="dxa"/>
            </w:tcMar>
            <w:vAlign w:val="bottom"/>
          </w:tcPr>
          <w:p w14:paraId="1AF17A1B" w14:textId="77777777" w:rsidR="001614AC" w:rsidRDefault="004468F9">
            <w:pPr>
              <w:spacing w:before="75" w:after="30" w:line="288" w:lineRule="auto"/>
            </w:pPr>
            <w:r>
              <w:rPr>
                <w:rFonts w:ascii="Arial Unicode MS" w:eastAsia="Arial Unicode MS" w:hAnsi="Arial Unicode MS" w:cs="Arial Unicode MS"/>
                <w:color w:val="000000"/>
                <w:sz w:val="16"/>
              </w:rPr>
              <w:t>☐</w:t>
            </w:r>
          </w:p>
        </w:tc>
        <w:tc>
          <w:tcPr>
            <w:tcW w:w="75" w:type="dxa"/>
            <w:tcBorders>
              <w:top w:val="nil"/>
              <w:left w:val="nil"/>
              <w:bottom w:val="nil"/>
              <w:right w:val="nil"/>
            </w:tcBorders>
            <w:tcMar>
              <w:top w:w="0" w:type="dxa"/>
              <w:left w:w="0" w:type="dxa"/>
              <w:bottom w:w="0" w:type="dxa"/>
              <w:right w:w="0" w:type="dxa"/>
            </w:tcMar>
            <w:vAlign w:val="bottom"/>
          </w:tcPr>
          <w:p w14:paraId="3CE60FA3" w14:textId="77777777" w:rsidR="001614AC" w:rsidRDefault="001614AC"/>
        </w:tc>
        <w:tc>
          <w:tcPr>
            <w:tcW w:w="2100" w:type="dxa"/>
            <w:tcBorders>
              <w:top w:val="nil"/>
              <w:left w:val="nil"/>
              <w:bottom w:val="nil"/>
              <w:right w:val="nil"/>
            </w:tcBorders>
            <w:tcMar>
              <w:top w:w="0" w:type="dxa"/>
              <w:left w:w="53" w:type="dxa"/>
              <w:bottom w:w="0" w:type="dxa"/>
              <w:right w:w="53" w:type="dxa"/>
            </w:tcMar>
            <w:vAlign w:val="bottom"/>
          </w:tcPr>
          <w:p w14:paraId="60F2B209" w14:textId="77777777" w:rsidR="001614AC" w:rsidRDefault="004468F9">
            <w:pPr>
              <w:spacing w:before="75" w:after="30" w:line="288" w:lineRule="auto"/>
            </w:pPr>
            <w:r>
              <w:rPr>
                <w:rFonts w:ascii="Arial" w:eastAsia="Arial" w:hAnsi="Arial" w:cs="Arial"/>
                <w:color w:val="000000"/>
                <w:sz w:val="16"/>
              </w:rPr>
              <w:t>Emerging growth company</w:t>
            </w:r>
          </w:p>
        </w:tc>
        <w:tc>
          <w:tcPr>
            <w:tcW w:w="300" w:type="dxa"/>
            <w:tcBorders>
              <w:top w:val="nil"/>
              <w:left w:val="nil"/>
              <w:bottom w:val="nil"/>
              <w:right w:val="nil"/>
            </w:tcBorders>
            <w:tcMar>
              <w:top w:w="0" w:type="dxa"/>
              <w:left w:w="53" w:type="dxa"/>
              <w:bottom w:w="0" w:type="dxa"/>
              <w:right w:w="53" w:type="dxa"/>
            </w:tcMar>
            <w:vAlign w:val="bottom"/>
          </w:tcPr>
          <w:p w14:paraId="59A4EA98" w14:textId="77777777" w:rsidR="001614AC" w:rsidRDefault="004468F9">
            <w:pPr>
              <w:spacing w:before="75" w:after="30" w:line="288" w:lineRule="auto"/>
            </w:pPr>
            <w:r>
              <w:rPr>
                <w:rFonts w:ascii="Arial Unicode MS" w:eastAsia="Arial Unicode MS" w:hAnsi="Arial Unicode MS" w:cs="Arial Unicode MS"/>
                <w:color w:val="000000"/>
                <w:sz w:val="16"/>
              </w:rPr>
              <w:t>☐</w:t>
            </w:r>
          </w:p>
        </w:tc>
      </w:tr>
    </w:tbl>
    <w:p w14:paraId="7CEA482D" w14:textId="77777777" w:rsidR="00A77B3E" w:rsidRDefault="004468F9">
      <w:pPr>
        <w:spacing w:before="100" w:after="100" w:line="288" w:lineRule="auto"/>
        <w:ind w:firstLine="495"/>
        <w:rPr>
          <w:rFonts w:ascii="Arial" w:eastAsia="Arial" w:hAnsi="Arial" w:cs="Arial"/>
          <w:b/>
          <w:sz w:val="16"/>
        </w:rPr>
      </w:pPr>
      <w:r>
        <w:rPr>
          <w:rFonts w:ascii="Arial" w:eastAsia="Arial" w:hAnsi="Arial" w:cs="Arial"/>
          <w:sz w:val="16"/>
        </w:rPr>
        <w:t xml:space="preserve">If an emerging growth company, indicate by check mark if the registrant has elected not to use the extended transition period for complying with any new or revised financial accounting standards provided pursuant to Section 13(a) of the Exchange Act. </w:t>
      </w:r>
      <w:r>
        <w:rPr>
          <w:rFonts w:ascii="Arial Unicode MS" w:eastAsia="Arial Unicode MS" w:hAnsi="Arial Unicode MS" w:cs="Arial Unicode MS"/>
          <w:sz w:val="16"/>
        </w:rPr>
        <w:t>☐</w:t>
      </w:r>
    </w:p>
    <w:p w14:paraId="42DFD1A5" w14:textId="77777777" w:rsidR="00A77B3E" w:rsidRDefault="004468F9">
      <w:pPr>
        <w:spacing w:before="100" w:after="100" w:line="288" w:lineRule="auto"/>
        <w:ind w:firstLine="495"/>
        <w:rPr>
          <w:rFonts w:ascii="Arial" w:eastAsia="Arial" w:hAnsi="Arial" w:cs="Arial"/>
          <w:b/>
          <w:sz w:val="16"/>
        </w:rPr>
      </w:pPr>
      <w:r>
        <w:rPr>
          <w:rFonts w:ascii="Arial" w:eastAsia="Arial" w:hAnsi="Arial" w:cs="Arial"/>
          <w:sz w:val="16"/>
        </w:rPr>
        <w:t>Indicate by check mark whether the registrant is a shell company (as defined in Rule 12b-2 of the Exchange Act).    Yes  </w:t>
      </w:r>
      <w:r>
        <w:rPr>
          <w:rFonts w:ascii="Arial Unicode MS" w:eastAsia="Arial Unicode MS" w:hAnsi="Arial Unicode MS" w:cs="Arial Unicode MS"/>
          <w:sz w:val="16"/>
        </w:rPr>
        <w:t>☐</w:t>
      </w:r>
      <w:r>
        <w:rPr>
          <w:rFonts w:ascii="Arial" w:eastAsia="Arial" w:hAnsi="Arial" w:cs="Arial"/>
          <w:sz w:val="16"/>
        </w:rPr>
        <w:t>   No  </w:t>
      </w:r>
      <w:r>
        <w:rPr>
          <w:rFonts w:ascii="Arial Unicode MS" w:eastAsia="Arial Unicode MS" w:hAnsi="Arial Unicode MS" w:cs="Arial Unicode MS"/>
          <w:sz w:val="18"/>
        </w:rPr>
        <w:t>☒</w:t>
      </w:r>
    </w:p>
    <w:p w14:paraId="1F7A84FB" w14:textId="77777777" w:rsidR="00A77B3E" w:rsidRDefault="004468F9">
      <w:pPr>
        <w:spacing w:before="100" w:after="100" w:line="288" w:lineRule="auto"/>
        <w:ind w:firstLine="450"/>
        <w:jc w:val="center"/>
        <w:rPr>
          <w:rFonts w:ascii="Arial" w:eastAsia="Arial" w:hAnsi="Arial" w:cs="Arial"/>
          <w:b/>
          <w:sz w:val="16"/>
        </w:rPr>
      </w:pPr>
      <w:r>
        <w:rPr>
          <w:rFonts w:ascii="Arial" w:eastAsia="Arial" w:hAnsi="Arial" w:cs="Arial"/>
          <w:b/>
          <w:sz w:val="16"/>
        </w:rPr>
        <w:t>APPLICABLE ONLY TO CORPORATE ISSUERS:</w:t>
      </w:r>
    </w:p>
    <w:p w14:paraId="3A4C4316" w14:textId="77777777" w:rsidR="00A77B3E" w:rsidRDefault="004468F9">
      <w:pPr>
        <w:spacing w:before="100" w:line="288" w:lineRule="auto"/>
        <w:ind w:firstLine="495"/>
        <w:rPr>
          <w:rFonts w:ascii="Arial" w:eastAsia="Arial" w:hAnsi="Arial" w:cs="Arial"/>
          <w:b/>
          <w:sz w:val="16"/>
        </w:rPr>
      </w:pPr>
      <w:r>
        <w:rPr>
          <w:rFonts w:ascii="Arial" w:eastAsia="Arial" w:hAnsi="Arial" w:cs="Arial"/>
          <w:sz w:val="16"/>
        </w:rPr>
        <w:t>Indicate the number of shares outstanding of each of the issuer’s classes of common sto</w:t>
      </w:r>
      <w:r>
        <w:rPr>
          <w:rFonts w:ascii="Arial" w:eastAsia="Arial" w:hAnsi="Arial" w:cs="Arial"/>
          <w:sz w:val="16"/>
        </w:rPr>
        <w:t>ck, as of the latest practicable date: 185,557,493 shares of common stock, $0.001 par value per share, outstanding on August 4, 2021.</w:t>
      </w:r>
    </w:p>
    <w:p w14:paraId="1AB67BC9" w14:textId="77777777" w:rsidR="00A77B3E" w:rsidRDefault="00A77B3E">
      <w:pPr>
        <w:spacing w:before="100" w:line="288" w:lineRule="auto"/>
        <w:ind w:firstLine="495"/>
        <w:rPr>
          <w:rFonts w:ascii="Arial" w:eastAsia="Arial" w:hAnsi="Arial" w:cs="Arial"/>
          <w:b/>
          <w:sz w:val="16"/>
        </w:rPr>
        <w:sectPr w:rsidR="00A77B3E">
          <w:headerReference w:type="default" r:id="rId8"/>
          <w:footerReference w:type="default" r:id="rId9"/>
          <w:type w:val="continuous"/>
          <w:pgSz w:w="12240" w:h="15840"/>
          <w:pgMar w:top="720" w:right="360" w:bottom="720" w:left="360" w:header="270" w:footer="270" w:gutter="0"/>
          <w:cols w:space="708"/>
          <w:docGrid w:linePitch="360"/>
        </w:sectPr>
      </w:pPr>
    </w:p>
    <w:p w14:paraId="65B78ADC" w14:textId="77777777" w:rsidR="001614AC" w:rsidRDefault="004468F9">
      <w:pPr>
        <w:spacing w:after="160" w:line="288" w:lineRule="auto"/>
        <w:ind w:left="360" w:hanging="360"/>
        <w:outlineLvl w:val="0"/>
        <w:rPr>
          <w:rFonts w:ascii="Arial" w:eastAsia="Arial" w:hAnsi="Arial" w:cs="Arial"/>
          <w:b/>
          <w:color w:val="4D6B80"/>
          <w:sz w:val="30"/>
        </w:rPr>
      </w:pPr>
      <w:bookmarkStart w:id="1" w:name="Section2"/>
      <w:bookmarkEnd w:id="1"/>
      <w:r>
        <w:rPr>
          <w:rFonts w:ascii="Arial" w:eastAsia="Arial" w:hAnsi="Arial" w:cs="Arial"/>
          <w:b/>
          <w:color w:val="4D6B80"/>
          <w:sz w:val="30"/>
        </w:rPr>
        <w:lastRenderedPageBreak/>
        <w:t>Table of Contents</w:t>
      </w:r>
    </w:p>
    <w:tbl>
      <w:tblPr>
        <w:tblW w:w="102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1"/>
        <w:gridCol w:w="8721"/>
        <w:gridCol w:w="780"/>
      </w:tblGrid>
      <w:tr w:rsidR="001614AC" w14:paraId="14284982" w14:textId="77777777">
        <w:trPr>
          <w:cantSplit/>
          <w:trHeight w:hRule="exact" w:val="315"/>
        </w:trPr>
        <w:tc>
          <w:tcPr>
            <w:tcW w:w="765" w:type="dxa"/>
            <w:tcBorders>
              <w:top w:val="nil"/>
              <w:left w:val="nil"/>
              <w:bottom w:val="nil"/>
              <w:right w:val="nil"/>
            </w:tcBorders>
            <w:tcMar>
              <w:top w:w="0" w:type="dxa"/>
              <w:left w:w="53" w:type="dxa"/>
              <w:bottom w:w="0" w:type="dxa"/>
              <w:right w:w="53" w:type="dxa"/>
            </w:tcMar>
            <w:vAlign w:val="center"/>
          </w:tcPr>
          <w:p w14:paraId="4D5706A4" w14:textId="77777777" w:rsidR="001614AC" w:rsidRDefault="004468F9">
            <w:pPr>
              <w:spacing w:line="288" w:lineRule="auto"/>
            </w:pPr>
            <w:r>
              <w:rPr>
                <w:rFonts w:ascii="Arial" w:eastAsia="Arial" w:hAnsi="Arial" w:cs="Arial"/>
                <w:b/>
                <w:color w:val="000000"/>
                <w:sz w:val="18"/>
              </w:rPr>
              <w:t> </w:t>
            </w:r>
          </w:p>
        </w:tc>
        <w:tc>
          <w:tcPr>
            <w:tcW w:w="8550" w:type="dxa"/>
            <w:tcBorders>
              <w:top w:val="nil"/>
              <w:left w:val="nil"/>
              <w:bottom w:val="nil"/>
              <w:right w:val="nil"/>
            </w:tcBorders>
            <w:tcMar>
              <w:top w:w="0" w:type="dxa"/>
              <w:left w:w="0" w:type="dxa"/>
              <w:bottom w:w="0" w:type="dxa"/>
              <w:right w:w="0" w:type="dxa"/>
            </w:tcMar>
            <w:vAlign w:val="bottom"/>
          </w:tcPr>
          <w:p w14:paraId="1EA6B0ED" w14:textId="77777777" w:rsidR="001614AC" w:rsidRDefault="001614AC"/>
        </w:tc>
        <w:tc>
          <w:tcPr>
            <w:tcW w:w="765" w:type="dxa"/>
            <w:tcBorders>
              <w:top w:val="nil"/>
              <w:left w:val="nil"/>
              <w:bottom w:val="nil"/>
              <w:right w:val="nil"/>
            </w:tcBorders>
            <w:tcMar>
              <w:top w:w="0" w:type="dxa"/>
              <w:left w:w="53" w:type="dxa"/>
              <w:bottom w:w="0" w:type="dxa"/>
              <w:right w:w="53" w:type="dxa"/>
            </w:tcMar>
            <w:vAlign w:val="center"/>
          </w:tcPr>
          <w:p w14:paraId="7BDE246C" w14:textId="77777777" w:rsidR="001614AC" w:rsidRDefault="004468F9">
            <w:pPr>
              <w:spacing w:line="288" w:lineRule="auto"/>
              <w:jc w:val="right"/>
            </w:pPr>
            <w:r>
              <w:rPr>
                <w:rFonts w:ascii="Arial" w:eastAsia="Arial" w:hAnsi="Arial" w:cs="Arial"/>
                <w:b/>
                <w:color w:val="000000"/>
                <w:sz w:val="18"/>
              </w:rPr>
              <w:t>Page</w:t>
            </w:r>
          </w:p>
        </w:tc>
      </w:tr>
      <w:tr w:rsidR="001614AC" w14:paraId="101B6D37" w14:textId="77777777">
        <w:trPr>
          <w:cantSplit/>
          <w:trHeight w:hRule="exact" w:val="315"/>
        </w:trPr>
        <w:tc>
          <w:tcPr>
            <w:tcW w:w="9315" w:type="dxa"/>
            <w:gridSpan w:val="2"/>
            <w:tcBorders>
              <w:top w:val="nil"/>
              <w:left w:val="nil"/>
              <w:bottom w:val="nil"/>
              <w:right w:val="nil"/>
            </w:tcBorders>
            <w:shd w:val="clear" w:color="auto" w:fill="F4F4F4"/>
            <w:tcMar>
              <w:top w:w="0" w:type="dxa"/>
              <w:left w:w="53" w:type="dxa"/>
              <w:bottom w:w="0" w:type="dxa"/>
              <w:right w:w="53" w:type="dxa"/>
            </w:tcMar>
            <w:vAlign w:val="center"/>
          </w:tcPr>
          <w:p w14:paraId="6898C6E2" w14:textId="77777777" w:rsidR="001614AC" w:rsidRDefault="004468F9">
            <w:pPr>
              <w:spacing w:line="288" w:lineRule="auto"/>
              <w:rPr>
                <w:rFonts w:ascii="Arial" w:eastAsia="Arial" w:hAnsi="Arial" w:cs="Arial"/>
                <w:b/>
                <w:color w:val="668092"/>
                <w:sz w:val="18"/>
              </w:rPr>
            </w:pPr>
            <w:hyperlink w:anchor="Section3" w:history="1">
              <w:r>
                <w:rPr>
                  <w:rFonts w:ascii="Arial" w:eastAsia="Arial" w:hAnsi="Arial" w:cs="Arial"/>
                  <w:b/>
                  <w:color w:val="668092"/>
                  <w:sz w:val="18"/>
                  <w:u w:val="single"/>
                </w:rPr>
                <w:t xml:space="preserve">Glossary of </w:t>
              </w:r>
              <w:r>
                <w:rPr>
                  <w:rFonts w:ascii="Arial" w:eastAsia="Arial" w:hAnsi="Arial" w:cs="Arial"/>
                  <w:b/>
                  <w:color w:val="668092"/>
                  <w:sz w:val="18"/>
                  <w:u w:val="single"/>
                </w:rPr>
                <w:t>Abbreviations and Acronyms</w:t>
              </w:r>
            </w:hyperlink>
            <w:r>
              <w:rPr>
                <w:rFonts w:ascii="Arial" w:eastAsia="Arial" w:hAnsi="Arial" w:cs="Arial"/>
                <w:b/>
                <w:color w:val="668092"/>
                <w:sz w:val="18"/>
              </w:rPr>
              <w:t xml:space="preserve"> </w:t>
            </w:r>
          </w:p>
        </w:tc>
        <w:tc>
          <w:tcPr>
            <w:tcW w:w="765" w:type="dxa"/>
            <w:tcBorders>
              <w:top w:val="nil"/>
              <w:left w:val="nil"/>
              <w:bottom w:val="single" w:sz="8" w:space="0" w:color="FFFFFF"/>
              <w:right w:val="nil"/>
            </w:tcBorders>
            <w:shd w:val="clear" w:color="auto" w:fill="F4F4F4"/>
            <w:tcMar>
              <w:top w:w="0" w:type="dxa"/>
              <w:left w:w="53" w:type="dxa"/>
              <w:bottom w:w="0" w:type="dxa"/>
              <w:right w:w="53" w:type="dxa"/>
            </w:tcMar>
            <w:vAlign w:val="center"/>
          </w:tcPr>
          <w:p w14:paraId="4812B0F4" w14:textId="77777777" w:rsidR="001614AC" w:rsidRDefault="004468F9">
            <w:pPr>
              <w:spacing w:line="288" w:lineRule="auto"/>
              <w:jc w:val="right"/>
              <w:rPr>
                <w:rFonts w:ascii="Arial" w:eastAsia="Arial" w:hAnsi="Arial" w:cs="Arial"/>
                <w:color w:val="668092"/>
                <w:sz w:val="18"/>
              </w:rPr>
            </w:pPr>
            <w:r>
              <w:rPr>
                <w:rFonts w:ascii="Arial" w:eastAsia="Arial" w:hAnsi="Arial" w:cs="Arial"/>
                <w:color w:val="668092"/>
                <w:sz w:val="18"/>
                <w:u w:val="single"/>
              </w:rPr>
              <w:fldChar w:fldCharType="begin"/>
            </w:r>
            <w:r>
              <w:rPr>
                <w:rFonts w:ascii="Arial" w:eastAsia="Arial" w:hAnsi="Arial" w:cs="Arial"/>
                <w:color w:val="668092"/>
                <w:sz w:val="18"/>
                <w:u w:val="single"/>
              </w:rPr>
              <w:instrText xml:space="preserve"> PAGEREF  Section3 \h</w:instrText>
            </w:r>
            <w:r>
              <w:rPr>
                <w:rFonts w:ascii="Arial" w:eastAsia="Arial" w:hAnsi="Arial" w:cs="Arial"/>
                <w:color w:val="668092"/>
                <w:sz w:val="18"/>
                <w:u w:val="single"/>
              </w:rPr>
            </w:r>
            <w:r>
              <w:rPr>
                <w:rFonts w:ascii="Arial" w:eastAsia="Arial" w:hAnsi="Arial" w:cs="Arial"/>
                <w:color w:val="668092"/>
                <w:sz w:val="18"/>
                <w:u w:val="single"/>
              </w:rPr>
              <w:fldChar w:fldCharType="separate"/>
            </w:r>
            <w:r>
              <w:rPr>
                <w:rFonts w:ascii="Arial" w:eastAsia="Arial" w:hAnsi="Arial" w:cs="Arial"/>
                <w:color w:val="668092"/>
                <w:sz w:val="18"/>
                <w:u w:val="single"/>
              </w:rPr>
              <w:t>3</w:t>
            </w:r>
            <w:r>
              <w:rPr>
                <w:rFonts w:ascii="Arial" w:eastAsia="Arial" w:hAnsi="Arial" w:cs="Arial"/>
                <w:color w:val="668092"/>
                <w:sz w:val="18"/>
                <w:u w:val="single"/>
              </w:rPr>
              <w:fldChar w:fldCharType="end"/>
            </w:r>
          </w:p>
        </w:tc>
      </w:tr>
      <w:tr w:rsidR="001614AC" w14:paraId="154D6AB2" w14:textId="77777777">
        <w:trPr>
          <w:cantSplit/>
          <w:trHeight w:hRule="exact" w:val="315"/>
        </w:trPr>
        <w:tc>
          <w:tcPr>
            <w:tcW w:w="9315" w:type="dxa"/>
            <w:gridSpan w:val="2"/>
            <w:tcBorders>
              <w:top w:val="single" w:sz="8" w:space="0" w:color="FFFFFF"/>
              <w:left w:val="nil"/>
              <w:bottom w:val="nil"/>
              <w:right w:val="nil"/>
            </w:tcBorders>
            <w:shd w:val="clear" w:color="auto" w:fill="F4F4F4"/>
            <w:tcMar>
              <w:top w:w="0" w:type="dxa"/>
              <w:left w:w="53" w:type="dxa"/>
              <w:bottom w:w="0" w:type="dxa"/>
              <w:right w:w="53" w:type="dxa"/>
            </w:tcMar>
            <w:vAlign w:val="center"/>
          </w:tcPr>
          <w:p w14:paraId="07399207" w14:textId="77777777" w:rsidR="001614AC" w:rsidRDefault="004468F9">
            <w:pPr>
              <w:spacing w:line="288" w:lineRule="auto"/>
              <w:rPr>
                <w:rFonts w:ascii="Arial" w:eastAsia="Arial" w:hAnsi="Arial" w:cs="Arial"/>
                <w:b/>
                <w:color w:val="668092"/>
                <w:sz w:val="18"/>
              </w:rPr>
            </w:pPr>
            <w:hyperlink w:anchor="Section4" w:history="1">
              <w:r>
                <w:rPr>
                  <w:rFonts w:ascii="Arial" w:eastAsia="Arial" w:hAnsi="Arial" w:cs="Arial"/>
                  <w:b/>
                  <w:color w:val="668092"/>
                  <w:sz w:val="18"/>
                  <w:u w:val="single"/>
                </w:rPr>
                <w:t>Cautionary Note Regarding Forward-Looking Statements—Safe Harbor Provisions</w:t>
              </w:r>
            </w:hyperlink>
            <w:r>
              <w:rPr>
                <w:rFonts w:ascii="Arial" w:eastAsia="Arial" w:hAnsi="Arial" w:cs="Arial"/>
                <w:b/>
                <w:color w:val="668092"/>
                <w:sz w:val="18"/>
              </w:rPr>
              <w:t xml:space="preserve"> </w:t>
            </w:r>
          </w:p>
        </w:tc>
        <w:tc>
          <w:tcPr>
            <w:tcW w:w="765" w:type="dxa"/>
            <w:tcBorders>
              <w:top w:val="single" w:sz="8" w:space="0" w:color="FFFFFF"/>
              <w:left w:val="nil"/>
              <w:bottom w:val="nil"/>
              <w:right w:val="nil"/>
            </w:tcBorders>
            <w:shd w:val="clear" w:color="auto" w:fill="F4F4F4"/>
            <w:tcMar>
              <w:top w:w="0" w:type="dxa"/>
              <w:left w:w="53" w:type="dxa"/>
              <w:bottom w:w="0" w:type="dxa"/>
              <w:right w:w="53" w:type="dxa"/>
            </w:tcMar>
            <w:vAlign w:val="center"/>
          </w:tcPr>
          <w:p w14:paraId="46A3CF1D" w14:textId="77777777" w:rsidR="001614AC" w:rsidRDefault="004468F9">
            <w:pPr>
              <w:spacing w:line="288" w:lineRule="auto"/>
              <w:jc w:val="right"/>
              <w:rPr>
                <w:rFonts w:ascii="Arial" w:eastAsia="Arial" w:hAnsi="Arial" w:cs="Arial"/>
                <w:color w:val="668092"/>
                <w:sz w:val="18"/>
              </w:rPr>
            </w:pPr>
            <w:r>
              <w:rPr>
                <w:rFonts w:ascii="Arial" w:eastAsia="Arial" w:hAnsi="Arial" w:cs="Arial"/>
                <w:color w:val="668092"/>
                <w:sz w:val="18"/>
                <w:u w:val="single"/>
              </w:rPr>
              <w:fldChar w:fldCharType="begin"/>
            </w:r>
            <w:r>
              <w:rPr>
                <w:rFonts w:ascii="Arial" w:eastAsia="Arial" w:hAnsi="Arial" w:cs="Arial"/>
                <w:color w:val="668092"/>
                <w:sz w:val="18"/>
                <w:u w:val="single"/>
              </w:rPr>
              <w:instrText xml:space="preserve"> PAGEREF  Section4 \h</w:instrText>
            </w:r>
            <w:r>
              <w:rPr>
                <w:rFonts w:ascii="Arial" w:eastAsia="Arial" w:hAnsi="Arial" w:cs="Arial"/>
                <w:color w:val="668092"/>
                <w:sz w:val="18"/>
                <w:u w:val="single"/>
              </w:rPr>
            </w:r>
            <w:r>
              <w:rPr>
                <w:rFonts w:ascii="Arial" w:eastAsia="Arial" w:hAnsi="Arial" w:cs="Arial"/>
                <w:color w:val="668092"/>
                <w:sz w:val="18"/>
                <w:u w:val="single"/>
              </w:rPr>
              <w:fldChar w:fldCharType="separate"/>
            </w:r>
            <w:r>
              <w:rPr>
                <w:rFonts w:ascii="Arial" w:eastAsia="Arial" w:hAnsi="Arial" w:cs="Arial"/>
                <w:color w:val="668092"/>
                <w:sz w:val="18"/>
                <w:u w:val="single"/>
              </w:rPr>
              <w:t>7</w:t>
            </w:r>
            <w:r>
              <w:rPr>
                <w:rFonts w:ascii="Arial" w:eastAsia="Arial" w:hAnsi="Arial" w:cs="Arial"/>
                <w:color w:val="668092"/>
                <w:sz w:val="18"/>
                <w:u w:val="single"/>
              </w:rPr>
              <w:fldChar w:fldCharType="end"/>
            </w:r>
          </w:p>
        </w:tc>
      </w:tr>
      <w:tr w:rsidR="001614AC" w14:paraId="5AE96D45" w14:textId="77777777">
        <w:trPr>
          <w:cantSplit/>
          <w:trHeight w:hRule="exact" w:val="315"/>
        </w:trPr>
        <w:tc>
          <w:tcPr>
            <w:tcW w:w="765" w:type="dxa"/>
            <w:tcBorders>
              <w:top w:val="nil"/>
              <w:left w:val="nil"/>
              <w:bottom w:val="nil"/>
              <w:right w:val="nil"/>
            </w:tcBorders>
            <w:tcMar>
              <w:top w:w="0" w:type="dxa"/>
              <w:left w:w="0" w:type="dxa"/>
              <w:bottom w:w="0" w:type="dxa"/>
              <w:right w:w="0" w:type="dxa"/>
            </w:tcMar>
            <w:vAlign w:val="bottom"/>
          </w:tcPr>
          <w:p w14:paraId="5602FC5D" w14:textId="77777777" w:rsidR="001614AC" w:rsidRDefault="001614AC"/>
        </w:tc>
        <w:tc>
          <w:tcPr>
            <w:tcW w:w="8550" w:type="dxa"/>
            <w:tcBorders>
              <w:top w:val="nil"/>
              <w:left w:val="nil"/>
              <w:bottom w:val="nil"/>
              <w:right w:val="nil"/>
            </w:tcBorders>
            <w:tcMar>
              <w:top w:w="0" w:type="dxa"/>
              <w:left w:w="0" w:type="dxa"/>
              <w:bottom w:w="0" w:type="dxa"/>
              <w:right w:w="0" w:type="dxa"/>
            </w:tcMar>
            <w:vAlign w:val="bottom"/>
          </w:tcPr>
          <w:p w14:paraId="4B98637C" w14:textId="77777777" w:rsidR="001614AC" w:rsidRDefault="001614AC"/>
        </w:tc>
        <w:tc>
          <w:tcPr>
            <w:tcW w:w="765" w:type="dxa"/>
            <w:tcBorders>
              <w:top w:val="nil"/>
              <w:left w:val="nil"/>
              <w:bottom w:val="nil"/>
              <w:right w:val="nil"/>
            </w:tcBorders>
            <w:tcMar>
              <w:top w:w="0" w:type="dxa"/>
              <w:left w:w="0" w:type="dxa"/>
              <w:bottom w:w="0" w:type="dxa"/>
              <w:right w:w="0" w:type="dxa"/>
            </w:tcMar>
            <w:vAlign w:val="bottom"/>
          </w:tcPr>
          <w:p w14:paraId="302D74DF" w14:textId="77777777" w:rsidR="001614AC" w:rsidRDefault="001614AC"/>
        </w:tc>
      </w:tr>
      <w:tr w:rsidR="001614AC" w14:paraId="5CEB13D2" w14:textId="77777777">
        <w:trPr>
          <w:cantSplit/>
          <w:trHeight w:hRule="exact" w:val="315"/>
        </w:trPr>
        <w:tc>
          <w:tcPr>
            <w:tcW w:w="9315" w:type="dxa"/>
            <w:gridSpan w:val="2"/>
            <w:tcBorders>
              <w:top w:val="nil"/>
              <w:left w:val="nil"/>
              <w:bottom w:val="nil"/>
              <w:right w:val="nil"/>
            </w:tcBorders>
            <w:shd w:val="clear" w:color="auto" w:fill="F4F4F4"/>
            <w:tcMar>
              <w:top w:w="0" w:type="dxa"/>
              <w:left w:w="53" w:type="dxa"/>
              <w:bottom w:w="0" w:type="dxa"/>
              <w:right w:w="53" w:type="dxa"/>
            </w:tcMar>
            <w:vAlign w:val="center"/>
          </w:tcPr>
          <w:p w14:paraId="4811DD3D" w14:textId="77777777" w:rsidR="001614AC" w:rsidRDefault="004468F9">
            <w:pPr>
              <w:spacing w:line="288" w:lineRule="auto"/>
            </w:pPr>
            <w:r>
              <w:rPr>
                <w:rFonts w:ascii="Arial" w:eastAsia="Arial" w:hAnsi="Arial" w:cs="Arial"/>
                <w:b/>
                <w:color w:val="00BAB3"/>
                <w:sz w:val="18"/>
              </w:rPr>
              <w:t>PART I—FINANCIAL INFORMATION</w:t>
            </w:r>
          </w:p>
        </w:tc>
        <w:tc>
          <w:tcPr>
            <w:tcW w:w="765" w:type="dxa"/>
            <w:tcBorders>
              <w:top w:val="nil"/>
              <w:left w:val="nil"/>
              <w:bottom w:val="nil"/>
              <w:right w:val="nil"/>
            </w:tcBorders>
            <w:shd w:val="clear" w:color="auto" w:fill="F4F4F4"/>
            <w:tcMar>
              <w:top w:w="0" w:type="dxa"/>
              <w:left w:w="0" w:type="dxa"/>
              <w:bottom w:w="0" w:type="dxa"/>
              <w:right w:w="0" w:type="dxa"/>
            </w:tcMar>
            <w:vAlign w:val="bottom"/>
          </w:tcPr>
          <w:p w14:paraId="70613996" w14:textId="77777777" w:rsidR="001614AC" w:rsidRDefault="001614AC"/>
        </w:tc>
      </w:tr>
      <w:tr w:rsidR="001614AC" w14:paraId="7D5A37F3" w14:textId="77777777">
        <w:trPr>
          <w:cantSplit/>
          <w:trHeight w:hRule="exact" w:val="315"/>
        </w:trPr>
        <w:tc>
          <w:tcPr>
            <w:tcW w:w="765" w:type="dxa"/>
            <w:tcBorders>
              <w:top w:val="nil"/>
              <w:left w:val="nil"/>
              <w:bottom w:val="single" w:sz="8" w:space="0" w:color="F4F4F4"/>
              <w:right w:val="nil"/>
            </w:tcBorders>
            <w:tcMar>
              <w:top w:w="0" w:type="dxa"/>
              <w:left w:w="53" w:type="dxa"/>
              <w:bottom w:w="0" w:type="dxa"/>
              <w:right w:w="53" w:type="dxa"/>
            </w:tcMar>
            <w:vAlign w:val="center"/>
          </w:tcPr>
          <w:p w14:paraId="41644185" w14:textId="77777777" w:rsidR="001614AC" w:rsidRDefault="004468F9">
            <w:pPr>
              <w:spacing w:line="288" w:lineRule="auto"/>
            </w:pPr>
            <w:r>
              <w:rPr>
                <w:rFonts w:ascii="Arial" w:eastAsia="Arial" w:hAnsi="Arial" w:cs="Arial"/>
                <w:color w:val="000000"/>
                <w:sz w:val="18"/>
              </w:rPr>
              <w:t>Item 1</w:t>
            </w:r>
          </w:p>
        </w:tc>
        <w:tc>
          <w:tcPr>
            <w:tcW w:w="8550" w:type="dxa"/>
            <w:tcBorders>
              <w:top w:val="nil"/>
              <w:left w:val="nil"/>
              <w:bottom w:val="single" w:sz="8" w:space="0" w:color="F4F4F4"/>
              <w:right w:val="nil"/>
            </w:tcBorders>
            <w:tcMar>
              <w:top w:w="0" w:type="dxa"/>
              <w:left w:w="53" w:type="dxa"/>
              <w:bottom w:w="0" w:type="dxa"/>
              <w:right w:w="53" w:type="dxa"/>
            </w:tcMar>
            <w:vAlign w:val="center"/>
          </w:tcPr>
          <w:p w14:paraId="3E326A2D" w14:textId="77777777" w:rsidR="001614AC" w:rsidRDefault="004468F9">
            <w:pPr>
              <w:spacing w:line="288" w:lineRule="auto"/>
              <w:rPr>
                <w:rFonts w:ascii="Arial" w:eastAsia="Arial" w:hAnsi="Arial" w:cs="Arial"/>
                <w:color w:val="668092"/>
                <w:sz w:val="18"/>
              </w:rPr>
            </w:pPr>
            <w:hyperlink w:anchor="Section6" w:history="1">
              <w:r>
                <w:rPr>
                  <w:rFonts w:ascii="Arial" w:eastAsia="Arial" w:hAnsi="Arial" w:cs="Arial"/>
                  <w:color w:val="668092"/>
                  <w:sz w:val="18"/>
                  <w:u w:val="single"/>
                </w:rPr>
                <w:t>Financial Statements (Unaudited)</w:t>
              </w:r>
            </w:hyperlink>
          </w:p>
        </w:tc>
        <w:tc>
          <w:tcPr>
            <w:tcW w:w="765" w:type="dxa"/>
            <w:tcBorders>
              <w:top w:val="nil"/>
              <w:left w:val="nil"/>
              <w:bottom w:val="single" w:sz="8" w:space="0" w:color="F4F4F4"/>
              <w:right w:val="nil"/>
            </w:tcBorders>
            <w:tcMar>
              <w:top w:w="0" w:type="dxa"/>
              <w:left w:w="53" w:type="dxa"/>
              <w:bottom w:w="0" w:type="dxa"/>
              <w:right w:w="53" w:type="dxa"/>
            </w:tcMar>
            <w:vAlign w:val="center"/>
          </w:tcPr>
          <w:p w14:paraId="2F20188A" w14:textId="77777777" w:rsidR="001614AC" w:rsidRDefault="004468F9">
            <w:pPr>
              <w:spacing w:line="288" w:lineRule="auto"/>
              <w:jc w:val="right"/>
              <w:rPr>
                <w:rFonts w:ascii="Arial" w:eastAsia="Arial" w:hAnsi="Arial" w:cs="Arial"/>
                <w:color w:val="668092"/>
                <w:sz w:val="18"/>
              </w:rPr>
            </w:pPr>
            <w:r>
              <w:rPr>
                <w:rFonts w:ascii="Arial" w:eastAsia="Arial" w:hAnsi="Arial" w:cs="Arial"/>
                <w:color w:val="668092"/>
                <w:sz w:val="18"/>
                <w:u w:val="single"/>
              </w:rPr>
              <w:fldChar w:fldCharType="begin"/>
            </w:r>
            <w:r>
              <w:rPr>
                <w:rFonts w:ascii="Arial" w:eastAsia="Arial" w:hAnsi="Arial" w:cs="Arial"/>
                <w:color w:val="668092"/>
                <w:sz w:val="18"/>
                <w:u w:val="single"/>
              </w:rPr>
              <w:instrText xml:space="preserve"> PAGEREF  Section6 \h</w:instrText>
            </w:r>
            <w:r>
              <w:rPr>
                <w:rFonts w:ascii="Arial" w:eastAsia="Arial" w:hAnsi="Arial" w:cs="Arial"/>
                <w:color w:val="668092"/>
                <w:sz w:val="18"/>
                <w:u w:val="single"/>
              </w:rPr>
            </w:r>
            <w:r>
              <w:rPr>
                <w:rFonts w:ascii="Arial" w:eastAsia="Arial" w:hAnsi="Arial" w:cs="Arial"/>
                <w:color w:val="668092"/>
                <w:sz w:val="18"/>
                <w:u w:val="single"/>
              </w:rPr>
              <w:fldChar w:fldCharType="separate"/>
            </w:r>
            <w:r>
              <w:rPr>
                <w:rFonts w:ascii="Arial" w:eastAsia="Arial" w:hAnsi="Arial" w:cs="Arial"/>
                <w:color w:val="668092"/>
                <w:sz w:val="18"/>
                <w:u w:val="single"/>
              </w:rPr>
              <w:t>9</w:t>
            </w:r>
            <w:r>
              <w:rPr>
                <w:rFonts w:ascii="Arial" w:eastAsia="Arial" w:hAnsi="Arial" w:cs="Arial"/>
                <w:color w:val="668092"/>
                <w:sz w:val="18"/>
                <w:u w:val="single"/>
              </w:rPr>
              <w:fldChar w:fldCharType="end"/>
            </w:r>
          </w:p>
        </w:tc>
      </w:tr>
      <w:tr w:rsidR="001614AC" w14:paraId="436C1D64" w14:textId="77777777">
        <w:trPr>
          <w:cantSplit/>
          <w:trHeight w:hRule="exact" w:val="315"/>
        </w:trPr>
        <w:tc>
          <w:tcPr>
            <w:tcW w:w="765" w:type="dxa"/>
            <w:tcBorders>
              <w:top w:val="single" w:sz="8" w:space="0" w:color="F4F4F4"/>
              <w:left w:val="nil"/>
              <w:bottom w:val="single" w:sz="8" w:space="0" w:color="F4F4F4"/>
              <w:right w:val="nil"/>
            </w:tcBorders>
            <w:tcMar>
              <w:top w:w="0" w:type="dxa"/>
              <w:left w:w="53" w:type="dxa"/>
              <w:bottom w:w="0" w:type="dxa"/>
              <w:right w:w="53" w:type="dxa"/>
            </w:tcMar>
            <w:vAlign w:val="center"/>
          </w:tcPr>
          <w:p w14:paraId="092172F8" w14:textId="77777777" w:rsidR="001614AC" w:rsidRDefault="004468F9">
            <w:pPr>
              <w:spacing w:line="288" w:lineRule="auto"/>
            </w:pPr>
            <w:r>
              <w:rPr>
                <w:rFonts w:ascii="Arial" w:eastAsia="Arial" w:hAnsi="Arial" w:cs="Arial"/>
                <w:color w:val="000000"/>
                <w:sz w:val="18"/>
              </w:rPr>
              <w:t>Item 2</w:t>
            </w:r>
          </w:p>
        </w:tc>
        <w:tc>
          <w:tcPr>
            <w:tcW w:w="8550" w:type="dxa"/>
            <w:tcBorders>
              <w:top w:val="single" w:sz="8" w:space="0" w:color="F4F4F4"/>
              <w:left w:val="nil"/>
              <w:bottom w:val="single" w:sz="8" w:space="0" w:color="F4F4F4"/>
              <w:right w:val="nil"/>
            </w:tcBorders>
            <w:tcMar>
              <w:top w:w="0" w:type="dxa"/>
              <w:left w:w="53" w:type="dxa"/>
              <w:bottom w:w="0" w:type="dxa"/>
              <w:right w:w="53" w:type="dxa"/>
            </w:tcMar>
            <w:vAlign w:val="center"/>
          </w:tcPr>
          <w:p w14:paraId="63445A26" w14:textId="77777777" w:rsidR="001614AC" w:rsidRDefault="004468F9">
            <w:pPr>
              <w:spacing w:line="288" w:lineRule="auto"/>
              <w:rPr>
                <w:rFonts w:ascii="Arial" w:eastAsia="Arial" w:hAnsi="Arial" w:cs="Arial"/>
                <w:color w:val="668092"/>
                <w:sz w:val="18"/>
              </w:rPr>
            </w:pPr>
            <w:hyperlink w:anchor="Section29" w:history="1">
              <w:r>
                <w:rPr>
                  <w:rFonts w:ascii="Arial" w:eastAsia="Arial" w:hAnsi="Arial" w:cs="Arial"/>
                  <w:color w:val="668092"/>
                  <w:sz w:val="18"/>
                  <w:u w:val="single"/>
                </w:rPr>
                <w:t>Management’s Discussion and Analysis of Financial Condition and Results of Operations</w:t>
              </w:r>
            </w:hyperlink>
          </w:p>
        </w:tc>
        <w:tc>
          <w:tcPr>
            <w:tcW w:w="765" w:type="dxa"/>
            <w:tcBorders>
              <w:top w:val="single" w:sz="8" w:space="0" w:color="F4F4F4"/>
              <w:left w:val="nil"/>
              <w:bottom w:val="single" w:sz="8" w:space="0" w:color="F4F4F4"/>
              <w:right w:val="nil"/>
            </w:tcBorders>
            <w:tcMar>
              <w:top w:w="0" w:type="dxa"/>
              <w:left w:w="53" w:type="dxa"/>
              <w:bottom w:w="0" w:type="dxa"/>
              <w:right w:w="53" w:type="dxa"/>
            </w:tcMar>
            <w:vAlign w:val="center"/>
          </w:tcPr>
          <w:p w14:paraId="50435DA3" w14:textId="77777777" w:rsidR="001614AC" w:rsidRDefault="004468F9">
            <w:pPr>
              <w:spacing w:line="288" w:lineRule="auto"/>
              <w:jc w:val="right"/>
              <w:rPr>
                <w:rFonts w:ascii="Arial" w:eastAsia="Arial" w:hAnsi="Arial" w:cs="Arial"/>
                <w:color w:val="668092"/>
                <w:sz w:val="18"/>
              </w:rPr>
            </w:pPr>
            <w:r>
              <w:rPr>
                <w:rFonts w:ascii="Arial" w:eastAsia="Arial" w:hAnsi="Arial" w:cs="Arial"/>
                <w:color w:val="668092"/>
                <w:sz w:val="18"/>
                <w:u w:val="single"/>
              </w:rPr>
              <w:fldChar w:fldCharType="begin"/>
            </w:r>
            <w:r>
              <w:rPr>
                <w:rFonts w:ascii="Arial" w:eastAsia="Arial" w:hAnsi="Arial" w:cs="Arial"/>
                <w:color w:val="668092"/>
                <w:sz w:val="18"/>
                <w:u w:val="single"/>
              </w:rPr>
              <w:instrText xml:space="preserve"> PAGEREF  Section29 \h</w:instrText>
            </w:r>
            <w:r>
              <w:rPr>
                <w:rFonts w:ascii="Arial" w:eastAsia="Arial" w:hAnsi="Arial" w:cs="Arial"/>
                <w:color w:val="668092"/>
                <w:sz w:val="18"/>
                <w:u w:val="single"/>
              </w:rPr>
            </w:r>
            <w:r>
              <w:rPr>
                <w:rFonts w:ascii="Arial" w:eastAsia="Arial" w:hAnsi="Arial" w:cs="Arial"/>
                <w:color w:val="668092"/>
                <w:sz w:val="18"/>
                <w:u w:val="single"/>
              </w:rPr>
              <w:fldChar w:fldCharType="separate"/>
            </w:r>
            <w:r>
              <w:rPr>
                <w:rFonts w:ascii="Arial" w:eastAsia="Arial" w:hAnsi="Arial" w:cs="Arial"/>
                <w:color w:val="668092"/>
                <w:sz w:val="18"/>
                <w:u w:val="single"/>
              </w:rPr>
              <w:t>47</w:t>
            </w:r>
            <w:r>
              <w:rPr>
                <w:rFonts w:ascii="Arial" w:eastAsia="Arial" w:hAnsi="Arial" w:cs="Arial"/>
                <w:color w:val="668092"/>
                <w:sz w:val="18"/>
                <w:u w:val="single"/>
              </w:rPr>
              <w:fldChar w:fldCharType="end"/>
            </w:r>
          </w:p>
        </w:tc>
      </w:tr>
      <w:tr w:rsidR="001614AC" w14:paraId="1A98CBF6" w14:textId="77777777">
        <w:trPr>
          <w:cantSplit/>
          <w:trHeight w:hRule="exact" w:val="315"/>
        </w:trPr>
        <w:tc>
          <w:tcPr>
            <w:tcW w:w="765" w:type="dxa"/>
            <w:tcBorders>
              <w:top w:val="single" w:sz="8" w:space="0" w:color="F4F4F4"/>
              <w:left w:val="nil"/>
              <w:bottom w:val="single" w:sz="8" w:space="0" w:color="F4F4F4"/>
              <w:right w:val="nil"/>
            </w:tcBorders>
            <w:tcMar>
              <w:top w:w="0" w:type="dxa"/>
              <w:left w:w="53" w:type="dxa"/>
              <w:bottom w:w="0" w:type="dxa"/>
              <w:right w:w="53" w:type="dxa"/>
            </w:tcMar>
            <w:vAlign w:val="center"/>
          </w:tcPr>
          <w:p w14:paraId="25B063BD" w14:textId="77777777" w:rsidR="001614AC" w:rsidRDefault="004468F9">
            <w:pPr>
              <w:spacing w:line="288" w:lineRule="auto"/>
            </w:pPr>
            <w:r>
              <w:rPr>
                <w:rFonts w:ascii="Arial" w:eastAsia="Arial" w:hAnsi="Arial" w:cs="Arial"/>
                <w:color w:val="000000"/>
                <w:sz w:val="18"/>
              </w:rPr>
              <w:t>Item 3</w:t>
            </w:r>
          </w:p>
        </w:tc>
        <w:tc>
          <w:tcPr>
            <w:tcW w:w="8550" w:type="dxa"/>
            <w:tcBorders>
              <w:top w:val="single" w:sz="8" w:space="0" w:color="F4F4F4"/>
              <w:left w:val="nil"/>
              <w:bottom w:val="single" w:sz="8" w:space="0" w:color="F4F4F4"/>
              <w:right w:val="nil"/>
            </w:tcBorders>
            <w:tcMar>
              <w:top w:w="0" w:type="dxa"/>
              <w:left w:w="53" w:type="dxa"/>
              <w:bottom w:w="0" w:type="dxa"/>
              <w:right w:w="53" w:type="dxa"/>
            </w:tcMar>
            <w:vAlign w:val="center"/>
          </w:tcPr>
          <w:p w14:paraId="7AEF1E67" w14:textId="77777777" w:rsidR="001614AC" w:rsidRDefault="004468F9">
            <w:pPr>
              <w:spacing w:line="288" w:lineRule="auto"/>
              <w:rPr>
                <w:rFonts w:ascii="Arial" w:eastAsia="Arial" w:hAnsi="Arial" w:cs="Arial"/>
                <w:color w:val="668092"/>
                <w:sz w:val="18"/>
              </w:rPr>
            </w:pPr>
            <w:hyperlink w:anchor="Section39" w:history="1">
              <w:r>
                <w:rPr>
                  <w:rFonts w:ascii="Arial" w:eastAsia="Arial" w:hAnsi="Arial" w:cs="Arial"/>
                  <w:color w:val="668092"/>
                  <w:sz w:val="18"/>
                  <w:u w:val="single"/>
                </w:rPr>
                <w:t>Quantitative and Qualitative Disclosures About Market Risk</w:t>
              </w:r>
            </w:hyperlink>
          </w:p>
        </w:tc>
        <w:tc>
          <w:tcPr>
            <w:tcW w:w="765" w:type="dxa"/>
            <w:tcBorders>
              <w:top w:val="single" w:sz="8" w:space="0" w:color="F4F4F4"/>
              <w:left w:val="nil"/>
              <w:bottom w:val="single" w:sz="8" w:space="0" w:color="F4F4F4"/>
              <w:right w:val="nil"/>
            </w:tcBorders>
            <w:tcMar>
              <w:top w:w="0" w:type="dxa"/>
              <w:left w:w="53" w:type="dxa"/>
              <w:bottom w:w="0" w:type="dxa"/>
              <w:right w:w="53" w:type="dxa"/>
            </w:tcMar>
            <w:vAlign w:val="center"/>
          </w:tcPr>
          <w:p w14:paraId="426E3FF7" w14:textId="77777777" w:rsidR="001614AC" w:rsidRDefault="004468F9">
            <w:pPr>
              <w:spacing w:line="288" w:lineRule="auto"/>
              <w:jc w:val="right"/>
              <w:rPr>
                <w:rFonts w:ascii="Arial" w:eastAsia="Arial" w:hAnsi="Arial" w:cs="Arial"/>
                <w:color w:val="668092"/>
                <w:sz w:val="18"/>
              </w:rPr>
            </w:pPr>
            <w:r>
              <w:rPr>
                <w:rFonts w:ascii="Arial" w:eastAsia="Arial" w:hAnsi="Arial" w:cs="Arial"/>
                <w:color w:val="668092"/>
                <w:sz w:val="18"/>
                <w:u w:val="single"/>
              </w:rPr>
              <w:fldChar w:fldCharType="begin"/>
            </w:r>
            <w:r>
              <w:rPr>
                <w:rFonts w:ascii="Arial" w:eastAsia="Arial" w:hAnsi="Arial" w:cs="Arial"/>
                <w:color w:val="668092"/>
                <w:sz w:val="18"/>
                <w:u w:val="single"/>
              </w:rPr>
              <w:instrText xml:space="preserve"> PAGEREF  Section39 \h</w:instrText>
            </w:r>
            <w:r>
              <w:rPr>
                <w:rFonts w:ascii="Arial" w:eastAsia="Arial" w:hAnsi="Arial" w:cs="Arial"/>
                <w:color w:val="668092"/>
                <w:sz w:val="18"/>
                <w:u w:val="single"/>
              </w:rPr>
            </w:r>
            <w:r>
              <w:rPr>
                <w:rFonts w:ascii="Arial" w:eastAsia="Arial" w:hAnsi="Arial" w:cs="Arial"/>
                <w:color w:val="668092"/>
                <w:sz w:val="18"/>
                <w:u w:val="single"/>
              </w:rPr>
              <w:fldChar w:fldCharType="separate"/>
            </w:r>
            <w:r>
              <w:rPr>
                <w:rFonts w:ascii="Arial" w:eastAsia="Arial" w:hAnsi="Arial" w:cs="Arial"/>
                <w:color w:val="668092"/>
                <w:sz w:val="18"/>
                <w:u w:val="single"/>
              </w:rPr>
              <w:t>72</w:t>
            </w:r>
            <w:r>
              <w:rPr>
                <w:rFonts w:ascii="Arial" w:eastAsia="Arial" w:hAnsi="Arial" w:cs="Arial"/>
                <w:color w:val="668092"/>
                <w:sz w:val="18"/>
                <w:u w:val="single"/>
              </w:rPr>
              <w:fldChar w:fldCharType="end"/>
            </w:r>
          </w:p>
        </w:tc>
      </w:tr>
      <w:tr w:rsidR="001614AC" w14:paraId="474703ED" w14:textId="77777777">
        <w:trPr>
          <w:cantSplit/>
          <w:trHeight w:hRule="exact" w:val="315"/>
        </w:trPr>
        <w:tc>
          <w:tcPr>
            <w:tcW w:w="765" w:type="dxa"/>
            <w:tcBorders>
              <w:top w:val="single" w:sz="8" w:space="0" w:color="F4F4F4"/>
              <w:left w:val="nil"/>
              <w:bottom w:val="single" w:sz="8" w:space="0" w:color="F4F4F4"/>
              <w:right w:val="nil"/>
            </w:tcBorders>
            <w:tcMar>
              <w:top w:w="0" w:type="dxa"/>
              <w:left w:w="53" w:type="dxa"/>
              <w:bottom w:w="0" w:type="dxa"/>
              <w:right w:w="53" w:type="dxa"/>
            </w:tcMar>
            <w:vAlign w:val="center"/>
          </w:tcPr>
          <w:p w14:paraId="72D55F0D" w14:textId="77777777" w:rsidR="001614AC" w:rsidRDefault="004468F9">
            <w:pPr>
              <w:spacing w:line="288" w:lineRule="auto"/>
            </w:pPr>
            <w:r>
              <w:rPr>
                <w:rFonts w:ascii="Arial" w:eastAsia="Arial" w:hAnsi="Arial" w:cs="Arial"/>
                <w:color w:val="000000"/>
                <w:sz w:val="18"/>
              </w:rPr>
              <w:t>Item 4</w:t>
            </w:r>
          </w:p>
        </w:tc>
        <w:tc>
          <w:tcPr>
            <w:tcW w:w="8550" w:type="dxa"/>
            <w:tcBorders>
              <w:top w:val="single" w:sz="8" w:space="0" w:color="F4F4F4"/>
              <w:left w:val="nil"/>
              <w:bottom w:val="single" w:sz="8" w:space="0" w:color="F4F4F4"/>
              <w:right w:val="nil"/>
            </w:tcBorders>
            <w:tcMar>
              <w:top w:w="0" w:type="dxa"/>
              <w:left w:w="53" w:type="dxa"/>
              <w:bottom w:w="0" w:type="dxa"/>
              <w:right w:w="53" w:type="dxa"/>
            </w:tcMar>
            <w:vAlign w:val="center"/>
          </w:tcPr>
          <w:p w14:paraId="7EAC68E2" w14:textId="77777777" w:rsidR="001614AC" w:rsidRDefault="004468F9">
            <w:pPr>
              <w:spacing w:line="288" w:lineRule="auto"/>
              <w:rPr>
                <w:rFonts w:ascii="Arial" w:eastAsia="Arial" w:hAnsi="Arial" w:cs="Arial"/>
                <w:color w:val="668092"/>
                <w:sz w:val="18"/>
              </w:rPr>
            </w:pPr>
            <w:hyperlink w:anchor="Section40" w:history="1">
              <w:r>
                <w:rPr>
                  <w:rFonts w:ascii="Arial" w:eastAsia="Arial" w:hAnsi="Arial" w:cs="Arial"/>
                  <w:color w:val="668092"/>
                  <w:sz w:val="18"/>
                  <w:u w:val="single"/>
                </w:rPr>
                <w:t>Controls and Procedures</w:t>
              </w:r>
            </w:hyperlink>
          </w:p>
        </w:tc>
        <w:tc>
          <w:tcPr>
            <w:tcW w:w="765" w:type="dxa"/>
            <w:tcBorders>
              <w:top w:val="single" w:sz="8" w:space="0" w:color="F4F4F4"/>
              <w:left w:val="nil"/>
              <w:bottom w:val="single" w:sz="8" w:space="0" w:color="F4F4F4"/>
              <w:right w:val="nil"/>
            </w:tcBorders>
            <w:tcMar>
              <w:top w:w="0" w:type="dxa"/>
              <w:left w:w="53" w:type="dxa"/>
              <w:bottom w:w="0" w:type="dxa"/>
              <w:right w:w="53" w:type="dxa"/>
            </w:tcMar>
            <w:vAlign w:val="center"/>
          </w:tcPr>
          <w:p w14:paraId="3740AD59" w14:textId="77777777" w:rsidR="001614AC" w:rsidRDefault="004468F9">
            <w:pPr>
              <w:spacing w:line="288" w:lineRule="auto"/>
              <w:jc w:val="right"/>
              <w:rPr>
                <w:rFonts w:ascii="Arial" w:eastAsia="Arial" w:hAnsi="Arial" w:cs="Arial"/>
                <w:color w:val="668092"/>
                <w:sz w:val="18"/>
              </w:rPr>
            </w:pPr>
            <w:r>
              <w:rPr>
                <w:rFonts w:ascii="Arial" w:eastAsia="Arial" w:hAnsi="Arial" w:cs="Arial"/>
                <w:color w:val="668092"/>
                <w:sz w:val="18"/>
                <w:u w:val="single"/>
              </w:rPr>
              <w:fldChar w:fldCharType="begin"/>
            </w:r>
            <w:r>
              <w:rPr>
                <w:rFonts w:ascii="Arial" w:eastAsia="Arial" w:hAnsi="Arial" w:cs="Arial"/>
                <w:color w:val="668092"/>
                <w:sz w:val="18"/>
                <w:u w:val="single"/>
              </w:rPr>
              <w:instrText xml:space="preserve"> PAGEREF  Section40 \h</w:instrText>
            </w:r>
            <w:r>
              <w:rPr>
                <w:rFonts w:ascii="Arial" w:eastAsia="Arial" w:hAnsi="Arial" w:cs="Arial"/>
                <w:color w:val="668092"/>
                <w:sz w:val="18"/>
                <w:u w:val="single"/>
              </w:rPr>
            </w:r>
            <w:r>
              <w:rPr>
                <w:rFonts w:ascii="Arial" w:eastAsia="Arial" w:hAnsi="Arial" w:cs="Arial"/>
                <w:color w:val="668092"/>
                <w:sz w:val="18"/>
                <w:u w:val="single"/>
              </w:rPr>
              <w:fldChar w:fldCharType="separate"/>
            </w:r>
            <w:r>
              <w:rPr>
                <w:rFonts w:ascii="Arial" w:eastAsia="Arial" w:hAnsi="Arial" w:cs="Arial"/>
                <w:color w:val="668092"/>
                <w:sz w:val="18"/>
                <w:u w:val="single"/>
              </w:rPr>
              <w:t>73</w:t>
            </w:r>
            <w:r>
              <w:rPr>
                <w:rFonts w:ascii="Arial" w:eastAsia="Arial" w:hAnsi="Arial" w:cs="Arial"/>
                <w:color w:val="668092"/>
                <w:sz w:val="18"/>
                <w:u w:val="single"/>
              </w:rPr>
              <w:fldChar w:fldCharType="end"/>
            </w:r>
          </w:p>
        </w:tc>
      </w:tr>
      <w:tr w:rsidR="001614AC" w14:paraId="71889BCA" w14:textId="77777777">
        <w:trPr>
          <w:cantSplit/>
          <w:trHeight w:hRule="exact" w:val="315"/>
        </w:trPr>
        <w:tc>
          <w:tcPr>
            <w:tcW w:w="765" w:type="dxa"/>
            <w:tcBorders>
              <w:top w:val="single" w:sz="8" w:space="0" w:color="F4F4F4"/>
              <w:left w:val="nil"/>
              <w:bottom w:val="nil"/>
              <w:right w:val="nil"/>
            </w:tcBorders>
            <w:tcMar>
              <w:top w:w="0" w:type="dxa"/>
              <w:left w:w="0" w:type="dxa"/>
              <w:bottom w:w="0" w:type="dxa"/>
              <w:right w:w="0" w:type="dxa"/>
            </w:tcMar>
            <w:vAlign w:val="bottom"/>
          </w:tcPr>
          <w:p w14:paraId="0A6E77B6" w14:textId="77777777" w:rsidR="001614AC" w:rsidRDefault="001614AC"/>
        </w:tc>
        <w:tc>
          <w:tcPr>
            <w:tcW w:w="8550" w:type="dxa"/>
            <w:tcBorders>
              <w:top w:val="single" w:sz="8" w:space="0" w:color="F4F4F4"/>
              <w:left w:val="nil"/>
              <w:bottom w:val="nil"/>
              <w:right w:val="nil"/>
            </w:tcBorders>
            <w:tcMar>
              <w:top w:w="0" w:type="dxa"/>
              <w:left w:w="0" w:type="dxa"/>
              <w:bottom w:w="0" w:type="dxa"/>
              <w:right w:w="0" w:type="dxa"/>
            </w:tcMar>
            <w:vAlign w:val="bottom"/>
          </w:tcPr>
          <w:p w14:paraId="4AF34813" w14:textId="77777777" w:rsidR="001614AC" w:rsidRDefault="001614AC"/>
        </w:tc>
        <w:tc>
          <w:tcPr>
            <w:tcW w:w="765" w:type="dxa"/>
            <w:tcBorders>
              <w:top w:val="single" w:sz="8" w:space="0" w:color="F4F4F4"/>
              <w:left w:val="nil"/>
              <w:bottom w:val="nil"/>
              <w:right w:val="nil"/>
            </w:tcBorders>
            <w:tcMar>
              <w:top w:w="0" w:type="dxa"/>
              <w:left w:w="0" w:type="dxa"/>
              <w:bottom w:w="0" w:type="dxa"/>
              <w:right w:w="0" w:type="dxa"/>
            </w:tcMar>
            <w:vAlign w:val="bottom"/>
          </w:tcPr>
          <w:p w14:paraId="7220DB43" w14:textId="77777777" w:rsidR="001614AC" w:rsidRDefault="001614AC"/>
        </w:tc>
      </w:tr>
      <w:tr w:rsidR="001614AC" w14:paraId="28988329" w14:textId="77777777">
        <w:trPr>
          <w:cantSplit/>
          <w:trHeight w:hRule="exact" w:val="315"/>
        </w:trPr>
        <w:tc>
          <w:tcPr>
            <w:tcW w:w="9315" w:type="dxa"/>
            <w:gridSpan w:val="2"/>
            <w:tcBorders>
              <w:top w:val="nil"/>
              <w:left w:val="nil"/>
              <w:bottom w:val="nil"/>
              <w:right w:val="nil"/>
            </w:tcBorders>
            <w:shd w:val="clear" w:color="auto" w:fill="F4F4F4"/>
            <w:tcMar>
              <w:top w:w="0" w:type="dxa"/>
              <w:left w:w="53" w:type="dxa"/>
              <w:bottom w:w="0" w:type="dxa"/>
              <w:right w:w="53" w:type="dxa"/>
            </w:tcMar>
            <w:vAlign w:val="center"/>
          </w:tcPr>
          <w:p w14:paraId="20CD775E" w14:textId="77777777" w:rsidR="001614AC" w:rsidRDefault="004468F9">
            <w:pPr>
              <w:spacing w:line="288" w:lineRule="auto"/>
            </w:pPr>
            <w:r>
              <w:rPr>
                <w:rFonts w:ascii="Arial" w:eastAsia="Arial" w:hAnsi="Arial" w:cs="Arial"/>
                <w:b/>
                <w:color w:val="00BAB3"/>
                <w:sz w:val="18"/>
              </w:rPr>
              <w:t>PART II—OTHER INFORMATION</w:t>
            </w:r>
          </w:p>
        </w:tc>
        <w:tc>
          <w:tcPr>
            <w:tcW w:w="765" w:type="dxa"/>
            <w:tcBorders>
              <w:top w:val="nil"/>
              <w:left w:val="nil"/>
              <w:bottom w:val="nil"/>
              <w:right w:val="nil"/>
            </w:tcBorders>
            <w:shd w:val="clear" w:color="auto" w:fill="F4F4F4"/>
            <w:tcMar>
              <w:top w:w="0" w:type="dxa"/>
              <w:left w:w="0" w:type="dxa"/>
              <w:bottom w:w="0" w:type="dxa"/>
              <w:right w:w="0" w:type="dxa"/>
            </w:tcMar>
            <w:vAlign w:val="bottom"/>
          </w:tcPr>
          <w:p w14:paraId="056902AE" w14:textId="77777777" w:rsidR="001614AC" w:rsidRDefault="001614AC"/>
        </w:tc>
      </w:tr>
      <w:tr w:rsidR="001614AC" w14:paraId="695DB160" w14:textId="77777777">
        <w:trPr>
          <w:cantSplit/>
          <w:trHeight w:hRule="exact" w:val="315"/>
        </w:trPr>
        <w:tc>
          <w:tcPr>
            <w:tcW w:w="765" w:type="dxa"/>
            <w:tcBorders>
              <w:top w:val="nil"/>
              <w:left w:val="nil"/>
              <w:bottom w:val="single" w:sz="8" w:space="0" w:color="F4F4F4"/>
              <w:right w:val="nil"/>
            </w:tcBorders>
            <w:tcMar>
              <w:top w:w="0" w:type="dxa"/>
              <w:left w:w="53" w:type="dxa"/>
              <w:bottom w:w="0" w:type="dxa"/>
              <w:right w:w="53" w:type="dxa"/>
            </w:tcMar>
            <w:vAlign w:val="center"/>
          </w:tcPr>
          <w:p w14:paraId="7DEC8D57" w14:textId="77777777" w:rsidR="001614AC" w:rsidRDefault="004468F9">
            <w:pPr>
              <w:spacing w:line="288" w:lineRule="auto"/>
            </w:pPr>
            <w:r>
              <w:rPr>
                <w:rFonts w:ascii="Arial" w:eastAsia="Arial" w:hAnsi="Arial" w:cs="Arial"/>
                <w:color w:val="000000"/>
                <w:sz w:val="18"/>
              </w:rPr>
              <w:t>Item 1</w:t>
            </w:r>
          </w:p>
        </w:tc>
        <w:tc>
          <w:tcPr>
            <w:tcW w:w="8550" w:type="dxa"/>
            <w:tcBorders>
              <w:top w:val="nil"/>
              <w:left w:val="nil"/>
              <w:bottom w:val="single" w:sz="8" w:space="0" w:color="F4F4F4"/>
              <w:right w:val="nil"/>
            </w:tcBorders>
            <w:tcMar>
              <w:top w:w="0" w:type="dxa"/>
              <w:left w:w="53" w:type="dxa"/>
              <w:bottom w:w="0" w:type="dxa"/>
              <w:right w:w="53" w:type="dxa"/>
            </w:tcMar>
            <w:vAlign w:val="center"/>
          </w:tcPr>
          <w:p w14:paraId="76F72D73" w14:textId="77777777" w:rsidR="001614AC" w:rsidRDefault="004468F9">
            <w:pPr>
              <w:spacing w:line="288" w:lineRule="auto"/>
              <w:rPr>
                <w:rFonts w:ascii="Arial" w:eastAsia="Arial" w:hAnsi="Arial" w:cs="Arial"/>
                <w:color w:val="668092"/>
                <w:sz w:val="18"/>
              </w:rPr>
            </w:pPr>
            <w:hyperlink w:anchor="Section42" w:history="1">
              <w:r>
                <w:rPr>
                  <w:rFonts w:ascii="Arial" w:eastAsia="Arial" w:hAnsi="Arial" w:cs="Arial"/>
                  <w:color w:val="668092"/>
                  <w:sz w:val="18"/>
                  <w:u w:val="single"/>
                </w:rPr>
                <w:t>Legal Proceedings</w:t>
              </w:r>
            </w:hyperlink>
          </w:p>
        </w:tc>
        <w:tc>
          <w:tcPr>
            <w:tcW w:w="765" w:type="dxa"/>
            <w:tcBorders>
              <w:top w:val="nil"/>
              <w:left w:val="nil"/>
              <w:bottom w:val="single" w:sz="8" w:space="0" w:color="F4F4F4"/>
              <w:right w:val="nil"/>
            </w:tcBorders>
            <w:tcMar>
              <w:top w:w="0" w:type="dxa"/>
              <w:left w:w="53" w:type="dxa"/>
              <w:bottom w:w="0" w:type="dxa"/>
              <w:right w:w="53" w:type="dxa"/>
            </w:tcMar>
            <w:vAlign w:val="center"/>
          </w:tcPr>
          <w:p w14:paraId="039795E2" w14:textId="77777777" w:rsidR="001614AC" w:rsidRDefault="004468F9">
            <w:pPr>
              <w:spacing w:line="288" w:lineRule="auto"/>
              <w:jc w:val="right"/>
              <w:rPr>
                <w:rFonts w:ascii="Arial" w:eastAsia="Arial" w:hAnsi="Arial" w:cs="Arial"/>
                <w:color w:val="668092"/>
                <w:sz w:val="18"/>
              </w:rPr>
            </w:pPr>
            <w:r>
              <w:rPr>
                <w:rFonts w:ascii="Arial" w:eastAsia="Arial" w:hAnsi="Arial" w:cs="Arial"/>
                <w:color w:val="668092"/>
                <w:sz w:val="18"/>
                <w:u w:val="single"/>
              </w:rPr>
              <w:fldChar w:fldCharType="begin"/>
            </w:r>
            <w:r>
              <w:rPr>
                <w:rFonts w:ascii="Arial" w:eastAsia="Arial" w:hAnsi="Arial" w:cs="Arial"/>
                <w:color w:val="668092"/>
                <w:sz w:val="18"/>
                <w:u w:val="single"/>
              </w:rPr>
              <w:instrText xml:space="preserve"> PAGEREF  Section42 \h</w:instrText>
            </w:r>
            <w:r>
              <w:rPr>
                <w:rFonts w:ascii="Arial" w:eastAsia="Arial" w:hAnsi="Arial" w:cs="Arial"/>
                <w:color w:val="668092"/>
                <w:sz w:val="18"/>
                <w:u w:val="single"/>
              </w:rPr>
            </w:r>
            <w:r>
              <w:rPr>
                <w:rFonts w:ascii="Arial" w:eastAsia="Arial" w:hAnsi="Arial" w:cs="Arial"/>
                <w:color w:val="668092"/>
                <w:sz w:val="18"/>
                <w:u w:val="single"/>
              </w:rPr>
              <w:fldChar w:fldCharType="separate"/>
            </w:r>
            <w:r>
              <w:rPr>
                <w:rFonts w:ascii="Arial" w:eastAsia="Arial" w:hAnsi="Arial" w:cs="Arial"/>
                <w:color w:val="668092"/>
                <w:sz w:val="18"/>
                <w:u w:val="single"/>
              </w:rPr>
              <w:t>74</w:t>
            </w:r>
            <w:r>
              <w:rPr>
                <w:rFonts w:ascii="Arial" w:eastAsia="Arial" w:hAnsi="Arial" w:cs="Arial"/>
                <w:color w:val="668092"/>
                <w:sz w:val="18"/>
                <w:u w:val="single"/>
              </w:rPr>
              <w:fldChar w:fldCharType="end"/>
            </w:r>
          </w:p>
        </w:tc>
      </w:tr>
      <w:tr w:rsidR="001614AC" w14:paraId="6B1F2F9F" w14:textId="77777777">
        <w:trPr>
          <w:cantSplit/>
          <w:trHeight w:hRule="exact" w:val="315"/>
        </w:trPr>
        <w:tc>
          <w:tcPr>
            <w:tcW w:w="765" w:type="dxa"/>
            <w:tcBorders>
              <w:top w:val="single" w:sz="8" w:space="0" w:color="F4F4F4"/>
              <w:left w:val="nil"/>
              <w:bottom w:val="single" w:sz="8" w:space="0" w:color="F4F4F4"/>
              <w:right w:val="nil"/>
            </w:tcBorders>
            <w:tcMar>
              <w:top w:w="0" w:type="dxa"/>
              <w:left w:w="53" w:type="dxa"/>
              <w:bottom w:w="0" w:type="dxa"/>
              <w:right w:w="53" w:type="dxa"/>
            </w:tcMar>
            <w:vAlign w:val="center"/>
          </w:tcPr>
          <w:p w14:paraId="4A6AAB82" w14:textId="77777777" w:rsidR="001614AC" w:rsidRDefault="004468F9">
            <w:pPr>
              <w:spacing w:line="288" w:lineRule="auto"/>
            </w:pPr>
            <w:r>
              <w:rPr>
                <w:rFonts w:ascii="Arial" w:eastAsia="Arial" w:hAnsi="Arial" w:cs="Arial"/>
                <w:color w:val="000000"/>
                <w:sz w:val="18"/>
              </w:rPr>
              <w:t>Item 1A</w:t>
            </w:r>
          </w:p>
        </w:tc>
        <w:tc>
          <w:tcPr>
            <w:tcW w:w="8550" w:type="dxa"/>
            <w:tcBorders>
              <w:top w:val="single" w:sz="8" w:space="0" w:color="F4F4F4"/>
              <w:left w:val="nil"/>
              <w:bottom w:val="single" w:sz="8" w:space="0" w:color="F4F4F4"/>
              <w:right w:val="nil"/>
            </w:tcBorders>
            <w:tcMar>
              <w:top w:w="0" w:type="dxa"/>
              <w:left w:w="53" w:type="dxa"/>
              <w:bottom w:w="0" w:type="dxa"/>
              <w:right w:w="53" w:type="dxa"/>
            </w:tcMar>
            <w:vAlign w:val="center"/>
          </w:tcPr>
          <w:p w14:paraId="794268D3" w14:textId="77777777" w:rsidR="001614AC" w:rsidRDefault="004468F9">
            <w:pPr>
              <w:spacing w:line="288" w:lineRule="auto"/>
              <w:rPr>
                <w:rFonts w:ascii="Arial" w:eastAsia="Arial" w:hAnsi="Arial" w:cs="Arial"/>
                <w:color w:val="668092"/>
                <w:sz w:val="18"/>
              </w:rPr>
            </w:pPr>
            <w:hyperlink w:anchor="Section43" w:history="1">
              <w:r>
                <w:rPr>
                  <w:rFonts w:ascii="Arial" w:eastAsia="Arial" w:hAnsi="Arial" w:cs="Arial"/>
                  <w:color w:val="668092"/>
                  <w:sz w:val="18"/>
                  <w:u w:val="single"/>
                </w:rPr>
                <w:t>Risk Factors</w:t>
              </w:r>
            </w:hyperlink>
          </w:p>
        </w:tc>
        <w:tc>
          <w:tcPr>
            <w:tcW w:w="765" w:type="dxa"/>
            <w:tcBorders>
              <w:top w:val="single" w:sz="8" w:space="0" w:color="F4F4F4"/>
              <w:left w:val="nil"/>
              <w:bottom w:val="single" w:sz="8" w:space="0" w:color="F4F4F4"/>
              <w:right w:val="nil"/>
            </w:tcBorders>
            <w:tcMar>
              <w:top w:w="0" w:type="dxa"/>
              <w:left w:w="53" w:type="dxa"/>
              <w:bottom w:w="0" w:type="dxa"/>
              <w:right w:w="53" w:type="dxa"/>
            </w:tcMar>
            <w:vAlign w:val="center"/>
          </w:tcPr>
          <w:p w14:paraId="03BC5540" w14:textId="77777777" w:rsidR="001614AC" w:rsidRDefault="004468F9">
            <w:pPr>
              <w:spacing w:line="288" w:lineRule="auto"/>
              <w:jc w:val="right"/>
              <w:rPr>
                <w:rFonts w:ascii="Arial" w:eastAsia="Arial" w:hAnsi="Arial" w:cs="Arial"/>
                <w:color w:val="668092"/>
                <w:sz w:val="18"/>
              </w:rPr>
            </w:pPr>
            <w:r>
              <w:rPr>
                <w:rFonts w:ascii="Arial" w:eastAsia="Arial" w:hAnsi="Arial" w:cs="Arial"/>
                <w:color w:val="668092"/>
                <w:sz w:val="18"/>
                <w:u w:val="single"/>
              </w:rPr>
              <w:fldChar w:fldCharType="begin"/>
            </w:r>
            <w:r>
              <w:rPr>
                <w:rFonts w:ascii="Arial" w:eastAsia="Arial" w:hAnsi="Arial" w:cs="Arial"/>
                <w:color w:val="668092"/>
                <w:sz w:val="18"/>
                <w:u w:val="single"/>
              </w:rPr>
              <w:instrText xml:space="preserve"> PAGEREF  Section43 \h</w:instrText>
            </w:r>
            <w:r>
              <w:rPr>
                <w:rFonts w:ascii="Arial" w:eastAsia="Arial" w:hAnsi="Arial" w:cs="Arial"/>
                <w:color w:val="668092"/>
                <w:sz w:val="18"/>
                <w:u w:val="single"/>
              </w:rPr>
            </w:r>
            <w:r>
              <w:rPr>
                <w:rFonts w:ascii="Arial" w:eastAsia="Arial" w:hAnsi="Arial" w:cs="Arial"/>
                <w:color w:val="668092"/>
                <w:sz w:val="18"/>
                <w:u w:val="single"/>
              </w:rPr>
              <w:fldChar w:fldCharType="separate"/>
            </w:r>
            <w:r>
              <w:rPr>
                <w:rFonts w:ascii="Arial" w:eastAsia="Arial" w:hAnsi="Arial" w:cs="Arial"/>
                <w:color w:val="668092"/>
                <w:sz w:val="18"/>
                <w:u w:val="single"/>
              </w:rPr>
              <w:t>74</w:t>
            </w:r>
            <w:r>
              <w:rPr>
                <w:rFonts w:ascii="Arial" w:eastAsia="Arial" w:hAnsi="Arial" w:cs="Arial"/>
                <w:color w:val="668092"/>
                <w:sz w:val="18"/>
                <w:u w:val="single"/>
              </w:rPr>
              <w:fldChar w:fldCharType="end"/>
            </w:r>
          </w:p>
        </w:tc>
      </w:tr>
      <w:tr w:rsidR="001614AC" w14:paraId="18D76A85" w14:textId="77777777">
        <w:trPr>
          <w:cantSplit/>
          <w:trHeight w:hRule="exact" w:val="315"/>
        </w:trPr>
        <w:tc>
          <w:tcPr>
            <w:tcW w:w="765" w:type="dxa"/>
            <w:tcBorders>
              <w:top w:val="single" w:sz="8" w:space="0" w:color="F4F4F4"/>
              <w:left w:val="nil"/>
              <w:bottom w:val="single" w:sz="8" w:space="0" w:color="F4F4F4"/>
              <w:right w:val="nil"/>
            </w:tcBorders>
            <w:tcMar>
              <w:top w:w="0" w:type="dxa"/>
              <w:left w:w="53" w:type="dxa"/>
              <w:bottom w:w="0" w:type="dxa"/>
              <w:right w:w="53" w:type="dxa"/>
            </w:tcMar>
            <w:vAlign w:val="center"/>
          </w:tcPr>
          <w:p w14:paraId="2672C985" w14:textId="77777777" w:rsidR="001614AC" w:rsidRDefault="004468F9">
            <w:pPr>
              <w:spacing w:line="288" w:lineRule="auto"/>
            </w:pPr>
            <w:r>
              <w:rPr>
                <w:rFonts w:ascii="Arial" w:eastAsia="Arial" w:hAnsi="Arial" w:cs="Arial"/>
                <w:color w:val="000000"/>
                <w:sz w:val="18"/>
              </w:rPr>
              <w:t>Item 2</w:t>
            </w:r>
          </w:p>
        </w:tc>
        <w:tc>
          <w:tcPr>
            <w:tcW w:w="8550" w:type="dxa"/>
            <w:tcBorders>
              <w:top w:val="single" w:sz="8" w:space="0" w:color="F4F4F4"/>
              <w:left w:val="nil"/>
              <w:bottom w:val="single" w:sz="8" w:space="0" w:color="F4F4F4"/>
              <w:right w:val="nil"/>
            </w:tcBorders>
            <w:tcMar>
              <w:top w:w="0" w:type="dxa"/>
              <w:left w:w="53" w:type="dxa"/>
              <w:bottom w:w="0" w:type="dxa"/>
              <w:right w:w="53" w:type="dxa"/>
            </w:tcMar>
            <w:vAlign w:val="center"/>
          </w:tcPr>
          <w:p w14:paraId="1CA9B661" w14:textId="77777777" w:rsidR="001614AC" w:rsidRDefault="004468F9">
            <w:pPr>
              <w:spacing w:line="288" w:lineRule="auto"/>
              <w:rPr>
                <w:rFonts w:ascii="Arial" w:eastAsia="Arial" w:hAnsi="Arial" w:cs="Arial"/>
                <w:color w:val="668092"/>
                <w:sz w:val="18"/>
              </w:rPr>
            </w:pPr>
            <w:hyperlink w:anchor="Section44" w:history="1">
              <w:r>
                <w:rPr>
                  <w:rFonts w:ascii="Arial" w:eastAsia="Arial" w:hAnsi="Arial" w:cs="Arial"/>
                  <w:color w:val="668092"/>
                  <w:sz w:val="18"/>
                  <w:u w:val="single"/>
                </w:rPr>
                <w:t>Unregistered Sales of Equity Securities and Use of Proceeds</w:t>
              </w:r>
            </w:hyperlink>
          </w:p>
        </w:tc>
        <w:tc>
          <w:tcPr>
            <w:tcW w:w="765" w:type="dxa"/>
            <w:tcBorders>
              <w:top w:val="single" w:sz="8" w:space="0" w:color="F4F4F4"/>
              <w:left w:val="nil"/>
              <w:bottom w:val="single" w:sz="8" w:space="0" w:color="F4F4F4"/>
              <w:right w:val="nil"/>
            </w:tcBorders>
            <w:tcMar>
              <w:top w:w="0" w:type="dxa"/>
              <w:left w:w="53" w:type="dxa"/>
              <w:bottom w:w="0" w:type="dxa"/>
              <w:right w:w="53" w:type="dxa"/>
            </w:tcMar>
            <w:vAlign w:val="center"/>
          </w:tcPr>
          <w:p w14:paraId="35C67085" w14:textId="77777777" w:rsidR="001614AC" w:rsidRDefault="004468F9">
            <w:pPr>
              <w:spacing w:line="288" w:lineRule="auto"/>
              <w:jc w:val="right"/>
              <w:rPr>
                <w:rFonts w:ascii="Arial" w:eastAsia="Arial" w:hAnsi="Arial" w:cs="Arial"/>
                <w:color w:val="668092"/>
                <w:sz w:val="18"/>
              </w:rPr>
            </w:pPr>
            <w:r>
              <w:rPr>
                <w:rFonts w:ascii="Arial" w:eastAsia="Arial" w:hAnsi="Arial" w:cs="Arial"/>
                <w:color w:val="668092"/>
                <w:sz w:val="18"/>
                <w:u w:val="single"/>
              </w:rPr>
              <w:fldChar w:fldCharType="begin"/>
            </w:r>
            <w:r>
              <w:rPr>
                <w:rFonts w:ascii="Arial" w:eastAsia="Arial" w:hAnsi="Arial" w:cs="Arial"/>
                <w:color w:val="668092"/>
                <w:sz w:val="18"/>
                <w:u w:val="single"/>
              </w:rPr>
              <w:instrText xml:space="preserve"> PAGEREF  Section44 \h</w:instrText>
            </w:r>
            <w:r>
              <w:rPr>
                <w:rFonts w:ascii="Arial" w:eastAsia="Arial" w:hAnsi="Arial" w:cs="Arial"/>
                <w:color w:val="668092"/>
                <w:sz w:val="18"/>
                <w:u w:val="single"/>
              </w:rPr>
            </w:r>
            <w:r>
              <w:rPr>
                <w:rFonts w:ascii="Arial" w:eastAsia="Arial" w:hAnsi="Arial" w:cs="Arial"/>
                <w:color w:val="668092"/>
                <w:sz w:val="18"/>
                <w:u w:val="single"/>
              </w:rPr>
              <w:fldChar w:fldCharType="separate"/>
            </w:r>
            <w:r>
              <w:rPr>
                <w:rFonts w:ascii="Arial" w:eastAsia="Arial" w:hAnsi="Arial" w:cs="Arial"/>
                <w:color w:val="668092"/>
                <w:sz w:val="18"/>
                <w:u w:val="single"/>
              </w:rPr>
              <w:t>74</w:t>
            </w:r>
            <w:r>
              <w:rPr>
                <w:rFonts w:ascii="Arial" w:eastAsia="Arial" w:hAnsi="Arial" w:cs="Arial"/>
                <w:color w:val="668092"/>
                <w:sz w:val="18"/>
                <w:u w:val="single"/>
              </w:rPr>
              <w:fldChar w:fldCharType="end"/>
            </w:r>
          </w:p>
        </w:tc>
      </w:tr>
      <w:tr w:rsidR="001614AC" w14:paraId="3C3C6259" w14:textId="77777777">
        <w:trPr>
          <w:cantSplit/>
          <w:trHeight w:hRule="exact" w:val="315"/>
        </w:trPr>
        <w:tc>
          <w:tcPr>
            <w:tcW w:w="765" w:type="dxa"/>
            <w:tcBorders>
              <w:top w:val="single" w:sz="8" w:space="0" w:color="F4F4F4"/>
              <w:left w:val="nil"/>
              <w:bottom w:val="single" w:sz="8" w:space="0" w:color="F4F4F4"/>
              <w:right w:val="nil"/>
            </w:tcBorders>
            <w:tcMar>
              <w:top w:w="0" w:type="dxa"/>
              <w:left w:w="53" w:type="dxa"/>
              <w:bottom w:w="0" w:type="dxa"/>
              <w:right w:w="53" w:type="dxa"/>
            </w:tcMar>
            <w:vAlign w:val="center"/>
          </w:tcPr>
          <w:p w14:paraId="1B1E3FBE" w14:textId="77777777" w:rsidR="001614AC" w:rsidRDefault="004468F9">
            <w:pPr>
              <w:spacing w:line="288" w:lineRule="auto"/>
            </w:pPr>
            <w:r>
              <w:rPr>
                <w:rFonts w:ascii="Arial" w:eastAsia="Arial" w:hAnsi="Arial" w:cs="Arial"/>
                <w:color w:val="000000"/>
                <w:sz w:val="18"/>
              </w:rPr>
              <w:t>Item 6</w:t>
            </w:r>
          </w:p>
        </w:tc>
        <w:tc>
          <w:tcPr>
            <w:tcW w:w="8550" w:type="dxa"/>
            <w:tcBorders>
              <w:top w:val="single" w:sz="8" w:space="0" w:color="F4F4F4"/>
              <w:left w:val="nil"/>
              <w:bottom w:val="single" w:sz="8" w:space="0" w:color="F4F4F4"/>
              <w:right w:val="nil"/>
            </w:tcBorders>
            <w:tcMar>
              <w:top w:w="0" w:type="dxa"/>
              <w:left w:w="53" w:type="dxa"/>
              <w:bottom w:w="0" w:type="dxa"/>
              <w:right w:w="53" w:type="dxa"/>
            </w:tcMar>
            <w:vAlign w:val="center"/>
          </w:tcPr>
          <w:p w14:paraId="7280242D" w14:textId="77777777" w:rsidR="001614AC" w:rsidRDefault="004468F9">
            <w:pPr>
              <w:spacing w:line="288" w:lineRule="auto"/>
              <w:rPr>
                <w:rFonts w:ascii="Arial" w:eastAsia="Arial" w:hAnsi="Arial" w:cs="Arial"/>
                <w:color w:val="668092"/>
                <w:sz w:val="18"/>
              </w:rPr>
            </w:pPr>
            <w:hyperlink w:anchor="Section45" w:history="1">
              <w:r>
                <w:rPr>
                  <w:rFonts w:ascii="Arial" w:eastAsia="Arial" w:hAnsi="Arial" w:cs="Arial"/>
                  <w:color w:val="668092"/>
                  <w:sz w:val="18"/>
                  <w:u w:val="single"/>
                </w:rPr>
                <w:t>Exhibits</w:t>
              </w:r>
            </w:hyperlink>
          </w:p>
        </w:tc>
        <w:tc>
          <w:tcPr>
            <w:tcW w:w="765" w:type="dxa"/>
            <w:tcBorders>
              <w:top w:val="single" w:sz="8" w:space="0" w:color="F4F4F4"/>
              <w:left w:val="nil"/>
              <w:bottom w:val="single" w:sz="8" w:space="0" w:color="F4F4F4"/>
              <w:right w:val="nil"/>
            </w:tcBorders>
            <w:tcMar>
              <w:top w:w="0" w:type="dxa"/>
              <w:left w:w="53" w:type="dxa"/>
              <w:bottom w:w="0" w:type="dxa"/>
              <w:right w:w="53" w:type="dxa"/>
            </w:tcMar>
            <w:vAlign w:val="center"/>
          </w:tcPr>
          <w:p w14:paraId="38F8CF7B" w14:textId="77777777" w:rsidR="001614AC" w:rsidRDefault="004468F9">
            <w:pPr>
              <w:spacing w:line="288" w:lineRule="auto"/>
              <w:jc w:val="right"/>
              <w:rPr>
                <w:rFonts w:ascii="Arial" w:eastAsia="Arial" w:hAnsi="Arial" w:cs="Arial"/>
                <w:color w:val="668092"/>
                <w:sz w:val="18"/>
              </w:rPr>
            </w:pPr>
            <w:r>
              <w:rPr>
                <w:rFonts w:ascii="Arial" w:eastAsia="Arial" w:hAnsi="Arial" w:cs="Arial"/>
                <w:color w:val="668092"/>
                <w:sz w:val="18"/>
                <w:u w:val="single"/>
              </w:rPr>
              <w:fldChar w:fldCharType="begin"/>
            </w:r>
            <w:r>
              <w:rPr>
                <w:rFonts w:ascii="Arial" w:eastAsia="Arial" w:hAnsi="Arial" w:cs="Arial"/>
                <w:color w:val="668092"/>
                <w:sz w:val="18"/>
                <w:u w:val="single"/>
              </w:rPr>
              <w:instrText xml:space="preserve"> PAGEREF  Section45 \h</w:instrText>
            </w:r>
            <w:r>
              <w:rPr>
                <w:rFonts w:ascii="Arial" w:eastAsia="Arial" w:hAnsi="Arial" w:cs="Arial"/>
                <w:color w:val="668092"/>
                <w:sz w:val="18"/>
                <w:u w:val="single"/>
              </w:rPr>
            </w:r>
            <w:r>
              <w:rPr>
                <w:rFonts w:ascii="Arial" w:eastAsia="Arial" w:hAnsi="Arial" w:cs="Arial"/>
                <w:color w:val="668092"/>
                <w:sz w:val="18"/>
                <w:u w:val="single"/>
              </w:rPr>
              <w:fldChar w:fldCharType="separate"/>
            </w:r>
            <w:r>
              <w:rPr>
                <w:rFonts w:ascii="Arial" w:eastAsia="Arial" w:hAnsi="Arial" w:cs="Arial"/>
                <w:color w:val="668092"/>
                <w:sz w:val="18"/>
                <w:u w:val="single"/>
              </w:rPr>
              <w:t>75</w:t>
            </w:r>
            <w:r>
              <w:rPr>
                <w:rFonts w:ascii="Arial" w:eastAsia="Arial" w:hAnsi="Arial" w:cs="Arial"/>
                <w:color w:val="668092"/>
                <w:sz w:val="18"/>
                <w:u w:val="single"/>
              </w:rPr>
              <w:fldChar w:fldCharType="end"/>
            </w:r>
          </w:p>
        </w:tc>
      </w:tr>
      <w:tr w:rsidR="001614AC" w14:paraId="341044FC" w14:textId="77777777">
        <w:trPr>
          <w:cantSplit/>
          <w:trHeight w:hRule="exact" w:val="315"/>
        </w:trPr>
        <w:tc>
          <w:tcPr>
            <w:tcW w:w="765" w:type="dxa"/>
            <w:tcBorders>
              <w:top w:val="single" w:sz="8" w:space="0" w:color="F4F4F4"/>
              <w:left w:val="nil"/>
              <w:bottom w:val="nil"/>
              <w:right w:val="nil"/>
            </w:tcBorders>
            <w:tcMar>
              <w:top w:w="0" w:type="dxa"/>
              <w:left w:w="0" w:type="dxa"/>
              <w:bottom w:w="0" w:type="dxa"/>
              <w:right w:w="0" w:type="dxa"/>
            </w:tcMar>
            <w:vAlign w:val="bottom"/>
          </w:tcPr>
          <w:p w14:paraId="7395C0CD" w14:textId="77777777" w:rsidR="001614AC" w:rsidRDefault="001614AC"/>
        </w:tc>
        <w:tc>
          <w:tcPr>
            <w:tcW w:w="8550" w:type="dxa"/>
            <w:tcBorders>
              <w:top w:val="single" w:sz="8" w:space="0" w:color="F4F4F4"/>
              <w:left w:val="nil"/>
              <w:bottom w:val="nil"/>
              <w:right w:val="nil"/>
            </w:tcBorders>
            <w:tcMar>
              <w:top w:w="0" w:type="dxa"/>
              <w:left w:w="0" w:type="dxa"/>
              <w:bottom w:w="0" w:type="dxa"/>
              <w:right w:w="0" w:type="dxa"/>
            </w:tcMar>
            <w:vAlign w:val="bottom"/>
          </w:tcPr>
          <w:p w14:paraId="53127BD2" w14:textId="77777777" w:rsidR="001614AC" w:rsidRDefault="001614AC"/>
        </w:tc>
        <w:tc>
          <w:tcPr>
            <w:tcW w:w="765" w:type="dxa"/>
            <w:tcBorders>
              <w:top w:val="single" w:sz="8" w:space="0" w:color="F4F4F4"/>
              <w:left w:val="nil"/>
              <w:bottom w:val="nil"/>
              <w:right w:val="nil"/>
            </w:tcBorders>
            <w:tcMar>
              <w:top w:w="0" w:type="dxa"/>
              <w:left w:w="0" w:type="dxa"/>
              <w:bottom w:w="0" w:type="dxa"/>
              <w:right w:w="0" w:type="dxa"/>
            </w:tcMar>
            <w:vAlign w:val="bottom"/>
          </w:tcPr>
          <w:p w14:paraId="0725112B" w14:textId="77777777" w:rsidR="001614AC" w:rsidRDefault="001614AC"/>
        </w:tc>
      </w:tr>
      <w:tr w:rsidR="001614AC" w14:paraId="30128AC1" w14:textId="77777777">
        <w:trPr>
          <w:cantSplit/>
          <w:trHeight w:hRule="exact" w:val="315"/>
        </w:trPr>
        <w:tc>
          <w:tcPr>
            <w:tcW w:w="9315" w:type="dxa"/>
            <w:gridSpan w:val="2"/>
            <w:tcBorders>
              <w:top w:val="nil"/>
              <w:left w:val="nil"/>
              <w:bottom w:val="nil"/>
              <w:right w:val="nil"/>
            </w:tcBorders>
            <w:shd w:val="clear" w:color="auto" w:fill="F4F4F4"/>
            <w:tcMar>
              <w:top w:w="0" w:type="dxa"/>
              <w:left w:w="53" w:type="dxa"/>
              <w:bottom w:w="0" w:type="dxa"/>
              <w:right w:w="53" w:type="dxa"/>
            </w:tcMar>
            <w:vAlign w:val="center"/>
          </w:tcPr>
          <w:p w14:paraId="6F335162" w14:textId="77777777" w:rsidR="001614AC" w:rsidRDefault="004468F9">
            <w:pPr>
              <w:spacing w:line="288" w:lineRule="auto"/>
              <w:rPr>
                <w:rFonts w:ascii="Arial" w:eastAsia="Arial" w:hAnsi="Arial" w:cs="Arial"/>
                <w:b/>
                <w:color w:val="668092"/>
                <w:sz w:val="18"/>
              </w:rPr>
            </w:pPr>
            <w:hyperlink w:anchor="Section46" w:history="1">
              <w:r>
                <w:rPr>
                  <w:rFonts w:ascii="Arial" w:eastAsia="Arial" w:hAnsi="Arial" w:cs="Arial"/>
                  <w:b/>
                  <w:color w:val="668092"/>
                  <w:sz w:val="18"/>
                  <w:u w:val="single"/>
                </w:rPr>
                <w:t>Signatures</w:t>
              </w:r>
            </w:hyperlink>
            <w:r>
              <w:rPr>
                <w:rFonts w:ascii="Arial" w:eastAsia="Arial" w:hAnsi="Arial" w:cs="Arial"/>
                <w:b/>
                <w:color w:val="668092"/>
                <w:sz w:val="18"/>
              </w:rPr>
              <w:t xml:space="preserve"> </w:t>
            </w:r>
          </w:p>
        </w:tc>
        <w:tc>
          <w:tcPr>
            <w:tcW w:w="765" w:type="dxa"/>
            <w:tcBorders>
              <w:top w:val="nil"/>
              <w:left w:val="nil"/>
              <w:bottom w:val="nil"/>
              <w:right w:val="nil"/>
            </w:tcBorders>
            <w:shd w:val="clear" w:color="auto" w:fill="F4F4F4"/>
            <w:tcMar>
              <w:top w:w="0" w:type="dxa"/>
              <w:left w:w="53" w:type="dxa"/>
              <w:bottom w:w="0" w:type="dxa"/>
              <w:right w:w="53" w:type="dxa"/>
            </w:tcMar>
            <w:vAlign w:val="center"/>
          </w:tcPr>
          <w:p w14:paraId="1EC614A4" w14:textId="77777777" w:rsidR="001614AC" w:rsidRDefault="004468F9">
            <w:pPr>
              <w:spacing w:line="288" w:lineRule="auto"/>
              <w:jc w:val="right"/>
              <w:rPr>
                <w:rFonts w:ascii="Arial" w:eastAsia="Arial" w:hAnsi="Arial" w:cs="Arial"/>
                <w:color w:val="668092"/>
                <w:sz w:val="18"/>
              </w:rPr>
            </w:pPr>
            <w:r>
              <w:rPr>
                <w:rFonts w:ascii="Arial" w:eastAsia="Arial" w:hAnsi="Arial" w:cs="Arial"/>
                <w:color w:val="668092"/>
                <w:sz w:val="18"/>
                <w:u w:val="single"/>
              </w:rPr>
              <w:fldChar w:fldCharType="begin"/>
            </w:r>
            <w:r>
              <w:rPr>
                <w:rFonts w:ascii="Arial" w:eastAsia="Arial" w:hAnsi="Arial" w:cs="Arial"/>
                <w:color w:val="668092"/>
                <w:sz w:val="18"/>
                <w:u w:val="single"/>
              </w:rPr>
              <w:instrText xml:space="preserve"> PAGEREF  Section46 \h</w:instrText>
            </w:r>
            <w:r>
              <w:rPr>
                <w:rFonts w:ascii="Arial" w:eastAsia="Arial" w:hAnsi="Arial" w:cs="Arial"/>
                <w:color w:val="668092"/>
                <w:sz w:val="18"/>
                <w:u w:val="single"/>
              </w:rPr>
            </w:r>
            <w:r>
              <w:rPr>
                <w:rFonts w:ascii="Arial" w:eastAsia="Arial" w:hAnsi="Arial" w:cs="Arial"/>
                <w:color w:val="668092"/>
                <w:sz w:val="18"/>
                <w:u w:val="single"/>
              </w:rPr>
              <w:fldChar w:fldCharType="separate"/>
            </w:r>
            <w:r>
              <w:rPr>
                <w:rFonts w:ascii="Arial" w:eastAsia="Arial" w:hAnsi="Arial" w:cs="Arial"/>
                <w:color w:val="668092"/>
                <w:sz w:val="18"/>
                <w:u w:val="single"/>
              </w:rPr>
              <w:t>76</w:t>
            </w:r>
            <w:r>
              <w:rPr>
                <w:rFonts w:ascii="Arial" w:eastAsia="Arial" w:hAnsi="Arial" w:cs="Arial"/>
                <w:color w:val="668092"/>
                <w:sz w:val="18"/>
                <w:u w:val="single"/>
              </w:rPr>
              <w:fldChar w:fldCharType="end"/>
            </w:r>
          </w:p>
        </w:tc>
      </w:tr>
    </w:tbl>
    <w:p w14:paraId="5261EA46" w14:textId="77777777" w:rsidR="001614AC" w:rsidRDefault="001614AC">
      <w:pPr>
        <w:spacing w:before="100"/>
        <w:ind w:firstLine="450"/>
        <w:jc w:val="center"/>
        <w:rPr>
          <w:rFonts w:ascii="Arial" w:eastAsia="Arial" w:hAnsi="Arial" w:cs="Arial"/>
          <w:sz w:val="18"/>
        </w:rPr>
      </w:pPr>
    </w:p>
    <w:p w14:paraId="1165694E" w14:textId="77777777" w:rsidR="001614AC" w:rsidRDefault="001614AC">
      <w:pPr>
        <w:spacing w:before="100"/>
        <w:ind w:firstLine="450"/>
        <w:jc w:val="center"/>
        <w:rPr>
          <w:rFonts w:ascii="Arial" w:eastAsia="Arial" w:hAnsi="Arial" w:cs="Arial"/>
          <w:sz w:val="18"/>
        </w:rPr>
        <w:sectPr w:rsidR="001614AC">
          <w:headerReference w:type="default" r:id="rId10"/>
          <w:footerReference w:type="default" r:id="rId11"/>
          <w:pgSz w:w="12240" w:h="15840"/>
          <w:pgMar w:top="990" w:right="1080" w:bottom="1080" w:left="1080" w:header="270" w:footer="270" w:gutter="0"/>
          <w:cols w:space="708"/>
        </w:sectPr>
      </w:pPr>
    </w:p>
    <w:p w14:paraId="7A85A20F" w14:textId="77777777" w:rsidR="001614AC" w:rsidRDefault="004468F9">
      <w:pPr>
        <w:spacing w:after="160" w:line="288" w:lineRule="auto"/>
        <w:ind w:left="360" w:hanging="360"/>
        <w:outlineLvl w:val="0"/>
        <w:rPr>
          <w:rFonts w:ascii="Arial" w:eastAsia="Arial" w:hAnsi="Arial" w:cs="Arial"/>
          <w:b/>
          <w:color w:val="4D6B80"/>
          <w:sz w:val="30"/>
        </w:rPr>
      </w:pPr>
      <w:bookmarkStart w:id="2" w:name="Section3"/>
      <w:bookmarkEnd w:id="2"/>
      <w:r>
        <w:rPr>
          <w:rFonts w:ascii="Arial" w:eastAsia="Arial" w:hAnsi="Arial" w:cs="Arial"/>
          <w:b/>
          <w:color w:val="4D6B80"/>
          <w:sz w:val="30"/>
        </w:rPr>
        <w:lastRenderedPageBreak/>
        <w:t>Glossary of Abbreviations and Acronyms</w:t>
      </w:r>
    </w:p>
    <w:p w14:paraId="73A719A6" w14:textId="77777777" w:rsidR="001614AC" w:rsidRDefault="004468F9">
      <w:pPr>
        <w:spacing w:before="100" w:after="100" w:line="288" w:lineRule="auto"/>
        <w:ind w:firstLine="450"/>
        <w:rPr>
          <w:rFonts w:ascii="Arial" w:eastAsia="Arial" w:hAnsi="Arial" w:cs="Arial"/>
          <w:sz w:val="18"/>
        </w:rPr>
      </w:pPr>
      <w:r>
        <w:rPr>
          <w:rFonts w:ascii="Arial" w:eastAsia="Arial" w:hAnsi="Arial" w:cs="Arial"/>
          <w:sz w:val="18"/>
        </w:rPr>
        <w:t xml:space="preserve">The following list defines various abbreviations and acronyms used throughout this </w:t>
      </w:r>
      <w:r>
        <w:rPr>
          <w:rFonts w:ascii="Arial" w:eastAsia="Arial" w:hAnsi="Arial" w:cs="Arial"/>
          <w:sz w:val="18"/>
        </w:rPr>
        <w:t>report, including the Condensed Consolidated Financial Statements, the Notes to Unaudited Condensed Consolidated Financial Statements and Management’s Discussion and Analysis of Financial Condition and Results of Operations.</w:t>
      </w:r>
    </w:p>
    <w:tbl>
      <w:tblPr>
        <w:tblW w:w="102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3"/>
        <w:gridCol w:w="8339"/>
      </w:tblGrid>
      <w:tr w:rsidR="001614AC" w14:paraId="0B697DB4" w14:textId="77777777">
        <w:trPr>
          <w:cantSplit/>
          <w:tblHeader/>
        </w:trPr>
        <w:tc>
          <w:tcPr>
            <w:tcW w:w="1905" w:type="dxa"/>
            <w:tcBorders>
              <w:top w:val="nil"/>
              <w:left w:val="nil"/>
              <w:bottom w:val="single" w:sz="8" w:space="0" w:color="C7C9C7"/>
              <w:right w:val="nil"/>
            </w:tcBorders>
            <w:tcMar>
              <w:top w:w="0" w:type="dxa"/>
              <w:left w:w="53" w:type="dxa"/>
              <w:bottom w:w="0" w:type="dxa"/>
              <w:right w:w="53" w:type="dxa"/>
            </w:tcMar>
            <w:vAlign w:val="center"/>
          </w:tcPr>
          <w:p w14:paraId="6C8FED6A" w14:textId="77777777" w:rsidR="001614AC" w:rsidRDefault="004468F9">
            <w:pPr>
              <w:spacing w:line="288" w:lineRule="auto"/>
            </w:pPr>
            <w:r>
              <w:rPr>
                <w:rFonts w:ascii="Arial" w:eastAsia="Arial" w:hAnsi="Arial" w:cs="Arial"/>
                <w:b/>
                <w:color w:val="000000"/>
                <w:sz w:val="18"/>
              </w:rPr>
              <w:t>Term</w:t>
            </w:r>
          </w:p>
        </w:tc>
        <w:tc>
          <w:tcPr>
            <w:tcW w:w="8175" w:type="dxa"/>
            <w:tcBorders>
              <w:top w:val="nil"/>
              <w:left w:val="nil"/>
              <w:bottom w:val="single" w:sz="8" w:space="0" w:color="C7C9C7"/>
              <w:right w:val="nil"/>
            </w:tcBorders>
            <w:tcMar>
              <w:top w:w="0" w:type="dxa"/>
              <w:left w:w="53" w:type="dxa"/>
              <w:bottom w:w="0" w:type="dxa"/>
              <w:right w:w="53" w:type="dxa"/>
            </w:tcMar>
            <w:vAlign w:val="center"/>
          </w:tcPr>
          <w:p w14:paraId="6893DBF0" w14:textId="77777777" w:rsidR="001614AC" w:rsidRDefault="004468F9">
            <w:pPr>
              <w:spacing w:line="288" w:lineRule="auto"/>
              <w:ind w:left="90"/>
            </w:pPr>
            <w:r>
              <w:rPr>
                <w:rFonts w:ascii="Arial" w:eastAsia="Arial" w:hAnsi="Arial" w:cs="Arial"/>
                <w:b/>
                <w:color w:val="000000"/>
                <w:sz w:val="18"/>
              </w:rPr>
              <w:t>Definition</w:t>
            </w:r>
          </w:p>
        </w:tc>
      </w:tr>
      <w:tr w:rsidR="001614AC" w14:paraId="7612A408" w14:textId="77777777">
        <w:trPr>
          <w:cantSplit/>
        </w:trPr>
        <w:tc>
          <w:tcPr>
            <w:tcW w:w="1905" w:type="dxa"/>
            <w:tcBorders>
              <w:top w:val="single" w:sz="8" w:space="0" w:color="C7C9C7"/>
              <w:left w:val="nil"/>
              <w:bottom w:val="nil"/>
              <w:right w:val="nil"/>
            </w:tcBorders>
            <w:shd w:val="clear" w:color="auto" w:fill="F4F4F4"/>
            <w:tcMar>
              <w:top w:w="0" w:type="dxa"/>
              <w:left w:w="53" w:type="dxa"/>
              <w:bottom w:w="0" w:type="dxa"/>
              <w:right w:w="53" w:type="dxa"/>
            </w:tcMar>
            <w:vAlign w:val="center"/>
          </w:tcPr>
          <w:p w14:paraId="69080B00" w14:textId="77777777" w:rsidR="001614AC" w:rsidRDefault="004468F9">
            <w:pPr>
              <w:spacing w:line="288" w:lineRule="auto"/>
            </w:pPr>
            <w:r>
              <w:rPr>
                <w:rFonts w:ascii="Arial" w:eastAsia="Arial" w:hAnsi="Arial" w:cs="Arial"/>
                <w:color w:val="000000"/>
                <w:sz w:val="18"/>
              </w:rPr>
              <w:t xml:space="preserve">2020 Form </w:t>
            </w:r>
            <w:r>
              <w:rPr>
                <w:rFonts w:ascii="Arial" w:eastAsia="Arial" w:hAnsi="Arial" w:cs="Arial"/>
                <w:color w:val="000000"/>
                <w:sz w:val="18"/>
              </w:rPr>
              <w:t>10-K</w:t>
            </w:r>
          </w:p>
        </w:tc>
        <w:tc>
          <w:tcPr>
            <w:tcW w:w="8175" w:type="dxa"/>
            <w:tcBorders>
              <w:top w:val="single" w:sz="8" w:space="0" w:color="C7C9C7"/>
              <w:left w:val="nil"/>
              <w:bottom w:val="nil"/>
              <w:right w:val="nil"/>
            </w:tcBorders>
            <w:shd w:val="clear" w:color="auto" w:fill="F4F4F4"/>
            <w:tcMar>
              <w:top w:w="0" w:type="dxa"/>
              <w:left w:w="53" w:type="dxa"/>
              <w:bottom w:w="0" w:type="dxa"/>
              <w:right w:w="53" w:type="dxa"/>
            </w:tcMar>
            <w:vAlign w:val="center"/>
          </w:tcPr>
          <w:p w14:paraId="749AEA12" w14:textId="77777777" w:rsidR="001614AC" w:rsidRDefault="004468F9">
            <w:pPr>
              <w:spacing w:line="288" w:lineRule="auto"/>
              <w:ind w:left="90"/>
            </w:pPr>
            <w:r>
              <w:rPr>
                <w:rFonts w:ascii="Arial" w:eastAsia="Arial" w:hAnsi="Arial" w:cs="Arial"/>
                <w:color w:val="000000"/>
                <w:sz w:val="18"/>
              </w:rPr>
              <w:t>Annual Report on Form 10-K for the year ended December 31, 2020, filed with the SEC on February 26, 2021</w:t>
            </w:r>
          </w:p>
        </w:tc>
      </w:tr>
      <w:tr w:rsidR="001614AC" w14:paraId="42E235F7" w14:textId="77777777">
        <w:trPr>
          <w:cantSplit/>
        </w:trPr>
        <w:tc>
          <w:tcPr>
            <w:tcW w:w="1905" w:type="dxa"/>
            <w:tcBorders>
              <w:top w:val="nil"/>
              <w:left w:val="nil"/>
              <w:bottom w:val="nil"/>
              <w:right w:val="nil"/>
            </w:tcBorders>
            <w:shd w:val="clear" w:color="auto" w:fill="FFFFFF"/>
            <w:tcMar>
              <w:top w:w="0" w:type="dxa"/>
              <w:left w:w="53" w:type="dxa"/>
              <w:bottom w:w="0" w:type="dxa"/>
              <w:right w:w="53" w:type="dxa"/>
            </w:tcMar>
            <w:vAlign w:val="center"/>
          </w:tcPr>
          <w:p w14:paraId="442BAB89" w14:textId="77777777" w:rsidR="001614AC" w:rsidRDefault="004468F9">
            <w:pPr>
              <w:spacing w:line="288" w:lineRule="auto"/>
            </w:pPr>
            <w:r>
              <w:rPr>
                <w:rFonts w:ascii="Arial" w:eastAsia="Arial" w:hAnsi="Arial" w:cs="Arial"/>
                <w:color w:val="000000"/>
                <w:sz w:val="18"/>
              </w:rPr>
              <w:t>2014 Master Policy</w:t>
            </w:r>
          </w:p>
        </w:tc>
        <w:tc>
          <w:tcPr>
            <w:tcW w:w="8175" w:type="dxa"/>
            <w:tcBorders>
              <w:top w:val="nil"/>
              <w:left w:val="nil"/>
              <w:bottom w:val="nil"/>
              <w:right w:val="nil"/>
            </w:tcBorders>
            <w:shd w:val="clear" w:color="auto" w:fill="FFFFFF"/>
            <w:tcMar>
              <w:top w:w="0" w:type="dxa"/>
              <w:left w:w="53" w:type="dxa"/>
              <w:bottom w:w="0" w:type="dxa"/>
              <w:right w:w="53" w:type="dxa"/>
            </w:tcMar>
            <w:vAlign w:val="center"/>
          </w:tcPr>
          <w:p w14:paraId="5A607E82" w14:textId="77777777" w:rsidR="001614AC" w:rsidRDefault="004468F9">
            <w:pPr>
              <w:spacing w:line="288" w:lineRule="auto"/>
              <w:ind w:left="90"/>
            </w:pPr>
            <w:r>
              <w:rPr>
                <w:rFonts w:ascii="Arial" w:eastAsia="Arial" w:hAnsi="Arial" w:cs="Arial"/>
                <w:color w:val="000000"/>
                <w:sz w:val="18"/>
              </w:rPr>
              <w:t xml:space="preserve">Radian Guaranty’s master insurance policy, setting forth the terms and conditions of our mortgage insurance coverage, </w:t>
            </w:r>
            <w:r>
              <w:rPr>
                <w:rFonts w:ascii="Arial" w:eastAsia="Arial" w:hAnsi="Arial" w:cs="Arial"/>
                <w:color w:val="000000"/>
                <w:sz w:val="18"/>
              </w:rPr>
              <w:t>which became effective October 1, 2014</w:t>
            </w:r>
          </w:p>
        </w:tc>
      </w:tr>
      <w:tr w:rsidR="001614AC" w14:paraId="04C483BB" w14:textId="77777777">
        <w:trPr>
          <w:cantSplit/>
        </w:trPr>
        <w:tc>
          <w:tcPr>
            <w:tcW w:w="1905" w:type="dxa"/>
            <w:tcBorders>
              <w:top w:val="nil"/>
              <w:left w:val="nil"/>
              <w:bottom w:val="nil"/>
              <w:right w:val="nil"/>
            </w:tcBorders>
            <w:shd w:val="clear" w:color="auto" w:fill="F4F4F4"/>
            <w:tcMar>
              <w:top w:w="0" w:type="dxa"/>
              <w:left w:w="53" w:type="dxa"/>
              <w:bottom w:w="0" w:type="dxa"/>
              <w:right w:w="53" w:type="dxa"/>
            </w:tcMar>
            <w:vAlign w:val="center"/>
          </w:tcPr>
          <w:p w14:paraId="7B3D1E6B" w14:textId="77777777" w:rsidR="001614AC" w:rsidRDefault="004468F9">
            <w:pPr>
              <w:spacing w:line="288" w:lineRule="auto"/>
            </w:pPr>
            <w:r>
              <w:rPr>
                <w:rFonts w:ascii="Arial" w:eastAsia="Arial" w:hAnsi="Arial" w:cs="Arial"/>
                <w:color w:val="000000"/>
                <w:sz w:val="18"/>
              </w:rPr>
              <w:t>2020 Master Policy</w:t>
            </w:r>
          </w:p>
        </w:tc>
        <w:tc>
          <w:tcPr>
            <w:tcW w:w="8175" w:type="dxa"/>
            <w:tcBorders>
              <w:top w:val="nil"/>
              <w:left w:val="nil"/>
              <w:bottom w:val="nil"/>
              <w:right w:val="nil"/>
            </w:tcBorders>
            <w:shd w:val="clear" w:color="auto" w:fill="F4F4F4"/>
            <w:tcMar>
              <w:top w:w="0" w:type="dxa"/>
              <w:left w:w="53" w:type="dxa"/>
              <w:bottom w:w="0" w:type="dxa"/>
              <w:right w:w="53" w:type="dxa"/>
            </w:tcMar>
            <w:vAlign w:val="center"/>
          </w:tcPr>
          <w:p w14:paraId="72C4D8F7" w14:textId="77777777" w:rsidR="001614AC" w:rsidRDefault="004468F9">
            <w:pPr>
              <w:spacing w:line="288" w:lineRule="auto"/>
              <w:ind w:left="90"/>
            </w:pPr>
            <w:r>
              <w:rPr>
                <w:rFonts w:ascii="Arial" w:eastAsia="Arial" w:hAnsi="Arial" w:cs="Arial"/>
                <w:color w:val="000000"/>
                <w:sz w:val="18"/>
              </w:rPr>
              <w:t>Radian Guaranty’s master insurance policy, setting forth the terms and conditions of our mortgage insurance coverage, which became effective March 1, 2020</w:t>
            </w:r>
          </w:p>
        </w:tc>
      </w:tr>
      <w:tr w:rsidR="001614AC" w14:paraId="0E1A5E41" w14:textId="77777777">
        <w:trPr>
          <w:cantSplit/>
        </w:trPr>
        <w:tc>
          <w:tcPr>
            <w:tcW w:w="1905" w:type="dxa"/>
            <w:tcBorders>
              <w:top w:val="nil"/>
              <w:left w:val="nil"/>
              <w:bottom w:val="nil"/>
              <w:right w:val="nil"/>
            </w:tcBorders>
            <w:shd w:val="clear" w:color="auto" w:fill="FFFFFF"/>
            <w:tcMar>
              <w:top w:w="0" w:type="dxa"/>
              <w:left w:w="53" w:type="dxa"/>
              <w:bottom w:w="0" w:type="dxa"/>
              <w:right w:w="53" w:type="dxa"/>
            </w:tcMar>
            <w:vAlign w:val="center"/>
          </w:tcPr>
          <w:p w14:paraId="01FE4420" w14:textId="77777777" w:rsidR="001614AC" w:rsidRDefault="004468F9">
            <w:pPr>
              <w:spacing w:line="288" w:lineRule="auto"/>
            </w:pPr>
            <w:r>
              <w:rPr>
                <w:rFonts w:ascii="Arial" w:eastAsia="Arial" w:hAnsi="Arial" w:cs="Arial"/>
                <w:color w:val="000000"/>
                <w:sz w:val="18"/>
              </w:rPr>
              <w:t xml:space="preserve">2016 Single Premium QSR </w:t>
            </w:r>
            <w:r>
              <w:rPr>
                <w:rFonts w:ascii="Arial" w:eastAsia="Arial" w:hAnsi="Arial" w:cs="Arial"/>
                <w:color w:val="000000"/>
                <w:sz w:val="18"/>
              </w:rPr>
              <w:t>Agreement</w:t>
            </w:r>
          </w:p>
        </w:tc>
        <w:tc>
          <w:tcPr>
            <w:tcW w:w="8175" w:type="dxa"/>
            <w:tcBorders>
              <w:top w:val="nil"/>
              <w:left w:val="nil"/>
              <w:bottom w:val="nil"/>
              <w:right w:val="nil"/>
            </w:tcBorders>
            <w:shd w:val="clear" w:color="auto" w:fill="FFFFFF"/>
            <w:tcMar>
              <w:top w:w="0" w:type="dxa"/>
              <w:left w:w="53" w:type="dxa"/>
              <w:bottom w:w="0" w:type="dxa"/>
              <w:right w:w="53" w:type="dxa"/>
            </w:tcMar>
            <w:vAlign w:val="center"/>
          </w:tcPr>
          <w:p w14:paraId="12883307" w14:textId="77777777" w:rsidR="001614AC" w:rsidRDefault="004468F9">
            <w:pPr>
              <w:spacing w:line="288" w:lineRule="auto"/>
              <w:ind w:left="90"/>
            </w:pPr>
            <w:r>
              <w:rPr>
                <w:rFonts w:ascii="Arial" w:eastAsia="Arial" w:hAnsi="Arial" w:cs="Arial"/>
                <w:color w:val="000000"/>
                <w:sz w:val="18"/>
              </w:rPr>
              <w:t>Quota share reinsurance agreement entered into with a panel of third-party reinsurance providers in the first quarter of 2016 and subsequently amended in the fourth quarter of 2017</w:t>
            </w:r>
          </w:p>
        </w:tc>
      </w:tr>
      <w:tr w:rsidR="001614AC" w14:paraId="2625A1FE" w14:textId="77777777">
        <w:trPr>
          <w:cantSplit/>
        </w:trPr>
        <w:tc>
          <w:tcPr>
            <w:tcW w:w="1905" w:type="dxa"/>
            <w:tcBorders>
              <w:top w:val="nil"/>
              <w:left w:val="nil"/>
              <w:bottom w:val="nil"/>
              <w:right w:val="nil"/>
            </w:tcBorders>
            <w:shd w:val="clear" w:color="auto" w:fill="F4F4F4"/>
            <w:tcMar>
              <w:top w:w="0" w:type="dxa"/>
              <w:left w:w="53" w:type="dxa"/>
              <w:bottom w:w="0" w:type="dxa"/>
              <w:right w:w="53" w:type="dxa"/>
            </w:tcMar>
            <w:vAlign w:val="center"/>
          </w:tcPr>
          <w:p w14:paraId="249E8B67" w14:textId="77777777" w:rsidR="001614AC" w:rsidRDefault="004468F9">
            <w:pPr>
              <w:spacing w:line="288" w:lineRule="auto"/>
            </w:pPr>
            <w:r>
              <w:rPr>
                <w:rFonts w:ascii="Arial" w:eastAsia="Arial" w:hAnsi="Arial" w:cs="Arial"/>
                <w:color w:val="000000"/>
                <w:sz w:val="18"/>
              </w:rPr>
              <w:t>2018 Single Premium QSR Agreement</w:t>
            </w:r>
          </w:p>
        </w:tc>
        <w:tc>
          <w:tcPr>
            <w:tcW w:w="8175" w:type="dxa"/>
            <w:tcBorders>
              <w:top w:val="nil"/>
              <w:left w:val="nil"/>
              <w:bottom w:val="nil"/>
              <w:right w:val="nil"/>
            </w:tcBorders>
            <w:shd w:val="clear" w:color="auto" w:fill="F4F4F4"/>
            <w:tcMar>
              <w:top w:w="0" w:type="dxa"/>
              <w:left w:w="53" w:type="dxa"/>
              <w:bottom w:w="0" w:type="dxa"/>
              <w:right w:w="53" w:type="dxa"/>
            </w:tcMar>
            <w:vAlign w:val="center"/>
          </w:tcPr>
          <w:p w14:paraId="7156B333" w14:textId="77777777" w:rsidR="001614AC" w:rsidRDefault="004468F9">
            <w:pPr>
              <w:spacing w:line="288" w:lineRule="auto"/>
              <w:ind w:left="90"/>
            </w:pPr>
            <w:r>
              <w:rPr>
                <w:rFonts w:ascii="Arial" w:eastAsia="Arial" w:hAnsi="Arial" w:cs="Arial"/>
                <w:color w:val="000000"/>
                <w:sz w:val="18"/>
              </w:rPr>
              <w:t xml:space="preserve">Quota share </w:t>
            </w:r>
            <w:r>
              <w:rPr>
                <w:rFonts w:ascii="Arial" w:eastAsia="Arial" w:hAnsi="Arial" w:cs="Arial"/>
                <w:color w:val="000000"/>
                <w:sz w:val="18"/>
              </w:rPr>
              <w:t>reinsurance agreement entered into with a panel of third-party reinsurance providers in October 2017 to cede a portion of Single Premium NIW beginning January 1, 2018</w:t>
            </w:r>
          </w:p>
        </w:tc>
      </w:tr>
      <w:tr w:rsidR="001614AC" w14:paraId="13BA5DC9" w14:textId="77777777">
        <w:trPr>
          <w:cantSplit/>
        </w:trPr>
        <w:tc>
          <w:tcPr>
            <w:tcW w:w="1905" w:type="dxa"/>
            <w:tcBorders>
              <w:top w:val="nil"/>
              <w:left w:val="nil"/>
              <w:bottom w:val="nil"/>
              <w:right w:val="nil"/>
            </w:tcBorders>
            <w:shd w:val="clear" w:color="auto" w:fill="FFFFFF"/>
            <w:tcMar>
              <w:top w:w="0" w:type="dxa"/>
              <w:left w:w="53" w:type="dxa"/>
              <w:bottom w:w="0" w:type="dxa"/>
              <w:right w:w="53" w:type="dxa"/>
            </w:tcMar>
            <w:vAlign w:val="center"/>
          </w:tcPr>
          <w:p w14:paraId="0CC4477F" w14:textId="77777777" w:rsidR="001614AC" w:rsidRDefault="004468F9">
            <w:pPr>
              <w:spacing w:line="288" w:lineRule="auto"/>
            </w:pPr>
            <w:r>
              <w:rPr>
                <w:rFonts w:ascii="Arial" w:eastAsia="Arial" w:hAnsi="Arial" w:cs="Arial"/>
                <w:color w:val="000000"/>
                <w:sz w:val="18"/>
              </w:rPr>
              <w:t>2020 Single Premium QSR Agreement</w:t>
            </w:r>
          </w:p>
        </w:tc>
        <w:tc>
          <w:tcPr>
            <w:tcW w:w="8175" w:type="dxa"/>
            <w:tcBorders>
              <w:top w:val="nil"/>
              <w:left w:val="nil"/>
              <w:bottom w:val="nil"/>
              <w:right w:val="nil"/>
            </w:tcBorders>
            <w:shd w:val="clear" w:color="auto" w:fill="FFFFFF"/>
            <w:tcMar>
              <w:top w:w="0" w:type="dxa"/>
              <w:left w:w="53" w:type="dxa"/>
              <w:bottom w:w="0" w:type="dxa"/>
              <w:right w:w="53" w:type="dxa"/>
            </w:tcMar>
            <w:vAlign w:val="center"/>
          </w:tcPr>
          <w:p w14:paraId="60F78BC8" w14:textId="77777777" w:rsidR="001614AC" w:rsidRDefault="004468F9">
            <w:pPr>
              <w:spacing w:line="288" w:lineRule="auto"/>
              <w:ind w:left="90"/>
            </w:pPr>
            <w:r>
              <w:rPr>
                <w:rFonts w:ascii="Arial" w:eastAsia="Arial" w:hAnsi="Arial" w:cs="Arial"/>
                <w:color w:val="000000"/>
                <w:sz w:val="18"/>
              </w:rPr>
              <w:t xml:space="preserve">Quota share reinsurance agreement entered into </w:t>
            </w:r>
            <w:r>
              <w:rPr>
                <w:rFonts w:ascii="Arial" w:eastAsia="Arial" w:hAnsi="Arial" w:cs="Arial"/>
                <w:color w:val="000000"/>
                <w:sz w:val="18"/>
              </w:rPr>
              <w:t>with a panel of third-party reinsurance providers in January 2020 to cede a portion of Single Premium NIW beginning January 1, 2020</w:t>
            </w:r>
          </w:p>
        </w:tc>
      </w:tr>
      <w:tr w:rsidR="001614AC" w14:paraId="050C6C6A" w14:textId="77777777">
        <w:trPr>
          <w:cantSplit/>
        </w:trPr>
        <w:tc>
          <w:tcPr>
            <w:tcW w:w="1905" w:type="dxa"/>
            <w:tcBorders>
              <w:top w:val="nil"/>
              <w:left w:val="nil"/>
              <w:bottom w:val="nil"/>
              <w:right w:val="nil"/>
            </w:tcBorders>
            <w:shd w:val="clear" w:color="auto" w:fill="F4F4F4"/>
            <w:tcMar>
              <w:top w:w="0" w:type="dxa"/>
              <w:left w:w="53" w:type="dxa"/>
              <w:bottom w:w="0" w:type="dxa"/>
              <w:right w:w="53" w:type="dxa"/>
            </w:tcMar>
            <w:vAlign w:val="center"/>
          </w:tcPr>
          <w:p w14:paraId="6FACB199" w14:textId="77777777" w:rsidR="001614AC" w:rsidRDefault="004468F9">
            <w:pPr>
              <w:spacing w:line="288" w:lineRule="auto"/>
              <w:rPr>
                <w:rFonts w:ascii="Arial" w:eastAsia="Arial" w:hAnsi="Arial" w:cs="Arial"/>
                <w:sz w:val="18"/>
              </w:rPr>
            </w:pPr>
            <w:r>
              <w:rPr>
                <w:rFonts w:ascii="Arial" w:eastAsia="Arial" w:hAnsi="Arial" w:cs="Arial"/>
                <w:sz w:val="18"/>
              </w:rPr>
              <w:t>2017 Surplus Note</w:t>
            </w:r>
          </w:p>
        </w:tc>
        <w:tc>
          <w:tcPr>
            <w:tcW w:w="8175" w:type="dxa"/>
            <w:tcBorders>
              <w:top w:val="nil"/>
              <w:left w:val="nil"/>
              <w:bottom w:val="nil"/>
              <w:right w:val="nil"/>
            </w:tcBorders>
            <w:shd w:val="clear" w:color="auto" w:fill="F4F4F4"/>
            <w:tcMar>
              <w:top w:w="0" w:type="dxa"/>
              <w:left w:w="53" w:type="dxa"/>
              <w:bottom w:w="0" w:type="dxa"/>
              <w:right w:w="53" w:type="dxa"/>
            </w:tcMar>
            <w:vAlign w:val="center"/>
          </w:tcPr>
          <w:p w14:paraId="4F2622A8" w14:textId="77777777" w:rsidR="001614AC" w:rsidRDefault="004468F9">
            <w:pPr>
              <w:spacing w:line="288" w:lineRule="auto"/>
              <w:ind w:left="90"/>
              <w:rPr>
                <w:rFonts w:ascii="Arial" w:eastAsia="Arial" w:hAnsi="Arial" w:cs="Arial"/>
                <w:sz w:val="18"/>
              </w:rPr>
            </w:pPr>
            <w:r>
              <w:rPr>
                <w:rFonts w:ascii="Arial" w:eastAsia="Arial" w:hAnsi="Arial" w:cs="Arial"/>
                <w:sz w:val="18"/>
              </w:rPr>
              <w:t>The</w:t>
            </w:r>
            <w:r>
              <w:rPr>
                <w:rFonts w:ascii="Arial" w:eastAsia="Arial" w:hAnsi="Arial" w:cs="Arial"/>
                <w:sz w:val="18"/>
              </w:rPr>
              <w:t xml:space="preserve"> $100 million 0.0% intercompany surplus note issued by Radian Guaranty to Radian Group, due December 31, 2027</w:t>
            </w:r>
          </w:p>
        </w:tc>
      </w:tr>
      <w:tr w:rsidR="001614AC" w14:paraId="62CE972E" w14:textId="77777777">
        <w:trPr>
          <w:cantSplit/>
        </w:trPr>
        <w:tc>
          <w:tcPr>
            <w:tcW w:w="1905" w:type="dxa"/>
            <w:tcBorders>
              <w:top w:val="nil"/>
              <w:left w:val="nil"/>
              <w:bottom w:val="nil"/>
              <w:right w:val="nil"/>
            </w:tcBorders>
            <w:shd w:val="clear" w:color="auto" w:fill="FFFFFF"/>
            <w:tcMar>
              <w:top w:w="0" w:type="dxa"/>
              <w:left w:w="53" w:type="dxa"/>
              <w:bottom w:w="0" w:type="dxa"/>
              <w:right w:w="53" w:type="dxa"/>
            </w:tcMar>
            <w:vAlign w:val="center"/>
          </w:tcPr>
          <w:p w14:paraId="48A7C8C4" w14:textId="77777777" w:rsidR="001614AC" w:rsidRDefault="004468F9">
            <w:pPr>
              <w:spacing w:line="288" w:lineRule="auto"/>
              <w:rPr>
                <w:rFonts w:ascii="Arial" w:eastAsia="Arial" w:hAnsi="Arial" w:cs="Arial"/>
                <w:sz w:val="18"/>
              </w:rPr>
            </w:pPr>
            <w:r>
              <w:rPr>
                <w:rFonts w:ascii="Arial" w:eastAsia="Arial" w:hAnsi="Arial" w:cs="Arial"/>
                <w:sz w:val="18"/>
              </w:rPr>
              <w:t>2020 Surplus Note</w:t>
            </w:r>
          </w:p>
        </w:tc>
        <w:tc>
          <w:tcPr>
            <w:tcW w:w="8175" w:type="dxa"/>
            <w:tcBorders>
              <w:top w:val="nil"/>
              <w:left w:val="nil"/>
              <w:bottom w:val="nil"/>
              <w:right w:val="nil"/>
            </w:tcBorders>
            <w:tcMar>
              <w:top w:w="0" w:type="dxa"/>
              <w:left w:w="53" w:type="dxa"/>
              <w:bottom w:w="0" w:type="dxa"/>
              <w:right w:w="53" w:type="dxa"/>
            </w:tcMar>
            <w:vAlign w:val="center"/>
          </w:tcPr>
          <w:p w14:paraId="67CDF220" w14:textId="77777777" w:rsidR="001614AC" w:rsidRDefault="004468F9">
            <w:pPr>
              <w:spacing w:line="288" w:lineRule="auto"/>
              <w:ind w:left="90"/>
              <w:rPr>
                <w:rFonts w:ascii="Arial" w:eastAsia="Arial" w:hAnsi="Arial" w:cs="Arial"/>
                <w:sz w:val="22"/>
              </w:rPr>
            </w:pPr>
            <w:r>
              <w:rPr>
                <w:rFonts w:ascii="Arial" w:eastAsia="Arial" w:hAnsi="Arial" w:cs="Arial"/>
                <w:sz w:val="18"/>
              </w:rPr>
              <w:t>The</w:t>
            </w:r>
            <w:r>
              <w:rPr>
                <w:rFonts w:ascii="Arial" w:eastAsia="Arial" w:hAnsi="Arial" w:cs="Arial"/>
                <w:sz w:val="18"/>
              </w:rPr>
              <w:t xml:space="preserve"> $200 million 3.0% intercompany surplus note issued by Radian Guaranty to Radian Group, which was initially due January 31, 2030 but was converted to contributed surplus effective April 1, 2021</w:t>
            </w:r>
          </w:p>
        </w:tc>
      </w:tr>
      <w:tr w:rsidR="001614AC" w14:paraId="4B1445CF" w14:textId="77777777">
        <w:trPr>
          <w:cantSplit/>
        </w:trPr>
        <w:tc>
          <w:tcPr>
            <w:tcW w:w="1905" w:type="dxa"/>
            <w:tcBorders>
              <w:top w:val="nil"/>
              <w:left w:val="nil"/>
              <w:bottom w:val="nil"/>
              <w:right w:val="nil"/>
            </w:tcBorders>
            <w:shd w:val="clear" w:color="auto" w:fill="F4F4F4"/>
            <w:tcMar>
              <w:top w:w="0" w:type="dxa"/>
              <w:left w:w="53" w:type="dxa"/>
              <w:bottom w:w="0" w:type="dxa"/>
              <w:right w:w="53" w:type="dxa"/>
            </w:tcMar>
            <w:vAlign w:val="center"/>
          </w:tcPr>
          <w:p w14:paraId="2A8AAC95" w14:textId="77777777" w:rsidR="001614AC" w:rsidRDefault="004468F9">
            <w:pPr>
              <w:spacing w:line="288" w:lineRule="auto"/>
            </w:pPr>
            <w:r>
              <w:rPr>
                <w:rFonts w:ascii="Arial" w:eastAsia="Arial" w:hAnsi="Arial" w:cs="Arial"/>
                <w:color w:val="000000"/>
                <w:sz w:val="18"/>
              </w:rPr>
              <w:t>ABS</w:t>
            </w:r>
          </w:p>
        </w:tc>
        <w:tc>
          <w:tcPr>
            <w:tcW w:w="8175" w:type="dxa"/>
            <w:tcBorders>
              <w:top w:val="nil"/>
              <w:left w:val="nil"/>
              <w:bottom w:val="nil"/>
              <w:right w:val="nil"/>
            </w:tcBorders>
            <w:shd w:val="clear" w:color="auto" w:fill="F4F4F4"/>
            <w:tcMar>
              <w:top w:w="0" w:type="dxa"/>
              <w:left w:w="53" w:type="dxa"/>
              <w:bottom w:w="0" w:type="dxa"/>
              <w:right w:w="53" w:type="dxa"/>
            </w:tcMar>
            <w:vAlign w:val="center"/>
          </w:tcPr>
          <w:p w14:paraId="250BA70C" w14:textId="77777777" w:rsidR="001614AC" w:rsidRDefault="004468F9">
            <w:pPr>
              <w:spacing w:line="288" w:lineRule="auto"/>
              <w:ind w:left="90"/>
            </w:pPr>
            <w:r>
              <w:rPr>
                <w:rFonts w:ascii="Arial" w:eastAsia="Arial" w:hAnsi="Arial" w:cs="Arial"/>
                <w:color w:val="000000"/>
                <w:sz w:val="18"/>
              </w:rPr>
              <w:t xml:space="preserve">Asset-backed securities </w:t>
            </w:r>
          </w:p>
        </w:tc>
      </w:tr>
      <w:tr w:rsidR="001614AC" w14:paraId="08BC0AC8" w14:textId="77777777">
        <w:trPr>
          <w:cantSplit/>
        </w:trPr>
        <w:tc>
          <w:tcPr>
            <w:tcW w:w="1905" w:type="dxa"/>
            <w:tcBorders>
              <w:top w:val="nil"/>
              <w:left w:val="nil"/>
              <w:bottom w:val="nil"/>
              <w:right w:val="nil"/>
            </w:tcBorders>
            <w:shd w:val="clear" w:color="auto" w:fill="FFFFFF"/>
            <w:tcMar>
              <w:top w:w="0" w:type="dxa"/>
              <w:left w:w="53" w:type="dxa"/>
              <w:bottom w:w="0" w:type="dxa"/>
              <w:right w:w="53" w:type="dxa"/>
            </w:tcMar>
            <w:vAlign w:val="center"/>
          </w:tcPr>
          <w:p w14:paraId="63C6F6DB" w14:textId="77777777" w:rsidR="001614AC" w:rsidRDefault="004468F9">
            <w:pPr>
              <w:spacing w:line="288" w:lineRule="auto"/>
            </w:pPr>
            <w:r>
              <w:rPr>
                <w:rFonts w:ascii="Arial" w:eastAsia="Arial" w:hAnsi="Arial" w:cs="Arial"/>
                <w:color w:val="000000"/>
                <w:sz w:val="18"/>
              </w:rPr>
              <w:t>All Other</w:t>
            </w:r>
          </w:p>
        </w:tc>
        <w:tc>
          <w:tcPr>
            <w:tcW w:w="8175" w:type="dxa"/>
            <w:tcBorders>
              <w:top w:val="nil"/>
              <w:left w:val="nil"/>
              <w:bottom w:val="nil"/>
              <w:right w:val="nil"/>
            </w:tcBorders>
            <w:shd w:val="clear" w:color="auto" w:fill="FFFFFF"/>
            <w:tcMar>
              <w:top w:w="0" w:type="dxa"/>
              <w:left w:w="53" w:type="dxa"/>
              <w:bottom w:w="0" w:type="dxa"/>
              <w:right w:w="53" w:type="dxa"/>
            </w:tcMar>
            <w:vAlign w:val="center"/>
          </w:tcPr>
          <w:p w14:paraId="62F91589" w14:textId="77777777" w:rsidR="001614AC" w:rsidRDefault="004468F9">
            <w:pPr>
              <w:spacing w:line="288" w:lineRule="auto"/>
              <w:ind w:left="90"/>
            </w:pPr>
            <w:r>
              <w:rPr>
                <w:rFonts w:ascii="Arial" w:eastAsia="Arial" w:hAnsi="Arial" w:cs="Arial"/>
                <w:color w:val="000000"/>
                <w:sz w:val="18"/>
              </w:rPr>
              <w:t xml:space="preserve">Radian’s </w:t>
            </w:r>
            <w:r>
              <w:rPr>
                <w:rFonts w:ascii="Arial" w:eastAsia="Arial" w:hAnsi="Arial" w:cs="Arial"/>
                <w:color w:val="000000"/>
                <w:sz w:val="18"/>
              </w:rPr>
              <w:t>non-reportable operating segments and other business activities, including: (i) income (losses) from assets held by our holding company; (ii) related general corporate operating expenses not attributable or allocated to our reportable segments; (iii) for a</w:t>
            </w:r>
            <w:r>
              <w:rPr>
                <w:rFonts w:ascii="Arial" w:eastAsia="Arial" w:hAnsi="Arial" w:cs="Arial"/>
                <w:color w:val="000000"/>
                <w:sz w:val="18"/>
              </w:rPr>
              <w:t>ll periods prior to its sale in the first quarter of 2020, income and expenses related to Clayton; (iv) for all periods presented, the income and expenses related to our traditional appraisal services; and (v) certain other immaterial revenue and expense i</w:t>
            </w:r>
            <w:r>
              <w:rPr>
                <w:rFonts w:ascii="Arial" w:eastAsia="Arial" w:hAnsi="Arial" w:cs="Arial"/>
                <w:color w:val="000000"/>
                <w:sz w:val="18"/>
              </w:rPr>
              <w:t>tems</w:t>
            </w:r>
          </w:p>
        </w:tc>
      </w:tr>
      <w:tr w:rsidR="001614AC" w14:paraId="41F54EC0" w14:textId="77777777">
        <w:trPr>
          <w:cantSplit/>
        </w:trPr>
        <w:tc>
          <w:tcPr>
            <w:tcW w:w="1905" w:type="dxa"/>
            <w:tcBorders>
              <w:top w:val="nil"/>
              <w:left w:val="nil"/>
              <w:bottom w:val="nil"/>
              <w:right w:val="nil"/>
            </w:tcBorders>
            <w:shd w:val="clear" w:color="auto" w:fill="F4F4F4"/>
            <w:tcMar>
              <w:top w:w="0" w:type="dxa"/>
              <w:left w:w="53" w:type="dxa"/>
              <w:bottom w:w="0" w:type="dxa"/>
              <w:right w:w="53" w:type="dxa"/>
            </w:tcMar>
            <w:vAlign w:val="center"/>
          </w:tcPr>
          <w:p w14:paraId="30F63E40" w14:textId="77777777" w:rsidR="001614AC" w:rsidRDefault="004468F9">
            <w:pPr>
              <w:spacing w:line="288" w:lineRule="auto"/>
            </w:pPr>
            <w:r>
              <w:rPr>
                <w:rFonts w:ascii="Arial" w:eastAsia="Arial" w:hAnsi="Arial" w:cs="Arial"/>
                <w:color w:val="000000"/>
                <w:sz w:val="18"/>
              </w:rPr>
              <w:t>ASU</w:t>
            </w:r>
          </w:p>
        </w:tc>
        <w:tc>
          <w:tcPr>
            <w:tcW w:w="8175" w:type="dxa"/>
            <w:tcBorders>
              <w:top w:val="nil"/>
              <w:left w:val="nil"/>
              <w:bottom w:val="nil"/>
              <w:right w:val="nil"/>
            </w:tcBorders>
            <w:shd w:val="clear" w:color="auto" w:fill="F4F4F4"/>
            <w:tcMar>
              <w:top w:w="0" w:type="dxa"/>
              <w:left w:w="53" w:type="dxa"/>
              <w:bottom w:w="0" w:type="dxa"/>
              <w:right w:w="53" w:type="dxa"/>
            </w:tcMar>
            <w:vAlign w:val="center"/>
          </w:tcPr>
          <w:p w14:paraId="71BEDB70" w14:textId="77777777" w:rsidR="001614AC" w:rsidRDefault="004468F9">
            <w:pPr>
              <w:spacing w:line="288" w:lineRule="auto"/>
              <w:ind w:left="90"/>
            </w:pPr>
            <w:r>
              <w:rPr>
                <w:rFonts w:ascii="Arial" w:eastAsia="Arial" w:hAnsi="Arial" w:cs="Arial"/>
                <w:color w:val="000000"/>
                <w:sz w:val="18"/>
              </w:rPr>
              <w:t>Accounting Standards Update, issued by the FASB to communicate changes to GAAP</w:t>
            </w:r>
          </w:p>
        </w:tc>
      </w:tr>
      <w:tr w:rsidR="001614AC" w14:paraId="49764435" w14:textId="77777777">
        <w:trPr>
          <w:cantSplit/>
        </w:trPr>
        <w:tc>
          <w:tcPr>
            <w:tcW w:w="1905" w:type="dxa"/>
            <w:tcBorders>
              <w:top w:val="nil"/>
              <w:left w:val="nil"/>
              <w:bottom w:val="nil"/>
              <w:right w:val="nil"/>
            </w:tcBorders>
            <w:shd w:val="clear" w:color="auto" w:fill="FFFFFF"/>
            <w:tcMar>
              <w:top w:w="0" w:type="dxa"/>
              <w:left w:w="53" w:type="dxa"/>
              <w:bottom w:w="0" w:type="dxa"/>
              <w:right w:w="53" w:type="dxa"/>
            </w:tcMar>
            <w:vAlign w:val="center"/>
          </w:tcPr>
          <w:p w14:paraId="7ADAE759" w14:textId="77777777" w:rsidR="001614AC" w:rsidRDefault="004468F9">
            <w:pPr>
              <w:spacing w:line="288" w:lineRule="auto"/>
            </w:pPr>
            <w:r>
              <w:rPr>
                <w:rFonts w:ascii="Arial" w:eastAsia="Arial" w:hAnsi="Arial" w:cs="Arial"/>
                <w:color w:val="000000"/>
                <w:sz w:val="18"/>
              </w:rPr>
              <w:t>Available Assets</w:t>
            </w:r>
          </w:p>
        </w:tc>
        <w:tc>
          <w:tcPr>
            <w:tcW w:w="8175" w:type="dxa"/>
            <w:tcBorders>
              <w:top w:val="nil"/>
              <w:left w:val="nil"/>
              <w:bottom w:val="nil"/>
              <w:right w:val="nil"/>
            </w:tcBorders>
            <w:shd w:val="clear" w:color="auto" w:fill="FFFFFF"/>
            <w:tcMar>
              <w:top w:w="0" w:type="dxa"/>
              <w:left w:w="53" w:type="dxa"/>
              <w:bottom w:w="0" w:type="dxa"/>
              <w:right w:w="53" w:type="dxa"/>
            </w:tcMar>
            <w:vAlign w:val="center"/>
          </w:tcPr>
          <w:p w14:paraId="3AEA4C1A" w14:textId="77777777" w:rsidR="001614AC" w:rsidRDefault="004468F9">
            <w:pPr>
              <w:spacing w:line="288" w:lineRule="auto"/>
              <w:ind w:left="90"/>
            </w:pPr>
            <w:r>
              <w:rPr>
                <w:rFonts w:ascii="Arial" w:eastAsia="Arial" w:hAnsi="Arial" w:cs="Arial"/>
                <w:color w:val="000000"/>
                <w:sz w:val="18"/>
              </w:rPr>
              <w:t xml:space="preserve">As defined in the PMIERs, assets primarily including the most liquid assets of a mortgage insurer, and reduced by, among other items, </w:t>
            </w:r>
            <w:r>
              <w:rPr>
                <w:rFonts w:ascii="Arial" w:eastAsia="Arial" w:hAnsi="Arial" w:cs="Arial"/>
                <w:color w:val="000000"/>
                <w:sz w:val="18"/>
              </w:rPr>
              <w:t>premiums received but not yet earned and reinsurance funds withheld</w:t>
            </w:r>
          </w:p>
        </w:tc>
      </w:tr>
      <w:tr w:rsidR="001614AC" w14:paraId="6E288D92" w14:textId="77777777">
        <w:trPr>
          <w:cantSplit/>
        </w:trPr>
        <w:tc>
          <w:tcPr>
            <w:tcW w:w="1905" w:type="dxa"/>
            <w:tcBorders>
              <w:top w:val="nil"/>
              <w:left w:val="nil"/>
              <w:bottom w:val="nil"/>
              <w:right w:val="nil"/>
            </w:tcBorders>
            <w:shd w:val="clear" w:color="auto" w:fill="F4F4F4"/>
            <w:tcMar>
              <w:top w:w="0" w:type="dxa"/>
              <w:left w:w="53" w:type="dxa"/>
              <w:bottom w:w="0" w:type="dxa"/>
              <w:right w:w="53" w:type="dxa"/>
            </w:tcMar>
            <w:vAlign w:val="center"/>
          </w:tcPr>
          <w:p w14:paraId="59237906" w14:textId="77777777" w:rsidR="001614AC" w:rsidRDefault="004468F9">
            <w:pPr>
              <w:spacing w:line="288" w:lineRule="auto"/>
            </w:pPr>
            <w:r>
              <w:rPr>
                <w:rFonts w:ascii="Arial" w:eastAsia="Arial" w:hAnsi="Arial" w:cs="Arial"/>
                <w:color w:val="000000"/>
                <w:sz w:val="18"/>
              </w:rPr>
              <w:t>CARES Act</w:t>
            </w:r>
          </w:p>
        </w:tc>
        <w:tc>
          <w:tcPr>
            <w:tcW w:w="8175" w:type="dxa"/>
            <w:tcBorders>
              <w:top w:val="nil"/>
              <w:left w:val="nil"/>
              <w:bottom w:val="nil"/>
              <w:right w:val="nil"/>
            </w:tcBorders>
            <w:shd w:val="clear" w:color="auto" w:fill="F4F4F4"/>
            <w:tcMar>
              <w:top w:w="0" w:type="dxa"/>
              <w:left w:w="53" w:type="dxa"/>
              <w:bottom w:w="0" w:type="dxa"/>
              <w:right w:w="53" w:type="dxa"/>
            </w:tcMar>
            <w:vAlign w:val="center"/>
          </w:tcPr>
          <w:p w14:paraId="40E6B7DE" w14:textId="77777777" w:rsidR="001614AC" w:rsidRDefault="004468F9">
            <w:pPr>
              <w:spacing w:line="288" w:lineRule="auto"/>
              <w:ind w:left="90"/>
            </w:pPr>
            <w:r>
              <w:rPr>
                <w:rFonts w:ascii="Arial" w:eastAsia="Arial" w:hAnsi="Arial" w:cs="Arial"/>
                <w:color w:val="000000"/>
                <w:sz w:val="18"/>
              </w:rPr>
              <w:t>Coronavirus Aid, Relief, and Economic Security Act signed into law on March 27, 2020</w:t>
            </w:r>
          </w:p>
        </w:tc>
      </w:tr>
      <w:tr w:rsidR="001614AC" w14:paraId="0685F2AD" w14:textId="77777777">
        <w:trPr>
          <w:cantSplit/>
        </w:trPr>
        <w:tc>
          <w:tcPr>
            <w:tcW w:w="1905" w:type="dxa"/>
            <w:tcBorders>
              <w:top w:val="nil"/>
              <w:left w:val="nil"/>
              <w:bottom w:val="nil"/>
              <w:right w:val="nil"/>
            </w:tcBorders>
            <w:shd w:val="clear" w:color="auto" w:fill="FFFFFF"/>
            <w:tcMar>
              <w:top w:w="0" w:type="dxa"/>
              <w:left w:w="53" w:type="dxa"/>
              <w:bottom w:w="0" w:type="dxa"/>
              <w:right w:w="53" w:type="dxa"/>
            </w:tcMar>
            <w:vAlign w:val="center"/>
          </w:tcPr>
          <w:p w14:paraId="24CC16A6" w14:textId="77777777" w:rsidR="001614AC" w:rsidRDefault="004468F9">
            <w:pPr>
              <w:spacing w:line="288" w:lineRule="auto"/>
            </w:pPr>
            <w:r>
              <w:rPr>
                <w:rFonts w:ascii="Arial" w:eastAsia="Arial" w:hAnsi="Arial" w:cs="Arial"/>
                <w:color w:val="000000"/>
                <w:sz w:val="18"/>
              </w:rPr>
              <w:t>Claim Curtailment</w:t>
            </w:r>
          </w:p>
        </w:tc>
        <w:tc>
          <w:tcPr>
            <w:tcW w:w="8175" w:type="dxa"/>
            <w:tcBorders>
              <w:top w:val="nil"/>
              <w:left w:val="nil"/>
              <w:bottom w:val="nil"/>
              <w:right w:val="nil"/>
            </w:tcBorders>
            <w:shd w:val="clear" w:color="auto" w:fill="FFFFFF"/>
            <w:tcMar>
              <w:top w:w="0" w:type="dxa"/>
              <w:left w:w="53" w:type="dxa"/>
              <w:bottom w:w="0" w:type="dxa"/>
              <w:right w:w="53" w:type="dxa"/>
            </w:tcMar>
            <w:vAlign w:val="center"/>
          </w:tcPr>
          <w:p w14:paraId="448D947A" w14:textId="77777777" w:rsidR="001614AC" w:rsidRDefault="004468F9">
            <w:pPr>
              <w:spacing w:line="288" w:lineRule="auto"/>
              <w:ind w:left="90"/>
            </w:pPr>
            <w:r>
              <w:rPr>
                <w:rFonts w:ascii="Arial" w:eastAsia="Arial" w:hAnsi="Arial" w:cs="Arial"/>
                <w:color w:val="000000"/>
                <w:sz w:val="18"/>
              </w:rPr>
              <w:t xml:space="preserve">Our legal right, under certain conditions, to reduce the amount of a </w:t>
            </w:r>
            <w:r>
              <w:rPr>
                <w:rFonts w:ascii="Arial" w:eastAsia="Arial" w:hAnsi="Arial" w:cs="Arial"/>
                <w:color w:val="000000"/>
                <w:sz w:val="18"/>
              </w:rPr>
              <w:t>claim, including due to servicer negligence</w:t>
            </w:r>
          </w:p>
        </w:tc>
      </w:tr>
      <w:tr w:rsidR="001614AC" w14:paraId="592E1443" w14:textId="77777777">
        <w:trPr>
          <w:cantSplit/>
        </w:trPr>
        <w:tc>
          <w:tcPr>
            <w:tcW w:w="1905" w:type="dxa"/>
            <w:tcBorders>
              <w:top w:val="nil"/>
              <w:left w:val="nil"/>
              <w:bottom w:val="nil"/>
              <w:right w:val="nil"/>
            </w:tcBorders>
            <w:shd w:val="clear" w:color="auto" w:fill="F4F4F4"/>
            <w:tcMar>
              <w:top w:w="0" w:type="dxa"/>
              <w:left w:w="53" w:type="dxa"/>
              <w:bottom w:w="0" w:type="dxa"/>
              <w:right w:w="53" w:type="dxa"/>
            </w:tcMar>
            <w:vAlign w:val="center"/>
          </w:tcPr>
          <w:p w14:paraId="5BBB8EF8" w14:textId="77777777" w:rsidR="001614AC" w:rsidRDefault="004468F9">
            <w:pPr>
              <w:spacing w:line="288" w:lineRule="auto"/>
            </w:pPr>
            <w:r>
              <w:rPr>
                <w:rFonts w:ascii="Arial" w:eastAsia="Arial" w:hAnsi="Arial" w:cs="Arial"/>
                <w:color w:val="000000"/>
                <w:sz w:val="18"/>
              </w:rPr>
              <w:t>Claim Denial</w:t>
            </w:r>
          </w:p>
        </w:tc>
        <w:tc>
          <w:tcPr>
            <w:tcW w:w="8175" w:type="dxa"/>
            <w:tcBorders>
              <w:top w:val="nil"/>
              <w:left w:val="nil"/>
              <w:bottom w:val="nil"/>
              <w:right w:val="nil"/>
            </w:tcBorders>
            <w:shd w:val="clear" w:color="auto" w:fill="F4F4F4"/>
            <w:tcMar>
              <w:top w:w="0" w:type="dxa"/>
              <w:left w:w="53" w:type="dxa"/>
              <w:bottom w:w="0" w:type="dxa"/>
              <w:right w:w="53" w:type="dxa"/>
            </w:tcMar>
            <w:vAlign w:val="center"/>
          </w:tcPr>
          <w:p w14:paraId="45689BCE" w14:textId="77777777" w:rsidR="001614AC" w:rsidRDefault="004468F9">
            <w:pPr>
              <w:spacing w:line="288" w:lineRule="auto"/>
              <w:ind w:left="90"/>
            </w:pPr>
            <w:r>
              <w:rPr>
                <w:rFonts w:ascii="Arial" w:eastAsia="Arial" w:hAnsi="Arial" w:cs="Arial"/>
                <w:color w:val="000000"/>
                <w:sz w:val="18"/>
              </w:rPr>
              <w:t>Our legal right, under certain conditions, to deny a claim</w:t>
            </w:r>
          </w:p>
        </w:tc>
      </w:tr>
      <w:tr w:rsidR="001614AC" w14:paraId="23BE2C0C" w14:textId="77777777">
        <w:trPr>
          <w:cantSplit/>
        </w:trPr>
        <w:tc>
          <w:tcPr>
            <w:tcW w:w="1905" w:type="dxa"/>
            <w:tcBorders>
              <w:top w:val="nil"/>
              <w:left w:val="nil"/>
              <w:bottom w:val="nil"/>
              <w:right w:val="nil"/>
            </w:tcBorders>
            <w:shd w:val="clear" w:color="auto" w:fill="FFFFFF"/>
            <w:tcMar>
              <w:top w:w="0" w:type="dxa"/>
              <w:left w:w="53" w:type="dxa"/>
              <w:bottom w:w="0" w:type="dxa"/>
              <w:right w:w="53" w:type="dxa"/>
            </w:tcMar>
            <w:vAlign w:val="center"/>
          </w:tcPr>
          <w:p w14:paraId="57CC33CB" w14:textId="77777777" w:rsidR="001614AC" w:rsidRDefault="004468F9">
            <w:pPr>
              <w:spacing w:line="288" w:lineRule="auto"/>
            </w:pPr>
            <w:r>
              <w:rPr>
                <w:rFonts w:ascii="Arial" w:eastAsia="Arial" w:hAnsi="Arial" w:cs="Arial"/>
                <w:color w:val="000000"/>
                <w:sz w:val="18"/>
              </w:rPr>
              <w:t>Claim Severity</w:t>
            </w:r>
          </w:p>
        </w:tc>
        <w:tc>
          <w:tcPr>
            <w:tcW w:w="8175" w:type="dxa"/>
            <w:tcBorders>
              <w:top w:val="nil"/>
              <w:left w:val="nil"/>
              <w:bottom w:val="nil"/>
              <w:right w:val="nil"/>
            </w:tcBorders>
            <w:shd w:val="clear" w:color="auto" w:fill="FFFFFF"/>
            <w:tcMar>
              <w:top w:w="0" w:type="dxa"/>
              <w:left w:w="53" w:type="dxa"/>
              <w:bottom w:w="0" w:type="dxa"/>
              <w:right w:w="53" w:type="dxa"/>
            </w:tcMar>
            <w:vAlign w:val="center"/>
          </w:tcPr>
          <w:p w14:paraId="4FEBCA56" w14:textId="77777777" w:rsidR="001614AC" w:rsidRDefault="004468F9">
            <w:pPr>
              <w:spacing w:line="288" w:lineRule="auto"/>
              <w:ind w:left="90"/>
            </w:pPr>
            <w:r>
              <w:rPr>
                <w:rFonts w:ascii="Arial" w:eastAsia="Arial" w:hAnsi="Arial" w:cs="Arial"/>
                <w:color w:val="000000"/>
                <w:sz w:val="18"/>
              </w:rPr>
              <w:t>The total claim amount paid divided by the original coverage amount</w:t>
            </w:r>
          </w:p>
        </w:tc>
      </w:tr>
      <w:tr w:rsidR="001614AC" w14:paraId="660D7216" w14:textId="77777777">
        <w:trPr>
          <w:cantSplit/>
        </w:trPr>
        <w:tc>
          <w:tcPr>
            <w:tcW w:w="1905" w:type="dxa"/>
            <w:tcBorders>
              <w:top w:val="nil"/>
              <w:left w:val="nil"/>
              <w:bottom w:val="nil"/>
              <w:right w:val="nil"/>
            </w:tcBorders>
            <w:shd w:val="clear" w:color="auto" w:fill="F4F4F4"/>
            <w:tcMar>
              <w:top w:w="0" w:type="dxa"/>
              <w:left w:w="53" w:type="dxa"/>
              <w:bottom w:w="0" w:type="dxa"/>
              <w:right w:w="53" w:type="dxa"/>
            </w:tcMar>
            <w:vAlign w:val="center"/>
          </w:tcPr>
          <w:p w14:paraId="51AC83ED" w14:textId="77777777" w:rsidR="001614AC" w:rsidRDefault="004468F9">
            <w:pPr>
              <w:spacing w:line="288" w:lineRule="auto"/>
            </w:pPr>
            <w:r>
              <w:rPr>
                <w:rFonts w:ascii="Arial" w:eastAsia="Arial" w:hAnsi="Arial" w:cs="Arial"/>
                <w:color w:val="000000"/>
                <w:sz w:val="18"/>
              </w:rPr>
              <w:t>Clayton</w:t>
            </w:r>
          </w:p>
        </w:tc>
        <w:tc>
          <w:tcPr>
            <w:tcW w:w="8175" w:type="dxa"/>
            <w:tcBorders>
              <w:top w:val="nil"/>
              <w:left w:val="nil"/>
              <w:bottom w:val="nil"/>
              <w:right w:val="nil"/>
            </w:tcBorders>
            <w:shd w:val="clear" w:color="auto" w:fill="F4F4F4"/>
            <w:tcMar>
              <w:top w:w="0" w:type="dxa"/>
              <w:left w:w="53" w:type="dxa"/>
              <w:bottom w:w="0" w:type="dxa"/>
              <w:right w:w="53" w:type="dxa"/>
            </w:tcMar>
            <w:vAlign w:val="center"/>
          </w:tcPr>
          <w:p w14:paraId="624E0472" w14:textId="77777777" w:rsidR="001614AC" w:rsidRDefault="004468F9">
            <w:pPr>
              <w:spacing w:line="288" w:lineRule="auto"/>
              <w:ind w:left="90"/>
            </w:pPr>
            <w:r>
              <w:rPr>
                <w:rFonts w:ascii="Arial" w:eastAsia="Arial" w:hAnsi="Arial" w:cs="Arial"/>
                <w:color w:val="000000"/>
                <w:sz w:val="18"/>
              </w:rPr>
              <w:t xml:space="preserve">Clayton Services LLC, a former </w:t>
            </w:r>
            <w:r>
              <w:rPr>
                <w:rFonts w:ascii="Arial" w:eastAsia="Arial" w:hAnsi="Arial" w:cs="Arial"/>
                <w:color w:val="000000"/>
                <w:sz w:val="18"/>
              </w:rPr>
              <w:t>indirect subsidiary of Radian Group that was sold on January 21, 2020, through which we provided services related to loan acquisition, RMBS securitization and distressed asset reviews and servicer and loan surveillance</w:t>
            </w:r>
          </w:p>
        </w:tc>
      </w:tr>
      <w:tr w:rsidR="001614AC" w14:paraId="3193FC05" w14:textId="77777777">
        <w:trPr>
          <w:cantSplit/>
        </w:trPr>
        <w:tc>
          <w:tcPr>
            <w:tcW w:w="1905" w:type="dxa"/>
            <w:tcBorders>
              <w:top w:val="nil"/>
              <w:left w:val="nil"/>
              <w:bottom w:val="nil"/>
              <w:right w:val="nil"/>
            </w:tcBorders>
            <w:shd w:val="clear" w:color="auto" w:fill="FFFFFF"/>
            <w:tcMar>
              <w:top w:w="0" w:type="dxa"/>
              <w:left w:w="53" w:type="dxa"/>
              <w:bottom w:w="0" w:type="dxa"/>
              <w:right w:w="53" w:type="dxa"/>
            </w:tcMar>
            <w:vAlign w:val="center"/>
          </w:tcPr>
          <w:p w14:paraId="2CDEACAE" w14:textId="77777777" w:rsidR="001614AC" w:rsidRDefault="004468F9">
            <w:pPr>
              <w:spacing w:line="288" w:lineRule="auto"/>
            </w:pPr>
            <w:r>
              <w:rPr>
                <w:rFonts w:ascii="Arial" w:eastAsia="Arial" w:hAnsi="Arial" w:cs="Arial"/>
                <w:color w:val="000000"/>
                <w:sz w:val="18"/>
              </w:rPr>
              <w:t>CLO</w:t>
            </w:r>
          </w:p>
        </w:tc>
        <w:tc>
          <w:tcPr>
            <w:tcW w:w="8175" w:type="dxa"/>
            <w:tcBorders>
              <w:top w:val="nil"/>
              <w:left w:val="nil"/>
              <w:bottom w:val="nil"/>
              <w:right w:val="nil"/>
            </w:tcBorders>
            <w:shd w:val="clear" w:color="auto" w:fill="FFFFFF"/>
            <w:tcMar>
              <w:top w:w="0" w:type="dxa"/>
              <w:left w:w="53" w:type="dxa"/>
              <w:bottom w:w="0" w:type="dxa"/>
              <w:right w:w="53" w:type="dxa"/>
            </w:tcMar>
            <w:vAlign w:val="center"/>
          </w:tcPr>
          <w:p w14:paraId="75935E42" w14:textId="77777777" w:rsidR="001614AC" w:rsidRDefault="004468F9">
            <w:pPr>
              <w:spacing w:line="288" w:lineRule="auto"/>
              <w:ind w:left="90"/>
            </w:pPr>
            <w:r>
              <w:rPr>
                <w:rFonts w:ascii="Arial" w:eastAsia="Arial" w:hAnsi="Arial" w:cs="Arial"/>
                <w:color w:val="000000"/>
                <w:sz w:val="18"/>
              </w:rPr>
              <w:t xml:space="preserve">Collateralized loan </w:t>
            </w:r>
            <w:r>
              <w:rPr>
                <w:rFonts w:ascii="Arial" w:eastAsia="Arial" w:hAnsi="Arial" w:cs="Arial"/>
                <w:color w:val="000000"/>
                <w:sz w:val="18"/>
              </w:rPr>
              <w:t>obligations</w:t>
            </w:r>
          </w:p>
        </w:tc>
      </w:tr>
      <w:tr w:rsidR="001614AC" w14:paraId="6F24FBF4" w14:textId="77777777">
        <w:trPr>
          <w:cantSplit/>
        </w:trPr>
        <w:tc>
          <w:tcPr>
            <w:tcW w:w="1905" w:type="dxa"/>
            <w:tcBorders>
              <w:top w:val="nil"/>
              <w:left w:val="nil"/>
              <w:bottom w:val="nil"/>
              <w:right w:val="nil"/>
            </w:tcBorders>
            <w:shd w:val="clear" w:color="auto" w:fill="F4F4F4"/>
            <w:tcMar>
              <w:top w:w="0" w:type="dxa"/>
              <w:left w:w="53" w:type="dxa"/>
              <w:bottom w:w="0" w:type="dxa"/>
              <w:right w:w="53" w:type="dxa"/>
            </w:tcMar>
            <w:vAlign w:val="center"/>
          </w:tcPr>
          <w:p w14:paraId="153810FA" w14:textId="77777777" w:rsidR="001614AC" w:rsidRDefault="004468F9">
            <w:pPr>
              <w:spacing w:line="288" w:lineRule="auto"/>
            </w:pPr>
            <w:r>
              <w:rPr>
                <w:rFonts w:ascii="Arial" w:eastAsia="Arial" w:hAnsi="Arial" w:cs="Arial"/>
                <w:color w:val="000000"/>
                <w:sz w:val="18"/>
              </w:rPr>
              <w:t>CMBS</w:t>
            </w:r>
          </w:p>
        </w:tc>
        <w:tc>
          <w:tcPr>
            <w:tcW w:w="8175" w:type="dxa"/>
            <w:tcBorders>
              <w:top w:val="nil"/>
              <w:left w:val="nil"/>
              <w:bottom w:val="nil"/>
              <w:right w:val="nil"/>
            </w:tcBorders>
            <w:shd w:val="clear" w:color="auto" w:fill="F4F4F4"/>
            <w:tcMar>
              <w:top w:w="0" w:type="dxa"/>
              <w:left w:w="53" w:type="dxa"/>
              <w:bottom w:w="0" w:type="dxa"/>
              <w:right w:w="53" w:type="dxa"/>
            </w:tcMar>
            <w:vAlign w:val="center"/>
          </w:tcPr>
          <w:p w14:paraId="22F01366" w14:textId="77777777" w:rsidR="001614AC" w:rsidRDefault="004468F9">
            <w:pPr>
              <w:spacing w:line="288" w:lineRule="auto"/>
              <w:ind w:left="90"/>
            </w:pPr>
            <w:r>
              <w:rPr>
                <w:rFonts w:ascii="Arial" w:eastAsia="Arial" w:hAnsi="Arial" w:cs="Arial"/>
                <w:color w:val="000000"/>
                <w:sz w:val="18"/>
              </w:rPr>
              <w:t>Commercial mortgage-backed securities</w:t>
            </w:r>
          </w:p>
        </w:tc>
      </w:tr>
      <w:tr w:rsidR="001614AC" w14:paraId="6FEE0F6E" w14:textId="77777777">
        <w:trPr>
          <w:cantSplit/>
        </w:trPr>
        <w:tc>
          <w:tcPr>
            <w:tcW w:w="1905" w:type="dxa"/>
            <w:tcBorders>
              <w:top w:val="nil"/>
              <w:left w:val="nil"/>
              <w:bottom w:val="nil"/>
              <w:right w:val="nil"/>
            </w:tcBorders>
            <w:shd w:val="clear" w:color="auto" w:fill="FFFFFF"/>
            <w:tcMar>
              <w:top w:w="0" w:type="dxa"/>
              <w:left w:w="53" w:type="dxa"/>
              <w:bottom w:w="0" w:type="dxa"/>
              <w:right w:w="53" w:type="dxa"/>
            </w:tcMar>
            <w:vAlign w:val="center"/>
          </w:tcPr>
          <w:p w14:paraId="78E2BFEA" w14:textId="77777777" w:rsidR="001614AC" w:rsidRDefault="004468F9">
            <w:pPr>
              <w:spacing w:line="288" w:lineRule="auto"/>
            </w:pPr>
            <w:r>
              <w:rPr>
                <w:rFonts w:ascii="Arial" w:eastAsia="Arial" w:hAnsi="Arial" w:cs="Arial"/>
                <w:color w:val="000000"/>
                <w:sz w:val="18"/>
              </w:rPr>
              <w:t>COVID-19</w:t>
            </w:r>
          </w:p>
        </w:tc>
        <w:tc>
          <w:tcPr>
            <w:tcW w:w="8175" w:type="dxa"/>
            <w:tcBorders>
              <w:top w:val="nil"/>
              <w:left w:val="nil"/>
              <w:bottom w:val="nil"/>
              <w:right w:val="nil"/>
            </w:tcBorders>
            <w:shd w:val="clear" w:color="auto" w:fill="FFFFFF"/>
            <w:tcMar>
              <w:top w:w="0" w:type="dxa"/>
              <w:left w:w="53" w:type="dxa"/>
              <w:bottom w:w="0" w:type="dxa"/>
              <w:right w:w="53" w:type="dxa"/>
            </w:tcMar>
            <w:vAlign w:val="center"/>
          </w:tcPr>
          <w:p w14:paraId="2DE97303" w14:textId="77777777" w:rsidR="001614AC" w:rsidRDefault="004468F9">
            <w:pPr>
              <w:spacing w:line="288" w:lineRule="auto"/>
              <w:ind w:left="90"/>
            </w:pPr>
            <w:r>
              <w:rPr>
                <w:rFonts w:ascii="Arial" w:eastAsia="Arial" w:hAnsi="Arial" w:cs="Arial"/>
                <w:color w:val="000000"/>
                <w:sz w:val="18"/>
              </w:rPr>
              <w:t>The novel coronavirus disease declared a pandemic by the World Health Organization and the Centers for Disease Control and Prevention in March 2020</w:t>
            </w:r>
          </w:p>
        </w:tc>
      </w:tr>
      <w:tr w:rsidR="001614AC" w14:paraId="54B282D3" w14:textId="77777777">
        <w:trPr>
          <w:cantSplit/>
        </w:trPr>
        <w:tc>
          <w:tcPr>
            <w:tcW w:w="1905" w:type="dxa"/>
            <w:tcBorders>
              <w:top w:val="nil"/>
              <w:left w:val="nil"/>
              <w:bottom w:val="nil"/>
              <w:right w:val="nil"/>
            </w:tcBorders>
            <w:shd w:val="clear" w:color="auto" w:fill="F4F4F4"/>
            <w:tcMar>
              <w:top w:w="0" w:type="dxa"/>
              <w:left w:w="53" w:type="dxa"/>
              <w:bottom w:w="0" w:type="dxa"/>
              <w:right w:w="53" w:type="dxa"/>
            </w:tcMar>
            <w:vAlign w:val="center"/>
          </w:tcPr>
          <w:p w14:paraId="1AD2EAE5" w14:textId="77777777" w:rsidR="001614AC" w:rsidRDefault="004468F9">
            <w:pPr>
              <w:spacing w:line="288" w:lineRule="auto"/>
            </w:pPr>
            <w:r>
              <w:rPr>
                <w:rFonts w:ascii="Arial" w:eastAsia="Arial" w:hAnsi="Arial" w:cs="Arial"/>
                <w:color w:val="000000"/>
                <w:sz w:val="18"/>
              </w:rPr>
              <w:t>COVID-19 Amendment</w:t>
            </w:r>
          </w:p>
        </w:tc>
        <w:tc>
          <w:tcPr>
            <w:tcW w:w="8175" w:type="dxa"/>
            <w:tcBorders>
              <w:top w:val="nil"/>
              <w:left w:val="nil"/>
              <w:bottom w:val="nil"/>
              <w:right w:val="nil"/>
            </w:tcBorders>
            <w:shd w:val="clear" w:color="auto" w:fill="F4F4F4"/>
            <w:tcMar>
              <w:top w:w="0" w:type="dxa"/>
              <w:left w:w="53" w:type="dxa"/>
              <w:bottom w:w="0" w:type="dxa"/>
              <w:right w:w="53" w:type="dxa"/>
            </w:tcMar>
            <w:vAlign w:val="center"/>
          </w:tcPr>
          <w:p w14:paraId="288A1774" w14:textId="77777777" w:rsidR="001614AC" w:rsidRDefault="004468F9">
            <w:pPr>
              <w:spacing w:line="288" w:lineRule="auto"/>
              <w:ind w:left="90"/>
            </w:pPr>
            <w:r>
              <w:rPr>
                <w:rFonts w:ascii="Arial" w:eastAsia="Arial" w:hAnsi="Arial" w:cs="Arial"/>
                <w:color w:val="000000"/>
                <w:sz w:val="18"/>
              </w:rPr>
              <w:t xml:space="preserve">Amendment to the </w:t>
            </w:r>
            <w:r>
              <w:rPr>
                <w:rFonts w:ascii="Arial" w:eastAsia="Arial" w:hAnsi="Arial" w:cs="Arial"/>
                <w:color w:val="000000"/>
                <w:sz w:val="18"/>
              </w:rPr>
              <w:t>PMIERs effective June 30, 2020, primarily to recognize the COVID-19 pandemic as a nationwide “FEMA Declared Major Disaster” and to set forth guidelines on the application of the Disaster Related Capital Charge to COVID-19 Defaulted Loans</w:t>
            </w:r>
          </w:p>
        </w:tc>
      </w:tr>
      <w:tr w:rsidR="001614AC" w14:paraId="414EFFF5" w14:textId="77777777">
        <w:trPr>
          <w:cantSplit/>
        </w:trPr>
        <w:tc>
          <w:tcPr>
            <w:tcW w:w="1905" w:type="dxa"/>
            <w:tcBorders>
              <w:top w:val="nil"/>
              <w:left w:val="nil"/>
              <w:bottom w:val="nil"/>
              <w:right w:val="nil"/>
            </w:tcBorders>
            <w:shd w:val="clear" w:color="auto" w:fill="FFFFFF"/>
            <w:tcMar>
              <w:top w:w="0" w:type="dxa"/>
              <w:left w:w="53" w:type="dxa"/>
              <w:bottom w:w="0" w:type="dxa"/>
              <w:right w:w="53" w:type="dxa"/>
            </w:tcMar>
            <w:vAlign w:val="center"/>
          </w:tcPr>
          <w:p w14:paraId="5F51AFA4" w14:textId="77777777" w:rsidR="001614AC" w:rsidRDefault="004468F9">
            <w:pPr>
              <w:spacing w:line="288" w:lineRule="auto"/>
            </w:pPr>
            <w:r>
              <w:rPr>
                <w:rFonts w:ascii="Arial" w:eastAsia="Arial" w:hAnsi="Arial" w:cs="Arial"/>
                <w:color w:val="000000"/>
                <w:sz w:val="18"/>
              </w:rPr>
              <w:t xml:space="preserve">COVID-19 </w:t>
            </w:r>
            <w:r>
              <w:rPr>
                <w:rFonts w:ascii="Arial" w:eastAsia="Arial" w:hAnsi="Arial" w:cs="Arial"/>
                <w:color w:val="000000"/>
                <w:sz w:val="18"/>
              </w:rPr>
              <w:t>Crisis Period</w:t>
            </w:r>
          </w:p>
        </w:tc>
        <w:tc>
          <w:tcPr>
            <w:tcW w:w="8175" w:type="dxa"/>
            <w:tcBorders>
              <w:top w:val="nil"/>
              <w:left w:val="nil"/>
              <w:bottom w:val="nil"/>
              <w:right w:val="nil"/>
            </w:tcBorders>
            <w:shd w:val="clear" w:color="auto" w:fill="FFFFFF"/>
            <w:tcMar>
              <w:top w:w="0" w:type="dxa"/>
              <w:left w:w="53" w:type="dxa"/>
              <w:bottom w:w="0" w:type="dxa"/>
              <w:right w:w="53" w:type="dxa"/>
            </w:tcMar>
            <w:vAlign w:val="center"/>
          </w:tcPr>
          <w:p w14:paraId="5BCC225C" w14:textId="77777777" w:rsidR="001614AC" w:rsidRDefault="004468F9">
            <w:pPr>
              <w:spacing w:line="288" w:lineRule="auto"/>
              <w:ind w:left="90"/>
            </w:pPr>
            <w:r>
              <w:rPr>
                <w:rFonts w:ascii="Arial" w:eastAsia="Arial" w:hAnsi="Arial" w:cs="Arial"/>
                <w:color w:val="000000"/>
                <w:sz w:val="18"/>
              </w:rPr>
              <w:t>Time period extending from March 1, 2020 to March 31, 2021</w:t>
            </w:r>
          </w:p>
        </w:tc>
      </w:tr>
      <w:tr w:rsidR="001614AC" w14:paraId="2B88CD36" w14:textId="77777777">
        <w:trPr>
          <w:cantSplit/>
        </w:trPr>
        <w:tc>
          <w:tcPr>
            <w:tcW w:w="1905" w:type="dxa"/>
            <w:tcBorders>
              <w:top w:val="nil"/>
              <w:left w:val="nil"/>
              <w:bottom w:val="nil"/>
              <w:right w:val="nil"/>
            </w:tcBorders>
            <w:shd w:val="clear" w:color="auto" w:fill="F4F4F4"/>
            <w:tcMar>
              <w:top w:w="0" w:type="dxa"/>
              <w:left w:w="53" w:type="dxa"/>
              <w:bottom w:w="0" w:type="dxa"/>
              <w:right w:w="53" w:type="dxa"/>
            </w:tcMar>
            <w:vAlign w:val="center"/>
          </w:tcPr>
          <w:p w14:paraId="0EBE405C" w14:textId="77777777" w:rsidR="001614AC" w:rsidRDefault="004468F9">
            <w:pPr>
              <w:spacing w:line="288" w:lineRule="auto"/>
            </w:pPr>
            <w:r>
              <w:rPr>
                <w:rFonts w:ascii="Arial" w:eastAsia="Arial" w:hAnsi="Arial" w:cs="Arial"/>
                <w:color w:val="000000"/>
                <w:sz w:val="18"/>
              </w:rPr>
              <w:t>COVID-19 Defaulted Loans</w:t>
            </w:r>
          </w:p>
        </w:tc>
        <w:tc>
          <w:tcPr>
            <w:tcW w:w="8175" w:type="dxa"/>
            <w:tcBorders>
              <w:top w:val="nil"/>
              <w:left w:val="nil"/>
              <w:bottom w:val="nil"/>
              <w:right w:val="nil"/>
            </w:tcBorders>
            <w:shd w:val="clear" w:color="auto" w:fill="F4F4F4"/>
            <w:tcMar>
              <w:top w:w="0" w:type="dxa"/>
              <w:left w:w="53" w:type="dxa"/>
              <w:bottom w:w="0" w:type="dxa"/>
              <w:right w:w="53" w:type="dxa"/>
            </w:tcMar>
            <w:vAlign w:val="center"/>
          </w:tcPr>
          <w:p w14:paraId="33B7C18B" w14:textId="77777777" w:rsidR="001614AC" w:rsidRDefault="004468F9">
            <w:pPr>
              <w:spacing w:line="288" w:lineRule="auto"/>
              <w:ind w:left="90"/>
            </w:pPr>
            <w:r>
              <w:rPr>
                <w:rFonts w:ascii="Arial" w:eastAsia="Arial" w:hAnsi="Arial" w:cs="Arial"/>
                <w:color w:val="000000"/>
                <w:sz w:val="18"/>
              </w:rPr>
              <w:t xml:space="preserve">All non-performing loans that either: (i) have an Initial Missed Payment occurring during the COVID-19 Crisis Period or (ii) are subject to a </w:t>
            </w:r>
            <w:r>
              <w:rPr>
                <w:rFonts w:ascii="Arial" w:eastAsia="Arial" w:hAnsi="Arial" w:cs="Arial"/>
                <w:color w:val="000000"/>
                <w:sz w:val="18"/>
              </w:rPr>
              <w:t>forbearance plan granted in response to a financial hardship related to COVID-19 (which is assumed under the COVID-19 Amendment to be the case for any loan that has an Initial Missed Payment occurring during the COVID-19 Crisis Period and is subject to a f</w:t>
            </w:r>
            <w:r>
              <w:rPr>
                <w:rFonts w:ascii="Arial" w:eastAsia="Arial" w:hAnsi="Arial" w:cs="Arial"/>
                <w:color w:val="000000"/>
                <w:sz w:val="18"/>
              </w:rPr>
              <w:t>orbearance plan), the terms of which are materially consistent with the terms of forbearance plans offered by the GSEs</w:t>
            </w:r>
          </w:p>
        </w:tc>
      </w:tr>
      <w:tr w:rsidR="001614AC" w14:paraId="010A395A" w14:textId="77777777">
        <w:trPr>
          <w:cantSplit/>
        </w:trPr>
        <w:tc>
          <w:tcPr>
            <w:tcW w:w="1905" w:type="dxa"/>
            <w:tcBorders>
              <w:top w:val="nil"/>
              <w:left w:val="nil"/>
              <w:bottom w:val="nil"/>
              <w:right w:val="nil"/>
            </w:tcBorders>
            <w:shd w:val="clear" w:color="auto" w:fill="FFFFFF"/>
            <w:tcMar>
              <w:top w:w="0" w:type="dxa"/>
              <w:left w:w="53" w:type="dxa"/>
              <w:bottom w:w="0" w:type="dxa"/>
              <w:right w:w="53" w:type="dxa"/>
            </w:tcMar>
            <w:vAlign w:val="center"/>
          </w:tcPr>
          <w:p w14:paraId="3A3550AE" w14:textId="77777777" w:rsidR="001614AC" w:rsidRDefault="004468F9">
            <w:pPr>
              <w:spacing w:line="288" w:lineRule="auto"/>
            </w:pPr>
            <w:r>
              <w:rPr>
                <w:rFonts w:ascii="Arial" w:eastAsia="Arial" w:hAnsi="Arial" w:cs="Arial"/>
                <w:color w:val="000000"/>
                <w:sz w:val="18"/>
              </w:rPr>
              <w:t>Cures</w:t>
            </w:r>
          </w:p>
        </w:tc>
        <w:tc>
          <w:tcPr>
            <w:tcW w:w="8175" w:type="dxa"/>
            <w:tcBorders>
              <w:top w:val="nil"/>
              <w:left w:val="nil"/>
              <w:bottom w:val="nil"/>
              <w:right w:val="nil"/>
            </w:tcBorders>
            <w:shd w:val="clear" w:color="auto" w:fill="FFFFFF"/>
            <w:tcMar>
              <w:top w:w="0" w:type="dxa"/>
              <w:left w:w="53" w:type="dxa"/>
              <w:bottom w:w="0" w:type="dxa"/>
              <w:right w:w="53" w:type="dxa"/>
            </w:tcMar>
            <w:vAlign w:val="center"/>
          </w:tcPr>
          <w:p w14:paraId="2A6508AA" w14:textId="77777777" w:rsidR="001614AC" w:rsidRDefault="004468F9">
            <w:pPr>
              <w:spacing w:line="288" w:lineRule="auto"/>
              <w:ind w:left="90"/>
            </w:pPr>
            <w:r>
              <w:rPr>
                <w:rFonts w:ascii="Arial" w:eastAsia="Arial" w:hAnsi="Arial" w:cs="Arial"/>
                <w:color w:val="000000"/>
                <w:sz w:val="18"/>
              </w:rPr>
              <w:t xml:space="preserve">Loans that were in default as of the beginning of a period and are no longer in default because payments were received such </w:t>
            </w:r>
            <w:r>
              <w:rPr>
                <w:rFonts w:ascii="Arial" w:eastAsia="Arial" w:hAnsi="Arial" w:cs="Arial"/>
                <w:color w:val="000000"/>
                <w:sz w:val="18"/>
              </w:rPr>
              <w:t>that the loan is no longer 60 or more days past due</w:t>
            </w:r>
          </w:p>
        </w:tc>
      </w:tr>
      <w:tr w:rsidR="001614AC" w14:paraId="42199301" w14:textId="77777777">
        <w:trPr>
          <w:cantSplit/>
        </w:trPr>
        <w:tc>
          <w:tcPr>
            <w:tcW w:w="1905" w:type="dxa"/>
            <w:tcBorders>
              <w:top w:val="nil"/>
              <w:left w:val="nil"/>
              <w:bottom w:val="nil"/>
              <w:right w:val="nil"/>
            </w:tcBorders>
            <w:shd w:val="clear" w:color="auto" w:fill="F4F4F4"/>
            <w:tcMar>
              <w:top w:w="0" w:type="dxa"/>
              <w:left w:w="53" w:type="dxa"/>
              <w:bottom w:w="0" w:type="dxa"/>
              <w:right w:w="53" w:type="dxa"/>
            </w:tcMar>
            <w:vAlign w:val="center"/>
          </w:tcPr>
          <w:p w14:paraId="0046F223" w14:textId="77777777" w:rsidR="001614AC" w:rsidRDefault="004468F9">
            <w:pPr>
              <w:spacing w:line="288" w:lineRule="auto"/>
            </w:pPr>
            <w:r>
              <w:rPr>
                <w:rFonts w:ascii="Arial" w:eastAsia="Arial" w:hAnsi="Arial" w:cs="Arial"/>
                <w:color w:val="000000"/>
                <w:sz w:val="18"/>
              </w:rPr>
              <w:t>Default to Claim Rate</w:t>
            </w:r>
          </w:p>
        </w:tc>
        <w:tc>
          <w:tcPr>
            <w:tcW w:w="8175" w:type="dxa"/>
            <w:tcBorders>
              <w:top w:val="nil"/>
              <w:left w:val="nil"/>
              <w:bottom w:val="nil"/>
              <w:right w:val="nil"/>
            </w:tcBorders>
            <w:shd w:val="clear" w:color="auto" w:fill="F4F4F4"/>
            <w:tcMar>
              <w:top w:w="0" w:type="dxa"/>
              <w:left w:w="53" w:type="dxa"/>
              <w:bottom w:w="0" w:type="dxa"/>
              <w:right w:w="53" w:type="dxa"/>
            </w:tcMar>
            <w:vAlign w:val="center"/>
          </w:tcPr>
          <w:p w14:paraId="3CC3E449" w14:textId="77777777" w:rsidR="001614AC" w:rsidRDefault="004468F9">
            <w:pPr>
              <w:spacing w:line="288" w:lineRule="auto"/>
              <w:ind w:left="90"/>
            </w:pPr>
            <w:r>
              <w:rPr>
                <w:rFonts w:ascii="Arial" w:eastAsia="Arial" w:hAnsi="Arial" w:cs="Arial"/>
                <w:color w:val="000000"/>
                <w:sz w:val="18"/>
              </w:rPr>
              <w:t>The percentage of defaulted loans that are assumed to result in a claim</w:t>
            </w:r>
          </w:p>
        </w:tc>
      </w:tr>
      <w:tr w:rsidR="001614AC" w14:paraId="1DB5AD0A" w14:textId="77777777">
        <w:trPr>
          <w:cantSplit/>
        </w:trPr>
        <w:tc>
          <w:tcPr>
            <w:tcW w:w="1905" w:type="dxa"/>
            <w:tcBorders>
              <w:top w:val="nil"/>
              <w:left w:val="nil"/>
              <w:bottom w:val="nil"/>
              <w:right w:val="nil"/>
            </w:tcBorders>
            <w:shd w:val="clear" w:color="auto" w:fill="FFFFFF"/>
            <w:tcMar>
              <w:top w:w="0" w:type="dxa"/>
              <w:left w:w="53" w:type="dxa"/>
              <w:bottom w:w="0" w:type="dxa"/>
              <w:right w:w="53" w:type="dxa"/>
            </w:tcMar>
            <w:vAlign w:val="center"/>
          </w:tcPr>
          <w:p w14:paraId="6A297091" w14:textId="77777777" w:rsidR="001614AC" w:rsidRDefault="004468F9">
            <w:pPr>
              <w:spacing w:line="288" w:lineRule="auto"/>
            </w:pPr>
            <w:r>
              <w:rPr>
                <w:rFonts w:ascii="Arial" w:eastAsia="Arial" w:hAnsi="Arial" w:cs="Arial"/>
                <w:color w:val="000000"/>
                <w:sz w:val="18"/>
              </w:rPr>
              <w:t>Demotech</w:t>
            </w:r>
          </w:p>
        </w:tc>
        <w:tc>
          <w:tcPr>
            <w:tcW w:w="8175" w:type="dxa"/>
            <w:tcBorders>
              <w:top w:val="nil"/>
              <w:left w:val="nil"/>
              <w:bottom w:val="nil"/>
              <w:right w:val="nil"/>
            </w:tcBorders>
            <w:shd w:val="clear" w:color="auto" w:fill="FFFFFF"/>
            <w:tcMar>
              <w:top w:w="0" w:type="dxa"/>
              <w:left w:w="53" w:type="dxa"/>
              <w:bottom w:w="0" w:type="dxa"/>
              <w:right w:w="53" w:type="dxa"/>
            </w:tcMar>
            <w:vAlign w:val="center"/>
          </w:tcPr>
          <w:p w14:paraId="52D05765" w14:textId="77777777" w:rsidR="001614AC" w:rsidRDefault="004468F9">
            <w:pPr>
              <w:spacing w:line="288" w:lineRule="auto"/>
              <w:ind w:left="90"/>
            </w:pPr>
            <w:r>
              <w:rPr>
                <w:rFonts w:ascii="Arial" w:eastAsia="Arial" w:hAnsi="Arial" w:cs="Arial"/>
                <w:color w:val="000000"/>
                <w:sz w:val="18"/>
              </w:rPr>
              <w:t>Demotech, Inc.</w:t>
            </w:r>
          </w:p>
        </w:tc>
      </w:tr>
      <w:tr w:rsidR="001614AC" w14:paraId="40C15B73" w14:textId="77777777">
        <w:trPr>
          <w:cantSplit/>
        </w:trPr>
        <w:tc>
          <w:tcPr>
            <w:tcW w:w="1905" w:type="dxa"/>
            <w:tcBorders>
              <w:top w:val="nil"/>
              <w:left w:val="nil"/>
              <w:bottom w:val="nil"/>
              <w:right w:val="nil"/>
            </w:tcBorders>
            <w:shd w:val="clear" w:color="auto" w:fill="F4F4F4"/>
            <w:tcMar>
              <w:top w:w="0" w:type="dxa"/>
              <w:left w:w="53" w:type="dxa"/>
              <w:bottom w:w="0" w:type="dxa"/>
              <w:right w:w="53" w:type="dxa"/>
            </w:tcMar>
            <w:vAlign w:val="center"/>
          </w:tcPr>
          <w:p w14:paraId="5DBC08F6" w14:textId="77777777" w:rsidR="001614AC" w:rsidRDefault="004468F9">
            <w:pPr>
              <w:spacing w:line="288" w:lineRule="auto"/>
            </w:pPr>
            <w:r>
              <w:rPr>
                <w:rFonts w:ascii="Arial" w:eastAsia="Arial" w:hAnsi="Arial" w:cs="Arial"/>
                <w:color w:val="000000"/>
                <w:sz w:val="18"/>
              </w:rPr>
              <w:lastRenderedPageBreak/>
              <w:t>Disaster Related Capital Charge</w:t>
            </w:r>
          </w:p>
        </w:tc>
        <w:tc>
          <w:tcPr>
            <w:tcW w:w="8175" w:type="dxa"/>
            <w:tcBorders>
              <w:top w:val="nil"/>
              <w:left w:val="nil"/>
              <w:bottom w:val="nil"/>
              <w:right w:val="nil"/>
            </w:tcBorders>
            <w:shd w:val="clear" w:color="auto" w:fill="F4F4F4"/>
            <w:tcMar>
              <w:top w:w="0" w:type="dxa"/>
              <w:left w:w="53" w:type="dxa"/>
              <w:bottom w:w="0" w:type="dxa"/>
              <w:right w:w="53" w:type="dxa"/>
            </w:tcMar>
            <w:vAlign w:val="center"/>
          </w:tcPr>
          <w:p w14:paraId="11B0A547" w14:textId="77777777" w:rsidR="001614AC" w:rsidRDefault="004468F9">
            <w:pPr>
              <w:spacing w:line="288" w:lineRule="auto"/>
              <w:ind w:left="90"/>
            </w:pPr>
            <w:r>
              <w:rPr>
                <w:rFonts w:ascii="Arial" w:eastAsia="Arial" w:hAnsi="Arial" w:cs="Arial"/>
                <w:color w:val="000000"/>
                <w:sz w:val="18"/>
              </w:rPr>
              <w:t xml:space="preserve">Under the PMIERs, multiplier of 0.30 applied to </w:t>
            </w:r>
            <w:r>
              <w:rPr>
                <w:rFonts w:ascii="Arial" w:eastAsia="Arial" w:hAnsi="Arial" w:cs="Arial"/>
                <w:color w:val="000000"/>
                <w:sz w:val="18"/>
              </w:rPr>
              <w:t>the required asset amount factor for each non-performing loan: (i) backed by a property located in a FEMA Designated Area and (ii) either subject to a certain forbearance plan or with an initial default date occurring within a certain timeframe</w:t>
            </w:r>
          </w:p>
        </w:tc>
      </w:tr>
      <w:tr w:rsidR="001614AC" w14:paraId="3398C0DB" w14:textId="77777777">
        <w:trPr>
          <w:cantSplit/>
        </w:trPr>
        <w:tc>
          <w:tcPr>
            <w:tcW w:w="1905" w:type="dxa"/>
            <w:tcBorders>
              <w:top w:val="nil"/>
              <w:left w:val="nil"/>
              <w:bottom w:val="nil"/>
              <w:right w:val="nil"/>
            </w:tcBorders>
            <w:shd w:val="clear" w:color="auto" w:fill="FFFFFF"/>
            <w:tcMar>
              <w:top w:w="0" w:type="dxa"/>
              <w:left w:w="53" w:type="dxa"/>
              <w:bottom w:w="0" w:type="dxa"/>
              <w:right w:w="53" w:type="dxa"/>
            </w:tcMar>
            <w:vAlign w:val="center"/>
          </w:tcPr>
          <w:p w14:paraId="54DE2FA1" w14:textId="77777777" w:rsidR="001614AC" w:rsidRDefault="004468F9">
            <w:pPr>
              <w:spacing w:line="288" w:lineRule="auto"/>
            </w:pPr>
            <w:r>
              <w:rPr>
                <w:rFonts w:ascii="Arial" w:eastAsia="Arial" w:hAnsi="Arial" w:cs="Arial"/>
                <w:color w:val="000000"/>
                <w:sz w:val="18"/>
              </w:rPr>
              <w:t>Dodd-Frank Act</w:t>
            </w:r>
          </w:p>
        </w:tc>
        <w:tc>
          <w:tcPr>
            <w:tcW w:w="8175" w:type="dxa"/>
            <w:tcBorders>
              <w:top w:val="nil"/>
              <w:left w:val="nil"/>
              <w:bottom w:val="nil"/>
              <w:right w:val="nil"/>
            </w:tcBorders>
            <w:shd w:val="clear" w:color="auto" w:fill="FFFFFF"/>
            <w:tcMar>
              <w:top w:w="0" w:type="dxa"/>
              <w:left w:w="53" w:type="dxa"/>
              <w:bottom w:w="0" w:type="dxa"/>
              <w:right w:w="53" w:type="dxa"/>
            </w:tcMar>
            <w:vAlign w:val="center"/>
          </w:tcPr>
          <w:p w14:paraId="6AD6200F" w14:textId="77777777" w:rsidR="001614AC" w:rsidRDefault="004468F9">
            <w:pPr>
              <w:spacing w:line="288" w:lineRule="auto"/>
              <w:ind w:left="90"/>
            </w:pPr>
            <w:r>
              <w:rPr>
                <w:rFonts w:ascii="Arial" w:eastAsia="Arial" w:hAnsi="Arial" w:cs="Arial"/>
                <w:color w:val="000000"/>
                <w:sz w:val="18"/>
              </w:rPr>
              <w:t>Dodd-Frank Wall Street Reform and Consumer Protection Act, as amended</w:t>
            </w:r>
          </w:p>
        </w:tc>
      </w:tr>
      <w:tr w:rsidR="001614AC" w14:paraId="26044E87" w14:textId="77777777">
        <w:trPr>
          <w:cantSplit/>
        </w:trPr>
        <w:tc>
          <w:tcPr>
            <w:tcW w:w="1905" w:type="dxa"/>
            <w:tcBorders>
              <w:top w:val="nil"/>
              <w:left w:val="nil"/>
              <w:bottom w:val="nil"/>
              <w:right w:val="nil"/>
            </w:tcBorders>
            <w:shd w:val="clear" w:color="auto" w:fill="F4F4F4"/>
            <w:tcMar>
              <w:top w:w="0" w:type="dxa"/>
              <w:left w:w="53" w:type="dxa"/>
              <w:bottom w:w="0" w:type="dxa"/>
              <w:right w:w="53" w:type="dxa"/>
            </w:tcMar>
            <w:vAlign w:val="center"/>
          </w:tcPr>
          <w:p w14:paraId="062B707F" w14:textId="77777777" w:rsidR="001614AC" w:rsidRDefault="004468F9">
            <w:pPr>
              <w:spacing w:line="288" w:lineRule="auto"/>
            </w:pPr>
            <w:r>
              <w:rPr>
                <w:rFonts w:ascii="Arial" w:eastAsia="Arial" w:hAnsi="Arial" w:cs="Arial"/>
                <w:color w:val="000000"/>
                <w:sz w:val="18"/>
              </w:rPr>
              <w:t>Eagle Re Issuer(s)</w:t>
            </w:r>
          </w:p>
        </w:tc>
        <w:tc>
          <w:tcPr>
            <w:tcW w:w="8175" w:type="dxa"/>
            <w:tcBorders>
              <w:top w:val="nil"/>
              <w:left w:val="nil"/>
              <w:bottom w:val="nil"/>
              <w:right w:val="nil"/>
            </w:tcBorders>
            <w:shd w:val="clear" w:color="auto" w:fill="F4F4F4"/>
            <w:tcMar>
              <w:top w:w="0" w:type="dxa"/>
              <w:left w:w="53" w:type="dxa"/>
              <w:bottom w:w="0" w:type="dxa"/>
              <w:right w:w="53" w:type="dxa"/>
            </w:tcMar>
            <w:vAlign w:val="center"/>
          </w:tcPr>
          <w:p w14:paraId="4B8770EF" w14:textId="77777777" w:rsidR="001614AC" w:rsidRDefault="004468F9">
            <w:pPr>
              <w:spacing w:line="288" w:lineRule="auto"/>
              <w:ind w:left="90"/>
            </w:pPr>
            <w:r>
              <w:rPr>
                <w:rFonts w:ascii="Arial" w:eastAsia="Arial" w:hAnsi="Arial" w:cs="Arial"/>
                <w:color w:val="000000"/>
                <w:sz w:val="18"/>
              </w:rPr>
              <w:t>A group of unaffiliated special purpose insurers (VIEs) domiciled in Bermuda, comprising Eagle Re 2018-1 Ltd., Eagle Re 2019-1 Ltd., Eagle Re 2020-1 Ltd., Eagle Re 2020-2 Ltd., and/or Eagle Re 2021-1 Ltd., which provide reinsurance coverage under Radian Gu</w:t>
            </w:r>
            <w:r>
              <w:rPr>
                <w:rFonts w:ascii="Arial" w:eastAsia="Arial" w:hAnsi="Arial" w:cs="Arial"/>
                <w:color w:val="000000"/>
                <w:sz w:val="18"/>
              </w:rPr>
              <w:t xml:space="preserve">aranty’s Excess-of-Loss Program. </w:t>
            </w:r>
          </w:p>
        </w:tc>
      </w:tr>
      <w:tr w:rsidR="001614AC" w14:paraId="16EB1013" w14:textId="77777777">
        <w:trPr>
          <w:cantSplit/>
        </w:trPr>
        <w:tc>
          <w:tcPr>
            <w:tcW w:w="1905" w:type="dxa"/>
            <w:tcBorders>
              <w:top w:val="nil"/>
              <w:left w:val="nil"/>
              <w:bottom w:val="nil"/>
              <w:right w:val="nil"/>
            </w:tcBorders>
            <w:shd w:val="clear" w:color="auto" w:fill="FFFFFF"/>
            <w:tcMar>
              <w:top w:w="0" w:type="dxa"/>
              <w:left w:w="53" w:type="dxa"/>
              <w:bottom w:w="0" w:type="dxa"/>
              <w:right w:w="53" w:type="dxa"/>
            </w:tcMar>
            <w:vAlign w:val="center"/>
          </w:tcPr>
          <w:p w14:paraId="0E455262" w14:textId="77777777" w:rsidR="001614AC" w:rsidRDefault="004468F9">
            <w:pPr>
              <w:spacing w:line="288" w:lineRule="auto"/>
            </w:pPr>
            <w:r>
              <w:rPr>
                <w:rFonts w:ascii="Arial" w:eastAsia="Arial" w:hAnsi="Arial" w:cs="Arial"/>
                <w:color w:val="000000"/>
                <w:sz w:val="18"/>
              </w:rPr>
              <w:t>Excess-of-Loss Program</w:t>
            </w:r>
          </w:p>
        </w:tc>
        <w:tc>
          <w:tcPr>
            <w:tcW w:w="8175" w:type="dxa"/>
            <w:tcBorders>
              <w:top w:val="nil"/>
              <w:left w:val="nil"/>
              <w:bottom w:val="nil"/>
              <w:right w:val="nil"/>
            </w:tcBorders>
            <w:shd w:val="clear" w:color="auto" w:fill="FFFFFF"/>
            <w:tcMar>
              <w:top w:w="0" w:type="dxa"/>
              <w:left w:w="53" w:type="dxa"/>
              <w:bottom w:w="0" w:type="dxa"/>
              <w:right w:w="53" w:type="dxa"/>
            </w:tcMar>
            <w:vAlign w:val="center"/>
          </w:tcPr>
          <w:p w14:paraId="14763C11" w14:textId="77777777" w:rsidR="001614AC" w:rsidRDefault="004468F9">
            <w:pPr>
              <w:spacing w:line="288" w:lineRule="auto"/>
              <w:ind w:left="90"/>
            </w:pPr>
            <w:r>
              <w:rPr>
                <w:rFonts w:ascii="Arial" w:eastAsia="Arial" w:hAnsi="Arial" w:cs="Arial"/>
                <w:color w:val="000000"/>
                <w:sz w:val="18"/>
              </w:rPr>
              <w:t>The credit risk protection obtained by Radian Guaranty in the form of excess-of-loss reinsurance, which indemnifies the ceding company against loss in excess of a specific agreed limit, up to a specified sum. The program includes reinsurance agreements wit</w:t>
            </w:r>
            <w:r>
              <w:rPr>
                <w:rFonts w:ascii="Arial" w:eastAsia="Arial" w:hAnsi="Arial" w:cs="Arial"/>
                <w:color w:val="000000"/>
                <w:sz w:val="18"/>
              </w:rPr>
              <w:t>h the Eagle Re Issuers in connection with various issuances of mortgage insurance-linked notes. The program also includes a separate agreement with a third-party reinsurer, representing a pro rata share of the credit risk alongside the risk assumed by Eagl</w:t>
            </w:r>
            <w:r>
              <w:rPr>
                <w:rFonts w:ascii="Arial" w:eastAsia="Arial" w:hAnsi="Arial" w:cs="Arial"/>
                <w:color w:val="000000"/>
                <w:sz w:val="18"/>
              </w:rPr>
              <w:t xml:space="preserve">e Re 2018-1 Ltd., an Eagle Re Issuer. </w:t>
            </w:r>
          </w:p>
        </w:tc>
      </w:tr>
      <w:tr w:rsidR="001614AC" w14:paraId="1B1A69D4" w14:textId="77777777">
        <w:trPr>
          <w:cantSplit/>
        </w:trPr>
        <w:tc>
          <w:tcPr>
            <w:tcW w:w="1905" w:type="dxa"/>
            <w:tcBorders>
              <w:top w:val="nil"/>
              <w:left w:val="nil"/>
              <w:bottom w:val="nil"/>
              <w:right w:val="nil"/>
            </w:tcBorders>
            <w:shd w:val="clear" w:color="auto" w:fill="F4F4F4"/>
            <w:tcMar>
              <w:top w:w="0" w:type="dxa"/>
              <w:left w:w="53" w:type="dxa"/>
              <w:bottom w:w="0" w:type="dxa"/>
              <w:right w:w="53" w:type="dxa"/>
            </w:tcMar>
            <w:vAlign w:val="center"/>
          </w:tcPr>
          <w:p w14:paraId="52D46FB5" w14:textId="77777777" w:rsidR="001614AC" w:rsidRDefault="004468F9">
            <w:pPr>
              <w:spacing w:line="288" w:lineRule="auto"/>
            </w:pPr>
            <w:r>
              <w:rPr>
                <w:rFonts w:ascii="Arial" w:eastAsia="Arial" w:hAnsi="Arial" w:cs="Arial"/>
                <w:color w:val="000000"/>
                <w:sz w:val="18"/>
              </w:rPr>
              <w:t>Exchange Act</w:t>
            </w:r>
          </w:p>
        </w:tc>
        <w:tc>
          <w:tcPr>
            <w:tcW w:w="8175" w:type="dxa"/>
            <w:tcBorders>
              <w:top w:val="nil"/>
              <w:left w:val="nil"/>
              <w:bottom w:val="nil"/>
              <w:right w:val="nil"/>
            </w:tcBorders>
            <w:shd w:val="clear" w:color="auto" w:fill="F4F4F4"/>
            <w:tcMar>
              <w:top w:w="0" w:type="dxa"/>
              <w:left w:w="53" w:type="dxa"/>
              <w:bottom w:w="0" w:type="dxa"/>
              <w:right w:w="53" w:type="dxa"/>
            </w:tcMar>
            <w:vAlign w:val="center"/>
          </w:tcPr>
          <w:p w14:paraId="3ACE658B" w14:textId="77777777" w:rsidR="001614AC" w:rsidRDefault="004468F9">
            <w:pPr>
              <w:spacing w:line="288" w:lineRule="auto"/>
              <w:ind w:left="90"/>
            </w:pPr>
            <w:r>
              <w:rPr>
                <w:rFonts w:ascii="Arial" w:eastAsia="Arial" w:hAnsi="Arial" w:cs="Arial"/>
                <w:color w:val="000000"/>
                <w:sz w:val="18"/>
              </w:rPr>
              <w:t>Securities Exchange Act of 1934, as amended</w:t>
            </w:r>
          </w:p>
        </w:tc>
      </w:tr>
      <w:tr w:rsidR="001614AC" w14:paraId="61CA24AA" w14:textId="77777777">
        <w:trPr>
          <w:cantSplit/>
        </w:trPr>
        <w:tc>
          <w:tcPr>
            <w:tcW w:w="1905" w:type="dxa"/>
            <w:tcBorders>
              <w:top w:val="nil"/>
              <w:left w:val="nil"/>
              <w:bottom w:val="nil"/>
              <w:right w:val="nil"/>
            </w:tcBorders>
            <w:shd w:val="clear" w:color="auto" w:fill="FFFFFF"/>
            <w:tcMar>
              <w:top w:w="0" w:type="dxa"/>
              <w:left w:w="53" w:type="dxa"/>
              <w:bottom w:w="0" w:type="dxa"/>
              <w:right w:w="53" w:type="dxa"/>
            </w:tcMar>
            <w:vAlign w:val="center"/>
          </w:tcPr>
          <w:p w14:paraId="5F5AA5CF" w14:textId="77777777" w:rsidR="001614AC" w:rsidRDefault="004468F9">
            <w:pPr>
              <w:spacing w:line="288" w:lineRule="auto"/>
            </w:pPr>
            <w:r>
              <w:rPr>
                <w:rFonts w:ascii="Arial" w:eastAsia="Arial" w:hAnsi="Arial" w:cs="Arial"/>
                <w:color w:val="000000"/>
                <w:sz w:val="18"/>
              </w:rPr>
              <w:t>Extraordinary Distribution</w:t>
            </w:r>
          </w:p>
        </w:tc>
        <w:tc>
          <w:tcPr>
            <w:tcW w:w="8175" w:type="dxa"/>
            <w:tcBorders>
              <w:top w:val="nil"/>
              <w:left w:val="nil"/>
              <w:bottom w:val="nil"/>
              <w:right w:val="nil"/>
            </w:tcBorders>
            <w:shd w:val="clear" w:color="auto" w:fill="FFFFFF"/>
            <w:tcMar>
              <w:top w:w="0" w:type="dxa"/>
              <w:left w:w="53" w:type="dxa"/>
              <w:bottom w:w="0" w:type="dxa"/>
              <w:right w:w="53" w:type="dxa"/>
            </w:tcMar>
            <w:vAlign w:val="center"/>
          </w:tcPr>
          <w:p w14:paraId="3397CE17" w14:textId="77777777" w:rsidR="001614AC" w:rsidRDefault="004468F9">
            <w:pPr>
              <w:spacing w:line="288" w:lineRule="auto"/>
              <w:ind w:left="90"/>
            </w:pPr>
            <w:r>
              <w:rPr>
                <w:rFonts w:ascii="Arial" w:eastAsia="Arial" w:hAnsi="Arial" w:cs="Arial"/>
                <w:color w:val="000000"/>
                <w:sz w:val="18"/>
              </w:rPr>
              <w:t xml:space="preserve">A dividend or distribution of capital that is required to be approved by an insurance company’s primary regulator that is </w:t>
            </w:r>
            <w:r>
              <w:rPr>
                <w:rFonts w:ascii="Arial" w:eastAsia="Arial" w:hAnsi="Arial" w:cs="Arial"/>
                <w:color w:val="000000"/>
                <w:sz w:val="18"/>
              </w:rPr>
              <w:t>greater than would be permitted as an ordinary distribution (which does not require regulatory approval)</w:t>
            </w:r>
          </w:p>
        </w:tc>
      </w:tr>
      <w:tr w:rsidR="001614AC" w14:paraId="1DE34D45" w14:textId="77777777">
        <w:trPr>
          <w:cantSplit/>
        </w:trPr>
        <w:tc>
          <w:tcPr>
            <w:tcW w:w="1905" w:type="dxa"/>
            <w:tcBorders>
              <w:top w:val="nil"/>
              <w:left w:val="nil"/>
              <w:bottom w:val="nil"/>
              <w:right w:val="nil"/>
            </w:tcBorders>
            <w:shd w:val="clear" w:color="auto" w:fill="F4F4F4"/>
            <w:tcMar>
              <w:top w:w="0" w:type="dxa"/>
              <w:left w:w="53" w:type="dxa"/>
              <w:bottom w:w="0" w:type="dxa"/>
              <w:right w:w="53" w:type="dxa"/>
            </w:tcMar>
            <w:vAlign w:val="center"/>
          </w:tcPr>
          <w:p w14:paraId="22ED8592" w14:textId="77777777" w:rsidR="001614AC" w:rsidRDefault="004468F9">
            <w:pPr>
              <w:spacing w:line="288" w:lineRule="auto"/>
            </w:pPr>
            <w:r>
              <w:rPr>
                <w:rFonts w:ascii="Arial" w:eastAsia="Arial" w:hAnsi="Arial" w:cs="Arial"/>
                <w:color w:val="000000"/>
                <w:sz w:val="18"/>
              </w:rPr>
              <w:t>Fannie Mae</w:t>
            </w:r>
          </w:p>
        </w:tc>
        <w:tc>
          <w:tcPr>
            <w:tcW w:w="8175" w:type="dxa"/>
            <w:tcBorders>
              <w:top w:val="nil"/>
              <w:left w:val="nil"/>
              <w:bottom w:val="nil"/>
              <w:right w:val="nil"/>
            </w:tcBorders>
            <w:shd w:val="clear" w:color="auto" w:fill="F4F4F4"/>
            <w:tcMar>
              <w:top w:w="0" w:type="dxa"/>
              <w:left w:w="53" w:type="dxa"/>
              <w:bottom w:w="0" w:type="dxa"/>
              <w:right w:w="53" w:type="dxa"/>
            </w:tcMar>
            <w:vAlign w:val="center"/>
          </w:tcPr>
          <w:p w14:paraId="0D29F687" w14:textId="77777777" w:rsidR="001614AC" w:rsidRDefault="004468F9">
            <w:pPr>
              <w:spacing w:line="288" w:lineRule="auto"/>
              <w:ind w:left="90"/>
            </w:pPr>
            <w:r>
              <w:rPr>
                <w:rFonts w:ascii="Arial" w:eastAsia="Arial" w:hAnsi="Arial" w:cs="Arial"/>
                <w:color w:val="000000"/>
                <w:sz w:val="18"/>
              </w:rPr>
              <w:t>Federal National Mortgage Association</w:t>
            </w:r>
          </w:p>
        </w:tc>
      </w:tr>
      <w:tr w:rsidR="001614AC" w14:paraId="6DFFC439" w14:textId="77777777">
        <w:trPr>
          <w:cantSplit/>
        </w:trPr>
        <w:tc>
          <w:tcPr>
            <w:tcW w:w="1905" w:type="dxa"/>
            <w:tcBorders>
              <w:top w:val="nil"/>
              <w:left w:val="nil"/>
              <w:bottom w:val="nil"/>
              <w:right w:val="nil"/>
            </w:tcBorders>
            <w:shd w:val="clear" w:color="auto" w:fill="FFFFFF"/>
            <w:tcMar>
              <w:top w:w="0" w:type="dxa"/>
              <w:left w:w="53" w:type="dxa"/>
              <w:bottom w:w="0" w:type="dxa"/>
              <w:right w:w="53" w:type="dxa"/>
            </w:tcMar>
            <w:vAlign w:val="center"/>
          </w:tcPr>
          <w:p w14:paraId="34181AB2" w14:textId="77777777" w:rsidR="001614AC" w:rsidRDefault="004468F9">
            <w:pPr>
              <w:spacing w:line="288" w:lineRule="auto"/>
            </w:pPr>
            <w:r>
              <w:rPr>
                <w:rFonts w:ascii="Arial" w:eastAsia="Arial" w:hAnsi="Arial" w:cs="Arial"/>
                <w:color w:val="000000"/>
                <w:sz w:val="18"/>
              </w:rPr>
              <w:t>FASB</w:t>
            </w:r>
          </w:p>
        </w:tc>
        <w:tc>
          <w:tcPr>
            <w:tcW w:w="8175" w:type="dxa"/>
            <w:tcBorders>
              <w:top w:val="nil"/>
              <w:left w:val="nil"/>
              <w:bottom w:val="nil"/>
              <w:right w:val="nil"/>
            </w:tcBorders>
            <w:shd w:val="clear" w:color="auto" w:fill="FFFFFF"/>
            <w:tcMar>
              <w:top w:w="0" w:type="dxa"/>
              <w:left w:w="53" w:type="dxa"/>
              <w:bottom w:w="0" w:type="dxa"/>
              <w:right w:w="53" w:type="dxa"/>
            </w:tcMar>
            <w:vAlign w:val="center"/>
          </w:tcPr>
          <w:p w14:paraId="1BC4F535" w14:textId="77777777" w:rsidR="001614AC" w:rsidRDefault="004468F9">
            <w:pPr>
              <w:spacing w:line="288" w:lineRule="auto"/>
              <w:ind w:left="90"/>
            </w:pPr>
            <w:r>
              <w:rPr>
                <w:rFonts w:ascii="Arial" w:eastAsia="Arial" w:hAnsi="Arial" w:cs="Arial"/>
                <w:color w:val="000000"/>
                <w:sz w:val="18"/>
              </w:rPr>
              <w:t>Financial Accounting Standards Board</w:t>
            </w:r>
          </w:p>
        </w:tc>
      </w:tr>
      <w:tr w:rsidR="001614AC" w14:paraId="511CF2A6" w14:textId="77777777">
        <w:trPr>
          <w:cantSplit/>
        </w:trPr>
        <w:tc>
          <w:tcPr>
            <w:tcW w:w="1905" w:type="dxa"/>
            <w:tcBorders>
              <w:top w:val="nil"/>
              <w:left w:val="nil"/>
              <w:bottom w:val="nil"/>
              <w:right w:val="nil"/>
            </w:tcBorders>
            <w:shd w:val="clear" w:color="auto" w:fill="F4F4F4"/>
            <w:tcMar>
              <w:top w:w="0" w:type="dxa"/>
              <w:left w:w="53" w:type="dxa"/>
              <w:bottom w:w="0" w:type="dxa"/>
              <w:right w:w="53" w:type="dxa"/>
            </w:tcMar>
            <w:vAlign w:val="center"/>
          </w:tcPr>
          <w:p w14:paraId="0817B3F9" w14:textId="77777777" w:rsidR="001614AC" w:rsidRDefault="004468F9">
            <w:pPr>
              <w:spacing w:line="288" w:lineRule="auto"/>
            </w:pPr>
            <w:r>
              <w:rPr>
                <w:rFonts w:ascii="Arial" w:eastAsia="Arial" w:hAnsi="Arial" w:cs="Arial"/>
                <w:color w:val="000000"/>
                <w:sz w:val="18"/>
              </w:rPr>
              <w:t>FEMA</w:t>
            </w:r>
          </w:p>
        </w:tc>
        <w:tc>
          <w:tcPr>
            <w:tcW w:w="8175" w:type="dxa"/>
            <w:tcBorders>
              <w:top w:val="nil"/>
              <w:left w:val="nil"/>
              <w:bottom w:val="nil"/>
              <w:right w:val="nil"/>
            </w:tcBorders>
            <w:shd w:val="clear" w:color="auto" w:fill="F4F4F4"/>
            <w:tcMar>
              <w:top w:w="0" w:type="dxa"/>
              <w:left w:w="53" w:type="dxa"/>
              <w:bottom w:w="0" w:type="dxa"/>
              <w:right w:w="53" w:type="dxa"/>
            </w:tcMar>
            <w:vAlign w:val="center"/>
          </w:tcPr>
          <w:p w14:paraId="10601547" w14:textId="77777777" w:rsidR="001614AC" w:rsidRDefault="004468F9">
            <w:pPr>
              <w:spacing w:line="288" w:lineRule="auto"/>
              <w:ind w:left="90"/>
            </w:pPr>
            <w:r>
              <w:rPr>
                <w:rFonts w:ascii="Arial" w:eastAsia="Arial" w:hAnsi="Arial" w:cs="Arial"/>
                <w:color w:val="000000"/>
                <w:sz w:val="18"/>
              </w:rPr>
              <w:t xml:space="preserve">Federal Emergency Management Agency, an agency of </w:t>
            </w:r>
            <w:r>
              <w:rPr>
                <w:rFonts w:ascii="Arial" w:eastAsia="Arial" w:hAnsi="Arial" w:cs="Arial"/>
                <w:color w:val="000000"/>
                <w:sz w:val="18"/>
              </w:rPr>
              <w:t>the U.S. Department of Homeland Security</w:t>
            </w:r>
          </w:p>
        </w:tc>
      </w:tr>
      <w:tr w:rsidR="001614AC" w14:paraId="73377DBD" w14:textId="77777777">
        <w:trPr>
          <w:cantSplit/>
        </w:trPr>
        <w:tc>
          <w:tcPr>
            <w:tcW w:w="1905" w:type="dxa"/>
            <w:tcBorders>
              <w:top w:val="nil"/>
              <w:left w:val="nil"/>
              <w:bottom w:val="nil"/>
              <w:right w:val="nil"/>
            </w:tcBorders>
            <w:shd w:val="clear" w:color="auto" w:fill="FFFFFF"/>
            <w:tcMar>
              <w:top w:w="0" w:type="dxa"/>
              <w:left w:w="53" w:type="dxa"/>
              <w:bottom w:w="0" w:type="dxa"/>
              <w:right w:w="53" w:type="dxa"/>
            </w:tcMar>
            <w:vAlign w:val="center"/>
          </w:tcPr>
          <w:p w14:paraId="5E95AA70" w14:textId="77777777" w:rsidR="001614AC" w:rsidRDefault="004468F9">
            <w:pPr>
              <w:spacing w:line="288" w:lineRule="auto"/>
            </w:pPr>
            <w:r>
              <w:rPr>
                <w:rFonts w:ascii="Arial" w:eastAsia="Arial" w:hAnsi="Arial" w:cs="Arial"/>
                <w:color w:val="000000"/>
                <w:sz w:val="18"/>
              </w:rPr>
              <w:t>FEMA Designated Area</w:t>
            </w:r>
          </w:p>
        </w:tc>
        <w:tc>
          <w:tcPr>
            <w:tcW w:w="8175" w:type="dxa"/>
            <w:tcBorders>
              <w:top w:val="nil"/>
              <w:left w:val="nil"/>
              <w:bottom w:val="nil"/>
              <w:right w:val="nil"/>
            </w:tcBorders>
            <w:shd w:val="clear" w:color="auto" w:fill="FFFFFF"/>
            <w:tcMar>
              <w:top w:w="0" w:type="dxa"/>
              <w:left w:w="53" w:type="dxa"/>
              <w:bottom w:w="0" w:type="dxa"/>
              <w:right w:w="53" w:type="dxa"/>
            </w:tcMar>
            <w:vAlign w:val="center"/>
          </w:tcPr>
          <w:p w14:paraId="2EB86640" w14:textId="77777777" w:rsidR="001614AC" w:rsidRDefault="004468F9">
            <w:pPr>
              <w:spacing w:line="288" w:lineRule="auto"/>
              <w:ind w:left="90"/>
            </w:pPr>
            <w:r>
              <w:rPr>
                <w:rFonts w:ascii="Arial" w:eastAsia="Arial" w:hAnsi="Arial" w:cs="Arial"/>
                <w:color w:val="000000"/>
                <w:sz w:val="18"/>
              </w:rPr>
              <w:t xml:space="preserve">Generally, an area that has been subject to a disaster, designated by FEMA as an individual assistance disaster area for the purpose of determining eligibility for various forms of </w:t>
            </w:r>
            <w:r>
              <w:rPr>
                <w:rFonts w:ascii="Arial" w:eastAsia="Arial" w:hAnsi="Arial" w:cs="Arial"/>
                <w:color w:val="000000"/>
                <w:sz w:val="18"/>
              </w:rPr>
              <w:t>federal assistance</w:t>
            </w:r>
          </w:p>
        </w:tc>
      </w:tr>
      <w:tr w:rsidR="001614AC" w14:paraId="0A240B67" w14:textId="77777777">
        <w:trPr>
          <w:cantSplit/>
        </w:trPr>
        <w:tc>
          <w:tcPr>
            <w:tcW w:w="1905" w:type="dxa"/>
            <w:tcBorders>
              <w:top w:val="nil"/>
              <w:left w:val="nil"/>
              <w:bottom w:val="nil"/>
              <w:right w:val="nil"/>
            </w:tcBorders>
            <w:shd w:val="clear" w:color="auto" w:fill="F4F4F4"/>
            <w:tcMar>
              <w:top w:w="0" w:type="dxa"/>
              <w:left w:w="53" w:type="dxa"/>
              <w:bottom w:w="0" w:type="dxa"/>
              <w:right w:w="53" w:type="dxa"/>
            </w:tcMar>
            <w:vAlign w:val="center"/>
          </w:tcPr>
          <w:p w14:paraId="32DFA95B" w14:textId="77777777" w:rsidR="001614AC" w:rsidRDefault="004468F9">
            <w:pPr>
              <w:spacing w:line="288" w:lineRule="auto"/>
            </w:pPr>
            <w:r>
              <w:rPr>
                <w:rFonts w:ascii="Arial" w:eastAsia="Arial" w:hAnsi="Arial" w:cs="Arial"/>
                <w:color w:val="000000"/>
                <w:sz w:val="18"/>
              </w:rPr>
              <w:t>FHA</w:t>
            </w:r>
          </w:p>
        </w:tc>
        <w:tc>
          <w:tcPr>
            <w:tcW w:w="8175" w:type="dxa"/>
            <w:tcBorders>
              <w:top w:val="nil"/>
              <w:left w:val="nil"/>
              <w:bottom w:val="nil"/>
              <w:right w:val="nil"/>
            </w:tcBorders>
            <w:shd w:val="clear" w:color="auto" w:fill="F4F4F4"/>
            <w:tcMar>
              <w:top w:w="0" w:type="dxa"/>
              <w:left w:w="53" w:type="dxa"/>
              <w:bottom w:w="0" w:type="dxa"/>
              <w:right w:w="53" w:type="dxa"/>
            </w:tcMar>
            <w:vAlign w:val="center"/>
          </w:tcPr>
          <w:p w14:paraId="4970DEE6" w14:textId="77777777" w:rsidR="001614AC" w:rsidRDefault="004468F9">
            <w:pPr>
              <w:spacing w:line="288" w:lineRule="auto"/>
              <w:ind w:left="90"/>
            </w:pPr>
            <w:r>
              <w:rPr>
                <w:rFonts w:ascii="Arial" w:eastAsia="Arial" w:hAnsi="Arial" w:cs="Arial"/>
                <w:color w:val="000000"/>
                <w:sz w:val="18"/>
              </w:rPr>
              <w:t xml:space="preserve">Federal Housing Administration </w:t>
            </w:r>
          </w:p>
        </w:tc>
      </w:tr>
      <w:tr w:rsidR="001614AC" w14:paraId="36FE9EB6" w14:textId="77777777">
        <w:trPr>
          <w:cantSplit/>
        </w:trPr>
        <w:tc>
          <w:tcPr>
            <w:tcW w:w="1905" w:type="dxa"/>
            <w:tcBorders>
              <w:top w:val="nil"/>
              <w:left w:val="nil"/>
              <w:bottom w:val="nil"/>
              <w:right w:val="nil"/>
            </w:tcBorders>
            <w:shd w:val="clear" w:color="auto" w:fill="FFFFFF"/>
            <w:tcMar>
              <w:top w:w="0" w:type="dxa"/>
              <w:left w:w="53" w:type="dxa"/>
              <w:bottom w:w="0" w:type="dxa"/>
              <w:right w:w="53" w:type="dxa"/>
            </w:tcMar>
            <w:vAlign w:val="center"/>
          </w:tcPr>
          <w:p w14:paraId="23D62CD6" w14:textId="77777777" w:rsidR="001614AC" w:rsidRDefault="004468F9">
            <w:pPr>
              <w:spacing w:line="288" w:lineRule="auto"/>
            </w:pPr>
            <w:r>
              <w:rPr>
                <w:rFonts w:ascii="Arial" w:eastAsia="Arial" w:hAnsi="Arial" w:cs="Arial"/>
                <w:color w:val="000000"/>
                <w:sz w:val="18"/>
              </w:rPr>
              <w:t>FHFA</w:t>
            </w:r>
          </w:p>
        </w:tc>
        <w:tc>
          <w:tcPr>
            <w:tcW w:w="8175" w:type="dxa"/>
            <w:tcBorders>
              <w:top w:val="nil"/>
              <w:left w:val="nil"/>
              <w:bottom w:val="nil"/>
              <w:right w:val="nil"/>
            </w:tcBorders>
            <w:shd w:val="clear" w:color="auto" w:fill="FFFFFF"/>
            <w:tcMar>
              <w:top w:w="0" w:type="dxa"/>
              <w:left w:w="53" w:type="dxa"/>
              <w:bottom w:w="0" w:type="dxa"/>
              <w:right w:w="53" w:type="dxa"/>
            </w:tcMar>
            <w:vAlign w:val="center"/>
          </w:tcPr>
          <w:p w14:paraId="6A82CCFB" w14:textId="77777777" w:rsidR="001614AC" w:rsidRDefault="004468F9">
            <w:pPr>
              <w:spacing w:line="288" w:lineRule="auto"/>
              <w:ind w:left="90"/>
            </w:pPr>
            <w:r>
              <w:rPr>
                <w:rFonts w:ascii="Arial" w:eastAsia="Arial" w:hAnsi="Arial" w:cs="Arial"/>
                <w:color w:val="000000"/>
                <w:sz w:val="18"/>
              </w:rPr>
              <w:t>Federal Housing Finance Agency</w:t>
            </w:r>
          </w:p>
        </w:tc>
      </w:tr>
      <w:tr w:rsidR="001614AC" w14:paraId="4475AA59" w14:textId="77777777">
        <w:trPr>
          <w:cantSplit/>
        </w:trPr>
        <w:tc>
          <w:tcPr>
            <w:tcW w:w="1905" w:type="dxa"/>
            <w:tcBorders>
              <w:top w:val="nil"/>
              <w:left w:val="nil"/>
              <w:bottom w:val="nil"/>
              <w:right w:val="nil"/>
            </w:tcBorders>
            <w:shd w:val="clear" w:color="auto" w:fill="F4F4F4"/>
            <w:tcMar>
              <w:top w:w="0" w:type="dxa"/>
              <w:left w:w="53" w:type="dxa"/>
              <w:bottom w:w="0" w:type="dxa"/>
              <w:right w:w="53" w:type="dxa"/>
            </w:tcMar>
            <w:vAlign w:val="center"/>
          </w:tcPr>
          <w:p w14:paraId="611B8AAD" w14:textId="77777777" w:rsidR="001614AC" w:rsidRDefault="004468F9">
            <w:pPr>
              <w:spacing w:line="288" w:lineRule="auto"/>
            </w:pPr>
            <w:r>
              <w:rPr>
                <w:rFonts w:ascii="Arial" w:eastAsia="Arial" w:hAnsi="Arial" w:cs="Arial"/>
                <w:color w:val="000000"/>
                <w:sz w:val="18"/>
              </w:rPr>
              <w:t>FHLB</w:t>
            </w:r>
          </w:p>
        </w:tc>
        <w:tc>
          <w:tcPr>
            <w:tcW w:w="8175" w:type="dxa"/>
            <w:tcBorders>
              <w:top w:val="nil"/>
              <w:left w:val="nil"/>
              <w:bottom w:val="nil"/>
              <w:right w:val="nil"/>
            </w:tcBorders>
            <w:shd w:val="clear" w:color="auto" w:fill="F4F4F4"/>
            <w:tcMar>
              <w:top w:w="0" w:type="dxa"/>
              <w:left w:w="53" w:type="dxa"/>
              <w:bottom w:w="0" w:type="dxa"/>
              <w:right w:w="53" w:type="dxa"/>
            </w:tcMar>
            <w:vAlign w:val="center"/>
          </w:tcPr>
          <w:p w14:paraId="78A3F186" w14:textId="77777777" w:rsidR="001614AC" w:rsidRDefault="004468F9">
            <w:pPr>
              <w:spacing w:line="288" w:lineRule="auto"/>
              <w:ind w:left="90"/>
            </w:pPr>
            <w:r>
              <w:rPr>
                <w:rFonts w:ascii="Arial" w:eastAsia="Arial" w:hAnsi="Arial" w:cs="Arial"/>
                <w:color w:val="000000"/>
                <w:sz w:val="18"/>
              </w:rPr>
              <w:t>Federal Home Loan Bank of Pittsburgh</w:t>
            </w:r>
          </w:p>
        </w:tc>
      </w:tr>
      <w:tr w:rsidR="001614AC" w14:paraId="0CE75C15" w14:textId="77777777">
        <w:trPr>
          <w:cantSplit/>
        </w:trPr>
        <w:tc>
          <w:tcPr>
            <w:tcW w:w="1905" w:type="dxa"/>
            <w:tcBorders>
              <w:top w:val="nil"/>
              <w:left w:val="nil"/>
              <w:bottom w:val="nil"/>
              <w:right w:val="nil"/>
            </w:tcBorders>
            <w:shd w:val="clear" w:color="auto" w:fill="FFFFFF"/>
            <w:tcMar>
              <w:top w:w="0" w:type="dxa"/>
              <w:left w:w="53" w:type="dxa"/>
              <w:bottom w:w="0" w:type="dxa"/>
              <w:right w:w="53" w:type="dxa"/>
            </w:tcMar>
            <w:vAlign w:val="center"/>
          </w:tcPr>
          <w:p w14:paraId="7114FE28" w14:textId="77777777" w:rsidR="001614AC" w:rsidRDefault="004468F9">
            <w:pPr>
              <w:spacing w:line="288" w:lineRule="auto"/>
            </w:pPr>
            <w:r>
              <w:rPr>
                <w:rFonts w:ascii="Arial" w:eastAsia="Arial" w:hAnsi="Arial" w:cs="Arial"/>
                <w:color w:val="000000"/>
                <w:sz w:val="18"/>
              </w:rPr>
              <w:t>FICO</w:t>
            </w:r>
          </w:p>
        </w:tc>
        <w:tc>
          <w:tcPr>
            <w:tcW w:w="8175" w:type="dxa"/>
            <w:tcBorders>
              <w:top w:val="nil"/>
              <w:left w:val="nil"/>
              <w:bottom w:val="nil"/>
              <w:right w:val="nil"/>
            </w:tcBorders>
            <w:shd w:val="clear" w:color="auto" w:fill="FFFFFF"/>
            <w:tcMar>
              <w:top w:w="0" w:type="dxa"/>
              <w:left w:w="53" w:type="dxa"/>
              <w:bottom w:w="0" w:type="dxa"/>
              <w:right w:w="53" w:type="dxa"/>
            </w:tcMar>
            <w:vAlign w:val="center"/>
          </w:tcPr>
          <w:p w14:paraId="4D673EF7" w14:textId="77777777" w:rsidR="001614AC" w:rsidRDefault="004468F9">
            <w:pPr>
              <w:spacing w:line="288" w:lineRule="auto"/>
              <w:ind w:left="90"/>
            </w:pPr>
            <w:r>
              <w:rPr>
                <w:rFonts w:ascii="Arial" w:eastAsia="Arial" w:hAnsi="Arial" w:cs="Arial"/>
                <w:color w:val="000000"/>
                <w:sz w:val="18"/>
              </w:rPr>
              <w:t xml:space="preserve">Fair Isaac Corporation (“FICO”) credit scores, for Radian’s portfolio statistics, represent the </w:t>
            </w:r>
            <w:r>
              <w:rPr>
                <w:rFonts w:ascii="Arial" w:eastAsia="Arial" w:hAnsi="Arial" w:cs="Arial"/>
                <w:color w:val="000000"/>
                <w:sz w:val="18"/>
              </w:rPr>
              <w:t>borrower’s credit score at origination and, in circumstances where there are multiple borrowers, the lowest of the borrowers’ FICO scores is utilized</w:t>
            </w:r>
          </w:p>
        </w:tc>
      </w:tr>
      <w:tr w:rsidR="001614AC" w14:paraId="7C02E92C" w14:textId="77777777">
        <w:trPr>
          <w:cantSplit/>
        </w:trPr>
        <w:tc>
          <w:tcPr>
            <w:tcW w:w="1905" w:type="dxa"/>
            <w:tcBorders>
              <w:top w:val="nil"/>
              <w:left w:val="nil"/>
              <w:bottom w:val="nil"/>
              <w:right w:val="nil"/>
            </w:tcBorders>
            <w:shd w:val="clear" w:color="auto" w:fill="F4F4F4"/>
            <w:tcMar>
              <w:top w:w="0" w:type="dxa"/>
              <w:left w:w="53" w:type="dxa"/>
              <w:bottom w:w="0" w:type="dxa"/>
              <w:right w:w="53" w:type="dxa"/>
            </w:tcMar>
            <w:vAlign w:val="center"/>
          </w:tcPr>
          <w:p w14:paraId="22C436A5" w14:textId="77777777" w:rsidR="001614AC" w:rsidRDefault="004468F9">
            <w:pPr>
              <w:spacing w:line="288" w:lineRule="auto"/>
            </w:pPr>
            <w:r>
              <w:rPr>
                <w:rFonts w:ascii="Arial" w:eastAsia="Arial" w:hAnsi="Arial" w:cs="Arial"/>
                <w:color w:val="000000"/>
                <w:sz w:val="18"/>
              </w:rPr>
              <w:t>Fitch</w:t>
            </w:r>
          </w:p>
        </w:tc>
        <w:tc>
          <w:tcPr>
            <w:tcW w:w="8175" w:type="dxa"/>
            <w:tcBorders>
              <w:top w:val="nil"/>
              <w:left w:val="nil"/>
              <w:bottom w:val="nil"/>
              <w:right w:val="nil"/>
            </w:tcBorders>
            <w:shd w:val="clear" w:color="auto" w:fill="F4F4F4"/>
            <w:tcMar>
              <w:top w:w="0" w:type="dxa"/>
              <w:left w:w="53" w:type="dxa"/>
              <w:bottom w:w="0" w:type="dxa"/>
              <w:right w:w="53" w:type="dxa"/>
            </w:tcMar>
            <w:vAlign w:val="center"/>
          </w:tcPr>
          <w:p w14:paraId="5C712770" w14:textId="77777777" w:rsidR="001614AC" w:rsidRDefault="004468F9">
            <w:pPr>
              <w:spacing w:line="288" w:lineRule="auto"/>
              <w:ind w:left="90"/>
            </w:pPr>
            <w:r>
              <w:rPr>
                <w:rFonts w:ascii="Arial" w:eastAsia="Arial" w:hAnsi="Arial" w:cs="Arial"/>
                <w:color w:val="000000"/>
                <w:sz w:val="18"/>
              </w:rPr>
              <w:t>Fitch Ratings, Inc.</w:t>
            </w:r>
          </w:p>
        </w:tc>
      </w:tr>
      <w:tr w:rsidR="001614AC" w14:paraId="6E1431ED" w14:textId="77777777">
        <w:trPr>
          <w:cantSplit/>
        </w:trPr>
        <w:tc>
          <w:tcPr>
            <w:tcW w:w="1905" w:type="dxa"/>
            <w:tcBorders>
              <w:top w:val="nil"/>
              <w:left w:val="nil"/>
              <w:bottom w:val="nil"/>
              <w:right w:val="nil"/>
            </w:tcBorders>
            <w:shd w:val="clear" w:color="auto" w:fill="FFFFFF"/>
            <w:tcMar>
              <w:top w:w="0" w:type="dxa"/>
              <w:left w:w="53" w:type="dxa"/>
              <w:bottom w:w="0" w:type="dxa"/>
              <w:right w:w="53" w:type="dxa"/>
            </w:tcMar>
            <w:vAlign w:val="center"/>
          </w:tcPr>
          <w:p w14:paraId="16B835FF" w14:textId="77777777" w:rsidR="001614AC" w:rsidRDefault="004468F9">
            <w:pPr>
              <w:spacing w:line="288" w:lineRule="auto"/>
            </w:pPr>
            <w:r>
              <w:rPr>
                <w:rFonts w:ascii="Arial" w:eastAsia="Arial" w:hAnsi="Arial" w:cs="Arial"/>
                <w:color w:val="000000"/>
                <w:sz w:val="18"/>
              </w:rPr>
              <w:t>Foreclosure Stage Default</w:t>
            </w:r>
          </w:p>
        </w:tc>
        <w:tc>
          <w:tcPr>
            <w:tcW w:w="8175" w:type="dxa"/>
            <w:tcBorders>
              <w:top w:val="nil"/>
              <w:left w:val="nil"/>
              <w:bottom w:val="nil"/>
              <w:right w:val="nil"/>
            </w:tcBorders>
            <w:shd w:val="clear" w:color="auto" w:fill="FFFFFF"/>
            <w:tcMar>
              <w:top w:w="0" w:type="dxa"/>
              <w:left w:w="53" w:type="dxa"/>
              <w:bottom w:w="0" w:type="dxa"/>
              <w:right w:w="53" w:type="dxa"/>
            </w:tcMar>
            <w:vAlign w:val="center"/>
          </w:tcPr>
          <w:p w14:paraId="33FC389A" w14:textId="77777777" w:rsidR="001614AC" w:rsidRDefault="004468F9">
            <w:pPr>
              <w:spacing w:line="288" w:lineRule="auto"/>
              <w:ind w:left="90"/>
            </w:pPr>
            <w:r>
              <w:rPr>
                <w:rFonts w:ascii="Arial" w:eastAsia="Arial" w:hAnsi="Arial" w:cs="Arial"/>
                <w:color w:val="000000"/>
                <w:sz w:val="18"/>
              </w:rPr>
              <w:t xml:space="preserve">The Stage of Default of a loan in which a </w:t>
            </w:r>
            <w:r>
              <w:rPr>
                <w:rFonts w:ascii="Arial" w:eastAsia="Arial" w:hAnsi="Arial" w:cs="Arial"/>
                <w:color w:val="000000"/>
                <w:sz w:val="18"/>
              </w:rPr>
              <w:t>foreclosure sale has been scheduled or held</w:t>
            </w:r>
          </w:p>
        </w:tc>
      </w:tr>
      <w:tr w:rsidR="001614AC" w14:paraId="59C67AAA" w14:textId="77777777">
        <w:trPr>
          <w:cantSplit/>
        </w:trPr>
        <w:tc>
          <w:tcPr>
            <w:tcW w:w="1905" w:type="dxa"/>
            <w:tcBorders>
              <w:top w:val="nil"/>
              <w:left w:val="nil"/>
              <w:bottom w:val="nil"/>
              <w:right w:val="nil"/>
            </w:tcBorders>
            <w:shd w:val="clear" w:color="auto" w:fill="F4F4F4"/>
            <w:tcMar>
              <w:top w:w="0" w:type="dxa"/>
              <w:left w:w="53" w:type="dxa"/>
              <w:bottom w:w="0" w:type="dxa"/>
              <w:right w:w="53" w:type="dxa"/>
            </w:tcMar>
            <w:vAlign w:val="center"/>
          </w:tcPr>
          <w:p w14:paraId="17CC43F7" w14:textId="77777777" w:rsidR="001614AC" w:rsidRDefault="004468F9">
            <w:pPr>
              <w:spacing w:line="288" w:lineRule="auto"/>
            </w:pPr>
            <w:r>
              <w:rPr>
                <w:rFonts w:ascii="Arial" w:eastAsia="Arial" w:hAnsi="Arial" w:cs="Arial"/>
                <w:color w:val="000000"/>
                <w:sz w:val="18"/>
              </w:rPr>
              <w:t>Freddie Mac</w:t>
            </w:r>
          </w:p>
        </w:tc>
        <w:tc>
          <w:tcPr>
            <w:tcW w:w="8175" w:type="dxa"/>
            <w:tcBorders>
              <w:top w:val="nil"/>
              <w:left w:val="nil"/>
              <w:bottom w:val="nil"/>
              <w:right w:val="nil"/>
            </w:tcBorders>
            <w:shd w:val="clear" w:color="auto" w:fill="F4F4F4"/>
            <w:tcMar>
              <w:top w:w="0" w:type="dxa"/>
              <w:left w:w="53" w:type="dxa"/>
              <w:bottom w:w="0" w:type="dxa"/>
              <w:right w:w="53" w:type="dxa"/>
            </w:tcMar>
            <w:vAlign w:val="center"/>
          </w:tcPr>
          <w:p w14:paraId="12581FBE" w14:textId="77777777" w:rsidR="001614AC" w:rsidRDefault="004468F9">
            <w:pPr>
              <w:spacing w:line="288" w:lineRule="auto"/>
              <w:ind w:left="90"/>
            </w:pPr>
            <w:r>
              <w:rPr>
                <w:rFonts w:ascii="Arial" w:eastAsia="Arial" w:hAnsi="Arial" w:cs="Arial"/>
                <w:color w:val="000000"/>
                <w:sz w:val="18"/>
              </w:rPr>
              <w:t>Federal Home Loan Mortgage Corporation</w:t>
            </w:r>
          </w:p>
        </w:tc>
      </w:tr>
      <w:tr w:rsidR="001614AC" w14:paraId="7014174F" w14:textId="77777777">
        <w:trPr>
          <w:cantSplit/>
        </w:trPr>
        <w:tc>
          <w:tcPr>
            <w:tcW w:w="1905" w:type="dxa"/>
            <w:tcBorders>
              <w:top w:val="nil"/>
              <w:left w:val="nil"/>
              <w:bottom w:val="nil"/>
              <w:right w:val="nil"/>
            </w:tcBorders>
            <w:shd w:val="clear" w:color="auto" w:fill="FFFFFF"/>
            <w:tcMar>
              <w:top w:w="0" w:type="dxa"/>
              <w:left w:w="53" w:type="dxa"/>
              <w:bottom w:w="0" w:type="dxa"/>
              <w:right w:w="53" w:type="dxa"/>
            </w:tcMar>
            <w:vAlign w:val="center"/>
          </w:tcPr>
          <w:p w14:paraId="2E5C9FE7" w14:textId="77777777" w:rsidR="001614AC" w:rsidRDefault="004468F9">
            <w:pPr>
              <w:spacing w:line="288" w:lineRule="auto"/>
            </w:pPr>
            <w:r>
              <w:rPr>
                <w:rFonts w:ascii="Arial" w:eastAsia="Arial" w:hAnsi="Arial" w:cs="Arial"/>
                <w:color w:val="000000"/>
                <w:sz w:val="18"/>
              </w:rPr>
              <w:t>GAAP</w:t>
            </w:r>
          </w:p>
        </w:tc>
        <w:tc>
          <w:tcPr>
            <w:tcW w:w="8175" w:type="dxa"/>
            <w:tcBorders>
              <w:top w:val="nil"/>
              <w:left w:val="nil"/>
              <w:bottom w:val="nil"/>
              <w:right w:val="nil"/>
            </w:tcBorders>
            <w:shd w:val="clear" w:color="auto" w:fill="FFFFFF"/>
            <w:tcMar>
              <w:top w:w="0" w:type="dxa"/>
              <w:left w:w="53" w:type="dxa"/>
              <w:bottom w:w="0" w:type="dxa"/>
              <w:right w:w="53" w:type="dxa"/>
            </w:tcMar>
            <w:vAlign w:val="center"/>
          </w:tcPr>
          <w:p w14:paraId="326F3A15" w14:textId="77777777" w:rsidR="001614AC" w:rsidRDefault="004468F9">
            <w:pPr>
              <w:spacing w:line="288" w:lineRule="auto"/>
              <w:ind w:left="90"/>
            </w:pPr>
            <w:r>
              <w:rPr>
                <w:rFonts w:ascii="Arial" w:eastAsia="Arial" w:hAnsi="Arial" w:cs="Arial"/>
                <w:color w:val="000000"/>
                <w:sz w:val="18"/>
              </w:rPr>
              <w:t>Generally accepted accounting principles in the U.S., as amended from time to time</w:t>
            </w:r>
          </w:p>
        </w:tc>
      </w:tr>
      <w:tr w:rsidR="001614AC" w14:paraId="3B5FC2C3" w14:textId="77777777">
        <w:trPr>
          <w:cantSplit/>
        </w:trPr>
        <w:tc>
          <w:tcPr>
            <w:tcW w:w="1905" w:type="dxa"/>
            <w:tcBorders>
              <w:top w:val="nil"/>
              <w:left w:val="nil"/>
              <w:bottom w:val="nil"/>
              <w:right w:val="nil"/>
            </w:tcBorders>
            <w:shd w:val="clear" w:color="auto" w:fill="F4F4F4"/>
            <w:tcMar>
              <w:top w:w="0" w:type="dxa"/>
              <w:left w:w="53" w:type="dxa"/>
              <w:bottom w:w="0" w:type="dxa"/>
              <w:right w:w="53" w:type="dxa"/>
            </w:tcMar>
            <w:vAlign w:val="center"/>
          </w:tcPr>
          <w:p w14:paraId="4DCF302D" w14:textId="77777777" w:rsidR="001614AC" w:rsidRDefault="004468F9">
            <w:pPr>
              <w:spacing w:line="288" w:lineRule="auto"/>
            </w:pPr>
            <w:r>
              <w:rPr>
                <w:rFonts w:ascii="Arial" w:eastAsia="Arial" w:hAnsi="Arial" w:cs="Arial"/>
                <w:color w:val="000000"/>
                <w:sz w:val="18"/>
              </w:rPr>
              <w:t>GSE(s)</w:t>
            </w:r>
          </w:p>
        </w:tc>
        <w:tc>
          <w:tcPr>
            <w:tcW w:w="8175" w:type="dxa"/>
            <w:tcBorders>
              <w:top w:val="nil"/>
              <w:left w:val="nil"/>
              <w:bottom w:val="nil"/>
              <w:right w:val="nil"/>
            </w:tcBorders>
            <w:shd w:val="clear" w:color="auto" w:fill="F4F4F4"/>
            <w:tcMar>
              <w:top w:w="0" w:type="dxa"/>
              <w:left w:w="53" w:type="dxa"/>
              <w:bottom w:w="0" w:type="dxa"/>
              <w:right w:w="53" w:type="dxa"/>
            </w:tcMar>
            <w:vAlign w:val="center"/>
          </w:tcPr>
          <w:p w14:paraId="20781F91" w14:textId="77777777" w:rsidR="001614AC" w:rsidRDefault="004468F9">
            <w:pPr>
              <w:spacing w:line="288" w:lineRule="auto"/>
              <w:ind w:left="90"/>
            </w:pPr>
            <w:r>
              <w:rPr>
                <w:rFonts w:ascii="Arial" w:eastAsia="Arial" w:hAnsi="Arial" w:cs="Arial"/>
                <w:color w:val="000000"/>
                <w:sz w:val="18"/>
              </w:rPr>
              <w:t xml:space="preserve">Government-Sponsored Enterprises (Fannie Mae and Freddie </w:t>
            </w:r>
            <w:r>
              <w:rPr>
                <w:rFonts w:ascii="Arial" w:eastAsia="Arial" w:hAnsi="Arial" w:cs="Arial"/>
                <w:color w:val="000000"/>
                <w:sz w:val="18"/>
              </w:rPr>
              <w:t>Mac)</w:t>
            </w:r>
          </w:p>
        </w:tc>
      </w:tr>
      <w:tr w:rsidR="001614AC" w14:paraId="1FA4C904" w14:textId="77777777">
        <w:trPr>
          <w:cantSplit/>
        </w:trPr>
        <w:tc>
          <w:tcPr>
            <w:tcW w:w="1905" w:type="dxa"/>
            <w:tcBorders>
              <w:top w:val="nil"/>
              <w:left w:val="nil"/>
              <w:bottom w:val="nil"/>
              <w:right w:val="nil"/>
            </w:tcBorders>
            <w:shd w:val="clear" w:color="auto" w:fill="FFFFFF"/>
            <w:tcMar>
              <w:top w:w="0" w:type="dxa"/>
              <w:left w:w="53" w:type="dxa"/>
              <w:bottom w:w="0" w:type="dxa"/>
              <w:right w:w="53" w:type="dxa"/>
            </w:tcMar>
            <w:vAlign w:val="center"/>
          </w:tcPr>
          <w:p w14:paraId="63BF7872" w14:textId="77777777" w:rsidR="001614AC" w:rsidRDefault="004468F9">
            <w:pPr>
              <w:spacing w:line="288" w:lineRule="auto"/>
            </w:pPr>
            <w:r>
              <w:rPr>
                <w:rFonts w:ascii="Arial" w:eastAsia="Arial" w:hAnsi="Arial" w:cs="Arial"/>
                <w:color w:val="000000"/>
                <w:sz w:val="18"/>
              </w:rPr>
              <w:t>HARP</w:t>
            </w:r>
          </w:p>
        </w:tc>
        <w:tc>
          <w:tcPr>
            <w:tcW w:w="8175" w:type="dxa"/>
            <w:tcBorders>
              <w:top w:val="nil"/>
              <w:left w:val="nil"/>
              <w:bottom w:val="nil"/>
              <w:right w:val="nil"/>
            </w:tcBorders>
            <w:shd w:val="clear" w:color="auto" w:fill="FFFFFF"/>
            <w:tcMar>
              <w:top w:w="0" w:type="dxa"/>
              <w:left w:w="53" w:type="dxa"/>
              <w:bottom w:w="0" w:type="dxa"/>
              <w:right w:w="53" w:type="dxa"/>
            </w:tcMar>
            <w:vAlign w:val="center"/>
          </w:tcPr>
          <w:p w14:paraId="437CA3CD" w14:textId="77777777" w:rsidR="001614AC" w:rsidRDefault="004468F9">
            <w:pPr>
              <w:spacing w:line="288" w:lineRule="auto"/>
              <w:ind w:left="90"/>
            </w:pPr>
            <w:r>
              <w:rPr>
                <w:rFonts w:ascii="Arial" w:eastAsia="Arial" w:hAnsi="Arial" w:cs="Arial"/>
                <w:color w:val="000000"/>
                <w:sz w:val="18"/>
              </w:rPr>
              <w:t>Home Affordable Refinance Program</w:t>
            </w:r>
          </w:p>
        </w:tc>
      </w:tr>
      <w:tr w:rsidR="001614AC" w14:paraId="516A695A" w14:textId="77777777">
        <w:trPr>
          <w:cantSplit/>
        </w:trPr>
        <w:tc>
          <w:tcPr>
            <w:tcW w:w="1905" w:type="dxa"/>
            <w:tcBorders>
              <w:top w:val="nil"/>
              <w:left w:val="nil"/>
              <w:bottom w:val="nil"/>
              <w:right w:val="nil"/>
            </w:tcBorders>
            <w:shd w:val="clear" w:color="auto" w:fill="F4F4F4"/>
            <w:tcMar>
              <w:top w:w="0" w:type="dxa"/>
              <w:left w:w="53" w:type="dxa"/>
              <w:bottom w:w="0" w:type="dxa"/>
              <w:right w:w="53" w:type="dxa"/>
            </w:tcMar>
            <w:vAlign w:val="center"/>
          </w:tcPr>
          <w:p w14:paraId="0FC05441" w14:textId="77777777" w:rsidR="001614AC" w:rsidRDefault="004468F9">
            <w:pPr>
              <w:spacing w:line="288" w:lineRule="auto"/>
            </w:pPr>
            <w:r>
              <w:rPr>
                <w:rFonts w:ascii="Arial" w:eastAsia="Arial" w:hAnsi="Arial" w:cs="Arial"/>
                <w:color w:val="000000"/>
                <w:sz w:val="18"/>
              </w:rPr>
              <w:t>homegenius</w:t>
            </w:r>
          </w:p>
        </w:tc>
        <w:tc>
          <w:tcPr>
            <w:tcW w:w="8175" w:type="dxa"/>
            <w:tcBorders>
              <w:top w:val="nil"/>
              <w:left w:val="nil"/>
              <w:bottom w:val="nil"/>
              <w:right w:val="nil"/>
            </w:tcBorders>
            <w:shd w:val="clear" w:color="auto" w:fill="F4F4F4"/>
            <w:tcMar>
              <w:top w:w="0" w:type="dxa"/>
              <w:left w:w="53" w:type="dxa"/>
              <w:bottom w:w="0" w:type="dxa"/>
              <w:right w:w="53" w:type="dxa"/>
            </w:tcMar>
            <w:vAlign w:val="center"/>
          </w:tcPr>
          <w:p w14:paraId="606D051F" w14:textId="77777777" w:rsidR="001614AC" w:rsidRDefault="004468F9">
            <w:pPr>
              <w:spacing w:line="288" w:lineRule="auto"/>
              <w:ind w:left="90"/>
            </w:pPr>
            <w:r>
              <w:rPr>
                <w:rFonts w:ascii="Arial" w:eastAsia="Arial" w:hAnsi="Arial" w:cs="Arial"/>
                <w:color w:val="000000"/>
                <w:sz w:val="18"/>
              </w:rPr>
              <w:t xml:space="preserve">Radian’s business segment (formerly known as “Real Estate”) that offers a broad array of title, valuation, asset management, SaaS and other real estate services to mortgage lenders, mortgage and </w:t>
            </w:r>
            <w:r>
              <w:rPr>
                <w:rFonts w:ascii="Arial" w:eastAsia="Arial" w:hAnsi="Arial" w:cs="Arial"/>
                <w:color w:val="000000"/>
                <w:sz w:val="18"/>
              </w:rPr>
              <w:t>real estate investors, GSEs, real estate brokers and agents</w:t>
            </w:r>
          </w:p>
        </w:tc>
      </w:tr>
      <w:tr w:rsidR="001614AC" w14:paraId="10B8B098" w14:textId="77777777">
        <w:trPr>
          <w:cantSplit/>
        </w:trPr>
        <w:tc>
          <w:tcPr>
            <w:tcW w:w="1905" w:type="dxa"/>
            <w:tcBorders>
              <w:top w:val="nil"/>
              <w:left w:val="nil"/>
              <w:bottom w:val="nil"/>
              <w:right w:val="nil"/>
            </w:tcBorders>
            <w:shd w:val="clear" w:color="auto" w:fill="FFFFFF"/>
            <w:tcMar>
              <w:top w:w="0" w:type="dxa"/>
              <w:left w:w="53" w:type="dxa"/>
              <w:bottom w:w="0" w:type="dxa"/>
              <w:right w:w="53" w:type="dxa"/>
            </w:tcMar>
            <w:vAlign w:val="center"/>
          </w:tcPr>
          <w:p w14:paraId="7A587B88" w14:textId="77777777" w:rsidR="001614AC" w:rsidRDefault="004468F9">
            <w:pPr>
              <w:spacing w:line="288" w:lineRule="auto"/>
            </w:pPr>
            <w:r>
              <w:rPr>
                <w:rFonts w:ascii="Arial" w:eastAsia="Arial" w:hAnsi="Arial" w:cs="Arial"/>
                <w:color w:val="000000"/>
                <w:sz w:val="18"/>
              </w:rPr>
              <w:t>IBNR</w:t>
            </w:r>
          </w:p>
        </w:tc>
        <w:tc>
          <w:tcPr>
            <w:tcW w:w="8175" w:type="dxa"/>
            <w:tcBorders>
              <w:top w:val="nil"/>
              <w:left w:val="nil"/>
              <w:bottom w:val="nil"/>
              <w:right w:val="nil"/>
            </w:tcBorders>
            <w:shd w:val="clear" w:color="auto" w:fill="FFFFFF"/>
            <w:tcMar>
              <w:top w:w="0" w:type="dxa"/>
              <w:left w:w="53" w:type="dxa"/>
              <w:bottom w:w="0" w:type="dxa"/>
              <w:right w:w="53" w:type="dxa"/>
            </w:tcMar>
            <w:vAlign w:val="center"/>
          </w:tcPr>
          <w:p w14:paraId="2F880871" w14:textId="77777777" w:rsidR="001614AC" w:rsidRDefault="004468F9">
            <w:pPr>
              <w:spacing w:line="288" w:lineRule="auto"/>
              <w:ind w:left="90"/>
            </w:pPr>
            <w:r>
              <w:rPr>
                <w:rFonts w:ascii="Arial" w:eastAsia="Arial" w:hAnsi="Arial" w:cs="Arial"/>
                <w:color w:val="000000"/>
                <w:sz w:val="18"/>
              </w:rPr>
              <w:t xml:space="preserve">Losses incurred but not reported </w:t>
            </w:r>
          </w:p>
        </w:tc>
      </w:tr>
      <w:tr w:rsidR="001614AC" w14:paraId="62B58F3E" w14:textId="77777777">
        <w:trPr>
          <w:cantSplit/>
        </w:trPr>
        <w:tc>
          <w:tcPr>
            <w:tcW w:w="1905" w:type="dxa"/>
            <w:tcBorders>
              <w:top w:val="nil"/>
              <w:left w:val="nil"/>
              <w:bottom w:val="nil"/>
              <w:right w:val="nil"/>
            </w:tcBorders>
            <w:shd w:val="clear" w:color="auto" w:fill="F4F4F4"/>
            <w:tcMar>
              <w:top w:w="0" w:type="dxa"/>
              <w:left w:w="53" w:type="dxa"/>
              <w:bottom w:w="0" w:type="dxa"/>
              <w:right w:w="53" w:type="dxa"/>
            </w:tcMar>
            <w:vAlign w:val="center"/>
          </w:tcPr>
          <w:p w14:paraId="185B6D05" w14:textId="77777777" w:rsidR="001614AC" w:rsidRDefault="004468F9">
            <w:pPr>
              <w:spacing w:line="288" w:lineRule="auto"/>
            </w:pPr>
            <w:r>
              <w:rPr>
                <w:rFonts w:ascii="Arial" w:eastAsia="Arial" w:hAnsi="Arial" w:cs="Arial"/>
                <w:color w:val="000000"/>
                <w:sz w:val="18"/>
              </w:rPr>
              <w:t>IIF</w:t>
            </w:r>
          </w:p>
        </w:tc>
        <w:tc>
          <w:tcPr>
            <w:tcW w:w="8175" w:type="dxa"/>
            <w:tcBorders>
              <w:top w:val="nil"/>
              <w:left w:val="nil"/>
              <w:bottom w:val="nil"/>
              <w:right w:val="nil"/>
            </w:tcBorders>
            <w:shd w:val="clear" w:color="auto" w:fill="F4F4F4"/>
            <w:tcMar>
              <w:top w:w="0" w:type="dxa"/>
              <w:left w:w="53" w:type="dxa"/>
              <w:bottom w:w="0" w:type="dxa"/>
              <w:right w:w="53" w:type="dxa"/>
            </w:tcMar>
            <w:vAlign w:val="center"/>
          </w:tcPr>
          <w:p w14:paraId="06721C55" w14:textId="77777777" w:rsidR="001614AC" w:rsidRDefault="004468F9">
            <w:pPr>
              <w:spacing w:line="288" w:lineRule="auto"/>
              <w:ind w:left="90"/>
            </w:pPr>
            <w:r>
              <w:rPr>
                <w:rFonts w:ascii="Arial" w:eastAsia="Arial" w:hAnsi="Arial" w:cs="Arial"/>
                <w:color w:val="000000"/>
                <w:sz w:val="18"/>
              </w:rPr>
              <w:t xml:space="preserve">Insurance in force, equal to the aggregate unpaid principal balances of the underlying loans </w:t>
            </w:r>
          </w:p>
        </w:tc>
      </w:tr>
      <w:tr w:rsidR="001614AC" w14:paraId="07B68DE6" w14:textId="77777777">
        <w:trPr>
          <w:cantSplit/>
        </w:trPr>
        <w:tc>
          <w:tcPr>
            <w:tcW w:w="1905" w:type="dxa"/>
            <w:tcBorders>
              <w:top w:val="nil"/>
              <w:left w:val="nil"/>
              <w:bottom w:val="nil"/>
              <w:right w:val="nil"/>
            </w:tcBorders>
            <w:shd w:val="clear" w:color="auto" w:fill="FFFFFF"/>
            <w:tcMar>
              <w:top w:w="0" w:type="dxa"/>
              <w:left w:w="53" w:type="dxa"/>
              <w:bottom w:w="0" w:type="dxa"/>
              <w:right w:w="53" w:type="dxa"/>
            </w:tcMar>
            <w:vAlign w:val="center"/>
          </w:tcPr>
          <w:p w14:paraId="6A45175C" w14:textId="77777777" w:rsidR="001614AC" w:rsidRDefault="004468F9">
            <w:pPr>
              <w:spacing w:line="288" w:lineRule="auto"/>
            </w:pPr>
            <w:r>
              <w:rPr>
                <w:rFonts w:ascii="Arial" w:eastAsia="Arial" w:hAnsi="Arial" w:cs="Arial"/>
                <w:color w:val="000000"/>
                <w:sz w:val="18"/>
              </w:rPr>
              <w:t>Initial Missed Payment</w:t>
            </w:r>
          </w:p>
        </w:tc>
        <w:tc>
          <w:tcPr>
            <w:tcW w:w="8175" w:type="dxa"/>
            <w:tcBorders>
              <w:top w:val="nil"/>
              <w:left w:val="nil"/>
              <w:bottom w:val="nil"/>
              <w:right w:val="nil"/>
            </w:tcBorders>
            <w:shd w:val="clear" w:color="auto" w:fill="FFFFFF"/>
            <w:tcMar>
              <w:top w:w="0" w:type="dxa"/>
              <w:left w:w="53" w:type="dxa"/>
              <w:bottom w:w="0" w:type="dxa"/>
              <w:right w:w="53" w:type="dxa"/>
            </w:tcMar>
            <w:vAlign w:val="center"/>
          </w:tcPr>
          <w:p w14:paraId="779E1C74" w14:textId="77777777" w:rsidR="001614AC" w:rsidRDefault="004468F9">
            <w:pPr>
              <w:spacing w:line="288" w:lineRule="auto"/>
              <w:ind w:left="90"/>
              <w:rPr>
                <w:rFonts w:ascii="Arial" w:eastAsia="Arial" w:hAnsi="Arial" w:cs="Arial"/>
                <w:sz w:val="18"/>
              </w:rPr>
            </w:pPr>
            <w:r>
              <w:rPr>
                <w:rFonts w:ascii="Arial" w:eastAsia="Arial" w:hAnsi="Arial" w:cs="Arial"/>
                <w:sz w:val="18"/>
              </w:rPr>
              <w:t xml:space="preserve">The first missed monthly payment, which would be reported to us as delinquent as of the last day of the month for which it was due. </w:t>
            </w:r>
            <w:r>
              <w:rPr>
                <w:rFonts w:ascii="Arial" w:eastAsia="Arial" w:hAnsi="Arial" w:cs="Arial"/>
                <w:sz w:val="18"/>
              </w:rPr>
              <w:t xml:space="preserve">(For example, for a loan first reported to the approved insurer in May as having missed its payments due on April 1 and May 1, the Initial Missed Payment shall be deemed to have occurred on April 30. In this example, the loan would become a non-performing </w:t>
            </w:r>
            <w:r>
              <w:rPr>
                <w:rFonts w:ascii="Arial" w:eastAsia="Arial" w:hAnsi="Arial" w:cs="Arial"/>
                <w:sz w:val="18"/>
              </w:rPr>
              <w:t>primary mortgage guaranty insurance loan in May and, if applicable, the Disaster Related Capital Charge would be applied for May, June, and July.)</w:t>
            </w:r>
          </w:p>
        </w:tc>
      </w:tr>
      <w:tr w:rsidR="001614AC" w14:paraId="68F74BFE" w14:textId="77777777">
        <w:trPr>
          <w:cantSplit/>
        </w:trPr>
        <w:tc>
          <w:tcPr>
            <w:tcW w:w="1905" w:type="dxa"/>
            <w:tcBorders>
              <w:top w:val="nil"/>
              <w:left w:val="nil"/>
              <w:bottom w:val="nil"/>
              <w:right w:val="nil"/>
            </w:tcBorders>
            <w:shd w:val="clear" w:color="auto" w:fill="F4F4F4"/>
            <w:tcMar>
              <w:top w:w="0" w:type="dxa"/>
              <w:left w:w="53" w:type="dxa"/>
              <w:bottom w:w="0" w:type="dxa"/>
              <w:right w:w="53" w:type="dxa"/>
            </w:tcMar>
            <w:vAlign w:val="center"/>
          </w:tcPr>
          <w:p w14:paraId="016E587F" w14:textId="77777777" w:rsidR="001614AC" w:rsidRDefault="004468F9">
            <w:pPr>
              <w:spacing w:line="288" w:lineRule="auto"/>
            </w:pPr>
            <w:r>
              <w:rPr>
                <w:rFonts w:ascii="Arial" w:eastAsia="Arial" w:hAnsi="Arial" w:cs="Arial"/>
                <w:color w:val="000000"/>
                <w:sz w:val="18"/>
              </w:rPr>
              <w:t>LAE</w:t>
            </w:r>
          </w:p>
        </w:tc>
        <w:tc>
          <w:tcPr>
            <w:tcW w:w="8175" w:type="dxa"/>
            <w:tcBorders>
              <w:top w:val="nil"/>
              <w:left w:val="nil"/>
              <w:bottom w:val="nil"/>
              <w:right w:val="nil"/>
            </w:tcBorders>
            <w:shd w:val="clear" w:color="auto" w:fill="F4F4F4"/>
            <w:tcMar>
              <w:top w:w="0" w:type="dxa"/>
              <w:left w:w="53" w:type="dxa"/>
              <w:bottom w:w="0" w:type="dxa"/>
              <w:right w:w="53" w:type="dxa"/>
            </w:tcMar>
            <w:vAlign w:val="center"/>
          </w:tcPr>
          <w:p w14:paraId="0145AC80" w14:textId="77777777" w:rsidR="001614AC" w:rsidRDefault="004468F9">
            <w:pPr>
              <w:spacing w:line="288" w:lineRule="auto"/>
              <w:ind w:left="90"/>
            </w:pPr>
            <w:r>
              <w:rPr>
                <w:rFonts w:ascii="Arial" w:eastAsia="Arial" w:hAnsi="Arial" w:cs="Arial"/>
                <w:color w:val="000000"/>
                <w:sz w:val="18"/>
              </w:rPr>
              <w:t xml:space="preserve">Loss adjustment expenses, which include the cost of investigating and adjusting losses and paying </w:t>
            </w:r>
            <w:r>
              <w:rPr>
                <w:rFonts w:ascii="Arial" w:eastAsia="Arial" w:hAnsi="Arial" w:cs="Arial"/>
                <w:color w:val="000000"/>
                <w:sz w:val="18"/>
              </w:rPr>
              <w:t>claims</w:t>
            </w:r>
          </w:p>
        </w:tc>
      </w:tr>
      <w:tr w:rsidR="001614AC" w14:paraId="55B7A6D3" w14:textId="77777777">
        <w:trPr>
          <w:cantSplit/>
        </w:trPr>
        <w:tc>
          <w:tcPr>
            <w:tcW w:w="1905" w:type="dxa"/>
            <w:tcBorders>
              <w:top w:val="nil"/>
              <w:left w:val="nil"/>
              <w:bottom w:val="nil"/>
              <w:right w:val="nil"/>
            </w:tcBorders>
            <w:shd w:val="clear" w:color="auto" w:fill="FFFFFF"/>
            <w:tcMar>
              <w:top w:w="0" w:type="dxa"/>
              <w:left w:w="53" w:type="dxa"/>
              <w:bottom w:w="0" w:type="dxa"/>
              <w:right w:w="53" w:type="dxa"/>
            </w:tcMar>
            <w:vAlign w:val="center"/>
          </w:tcPr>
          <w:p w14:paraId="722B3C07" w14:textId="77777777" w:rsidR="001614AC" w:rsidRDefault="004468F9">
            <w:pPr>
              <w:spacing w:line="288" w:lineRule="auto"/>
            </w:pPr>
            <w:r>
              <w:rPr>
                <w:rFonts w:ascii="Arial" w:eastAsia="Arial" w:hAnsi="Arial" w:cs="Arial"/>
                <w:color w:val="000000"/>
                <w:sz w:val="18"/>
              </w:rPr>
              <w:t>LIBOR</w:t>
            </w:r>
          </w:p>
        </w:tc>
        <w:tc>
          <w:tcPr>
            <w:tcW w:w="8175" w:type="dxa"/>
            <w:tcBorders>
              <w:top w:val="nil"/>
              <w:left w:val="nil"/>
              <w:bottom w:val="nil"/>
              <w:right w:val="nil"/>
            </w:tcBorders>
            <w:shd w:val="clear" w:color="auto" w:fill="FFFFFF"/>
            <w:tcMar>
              <w:top w:w="0" w:type="dxa"/>
              <w:left w:w="53" w:type="dxa"/>
              <w:bottom w:w="0" w:type="dxa"/>
              <w:right w:w="53" w:type="dxa"/>
            </w:tcMar>
            <w:vAlign w:val="center"/>
          </w:tcPr>
          <w:p w14:paraId="7FAAC795" w14:textId="77777777" w:rsidR="001614AC" w:rsidRDefault="004468F9">
            <w:pPr>
              <w:spacing w:line="288" w:lineRule="auto"/>
              <w:ind w:left="90"/>
            </w:pPr>
            <w:r>
              <w:rPr>
                <w:rFonts w:ascii="Arial" w:eastAsia="Arial" w:hAnsi="Arial" w:cs="Arial"/>
                <w:color w:val="000000"/>
                <w:sz w:val="18"/>
              </w:rPr>
              <w:t>London Inter-bank Offered Rate</w:t>
            </w:r>
          </w:p>
        </w:tc>
      </w:tr>
      <w:tr w:rsidR="001614AC" w14:paraId="7E627E6D" w14:textId="77777777">
        <w:trPr>
          <w:cantSplit/>
        </w:trPr>
        <w:tc>
          <w:tcPr>
            <w:tcW w:w="1905" w:type="dxa"/>
            <w:tcBorders>
              <w:top w:val="nil"/>
              <w:left w:val="nil"/>
              <w:bottom w:val="nil"/>
              <w:right w:val="nil"/>
            </w:tcBorders>
            <w:shd w:val="clear" w:color="auto" w:fill="F4F4F4"/>
            <w:tcMar>
              <w:top w:w="0" w:type="dxa"/>
              <w:left w:w="53" w:type="dxa"/>
              <w:bottom w:w="0" w:type="dxa"/>
              <w:right w:w="53" w:type="dxa"/>
            </w:tcMar>
            <w:vAlign w:val="center"/>
          </w:tcPr>
          <w:p w14:paraId="0187C4B2" w14:textId="77777777" w:rsidR="001614AC" w:rsidRDefault="004468F9">
            <w:pPr>
              <w:spacing w:line="288" w:lineRule="auto"/>
            </w:pPr>
            <w:r>
              <w:rPr>
                <w:rFonts w:ascii="Arial" w:eastAsia="Arial" w:hAnsi="Arial" w:cs="Arial"/>
                <w:color w:val="000000"/>
                <w:sz w:val="18"/>
              </w:rPr>
              <w:t>Loss Mitigation Activity/Activities</w:t>
            </w:r>
          </w:p>
        </w:tc>
        <w:tc>
          <w:tcPr>
            <w:tcW w:w="8175" w:type="dxa"/>
            <w:tcBorders>
              <w:top w:val="nil"/>
              <w:left w:val="nil"/>
              <w:bottom w:val="nil"/>
              <w:right w:val="nil"/>
            </w:tcBorders>
            <w:shd w:val="clear" w:color="auto" w:fill="F4F4F4"/>
            <w:tcMar>
              <w:top w:w="0" w:type="dxa"/>
              <w:left w:w="53" w:type="dxa"/>
              <w:bottom w:w="0" w:type="dxa"/>
              <w:right w:w="53" w:type="dxa"/>
            </w:tcMar>
            <w:vAlign w:val="center"/>
          </w:tcPr>
          <w:p w14:paraId="5091A48C" w14:textId="77777777" w:rsidR="001614AC" w:rsidRDefault="004468F9">
            <w:pPr>
              <w:spacing w:line="288" w:lineRule="auto"/>
              <w:ind w:left="90"/>
            </w:pPr>
            <w:r>
              <w:rPr>
                <w:rFonts w:ascii="Arial" w:eastAsia="Arial" w:hAnsi="Arial" w:cs="Arial"/>
                <w:color w:val="000000"/>
                <w:sz w:val="18"/>
              </w:rPr>
              <w:t>Activities such as Rescissions, Claim Denials, Claim Curtailments and cancellations</w:t>
            </w:r>
          </w:p>
        </w:tc>
      </w:tr>
      <w:tr w:rsidR="001614AC" w14:paraId="03F9230B" w14:textId="77777777">
        <w:trPr>
          <w:cantSplit/>
        </w:trPr>
        <w:tc>
          <w:tcPr>
            <w:tcW w:w="1905" w:type="dxa"/>
            <w:tcBorders>
              <w:top w:val="nil"/>
              <w:left w:val="nil"/>
              <w:bottom w:val="nil"/>
              <w:right w:val="nil"/>
            </w:tcBorders>
            <w:shd w:val="clear" w:color="auto" w:fill="FFFFFF"/>
            <w:tcMar>
              <w:top w:w="0" w:type="dxa"/>
              <w:left w:w="53" w:type="dxa"/>
              <w:bottom w:w="0" w:type="dxa"/>
              <w:right w:w="53" w:type="dxa"/>
            </w:tcMar>
            <w:vAlign w:val="center"/>
          </w:tcPr>
          <w:p w14:paraId="239912A9" w14:textId="77777777" w:rsidR="001614AC" w:rsidRDefault="004468F9">
            <w:pPr>
              <w:spacing w:line="288" w:lineRule="auto"/>
            </w:pPr>
            <w:r>
              <w:rPr>
                <w:rFonts w:ascii="Arial" w:eastAsia="Arial" w:hAnsi="Arial" w:cs="Arial"/>
                <w:color w:val="000000"/>
                <w:sz w:val="18"/>
              </w:rPr>
              <w:t>LTV</w:t>
            </w:r>
          </w:p>
        </w:tc>
        <w:tc>
          <w:tcPr>
            <w:tcW w:w="8175" w:type="dxa"/>
            <w:tcBorders>
              <w:top w:val="nil"/>
              <w:left w:val="nil"/>
              <w:bottom w:val="nil"/>
              <w:right w:val="nil"/>
            </w:tcBorders>
            <w:shd w:val="clear" w:color="auto" w:fill="FFFFFF"/>
            <w:tcMar>
              <w:top w:w="0" w:type="dxa"/>
              <w:left w:w="53" w:type="dxa"/>
              <w:bottom w:w="0" w:type="dxa"/>
              <w:right w:w="53" w:type="dxa"/>
            </w:tcMar>
            <w:vAlign w:val="center"/>
          </w:tcPr>
          <w:p w14:paraId="426DA8FF" w14:textId="77777777" w:rsidR="001614AC" w:rsidRDefault="004468F9">
            <w:pPr>
              <w:spacing w:line="288" w:lineRule="auto"/>
              <w:ind w:left="90"/>
            </w:pPr>
            <w:r>
              <w:rPr>
                <w:rFonts w:ascii="Arial" w:eastAsia="Arial" w:hAnsi="Arial" w:cs="Arial"/>
                <w:color w:val="000000"/>
                <w:sz w:val="18"/>
              </w:rPr>
              <w:t xml:space="preserve">Loan-to-value ratio, calculated as the ratio of the original loan amount to the </w:t>
            </w:r>
            <w:r>
              <w:rPr>
                <w:rFonts w:ascii="Arial" w:eastAsia="Arial" w:hAnsi="Arial" w:cs="Arial"/>
                <w:color w:val="000000"/>
                <w:sz w:val="18"/>
              </w:rPr>
              <w:t>original value of the property, expressed as a percentage</w:t>
            </w:r>
          </w:p>
        </w:tc>
      </w:tr>
      <w:tr w:rsidR="001614AC" w14:paraId="3AC03293" w14:textId="77777777">
        <w:trPr>
          <w:cantSplit/>
        </w:trPr>
        <w:tc>
          <w:tcPr>
            <w:tcW w:w="1905" w:type="dxa"/>
            <w:tcBorders>
              <w:top w:val="nil"/>
              <w:left w:val="nil"/>
              <w:bottom w:val="nil"/>
              <w:right w:val="nil"/>
            </w:tcBorders>
            <w:shd w:val="clear" w:color="auto" w:fill="F4F4F4"/>
            <w:tcMar>
              <w:top w:w="0" w:type="dxa"/>
              <w:left w:w="53" w:type="dxa"/>
              <w:bottom w:w="0" w:type="dxa"/>
              <w:right w:w="53" w:type="dxa"/>
            </w:tcMar>
            <w:vAlign w:val="center"/>
          </w:tcPr>
          <w:p w14:paraId="07C21FC3" w14:textId="77777777" w:rsidR="001614AC" w:rsidRDefault="004468F9">
            <w:pPr>
              <w:spacing w:line="288" w:lineRule="auto"/>
            </w:pPr>
            <w:r>
              <w:rPr>
                <w:rFonts w:ascii="Arial" w:eastAsia="Arial" w:hAnsi="Arial" w:cs="Arial"/>
                <w:color w:val="000000"/>
                <w:sz w:val="18"/>
              </w:rPr>
              <w:t>Master Policies</w:t>
            </w:r>
          </w:p>
        </w:tc>
        <w:tc>
          <w:tcPr>
            <w:tcW w:w="8175" w:type="dxa"/>
            <w:tcBorders>
              <w:top w:val="nil"/>
              <w:left w:val="nil"/>
              <w:bottom w:val="nil"/>
              <w:right w:val="nil"/>
            </w:tcBorders>
            <w:shd w:val="clear" w:color="auto" w:fill="F4F4F4"/>
            <w:tcMar>
              <w:top w:w="0" w:type="dxa"/>
              <w:left w:w="53" w:type="dxa"/>
              <w:bottom w:w="0" w:type="dxa"/>
              <w:right w:w="53" w:type="dxa"/>
            </w:tcMar>
            <w:vAlign w:val="center"/>
          </w:tcPr>
          <w:p w14:paraId="3D49293F" w14:textId="77777777" w:rsidR="001614AC" w:rsidRDefault="004468F9">
            <w:pPr>
              <w:spacing w:line="288" w:lineRule="auto"/>
              <w:ind w:left="90"/>
            </w:pPr>
            <w:r>
              <w:rPr>
                <w:rFonts w:ascii="Arial" w:eastAsia="Arial" w:hAnsi="Arial" w:cs="Arial"/>
                <w:color w:val="000000"/>
                <w:sz w:val="18"/>
              </w:rPr>
              <w:t>The Prior Master Policy, the 2014 Master Policy, and the 2020 Master Policy, together</w:t>
            </w:r>
          </w:p>
        </w:tc>
      </w:tr>
      <w:tr w:rsidR="001614AC" w14:paraId="2CD96204" w14:textId="77777777">
        <w:trPr>
          <w:cantSplit/>
        </w:trPr>
        <w:tc>
          <w:tcPr>
            <w:tcW w:w="1905" w:type="dxa"/>
            <w:tcBorders>
              <w:top w:val="nil"/>
              <w:left w:val="nil"/>
              <w:bottom w:val="nil"/>
              <w:right w:val="nil"/>
            </w:tcBorders>
            <w:shd w:val="clear" w:color="auto" w:fill="FFFFFF"/>
            <w:tcMar>
              <w:top w:w="0" w:type="dxa"/>
              <w:left w:w="53" w:type="dxa"/>
              <w:bottom w:w="0" w:type="dxa"/>
              <w:right w:w="53" w:type="dxa"/>
            </w:tcMar>
            <w:vAlign w:val="center"/>
          </w:tcPr>
          <w:p w14:paraId="7A60FF53" w14:textId="77777777" w:rsidR="001614AC" w:rsidRDefault="004468F9">
            <w:pPr>
              <w:spacing w:line="288" w:lineRule="auto"/>
            </w:pPr>
            <w:r>
              <w:rPr>
                <w:rFonts w:ascii="Arial" w:eastAsia="Arial" w:hAnsi="Arial" w:cs="Arial"/>
                <w:color w:val="000000"/>
                <w:sz w:val="18"/>
              </w:rPr>
              <w:t>Minimum Required Asset(s)</w:t>
            </w:r>
          </w:p>
        </w:tc>
        <w:tc>
          <w:tcPr>
            <w:tcW w:w="8175" w:type="dxa"/>
            <w:tcBorders>
              <w:top w:val="nil"/>
              <w:left w:val="nil"/>
              <w:bottom w:val="nil"/>
              <w:right w:val="nil"/>
            </w:tcBorders>
            <w:shd w:val="clear" w:color="auto" w:fill="FFFFFF"/>
            <w:tcMar>
              <w:top w:w="0" w:type="dxa"/>
              <w:left w:w="53" w:type="dxa"/>
              <w:bottom w:w="0" w:type="dxa"/>
              <w:right w:w="53" w:type="dxa"/>
            </w:tcMar>
            <w:vAlign w:val="center"/>
          </w:tcPr>
          <w:p w14:paraId="76300FC1" w14:textId="77777777" w:rsidR="001614AC" w:rsidRDefault="004468F9">
            <w:pPr>
              <w:spacing w:line="288" w:lineRule="auto"/>
              <w:ind w:left="90"/>
            </w:pPr>
            <w:r>
              <w:rPr>
                <w:rFonts w:ascii="Arial" w:eastAsia="Arial" w:hAnsi="Arial" w:cs="Arial"/>
                <w:color w:val="000000"/>
                <w:sz w:val="18"/>
              </w:rPr>
              <w:t xml:space="preserve">A risk-based minimum required asset amount, as defined in the </w:t>
            </w:r>
            <w:r>
              <w:rPr>
                <w:rFonts w:ascii="Arial" w:eastAsia="Arial" w:hAnsi="Arial" w:cs="Arial"/>
                <w:color w:val="000000"/>
                <w:sz w:val="18"/>
              </w:rPr>
              <w:t>PMIERs, calculated based on net RIF (RIF, net of credits permitted for reinsurance) and a variety of measures related to expected credit performance and other factors, including the impact of the Disaster Related Capital Charge</w:t>
            </w:r>
          </w:p>
        </w:tc>
      </w:tr>
      <w:tr w:rsidR="001614AC" w14:paraId="49A8115F" w14:textId="77777777">
        <w:trPr>
          <w:cantSplit/>
        </w:trPr>
        <w:tc>
          <w:tcPr>
            <w:tcW w:w="1905" w:type="dxa"/>
            <w:tcBorders>
              <w:top w:val="nil"/>
              <w:left w:val="nil"/>
              <w:bottom w:val="nil"/>
              <w:right w:val="nil"/>
            </w:tcBorders>
            <w:shd w:val="clear" w:color="auto" w:fill="F4F4F4"/>
            <w:tcMar>
              <w:top w:w="0" w:type="dxa"/>
              <w:left w:w="53" w:type="dxa"/>
              <w:bottom w:w="0" w:type="dxa"/>
              <w:right w:w="53" w:type="dxa"/>
            </w:tcMar>
            <w:vAlign w:val="center"/>
          </w:tcPr>
          <w:p w14:paraId="2A91F385" w14:textId="77777777" w:rsidR="001614AC" w:rsidRDefault="004468F9">
            <w:pPr>
              <w:spacing w:line="288" w:lineRule="auto"/>
            </w:pPr>
            <w:r>
              <w:rPr>
                <w:rFonts w:ascii="Arial" w:eastAsia="Arial" w:hAnsi="Arial" w:cs="Arial"/>
                <w:color w:val="000000"/>
                <w:sz w:val="18"/>
              </w:rPr>
              <w:lastRenderedPageBreak/>
              <w:t>Model Act</w:t>
            </w:r>
          </w:p>
        </w:tc>
        <w:tc>
          <w:tcPr>
            <w:tcW w:w="8175" w:type="dxa"/>
            <w:tcBorders>
              <w:top w:val="nil"/>
              <w:left w:val="nil"/>
              <w:bottom w:val="nil"/>
              <w:right w:val="nil"/>
            </w:tcBorders>
            <w:shd w:val="clear" w:color="auto" w:fill="F4F4F4"/>
            <w:tcMar>
              <w:top w:w="0" w:type="dxa"/>
              <w:left w:w="53" w:type="dxa"/>
              <w:bottom w:w="0" w:type="dxa"/>
              <w:right w:w="53" w:type="dxa"/>
            </w:tcMar>
            <w:vAlign w:val="center"/>
          </w:tcPr>
          <w:p w14:paraId="3C37F468" w14:textId="77777777" w:rsidR="001614AC" w:rsidRDefault="004468F9">
            <w:pPr>
              <w:spacing w:line="288" w:lineRule="auto"/>
              <w:ind w:left="90"/>
            </w:pPr>
            <w:r>
              <w:rPr>
                <w:rFonts w:ascii="Arial" w:eastAsia="Arial" w:hAnsi="Arial" w:cs="Arial"/>
                <w:color w:val="000000"/>
                <w:sz w:val="18"/>
              </w:rPr>
              <w:t xml:space="preserve">Mortgage </w:t>
            </w:r>
            <w:r>
              <w:rPr>
                <w:rFonts w:ascii="Arial" w:eastAsia="Arial" w:hAnsi="Arial" w:cs="Arial"/>
                <w:color w:val="000000"/>
                <w:sz w:val="18"/>
              </w:rPr>
              <w:t>Guaranty Insurance Model Act, as issued by the National Association of Insurance Commissioners to establish minimum capital and surplus requirements for mortgage insurers</w:t>
            </w:r>
          </w:p>
        </w:tc>
      </w:tr>
      <w:tr w:rsidR="001614AC" w14:paraId="52E56F9F" w14:textId="77777777">
        <w:trPr>
          <w:cantSplit/>
        </w:trPr>
        <w:tc>
          <w:tcPr>
            <w:tcW w:w="1905" w:type="dxa"/>
            <w:tcBorders>
              <w:top w:val="nil"/>
              <w:left w:val="nil"/>
              <w:bottom w:val="nil"/>
              <w:right w:val="nil"/>
            </w:tcBorders>
            <w:shd w:val="clear" w:color="auto" w:fill="FFFFFF"/>
            <w:tcMar>
              <w:top w:w="0" w:type="dxa"/>
              <w:left w:w="53" w:type="dxa"/>
              <w:bottom w:w="0" w:type="dxa"/>
              <w:right w:w="53" w:type="dxa"/>
            </w:tcMar>
            <w:vAlign w:val="center"/>
          </w:tcPr>
          <w:p w14:paraId="4FAF5050" w14:textId="77777777" w:rsidR="001614AC" w:rsidRDefault="004468F9">
            <w:pPr>
              <w:spacing w:line="288" w:lineRule="auto"/>
            </w:pPr>
            <w:r>
              <w:rPr>
                <w:rFonts w:ascii="Arial" w:eastAsia="Arial" w:hAnsi="Arial" w:cs="Arial"/>
                <w:color w:val="000000"/>
                <w:sz w:val="18"/>
              </w:rPr>
              <w:t>Monthly and Other Recurring Premiums (or Recurring Premium Policies)</w:t>
            </w:r>
          </w:p>
        </w:tc>
        <w:tc>
          <w:tcPr>
            <w:tcW w:w="8175" w:type="dxa"/>
            <w:tcBorders>
              <w:top w:val="nil"/>
              <w:left w:val="nil"/>
              <w:bottom w:val="nil"/>
              <w:right w:val="nil"/>
            </w:tcBorders>
            <w:shd w:val="clear" w:color="auto" w:fill="FFFFFF"/>
            <w:tcMar>
              <w:top w:w="0" w:type="dxa"/>
              <w:left w:w="53" w:type="dxa"/>
              <w:bottom w:w="0" w:type="dxa"/>
              <w:right w:w="53" w:type="dxa"/>
            </w:tcMar>
            <w:vAlign w:val="center"/>
          </w:tcPr>
          <w:p w14:paraId="13A8EEFF" w14:textId="77777777" w:rsidR="001614AC" w:rsidRDefault="004468F9">
            <w:pPr>
              <w:spacing w:line="288" w:lineRule="auto"/>
              <w:ind w:left="90"/>
            </w:pPr>
            <w:r>
              <w:rPr>
                <w:rFonts w:ascii="Arial" w:eastAsia="Arial" w:hAnsi="Arial" w:cs="Arial"/>
                <w:color w:val="000000"/>
                <w:sz w:val="18"/>
              </w:rPr>
              <w:t>Insurance premiums or policies, respectively, where premiums are paid on a monthly or other installment basis, in contrast to Single Premium Policies</w:t>
            </w:r>
          </w:p>
        </w:tc>
      </w:tr>
      <w:tr w:rsidR="001614AC" w14:paraId="665A9E23" w14:textId="77777777">
        <w:trPr>
          <w:cantSplit/>
        </w:trPr>
        <w:tc>
          <w:tcPr>
            <w:tcW w:w="1905" w:type="dxa"/>
            <w:tcBorders>
              <w:top w:val="nil"/>
              <w:left w:val="nil"/>
              <w:bottom w:val="nil"/>
              <w:right w:val="nil"/>
            </w:tcBorders>
            <w:shd w:val="clear" w:color="auto" w:fill="F4F4F4"/>
            <w:tcMar>
              <w:top w:w="0" w:type="dxa"/>
              <w:left w:w="53" w:type="dxa"/>
              <w:bottom w:w="0" w:type="dxa"/>
              <w:right w:w="53" w:type="dxa"/>
            </w:tcMar>
            <w:vAlign w:val="center"/>
          </w:tcPr>
          <w:p w14:paraId="46F80F70" w14:textId="77777777" w:rsidR="001614AC" w:rsidRDefault="004468F9">
            <w:pPr>
              <w:spacing w:line="288" w:lineRule="auto"/>
            </w:pPr>
            <w:r>
              <w:rPr>
                <w:rFonts w:ascii="Arial" w:eastAsia="Arial" w:hAnsi="Arial" w:cs="Arial"/>
                <w:color w:val="000000"/>
                <w:sz w:val="18"/>
              </w:rPr>
              <w:t>Monthly Premium Policies</w:t>
            </w:r>
          </w:p>
        </w:tc>
        <w:tc>
          <w:tcPr>
            <w:tcW w:w="8175" w:type="dxa"/>
            <w:tcBorders>
              <w:top w:val="nil"/>
              <w:left w:val="nil"/>
              <w:bottom w:val="nil"/>
              <w:right w:val="nil"/>
            </w:tcBorders>
            <w:shd w:val="clear" w:color="auto" w:fill="F4F4F4"/>
            <w:tcMar>
              <w:top w:w="0" w:type="dxa"/>
              <w:left w:w="53" w:type="dxa"/>
              <w:bottom w:w="0" w:type="dxa"/>
              <w:right w:w="53" w:type="dxa"/>
            </w:tcMar>
            <w:vAlign w:val="center"/>
          </w:tcPr>
          <w:p w14:paraId="35750C03" w14:textId="77777777" w:rsidR="001614AC" w:rsidRDefault="004468F9">
            <w:pPr>
              <w:spacing w:line="288" w:lineRule="auto"/>
              <w:ind w:left="90"/>
            </w:pPr>
            <w:r>
              <w:rPr>
                <w:rFonts w:ascii="Arial" w:eastAsia="Arial" w:hAnsi="Arial" w:cs="Arial"/>
                <w:color w:val="000000"/>
                <w:sz w:val="18"/>
              </w:rPr>
              <w:t>Insurance policies where premiums are paid on a monthly installment basis</w:t>
            </w:r>
          </w:p>
        </w:tc>
      </w:tr>
      <w:tr w:rsidR="001614AC" w14:paraId="33295B0D" w14:textId="77777777">
        <w:trPr>
          <w:cantSplit/>
        </w:trPr>
        <w:tc>
          <w:tcPr>
            <w:tcW w:w="1905" w:type="dxa"/>
            <w:tcBorders>
              <w:top w:val="nil"/>
              <w:left w:val="nil"/>
              <w:bottom w:val="nil"/>
              <w:right w:val="nil"/>
            </w:tcBorders>
            <w:shd w:val="clear" w:color="auto" w:fill="FFFFFF"/>
            <w:tcMar>
              <w:top w:w="0" w:type="dxa"/>
              <w:left w:w="53" w:type="dxa"/>
              <w:bottom w:w="0" w:type="dxa"/>
              <w:right w:w="53" w:type="dxa"/>
            </w:tcMar>
            <w:vAlign w:val="center"/>
          </w:tcPr>
          <w:p w14:paraId="3D7196C2" w14:textId="77777777" w:rsidR="001614AC" w:rsidRDefault="004468F9">
            <w:pPr>
              <w:spacing w:line="288" w:lineRule="auto"/>
            </w:pPr>
            <w:r>
              <w:rPr>
                <w:rFonts w:ascii="Arial" w:eastAsia="Arial" w:hAnsi="Arial" w:cs="Arial"/>
                <w:color w:val="000000"/>
                <w:sz w:val="18"/>
              </w:rPr>
              <w:t>Moody’s</w:t>
            </w:r>
          </w:p>
        </w:tc>
        <w:tc>
          <w:tcPr>
            <w:tcW w:w="8175" w:type="dxa"/>
            <w:tcBorders>
              <w:top w:val="nil"/>
              <w:left w:val="nil"/>
              <w:bottom w:val="nil"/>
              <w:right w:val="nil"/>
            </w:tcBorders>
            <w:shd w:val="clear" w:color="auto" w:fill="FFFFFF"/>
            <w:tcMar>
              <w:top w:w="0" w:type="dxa"/>
              <w:left w:w="53" w:type="dxa"/>
              <w:bottom w:w="0" w:type="dxa"/>
              <w:right w:w="53" w:type="dxa"/>
            </w:tcMar>
            <w:vAlign w:val="center"/>
          </w:tcPr>
          <w:p w14:paraId="49B1557C" w14:textId="77777777" w:rsidR="001614AC" w:rsidRDefault="004468F9">
            <w:pPr>
              <w:spacing w:line="288" w:lineRule="auto"/>
              <w:ind w:left="90"/>
            </w:pPr>
            <w:r>
              <w:rPr>
                <w:rFonts w:ascii="Arial" w:eastAsia="Arial" w:hAnsi="Arial" w:cs="Arial"/>
                <w:color w:val="000000"/>
                <w:sz w:val="18"/>
              </w:rPr>
              <w:t>Moody’s Investors Service</w:t>
            </w:r>
          </w:p>
        </w:tc>
      </w:tr>
      <w:tr w:rsidR="001614AC" w14:paraId="03E8D140" w14:textId="77777777">
        <w:trPr>
          <w:cantSplit/>
        </w:trPr>
        <w:tc>
          <w:tcPr>
            <w:tcW w:w="1905" w:type="dxa"/>
            <w:tcBorders>
              <w:top w:val="nil"/>
              <w:left w:val="nil"/>
              <w:bottom w:val="nil"/>
              <w:right w:val="nil"/>
            </w:tcBorders>
            <w:shd w:val="clear" w:color="auto" w:fill="F4F4F4"/>
            <w:tcMar>
              <w:top w:w="0" w:type="dxa"/>
              <w:left w:w="53" w:type="dxa"/>
              <w:bottom w:w="0" w:type="dxa"/>
              <w:right w:w="53" w:type="dxa"/>
            </w:tcMar>
            <w:vAlign w:val="center"/>
          </w:tcPr>
          <w:p w14:paraId="5496D5DE" w14:textId="77777777" w:rsidR="001614AC" w:rsidRDefault="004468F9">
            <w:pPr>
              <w:spacing w:line="288" w:lineRule="auto"/>
            </w:pPr>
            <w:r>
              <w:rPr>
                <w:rFonts w:ascii="Arial" w:eastAsia="Arial" w:hAnsi="Arial" w:cs="Arial"/>
                <w:color w:val="000000"/>
                <w:sz w:val="18"/>
              </w:rPr>
              <w:t xml:space="preserve">Mortgage </w:t>
            </w:r>
          </w:p>
        </w:tc>
        <w:tc>
          <w:tcPr>
            <w:tcW w:w="8175" w:type="dxa"/>
            <w:tcBorders>
              <w:top w:val="nil"/>
              <w:left w:val="nil"/>
              <w:bottom w:val="nil"/>
              <w:right w:val="nil"/>
            </w:tcBorders>
            <w:shd w:val="clear" w:color="auto" w:fill="F4F4F4"/>
            <w:tcMar>
              <w:top w:w="0" w:type="dxa"/>
              <w:left w:w="53" w:type="dxa"/>
              <w:bottom w:w="0" w:type="dxa"/>
              <w:right w:w="53" w:type="dxa"/>
            </w:tcMar>
            <w:vAlign w:val="center"/>
          </w:tcPr>
          <w:p w14:paraId="39977ED0" w14:textId="77777777" w:rsidR="001614AC" w:rsidRDefault="004468F9">
            <w:pPr>
              <w:spacing w:line="288" w:lineRule="auto"/>
              <w:ind w:left="90"/>
            </w:pPr>
            <w:r>
              <w:rPr>
                <w:rFonts w:ascii="Arial" w:eastAsia="Arial" w:hAnsi="Arial" w:cs="Arial"/>
                <w:color w:val="000000"/>
                <w:sz w:val="18"/>
              </w:rPr>
              <w:t xml:space="preserve">Radian’s mortgage insurance and risk services business segment, which provides credit-related insurance coverage, principally through private mortgage insurance on residential first-lien mortgage loans, as </w:t>
            </w:r>
            <w:r>
              <w:rPr>
                <w:rFonts w:ascii="Arial" w:eastAsia="Arial" w:hAnsi="Arial" w:cs="Arial"/>
                <w:color w:val="000000"/>
                <w:sz w:val="18"/>
              </w:rPr>
              <w:t>well as other credit risk management, contract underwriting and fulfillment solutions, to mortgage lending institutions and mortgage credit investors</w:t>
            </w:r>
          </w:p>
        </w:tc>
      </w:tr>
      <w:tr w:rsidR="001614AC" w14:paraId="43C71C6D" w14:textId="77777777">
        <w:trPr>
          <w:cantSplit/>
        </w:trPr>
        <w:tc>
          <w:tcPr>
            <w:tcW w:w="1905" w:type="dxa"/>
            <w:tcBorders>
              <w:top w:val="nil"/>
              <w:left w:val="nil"/>
              <w:bottom w:val="nil"/>
              <w:right w:val="nil"/>
            </w:tcBorders>
            <w:shd w:val="clear" w:color="auto" w:fill="FFFFFF"/>
            <w:tcMar>
              <w:top w:w="0" w:type="dxa"/>
              <w:left w:w="53" w:type="dxa"/>
              <w:bottom w:w="0" w:type="dxa"/>
              <w:right w:w="53" w:type="dxa"/>
            </w:tcMar>
            <w:vAlign w:val="center"/>
          </w:tcPr>
          <w:p w14:paraId="15B03601" w14:textId="77777777" w:rsidR="001614AC" w:rsidRDefault="004468F9">
            <w:pPr>
              <w:spacing w:line="288" w:lineRule="auto"/>
            </w:pPr>
            <w:r>
              <w:rPr>
                <w:rFonts w:ascii="Arial" w:eastAsia="Arial" w:hAnsi="Arial" w:cs="Arial"/>
                <w:color w:val="000000"/>
                <w:sz w:val="18"/>
              </w:rPr>
              <w:t>MPP Requirement</w:t>
            </w:r>
          </w:p>
        </w:tc>
        <w:tc>
          <w:tcPr>
            <w:tcW w:w="8175" w:type="dxa"/>
            <w:tcBorders>
              <w:top w:val="nil"/>
              <w:left w:val="nil"/>
              <w:bottom w:val="nil"/>
              <w:right w:val="nil"/>
            </w:tcBorders>
            <w:shd w:val="clear" w:color="auto" w:fill="FFFFFF"/>
            <w:tcMar>
              <w:top w:w="0" w:type="dxa"/>
              <w:left w:w="53" w:type="dxa"/>
              <w:bottom w:w="0" w:type="dxa"/>
              <w:right w:w="53" w:type="dxa"/>
            </w:tcMar>
            <w:vAlign w:val="center"/>
          </w:tcPr>
          <w:p w14:paraId="24148F38" w14:textId="77777777" w:rsidR="001614AC" w:rsidRDefault="004468F9">
            <w:pPr>
              <w:spacing w:line="288" w:lineRule="auto"/>
              <w:ind w:left="90"/>
            </w:pPr>
            <w:r>
              <w:rPr>
                <w:rFonts w:ascii="Arial" w:eastAsia="Arial" w:hAnsi="Arial" w:cs="Arial"/>
                <w:color w:val="000000"/>
                <w:sz w:val="18"/>
              </w:rPr>
              <w:t xml:space="preserve">Certain states’ statutory or regulatory risk-based capital requirement that the </w:t>
            </w:r>
            <w:r>
              <w:rPr>
                <w:rFonts w:ascii="Arial" w:eastAsia="Arial" w:hAnsi="Arial" w:cs="Arial"/>
                <w:color w:val="000000"/>
                <w:sz w:val="18"/>
              </w:rPr>
              <w:t>mortgage insurer must maintain a minimum policyholder position, which is calculated based on both risk and surplus levels</w:t>
            </w:r>
          </w:p>
        </w:tc>
      </w:tr>
      <w:tr w:rsidR="001614AC" w14:paraId="73A82159" w14:textId="77777777">
        <w:trPr>
          <w:cantSplit/>
        </w:trPr>
        <w:tc>
          <w:tcPr>
            <w:tcW w:w="1905" w:type="dxa"/>
            <w:tcBorders>
              <w:top w:val="nil"/>
              <w:left w:val="nil"/>
              <w:bottom w:val="nil"/>
              <w:right w:val="nil"/>
            </w:tcBorders>
            <w:shd w:val="clear" w:color="auto" w:fill="F4F4F4"/>
            <w:tcMar>
              <w:top w:w="0" w:type="dxa"/>
              <w:left w:w="53" w:type="dxa"/>
              <w:bottom w:w="0" w:type="dxa"/>
              <w:right w:w="53" w:type="dxa"/>
            </w:tcMar>
            <w:vAlign w:val="center"/>
          </w:tcPr>
          <w:p w14:paraId="489A6D92" w14:textId="77777777" w:rsidR="001614AC" w:rsidRDefault="004468F9">
            <w:pPr>
              <w:spacing w:line="288" w:lineRule="auto"/>
            </w:pPr>
            <w:r>
              <w:rPr>
                <w:rFonts w:ascii="Arial" w:eastAsia="Arial" w:hAnsi="Arial" w:cs="Arial"/>
                <w:color w:val="000000"/>
                <w:sz w:val="18"/>
              </w:rPr>
              <w:t>NIW</w:t>
            </w:r>
          </w:p>
        </w:tc>
        <w:tc>
          <w:tcPr>
            <w:tcW w:w="8175" w:type="dxa"/>
            <w:tcBorders>
              <w:top w:val="nil"/>
              <w:left w:val="nil"/>
              <w:bottom w:val="nil"/>
              <w:right w:val="nil"/>
            </w:tcBorders>
            <w:shd w:val="clear" w:color="auto" w:fill="F4F4F4"/>
            <w:tcMar>
              <w:top w:w="0" w:type="dxa"/>
              <w:left w:w="53" w:type="dxa"/>
              <w:bottom w:w="0" w:type="dxa"/>
              <w:right w:w="53" w:type="dxa"/>
            </w:tcMar>
            <w:vAlign w:val="center"/>
          </w:tcPr>
          <w:p w14:paraId="676A4A0F" w14:textId="77777777" w:rsidR="001614AC" w:rsidRDefault="004468F9">
            <w:pPr>
              <w:spacing w:line="288" w:lineRule="auto"/>
              <w:ind w:left="90"/>
            </w:pPr>
            <w:r>
              <w:rPr>
                <w:rFonts w:ascii="Arial" w:eastAsia="Arial" w:hAnsi="Arial" w:cs="Arial"/>
                <w:color w:val="000000"/>
                <w:sz w:val="18"/>
              </w:rPr>
              <w:t xml:space="preserve">New insurance written, representing the aggregate original principal amount of the mortgages underlying the Primary </w:t>
            </w:r>
            <w:r>
              <w:rPr>
                <w:rFonts w:ascii="Arial" w:eastAsia="Arial" w:hAnsi="Arial" w:cs="Arial"/>
                <w:color w:val="000000"/>
                <w:sz w:val="18"/>
              </w:rPr>
              <w:t>Mortgage Insurance</w:t>
            </w:r>
          </w:p>
        </w:tc>
      </w:tr>
      <w:tr w:rsidR="001614AC" w14:paraId="7639DACA" w14:textId="77777777">
        <w:trPr>
          <w:cantSplit/>
        </w:trPr>
        <w:tc>
          <w:tcPr>
            <w:tcW w:w="1905" w:type="dxa"/>
            <w:tcBorders>
              <w:top w:val="nil"/>
              <w:left w:val="nil"/>
              <w:bottom w:val="nil"/>
              <w:right w:val="nil"/>
            </w:tcBorders>
            <w:shd w:val="clear" w:color="auto" w:fill="FFFFFF"/>
            <w:tcMar>
              <w:top w:w="0" w:type="dxa"/>
              <w:left w:w="53" w:type="dxa"/>
              <w:bottom w:w="0" w:type="dxa"/>
              <w:right w:w="53" w:type="dxa"/>
            </w:tcMar>
            <w:vAlign w:val="center"/>
          </w:tcPr>
          <w:p w14:paraId="141455DC" w14:textId="77777777" w:rsidR="001614AC" w:rsidRDefault="004468F9">
            <w:pPr>
              <w:spacing w:line="288" w:lineRule="auto"/>
            </w:pPr>
            <w:r>
              <w:rPr>
                <w:rFonts w:ascii="Arial" w:eastAsia="Arial" w:hAnsi="Arial" w:cs="Arial"/>
                <w:color w:val="000000"/>
                <w:sz w:val="18"/>
              </w:rPr>
              <w:t>NOL</w:t>
            </w:r>
          </w:p>
        </w:tc>
        <w:tc>
          <w:tcPr>
            <w:tcW w:w="8175" w:type="dxa"/>
            <w:tcBorders>
              <w:top w:val="nil"/>
              <w:left w:val="nil"/>
              <w:bottom w:val="nil"/>
              <w:right w:val="nil"/>
            </w:tcBorders>
            <w:shd w:val="clear" w:color="auto" w:fill="FFFFFF"/>
            <w:tcMar>
              <w:top w:w="0" w:type="dxa"/>
              <w:left w:w="53" w:type="dxa"/>
              <w:bottom w:w="0" w:type="dxa"/>
              <w:right w:w="53" w:type="dxa"/>
            </w:tcMar>
            <w:vAlign w:val="center"/>
          </w:tcPr>
          <w:p w14:paraId="6B2E9C94" w14:textId="77777777" w:rsidR="001614AC" w:rsidRDefault="004468F9">
            <w:pPr>
              <w:spacing w:line="288" w:lineRule="auto"/>
              <w:ind w:left="90"/>
            </w:pPr>
            <w:r>
              <w:rPr>
                <w:rFonts w:ascii="Arial" w:eastAsia="Arial" w:hAnsi="Arial" w:cs="Arial"/>
                <w:color w:val="000000"/>
                <w:sz w:val="18"/>
              </w:rPr>
              <w:t xml:space="preserve">Net operating loss; for tax purposes, accumulated during years a company reported more tax deductions than taxable income. NOLs may be carried back or carried forward a certain number of years, depending on various factors </w:t>
            </w:r>
            <w:r>
              <w:rPr>
                <w:rFonts w:ascii="Arial" w:eastAsia="Arial" w:hAnsi="Arial" w:cs="Arial"/>
                <w:color w:val="000000"/>
                <w:sz w:val="18"/>
              </w:rPr>
              <w:t>which can reduce a company’s tax liability.</w:t>
            </w:r>
          </w:p>
        </w:tc>
      </w:tr>
      <w:tr w:rsidR="001614AC" w14:paraId="1FD76354" w14:textId="77777777">
        <w:trPr>
          <w:cantSplit/>
        </w:trPr>
        <w:tc>
          <w:tcPr>
            <w:tcW w:w="1905" w:type="dxa"/>
            <w:tcBorders>
              <w:top w:val="nil"/>
              <w:left w:val="nil"/>
              <w:bottom w:val="nil"/>
              <w:right w:val="nil"/>
            </w:tcBorders>
            <w:shd w:val="clear" w:color="auto" w:fill="F4F4F4"/>
            <w:tcMar>
              <w:top w:w="0" w:type="dxa"/>
              <w:left w:w="53" w:type="dxa"/>
              <w:bottom w:w="0" w:type="dxa"/>
              <w:right w:w="53" w:type="dxa"/>
            </w:tcMar>
            <w:vAlign w:val="center"/>
          </w:tcPr>
          <w:p w14:paraId="248B6F7F" w14:textId="77777777" w:rsidR="001614AC" w:rsidRDefault="004468F9">
            <w:pPr>
              <w:spacing w:line="288" w:lineRule="auto"/>
            </w:pPr>
            <w:r>
              <w:rPr>
                <w:rFonts w:ascii="Arial" w:eastAsia="Arial" w:hAnsi="Arial" w:cs="Arial"/>
                <w:color w:val="000000"/>
                <w:sz w:val="18"/>
              </w:rPr>
              <w:t>Persistency Rate</w:t>
            </w:r>
          </w:p>
        </w:tc>
        <w:tc>
          <w:tcPr>
            <w:tcW w:w="8175" w:type="dxa"/>
            <w:tcBorders>
              <w:top w:val="nil"/>
              <w:left w:val="nil"/>
              <w:bottom w:val="nil"/>
              <w:right w:val="nil"/>
            </w:tcBorders>
            <w:shd w:val="clear" w:color="auto" w:fill="F4F4F4"/>
            <w:tcMar>
              <w:top w:w="0" w:type="dxa"/>
              <w:left w:w="53" w:type="dxa"/>
              <w:bottom w:w="0" w:type="dxa"/>
              <w:right w:w="53" w:type="dxa"/>
            </w:tcMar>
            <w:vAlign w:val="center"/>
          </w:tcPr>
          <w:p w14:paraId="14411536" w14:textId="77777777" w:rsidR="001614AC" w:rsidRDefault="004468F9">
            <w:pPr>
              <w:spacing w:line="288" w:lineRule="auto"/>
              <w:ind w:left="90"/>
            </w:pPr>
            <w:r>
              <w:rPr>
                <w:rFonts w:ascii="Arial" w:eastAsia="Arial" w:hAnsi="Arial" w:cs="Arial"/>
                <w:color w:val="000000"/>
                <w:sz w:val="18"/>
              </w:rPr>
              <w:t>The percentage of IIF that remains in force over a period of time</w:t>
            </w:r>
          </w:p>
        </w:tc>
      </w:tr>
      <w:tr w:rsidR="001614AC" w14:paraId="77BC7058" w14:textId="77777777">
        <w:trPr>
          <w:cantSplit/>
        </w:trPr>
        <w:tc>
          <w:tcPr>
            <w:tcW w:w="1905" w:type="dxa"/>
            <w:tcBorders>
              <w:top w:val="nil"/>
              <w:left w:val="nil"/>
              <w:bottom w:val="nil"/>
              <w:right w:val="nil"/>
            </w:tcBorders>
            <w:shd w:val="clear" w:color="auto" w:fill="FFFFFF"/>
            <w:tcMar>
              <w:top w:w="0" w:type="dxa"/>
              <w:left w:w="53" w:type="dxa"/>
              <w:bottom w:w="0" w:type="dxa"/>
              <w:right w:w="53" w:type="dxa"/>
            </w:tcMar>
            <w:vAlign w:val="center"/>
          </w:tcPr>
          <w:p w14:paraId="250A5586" w14:textId="77777777" w:rsidR="001614AC" w:rsidRDefault="004468F9">
            <w:pPr>
              <w:spacing w:line="288" w:lineRule="auto"/>
            </w:pPr>
            <w:r>
              <w:rPr>
                <w:rFonts w:ascii="Arial" w:eastAsia="Arial" w:hAnsi="Arial" w:cs="Arial"/>
                <w:color w:val="000000"/>
                <w:sz w:val="18"/>
              </w:rPr>
              <w:t>PMIERs</w:t>
            </w:r>
          </w:p>
        </w:tc>
        <w:tc>
          <w:tcPr>
            <w:tcW w:w="8175" w:type="dxa"/>
            <w:tcBorders>
              <w:top w:val="nil"/>
              <w:left w:val="nil"/>
              <w:bottom w:val="nil"/>
              <w:right w:val="nil"/>
            </w:tcBorders>
            <w:shd w:val="clear" w:color="auto" w:fill="FFFFFF"/>
            <w:tcMar>
              <w:top w:w="0" w:type="dxa"/>
              <w:left w:w="53" w:type="dxa"/>
              <w:bottom w:w="0" w:type="dxa"/>
              <w:right w:w="53" w:type="dxa"/>
            </w:tcMar>
            <w:vAlign w:val="center"/>
          </w:tcPr>
          <w:p w14:paraId="187FBE83" w14:textId="77777777" w:rsidR="001614AC" w:rsidRDefault="004468F9">
            <w:pPr>
              <w:spacing w:line="288" w:lineRule="auto"/>
              <w:ind w:left="90"/>
            </w:pPr>
            <w:r>
              <w:rPr>
                <w:rFonts w:ascii="Arial" w:eastAsia="Arial" w:hAnsi="Arial" w:cs="Arial"/>
                <w:color w:val="000000"/>
                <w:sz w:val="18"/>
              </w:rPr>
              <w:t xml:space="preserve">Private Mortgage Insurer Eligibility Requirements issued by the GSEs under oversight of the FHFA to set forth </w:t>
            </w:r>
            <w:r>
              <w:rPr>
                <w:rFonts w:ascii="Arial" w:eastAsia="Arial" w:hAnsi="Arial" w:cs="Arial"/>
                <w:color w:val="000000"/>
                <w:sz w:val="18"/>
              </w:rPr>
              <w:t>requirements an approved insurer must meet and maintain to provide mortgage guaranty insurance on loans acquired by the GSEs. The current PMIERs requirements, sometimes referred to as PMIERs 2.0, incorporate the most recent revisions to the PMIERs that bec</w:t>
            </w:r>
            <w:r>
              <w:rPr>
                <w:rFonts w:ascii="Arial" w:eastAsia="Arial" w:hAnsi="Arial" w:cs="Arial"/>
                <w:color w:val="000000"/>
                <w:sz w:val="18"/>
              </w:rPr>
              <w:t>ame effective on March 31, 2019.</w:t>
            </w:r>
          </w:p>
        </w:tc>
      </w:tr>
      <w:tr w:rsidR="001614AC" w14:paraId="57B20442" w14:textId="77777777">
        <w:trPr>
          <w:cantSplit/>
        </w:trPr>
        <w:tc>
          <w:tcPr>
            <w:tcW w:w="1905" w:type="dxa"/>
            <w:tcBorders>
              <w:top w:val="nil"/>
              <w:left w:val="nil"/>
              <w:bottom w:val="nil"/>
              <w:right w:val="nil"/>
            </w:tcBorders>
            <w:shd w:val="clear" w:color="auto" w:fill="F4F4F4"/>
            <w:tcMar>
              <w:top w:w="0" w:type="dxa"/>
              <w:left w:w="53" w:type="dxa"/>
              <w:bottom w:w="0" w:type="dxa"/>
              <w:right w:w="53" w:type="dxa"/>
            </w:tcMar>
            <w:vAlign w:val="center"/>
          </w:tcPr>
          <w:p w14:paraId="132EC81F" w14:textId="77777777" w:rsidR="001614AC" w:rsidRDefault="004468F9">
            <w:pPr>
              <w:spacing w:line="288" w:lineRule="auto"/>
            </w:pPr>
            <w:r>
              <w:rPr>
                <w:rFonts w:ascii="Arial" w:eastAsia="Arial" w:hAnsi="Arial" w:cs="Arial"/>
                <w:color w:val="000000"/>
                <w:sz w:val="18"/>
              </w:rPr>
              <w:t>PMIERs Cushion</w:t>
            </w:r>
          </w:p>
        </w:tc>
        <w:tc>
          <w:tcPr>
            <w:tcW w:w="8175" w:type="dxa"/>
            <w:tcBorders>
              <w:top w:val="nil"/>
              <w:left w:val="nil"/>
              <w:bottom w:val="nil"/>
              <w:right w:val="nil"/>
            </w:tcBorders>
            <w:shd w:val="clear" w:color="auto" w:fill="F4F4F4"/>
            <w:tcMar>
              <w:top w:w="0" w:type="dxa"/>
              <w:left w:w="53" w:type="dxa"/>
              <w:bottom w:w="0" w:type="dxa"/>
              <w:right w:w="53" w:type="dxa"/>
            </w:tcMar>
            <w:vAlign w:val="center"/>
          </w:tcPr>
          <w:p w14:paraId="04C01353" w14:textId="77777777" w:rsidR="001614AC" w:rsidRDefault="004468F9">
            <w:pPr>
              <w:spacing w:line="288" w:lineRule="auto"/>
              <w:ind w:left="90"/>
            </w:pPr>
            <w:r>
              <w:rPr>
                <w:rFonts w:ascii="Arial" w:eastAsia="Arial" w:hAnsi="Arial" w:cs="Arial"/>
                <w:color w:val="000000"/>
                <w:sz w:val="18"/>
              </w:rPr>
              <w:t>Under PMIERs, Radian Guaranty's excess of Available Assets over Minimum Required Assets</w:t>
            </w:r>
          </w:p>
        </w:tc>
      </w:tr>
      <w:tr w:rsidR="001614AC" w14:paraId="5B519782" w14:textId="77777777">
        <w:trPr>
          <w:cantSplit/>
        </w:trPr>
        <w:tc>
          <w:tcPr>
            <w:tcW w:w="1905" w:type="dxa"/>
            <w:tcBorders>
              <w:top w:val="nil"/>
              <w:left w:val="nil"/>
              <w:bottom w:val="nil"/>
              <w:right w:val="nil"/>
            </w:tcBorders>
            <w:shd w:val="clear" w:color="auto" w:fill="FFFFFF"/>
            <w:tcMar>
              <w:top w:w="0" w:type="dxa"/>
              <w:left w:w="53" w:type="dxa"/>
              <w:bottom w:w="0" w:type="dxa"/>
              <w:right w:w="53" w:type="dxa"/>
            </w:tcMar>
            <w:vAlign w:val="center"/>
          </w:tcPr>
          <w:p w14:paraId="635A3F27" w14:textId="77777777" w:rsidR="001614AC" w:rsidRDefault="004468F9">
            <w:pPr>
              <w:spacing w:line="288" w:lineRule="auto"/>
            </w:pPr>
            <w:r>
              <w:rPr>
                <w:rFonts w:ascii="Arial" w:eastAsia="Arial" w:hAnsi="Arial" w:cs="Arial"/>
                <w:color w:val="000000"/>
                <w:sz w:val="18"/>
              </w:rPr>
              <w:t>Pool Mortgage Insurance</w:t>
            </w:r>
          </w:p>
        </w:tc>
        <w:tc>
          <w:tcPr>
            <w:tcW w:w="8175" w:type="dxa"/>
            <w:tcBorders>
              <w:top w:val="nil"/>
              <w:left w:val="nil"/>
              <w:bottom w:val="nil"/>
              <w:right w:val="nil"/>
            </w:tcBorders>
            <w:shd w:val="clear" w:color="auto" w:fill="FFFFFF"/>
            <w:tcMar>
              <w:top w:w="0" w:type="dxa"/>
              <w:left w:w="53" w:type="dxa"/>
              <w:bottom w:w="0" w:type="dxa"/>
              <w:right w:w="53" w:type="dxa"/>
            </w:tcMar>
            <w:vAlign w:val="center"/>
          </w:tcPr>
          <w:p w14:paraId="18359995" w14:textId="77777777" w:rsidR="001614AC" w:rsidRDefault="004468F9">
            <w:pPr>
              <w:spacing w:line="288" w:lineRule="auto"/>
              <w:ind w:left="90"/>
            </w:pPr>
            <w:r>
              <w:rPr>
                <w:rFonts w:ascii="Arial" w:eastAsia="Arial" w:hAnsi="Arial" w:cs="Arial"/>
                <w:color w:val="000000"/>
                <w:sz w:val="18"/>
              </w:rPr>
              <w:t xml:space="preserve">Insurance that provides a lender or investor protection against default on a group or </w:t>
            </w:r>
            <w:r>
              <w:rPr>
                <w:rFonts w:ascii="Arial" w:eastAsia="Arial" w:hAnsi="Arial" w:cs="Arial"/>
                <w:color w:val="000000"/>
                <w:sz w:val="18"/>
              </w:rPr>
              <w:t>“pool” of mortgages, rather than on an individual mortgage loan basis, generally subject to an aggregate exposure limit, or “stop loss,” and/or deductible applied to the initial aggregate loan balance of the entire pool, pursuant to the terms of the applic</w:t>
            </w:r>
            <w:r>
              <w:rPr>
                <w:rFonts w:ascii="Arial" w:eastAsia="Arial" w:hAnsi="Arial" w:cs="Arial"/>
                <w:color w:val="000000"/>
                <w:sz w:val="18"/>
              </w:rPr>
              <w:t>able insurance agreement</w:t>
            </w:r>
          </w:p>
        </w:tc>
      </w:tr>
      <w:tr w:rsidR="001614AC" w14:paraId="589A14D7" w14:textId="77777777">
        <w:trPr>
          <w:cantSplit/>
        </w:trPr>
        <w:tc>
          <w:tcPr>
            <w:tcW w:w="1905" w:type="dxa"/>
            <w:tcBorders>
              <w:top w:val="nil"/>
              <w:left w:val="nil"/>
              <w:bottom w:val="nil"/>
              <w:right w:val="nil"/>
            </w:tcBorders>
            <w:shd w:val="clear" w:color="auto" w:fill="F4F4F4"/>
            <w:tcMar>
              <w:top w:w="0" w:type="dxa"/>
              <w:left w:w="53" w:type="dxa"/>
              <w:bottom w:w="0" w:type="dxa"/>
              <w:right w:w="53" w:type="dxa"/>
            </w:tcMar>
            <w:vAlign w:val="center"/>
          </w:tcPr>
          <w:p w14:paraId="642E40C6" w14:textId="77777777" w:rsidR="001614AC" w:rsidRDefault="004468F9">
            <w:pPr>
              <w:spacing w:line="288" w:lineRule="auto"/>
            </w:pPr>
            <w:r>
              <w:rPr>
                <w:rFonts w:ascii="Arial" w:eastAsia="Arial" w:hAnsi="Arial" w:cs="Arial"/>
                <w:color w:val="000000"/>
                <w:sz w:val="18"/>
              </w:rPr>
              <w:t>Primary Mortgage Insurance</w:t>
            </w:r>
          </w:p>
        </w:tc>
        <w:tc>
          <w:tcPr>
            <w:tcW w:w="8175" w:type="dxa"/>
            <w:tcBorders>
              <w:top w:val="nil"/>
              <w:left w:val="nil"/>
              <w:bottom w:val="nil"/>
              <w:right w:val="nil"/>
            </w:tcBorders>
            <w:shd w:val="clear" w:color="auto" w:fill="F4F4F4"/>
            <w:tcMar>
              <w:top w:w="0" w:type="dxa"/>
              <w:left w:w="53" w:type="dxa"/>
              <w:bottom w:w="0" w:type="dxa"/>
              <w:right w:w="53" w:type="dxa"/>
            </w:tcMar>
            <w:vAlign w:val="center"/>
          </w:tcPr>
          <w:p w14:paraId="5D77D102" w14:textId="77777777" w:rsidR="001614AC" w:rsidRDefault="004468F9">
            <w:pPr>
              <w:spacing w:line="288" w:lineRule="auto"/>
              <w:ind w:left="90"/>
            </w:pPr>
            <w:r>
              <w:rPr>
                <w:rFonts w:ascii="Arial" w:eastAsia="Arial" w:hAnsi="Arial" w:cs="Arial"/>
                <w:color w:val="000000"/>
                <w:sz w:val="18"/>
              </w:rPr>
              <w:t xml:space="preserve">Insurance that provides a lender or investor protection against default on an individual mortgage loan basis, at a specified coverage percentage for each loan, pursuant to the terms of the </w:t>
            </w:r>
            <w:r>
              <w:rPr>
                <w:rFonts w:ascii="Arial" w:eastAsia="Arial" w:hAnsi="Arial" w:cs="Arial"/>
                <w:color w:val="000000"/>
                <w:sz w:val="18"/>
              </w:rPr>
              <w:t>applicable Master Policy</w:t>
            </w:r>
          </w:p>
        </w:tc>
      </w:tr>
      <w:tr w:rsidR="001614AC" w14:paraId="150D38E2" w14:textId="77777777">
        <w:trPr>
          <w:cantSplit/>
        </w:trPr>
        <w:tc>
          <w:tcPr>
            <w:tcW w:w="1905" w:type="dxa"/>
            <w:tcBorders>
              <w:top w:val="nil"/>
              <w:left w:val="nil"/>
              <w:bottom w:val="nil"/>
              <w:right w:val="nil"/>
            </w:tcBorders>
            <w:shd w:val="clear" w:color="auto" w:fill="FFFFFF"/>
            <w:tcMar>
              <w:top w:w="0" w:type="dxa"/>
              <w:left w:w="53" w:type="dxa"/>
              <w:bottom w:w="0" w:type="dxa"/>
              <w:right w:w="53" w:type="dxa"/>
            </w:tcMar>
            <w:vAlign w:val="center"/>
          </w:tcPr>
          <w:p w14:paraId="2A1E5127" w14:textId="77777777" w:rsidR="001614AC" w:rsidRDefault="004468F9">
            <w:pPr>
              <w:spacing w:line="288" w:lineRule="auto"/>
            </w:pPr>
            <w:r>
              <w:rPr>
                <w:rFonts w:ascii="Arial" w:eastAsia="Arial" w:hAnsi="Arial" w:cs="Arial"/>
                <w:color w:val="000000"/>
                <w:sz w:val="18"/>
              </w:rPr>
              <w:t>Prior Master Policy</w:t>
            </w:r>
          </w:p>
        </w:tc>
        <w:tc>
          <w:tcPr>
            <w:tcW w:w="8175" w:type="dxa"/>
            <w:tcBorders>
              <w:top w:val="nil"/>
              <w:left w:val="nil"/>
              <w:bottom w:val="nil"/>
              <w:right w:val="nil"/>
            </w:tcBorders>
            <w:shd w:val="clear" w:color="auto" w:fill="FFFFFF"/>
            <w:tcMar>
              <w:top w:w="0" w:type="dxa"/>
              <w:left w:w="53" w:type="dxa"/>
              <w:bottom w:w="0" w:type="dxa"/>
              <w:right w:w="53" w:type="dxa"/>
            </w:tcMar>
            <w:vAlign w:val="center"/>
          </w:tcPr>
          <w:p w14:paraId="681BFEDC" w14:textId="77777777" w:rsidR="001614AC" w:rsidRDefault="004468F9">
            <w:pPr>
              <w:spacing w:line="288" w:lineRule="auto"/>
              <w:ind w:left="90"/>
            </w:pPr>
            <w:r>
              <w:rPr>
                <w:rFonts w:ascii="Arial" w:eastAsia="Arial" w:hAnsi="Arial" w:cs="Arial"/>
                <w:color w:val="000000"/>
                <w:sz w:val="18"/>
              </w:rPr>
              <w:t>Radian Guaranty’s master insurance policy, setting forth the terms and conditions of our mortgage insurance coverage, which was in effect prior to the effective date of the 2014 Master Policy</w:t>
            </w:r>
          </w:p>
        </w:tc>
      </w:tr>
      <w:tr w:rsidR="001614AC" w14:paraId="657A8408" w14:textId="77777777">
        <w:trPr>
          <w:cantSplit/>
        </w:trPr>
        <w:tc>
          <w:tcPr>
            <w:tcW w:w="1905" w:type="dxa"/>
            <w:tcBorders>
              <w:top w:val="nil"/>
              <w:left w:val="nil"/>
              <w:bottom w:val="nil"/>
              <w:right w:val="nil"/>
            </w:tcBorders>
            <w:shd w:val="clear" w:color="auto" w:fill="F4F4F4"/>
            <w:tcMar>
              <w:top w:w="0" w:type="dxa"/>
              <w:left w:w="53" w:type="dxa"/>
              <w:bottom w:w="0" w:type="dxa"/>
              <w:right w:w="53" w:type="dxa"/>
            </w:tcMar>
            <w:vAlign w:val="center"/>
          </w:tcPr>
          <w:p w14:paraId="374BEC5A" w14:textId="77777777" w:rsidR="001614AC" w:rsidRDefault="004468F9">
            <w:pPr>
              <w:spacing w:line="288" w:lineRule="auto"/>
            </w:pPr>
            <w:r>
              <w:rPr>
                <w:rFonts w:ascii="Arial" w:eastAsia="Arial" w:hAnsi="Arial" w:cs="Arial"/>
                <w:color w:val="000000"/>
                <w:sz w:val="18"/>
              </w:rPr>
              <w:t>QM</w:t>
            </w:r>
          </w:p>
        </w:tc>
        <w:tc>
          <w:tcPr>
            <w:tcW w:w="8175" w:type="dxa"/>
            <w:tcBorders>
              <w:top w:val="nil"/>
              <w:left w:val="nil"/>
              <w:bottom w:val="nil"/>
              <w:right w:val="nil"/>
            </w:tcBorders>
            <w:shd w:val="clear" w:color="auto" w:fill="F4F4F4"/>
            <w:tcMar>
              <w:top w:w="0" w:type="dxa"/>
              <w:left w:w="53" w:type="dxa"/>
              <w:bottom w:w="0" w:type="dxa"/>
              <w:right w:w="53" w:type="dxa"/>
            </w:tcMar>
            <w:vAlign w:val="center"/>
          </w:tcPr>
          <w:p w14:paraId="76B6FFA6" w14:textId="77777777" w:rsidR="001614AC" w:rsidRDefault="004468F9">
            <w:pPr>
              <w:spacing w:line="288" w:lineRule="auto"/>
              <w:ind w:left="90"/>
            </w:pPr>
            <w:r>
              <w:rPr>
                <w:rFonts w:ascii="Arial" w:eastAsia="Arial" w:hAnsi="Arial" w:cs="Arial"/>
                <w:color w:val="000000"/>
                <w:sz w:val="18"/>
              </w:rPr>
              <w:t>Qualified mortgage; a mortgage that possesses certain low-risk characteristics that enable it to qualify for lender protection under the ability to repay rule instituted by the Dodd-Frank Act</w:t>
            </w:r>
          </w:p>
        </w:tc>
      </w:tr>
      <w:tr w:rsidR="001614AC" w14:paraId="78186256" w14:textId="77777777">
        <w:trPr>
          <w:cantSplit/>
        </w:trPr>
        <w:tc>
          <w:tcPr>
            <w:tcW w:w="1905" w:type="dxa"/>
            <w:tcBorders>
              <w:top w:val="nil"/>
              <w:left w:val="nil"/>
              <w:bottom w:val="nil"/>
              <w:right w:val="nil"/>
            </w:tcBorders>
            <w:shd w:val="clear" w:color="auto" w:fill="FFFFFF"/>
            <w:tcMar>
              <w:top w:w="0" w:type="dxa"/>
              <w:left w:w="53" w:type="dxa"/>
              <w:bottom w:w="0" w:type="dxa"/>
              <w:right w:w="53" w:type="dxa"/>
            </w:tcMar>
            <w:vAlign w:val="center"/>
          </w:tcPr>
          <w:p w14:paraId="28280325" w14:textId="77777777" w:rsidR="001614AC" w:rsidRDefault="004468F9">
            <w:pPr>
              <w:spacing w:line="288" w:lineRule="auto"/>
            </w:pPr>
            <w:r>
              <w:rPr>
                <w:rFonts w:ascii="Arial" w:eastAsia="Arial" w:hAnsi="Arial" w:cs="Arial"/>
                <w:color w:val="000000"/>
                <w:sz w:val="18"/>
              </w:rPr>
              <w:t>QSR Program</w:t>
            </w:r>
          </w:p>
        </w:tc>
        <w:tc>
          <w:tcPr>
            <w:tcW w:w="8175" w:type="dxa"/>
            <w:tcBorders>
              <w:top w:val="nil"/>
              <w:left w:val="nil"/>
              <w:bottom w:val="nil"/>
              <w:right w:val="nil"/>
            </w:tcBorders>
            <w:shd w:val="clear" w:color="auto" w:fill="FFFFFF"/>
            <w:tcMar>
              <w:top w:w="0" w:type="dxa"/>
              <w:left w:w="53" w:type="dxa"/>
              <w:bottom w:w="0" w:type="dxa"/>
              <w:right w:w="53" w:type="dxa"/>
            </w:tcMar>
            <w:vAlign w:val="center"/>
          </w:tcPr>
          <w:p w14:paraId="220D6CEC" w14:textId="77777777" w:rsidR="001614AC" w:rsidRDefault="004468F9">
            <w:pPr>
              <w:spacing w:line="288" w:lineRule="auto"/>
              <w:ind w:left="90"/>
            </w:pPr>
            <w:r>
              <w:rPr>
                <w:rFonts w:ascii="Arial" w:eastAsia="Arial" w:hAnsi="Arial" w:cs="Arial"/>
                <w:color w:val="000000"/>
                <w:sz w:val="18"/>
              </w:rPr>
              <w:t xml:space="preserve">The quota share reinsurance agreements </w:t>
            </w:r>
            <w:r>
              <w:rPr>
                <w:rFonts w:ascii="Arial" w:eastAsia="Arial" w:hAnsi="Arial" w:cs="Arial"/>
                <w:color w:val="000000"/>
                <w:sz w:val="18"/>
              </w:rPr>
              <w:t>entered into with a third-party reinsurance provider in the second and fourth quarters of 2012, collectively</w:t>
            </w:r>
          </w:p>
        </w:tc>
      </w:tr>
      <w:tr w:rsidR="001614AC" w14:paraId="788B46D5" w14:textId="77777777">
        <w:trPr>
          <w:cantSplit/>
        </w:trPr>
        <w:tc>
          <w:tcPr>
            <w:tcW w:w="1905" w:type="dxa"/>
            <w:tcBorders>
              <w:top w:val="nil"/>
              <w:left w:val="nil"/>
              <w:bottom w:val="nil"/>
              <w:right w:val="nil"/>
            </w:tcBorders>
            <w:shd w:val="clear" w:color="auto" w:fill="F4F4F4"/>
            <w:tcMar>
              <w:top w:w="0" w:type="dxa"/>
              <w:left w:w="53" w:type="dxa"/>
              <w:bottom w:w="0" w:type="dxa"/>
              <w:right w:w="53" w:type="dxa"/>
            </w:tcMar>
            <w:vAlign w:val="center"/>
          </w:tcPr>
          <w:p w14:paraId="5A817DD1" w14:textId="77777777" w:rsidR="001614AC" w:rsidRDefault="004468F9">
            <w:pPr>
              <w:spacing w:line="288" w:lineRule="auto"/>
            </w:pPr>
            <w:r>
              <w:rPr>
                <w:rFonts w:ascii="Arial" w:eastAsia="Arial" w:hAnsi="Arial" w:cs="Arial"/>
                <w:color w:val="000000"/>
                <w:sz w:val="18"/>
              </w:rPr>
              <w:t>Radian</w:t>
            </w:r>
          </w:p>
        </w:tc>
        <w:tc>
          <w:tcPr>
            <w:tcW w:w="8175" w:type="dxa"/>
            <w:tcBorders>
              <w:top w:val="nil"/>
              <w:left w:val="nil"/>
              <w:bottom w:val="nil"/>
              <w:right w:val="nil"/>
            </w:tcBorders>
            <w:shd w:val="clear" w:color="auto" w:fill="F4F4F4"/>
            <w:tcMar>
              <w:top w:w="0" w:type="dxa"/>
              <w:left w:w="53" w:type="dxa"/>
              <w:bottom w:w="0" w:type="dxa"/>
              <w:right w:w="53" w:type="dxa"/>
            </w:tcMar>
            <w:vAlign w:val="center"/>
          </w:tcPr>
          <w:p w14:paraId="34C4AF71" w14:textId="77777777" w:rsidR="001614AC" w:rsidRDefault="004468F9">
            <w:pPr>
              <w:spacing w:line="288" w:lineRule="auto"/>
              <w:ind w:left="90"/>
            </w:pPr>
            <w:r>
              <w:rPr>
                <w:rFonts w:ascii="Arial" w:eastAsia="Arial" w:hAnsi="Arial" w:cs="Arial"/>
                <w:color w:val="000000"/>
                <w:sz w:val="18"/>
              </w:rPr>
              <w:t xml:space="preserve">Radian Group Inc. together with its consolidated subsidiaries </w:t>
            </w:r>
          </w:p>
        </w:tc>
      </w:tr>
      <w:tr w:rsidR="001614AC" w14:paraId="5EDAFDF2" w14:textId="77777777">
        <w:trPr>
          <w:cantSplit/>
        </w:trPr>
        <w:tc>
          <w:tcPr>
            <w:tcW w:w="1905" w:type="dxa"/>
            <w:tcBorders>
              <w:top w:val="nil"/>
              <w:left w:val="nil"/>
              <w:bottom w:val="nil"/>
              <w:right w:val="nil"/>
            </w:tcBorders>
            <w:shd w:val="clear" w:color="auto" w:fill="FFFFFF"/>
            <w:tcMar>
              <w:top w:w="0" w:type="dxa"/>
              <w:left w:w="53" w:type="dxa"/>
              <w:bottom w:w="0" w:type="dxa"/>
              <w:right w:w="53" w:type="dxa"/>
            </w:tcMar>
            <w:vAlign w:val="center"/>
          </w:tcPr>
          <w:p w14:paraId="12294FD8" w14:textId="77777777" w:rsidR="001614AC" w:rsidRDefault="004468F9">
            <w:pPr>
              <w:spacing w:line="288" w:lineRule="auto"/>
            </w:pPr>
            <w:r>
              <w:rPr>
                <w:rFonts w:ascii="Arial" w:eastAsia="Arial" w:hAnsi="Arial" w:cs="Arial"/>
                <w:color w:val="000000"/>
                <w:sz w:val="18"/>
              </w:rPr>
              <w:t>Radian Group</w:t>
            </w:r>
          </w:p>
        </w:tc>
        <w:tc>
          <w:tcPr>
            <w:tcW w:w="8175" w:type="dxa"/>
            <w:tcBorders>
              <w:top w:val="nil"/>
              <w:left w:val="nil"/>
              <w:bottom w:val="nil"/>
              <w:right w:val="nil"/>
            </w:tcBorders>
            <w:shd w:val="clear" w:color="auto" w:fill="FFFFFF"/>
            <w:tcMar>
              <w:top w:w="0" w:type="dxa"/>
              <w:left w:w="53" w:type="dxa"/>
              <w:bottom w:w="0" w:type="dxa"/>
              <w:right w:w="53" w:type="dxa"/>
            </w:tcMar>
            <w:vAlign w:val="center"/>
          </w:tcPr>
          <w:p w14:paraId="55E8CBB0" w14:textId="77777777" w:rsidR="001614AC" w:rsidRDefault="004468F9">
            <w:pPr>
              <w:spacing w:line="288" w:lineRule="auto"/>
              <w:ind w:left="90"/>
            </w:pPr>
            <w:r>
              <w:rPr>
                <w:rFonts w:ascii="Arial" w:eastAsia="Arial" w:hAnsi="Arial" w:cs="Arial"/>
                <w:color w:val="000000"/>
                <w:sz w:val="18"/>
              </w:rPr>
              <w:t>Radian Group Inc., our insurance holding company</w:t>
            </w:r>
          </w:p>
        </w:tc>
      </w:tr>
      <w:tr w:rsidR="001614AC" w14:paraId="06662D7B" w14:textId="77777777">
        <w:trPr>
          <w:cantSplit/>
        </w:trPr>
        <w:tc>
          <w:tcPr>
            <w:tcW w:w="1905" w:type="dxa"/>
            <w:tcBorders>
              <w:top w:val="nil"/>
              <w:left w:val="nil"/>
              <w:bottom w:val="nil"/>
              <w:right w:val="nil"/>
            </w:tcBorders>
            <w:shd w:val="clear" w:color="auto" w:fill="F4F4F4"/>
            <w:tcMar>
              <w:top w:w="0" w:type="dxa"/>
              <w:left w:w="53" w:type="dxa"/>
              <w:bottom w:w="0" w:type="dxa"/>
              <w:right w:w="53" w:type="dxa"/>
            </w:tcMar>
            <w:vAlign w:val="center"/>
          </w:tcPr>
          <w:p w14:paraId="124D130B" w14:textId="77777777" w:rsidR="001614AC" w:rsidRDefault="004468F9">
            <w:pPr>
              <w:spacing w:line="288" w:lineRule="auto"/>
            </w:pPr>
            <w:r>
              <w:rPr>
                <w:rFonts w:ascii="Arial" w:eastAsia="Arial" w:hAnsi="Arial" w:cs="Arial"/>
                <w:color w:val="000000"/>
                <w:sz w:val="18"/>
              </w:rPr>
              <w:t xml:space="preserve">Radian </w:t>
            </w:r>
            <w:r>
              <w:rPr>
                <w:rFonts w:ascii="Arial" w:eastAsia="Arial" w:hAnsi="Arial" w:cs="Arial"/>
                <w:color w:val="000000"/>
                <w:sz w:val="18"/>
              </w:rPr>
              <w:t>Guaranty</w:t>
            </w:r>
          </w:p>
        </w:tc>
        <w:tc>
          <w:tcPr>
            <w:tcW w:w="8175" w:type="dxa"/>
            <w:tcBorders>
              <w:top w:val="nil"/>
              <w:left w:val="nil"/>
              <w:bottom w:val="nil"/>
              <w:right w:val="nil"/>
            </w:tcBorders>
            <w:shd w:val="clear" w:color="auto" w:fill="F4F4F4"/>
            <w:tcMar>
              <w:top w:w="0" w:type="dxa"/>
              <w:left w:w="53" w:type="dxa"/>
              <w:bottom w:w="0" w:type="dxa"/>
              <w:right w:w="53" w:type="dxa"/>
            </w:tcMar>
            <w:vAlign w:val="center"/>
          </w:tcPr>
          <w:p w14:paraId="31E05694" w14:textId="77777777" w:rsidR="001614AC" w:rsidRDefault="004468F9">
            <w:pPr>
              <w:spacing w:line="288" w:lineRule="auto"/>
              <w:ind w:left="90"/>
            </w:pPr>
            <w:r>
              <w:rPr>
                <w:rFonts w:ascii="Arial" w:eastAsia="Arial" w:hAnsi="Arial" w:cs="Arial"/>
                <w:color w:val="000000"/>
                <w:sz w:val="18"/>
              </w:rPr>
              <w:t>Radian Guaranty Inc., a Pennsylvania domiciled insurance subsidiary of Radian Group and our approved insurer under the PMIERs, through which we provide mortgage insurance products and services</w:t>
            </w:r>
          </w:p>
        </w:tc>
      </w:tr>
      <w:tr w:rsidR="001614AC" w14:paraId="5951CE56" w14:textId="77777777">
        <w:trPr>
          <w:cantSplit/>
        </w:trPr>
        <w:tc>
          <w:tcPr>
            <w:tcW w:w="1905" w:type="dxa"/>
            <w:tcBorders>
              <w:top w:val="nil"/>
              <w:left w:val="nil"/>
              <w:bottom w:val="nil"/>
              <w:right w:val="nil"/>
            </w:tcBorders>
            <w:shd w:val="clear" w:color="auto" w:fill="FFFFFF"/>
            <w:tcMar>
              <w:top w:w="0" w:type="dxa"/>
              <w:left w:w="53" w:type="dxa"/>
              <w:bottom w:w="0" w:type="dxa"/>
              <w:right w:w="53" w:type="dxa"/>
            </w:tcMar>
            <w:vAlign w:val="center"/>
          </w:tcPr>
          <w:p w14:paraId="18EB86A0" w14:textId="77777777" w:rsidR="001614AC" w:rsidRDefault="004468F9">
            <w:pPr>
              <w:spacing w:line="288" w:lineRule="auto"/>
            </w:pPr>
            <w:r>
              <w:rPr>
                <w:rFonts w:ascii="Arial" w:eastAsia="Arial" w:hAnsi="Arial" w:cs="Arial"/>
                <w:color w:val="000000"/>
                <w:sz w:val="18"/>
              </w:rPr>
              <w:t>Radian Reinsurance</w:t>
            </w:r>
          </w:p>
        </w:tc>
        <w:tc>
          <w:tcPr>
            <w:tcW w:w="8175" w:type="dxa"/>
            <w:tcBorders>
              <w:top w:val="nil"/>
              <w:left w:val="nil"/>
              <w:bottom w:val="nil"/>
              <w:right w:val="nil"/>
            </w:tcBorders>
            <w:shd w:val="clear" w:color="auto" w:fill="FFFFFF"/>
            <w:tcMar>
              <w:top w:w="0" w:type="dxa"/>
              <w:left w:w="53" w:type="dxa"/>
              <w:bottom w:w="0" w:type="dxa"/>
              <w:right w:w="53" w:type="dxa"/>
            </w:tcMar>
            <w:vAlign w:val="center"/>
          </w:tcPr>
          <w:p w14:paraId="1E9871C8" w14:textId="77777777" w:rsidR="001614AC" w:rsidRDefault="004468F9">
            <w:pPr>
              <w:spacing w:line="288" w:lineRule="auto"/>
              <w:ind w:left="90"/>
            </w:pPr>
            <w:r>
              <w:rPr>
                <w:rFonts w:ascii="Arial" w:eastAsia="Arial" w:hAnsi="Arial" w:cs="Arial"/>
                <w:color w:val="000000"/>
                <w:sz w:val="18"/>
              </w:rPr>
              <w:t xml:space="preserve">Radian Reinsurance Inc., a </w:t>
            </w:r>
            <w:r>
              <w:rPr>
                <w:rFonts w:ascii="Arial" w:eastAsia="Arial" w:hAnsi="Arial" w:cs="Arial"/>
                <w:color w:val="000000"/>
                <w:sz w:val="18"/>
              </w:rPr>
              <w:t>Pennsylvania domiciled insurance subsidiary of Radian Group, through which we provide mortgage credit risk insurance and reinsurance, including through participation in credit risk transactions issued by the GSEs</w:t>
            </w:r>
          </w:p>
        </w:tc>
      </w:tr>
      <w:tr w:rsidR="001614AC" w14:paraId="41CB12A6" w14:textId="77777777">
        <w:trPr>
          <w:cantSplit/>
        </w:trPr>
        <w:tc>
          <w:tcPr>
            <w:tcW w:w="1905" w:type="dxa"/>
            <w:tcBorders>
              <w:top w:val="nil"/>
              <w:left w:val="nil"/>
              <w:bottom w:val="nil"/>
              <w:right w:val="nil"/>
            </w:tcBorders>
            <w:shd w:val="clear" w:color="auto" w:fill="F4F4F4"/>
            <w:tcMar>
              <w:top w:w="0" w:type="dxa"/>
              <w:left w:w="53" w:type="dxa"/>
              <w:bottom w:w="0" w:type="dxa"/>
              <w:right w:w="53" w:type="dxa"/>
            </w:tcMar>
            <w:vAlign w:val="center"/>
          </w:tcPr>
          <w:p w14:paraId="32659A6D" w14:textId="77777777" w:rsidR="001614AC" w:rsidRDefault="004468F9">
            <w:pPr>
              <w:spacing w:line="288" w:lineRule="auto"/>
            </w:pPr>
            <w:r>
              <w:rPr>
                <w:rFonts w:ascii="Arial" w:eastAsia="Arial" w:hAnsi="Arial" w:cs="Arial"/>
                <w:color w:val="000000"/>
                <w:sz w:val="18"/>
              </w:rPr>
              <w:t>Radian Title Insurance</w:t>
            </w:r>
          </w:p>
        </w:tc>
        <w:tc>
          <w:tcPr>
            <w:tcW w:w="8175" w:type="dxa"/>
            <w:tcBorders>
              <w:top w:val="nil"/>
              <w:left w:val="nil"/>
              <w:bottom w:val="nil"/>
              <w:right w:val="nil"/>
            </w:tcBorders>
            <w:shd w:val="clear" w:color="auto" w:fill="F4F4F4"/>
            <w:tcMar>
              <w:top w:w="0" w:type="dxa"/>
              <w:left w:w="53" w:type="dxa"/>
              <w:bottom w:w="0" w:type="dxa"/>
              <w:right w:w="53" w:type="dxa"/>
            </w:tcMar>
            <w:vAlign w:val="center"/>
          </w:tcPr>
          <w:p w14:paraId="7EE211A0" w14:textId="77777777" w:rsidR="001614AC" w:rsidRDefault="004468F9">
            <w:pPr>
              <w:spacing w:line="288" w:lineRule="auto"/>
              <w:ind w:left="90"/>
            </w:pPr>
            <w:r>
              <w:rPr>
                <w:rFonts w:ascii="Arial" w:eastAsia="Arial" w:hAnsi="Arial" w:cs="Arial"/>
                <w:color w:val="000000"/>
                <w:sz w:val="18"/>
              </w:rPr>
              <w:t xml:space="preserve">Radian Title </w:t>
            </w:r>
            <w:r>
              <w:rPr>
                <w:rFonts w:ascii="Arial" w:eastAsia="Arial" w:hAnsi="Arial" w:cs="Arial"/>
                <w:color w:val="000000"/>
                <w:sz w:val="18"/>
              </w:rPr>
              <w:t>Insurance Inc., an Ohio domiciled insurance company and an indirect subsidiary of Radian Group, through which we offer title insurance</w:t>
            </w:r>
          </w:p>
        </w:tc>
      </w:tr>
      <w:tr w:rsidR="001614AC" w14:paraId="101A922C" w14:textId="77777777">
        <w:trPr>
          <w:cantSplit/>
        </w:trPr>
        <w:tc>
          <w:tcPr>
            <w:tcW w:w="1905" w:type="dxa"/>
            <w:tcBorders>
              <w:top w:val="nil"/>
              <w:left w:val="nil"/>
              <w:bottom w:val="nil"/>
              <w:right w:val="nil"/>
            </w:tcBorders>
            <w:shd w:val="clear" w:color="auto" w:fill="FFFFFF"/>
            <w:tcMar>
              <w:top w:w="0" w:type="dxa"/>
              <w:left w:w="53" w:type="dxa"/>
              <w:bottom w:w="0" w:type="dxa"/>
              <w:right w:w="53" w:type="dxa"/>
            </w:tcMar>
            <w:vAlign w:val="center"/>
          </w:tcPr>
          <w:p w14:paraId="269736F5" w14:textId="77777777" w:rsidR="001614AC" w:rsidRDefault="004468F9">
            <w:pPr>
              <w:spacing w:line="288" w:lineRule="auto"/>
            </w:pPr>
            <w:r>
              <w:rPr>
                <w:rFonts w:ascii="Arial" w:eastAsia="Arial" w:hAnsi="Arial" w:cs="Arial"/>
                <w:color w:val="000000"/>
                <w:sz w:val="18"/>
              </w:rPr>
              <w:t>RBC States</w:t>
            </w:r>
          </w:p>
        </w:tc>
        <w:tc>
          <w:tcPr>
            <w:tcW w:w="8175" w:type="dxa"/>
            <w:tcBorders>
              <w:top w:val="nil"/>
              <w:left w:val="nil"/>
              <w:bottom w:val="nil"/>
              <w:right w:val="nil"/>
            </w:tcBorders>
            <w:shd w:val="clear" w:color="auto" w:fill="FFFFFF"/>
            <w:tcMar>
              <w:top w:w="0" w:type="dxa"/>
              <w:left w:w="53" w:type="dxa"/>
              <w:bottom w:w="0" w:type="dxa"/>
              <w:right w:w="53" w:type="dxa"/>
            </w:tcMar>
            <w:vAlign w:val="center"/>
          </w:tcPr>
          <w:p w14:paraId="122427E1" w14:textId="77777777" w:rsidR="001614AC" w:rsidRDefault="004468F9">
            <w:pPr>
              <w:spacing w:line="288" w:lineRule="auto"/>
              <w:ind w:left="90"/>
            </w:pPr>
            <w:r>
              <w:rPr>
                <w:rFonts w:ascii="Arial" w:eastAsia="Arial" w:hAnsi="Arial" w:cs="Arial"/>
                <w:color w:val="000000"/>
                <w:sz w:val="18"/>
              </w:rPr>
              <w:t xml:space="preserve">Risk-based capital states, which are those states that currently impose a statutory or regulatory </w:t>
            </w:r>
            <w:r>
              <w:rPr>
                <w:rFonts w:ascii="Arial" w:eastAsia="Arial" w:hAnsi="Arial" w:cs="Arial"/>
                <w:color w:val="000000"/>
                <w:sz w:val="18"/>
              </w:rPr>
              <w:t>risk-based capital requirement</w:t>
            </w:r>
          </w:p>
        </w:tc>
      </w:tr>
      <w:tr w:rsidR="001614AC" w14:paraId="1D4937BA" w14:textId="77777777">
        <w:trPr>
          <w:cantSplit/>
        </w:trPr>
        <w:tc>
          <w:tcPr>
            <w:tcW w:w="1905" w:type="dxa"/>
            <w:tcBorders>
              <w:top w:val="nil"/>
              <w:left w:val="nil"/>
              <w:bottom w:val="nil"/>
              <w:right w:val="nil"/>
            </w:tcBorders>
            <w:shd w:val="clear" w:color="auto" w:fill="F4F4F4"/>
            <w:tcMar>
              <w:top w:w="0" w:type="dxa"/>
              <w:left w:w="53" w:type="dxa"/>
              <w:bottom w:w="0" w:type="dxa"/>
              <w:right w:w="53" w:type="dxa"/>
            </w:tcMar>
            <w:vAlign w:val="center"/>
          </w:tcPr>
          <w:p w14:paraId="666654A2" w14:textId="77777777" w:rsidR="001614AC" w:rsidRDefault="004468F9">
            <w:pPr>
              <w:spacing w:line="288" w:lineRule="auto"/>
            </w:pPr>
            <w:r>
              <w:rPr>
                <w:rFonts w:ascii="Arial" w:eastAsia="Arial" w:hAnsi="Arial" w:cs="Arial"/>
                <w:color w:val="000000"/>
                <w:sz w:val="18"/>
              </w:rPr>
              <w:t>Rescission</w:t>
            </w:r>
          </w:p>
        </w:tc>
        <w:tc>
          <w:tcPr>
            <w:tcW w:w="8175" w:type="dxa"/>
            <w:tcBorders>
              <w:top w:val="nil"/>
              <w:left w:val="nil"/>
              <w:bottom w:val="nil"/>
              <w:right w:val="nil"/>
            </w:tcBorders>
            <w:shd w:val="clear" w:color="auto" w:fill="F4F4F4"/>
            <w:tcMar>
              <w:top w:w="0" w:type="dxa"/>
              <w:left w:w="53" w:type="dxa"/>
              <w:bottom w:w="0" w:type="dxa"/>
              <w:right w:w="53" w:type="dxa"/>
            </w:tcMar>
            <w:vAlign w:val="center"/>
          </w:tcPr>
          <w:p w14:paraId="7EC9C2F5" w14:textId="77777777" w:rsidR="001614AC" w:rsidRDefault="004468F9">
            <w:pPr>
              <w:spacing w:line="288" w:lineRule="auto"/>
              <w:ind w:left="90"/>
            </w:pPr>
            <w:r>
              <w:rPr>
                <w:rFonts w:ascii="Arial" w:eastAsia="Arial" w:hAnsi="Arial" w:cs="Arial"/>
                <w:color w:val="000000"/>
                <w:sz w:val="18"/>
              </w:rPr>
              <w:t>Our legal right, under certain conditions, to unilaterally rescind coverage on our mortgage insurance policies if we determine that a loan did not qualify for insurance</w:t>
            </w:r>
          </w:p>
        </w:tc>
      </w:tr>
      <w:tr w:rsidR="001614AC" w14:paraId="1D37AF0F" w14:textId="77777777">
        <w:trPr>
          <w:cantSplit/>
        </w:trPr>
        <w:tc>
          <w:tcPr>
            <w:tcW w:w="1905" w:type="dxa"/>
            <w:tcBorders>
              <w:top w:val="nil"/>
              <w:left w:val="nil"/>
              <w:bottom w:val="nil"/>
              <w:right w:val="nil"/>
            </w:tcBorders>
            <w:shd w:val="clear" w:color="auto" w:fill="FFFFFF"/>
            <w:tcMar>
              <w:top w:w="0" w:type="dxa"/>
              <w:left w:w="53" w:type="dxa"/>
              <w:bottom w:w="0" w:type="dxa"/>
              <w:right w:w="53" w:type="dxa"/>
            </w:tcMar>
            <w:vAlign w:val="center"/>
          </w:tcPr>
          <w:p w14:paraId="1CEBA4D4" w14:textId="77777777" w:rsidR="001614AC" w:rsidRDefault="004468F9">
            <w:pPr>
              <w:spacing w:line="288" w:lineRule="auto"/>
            </w:pPr>
            <w:r>
              <w:rPr>
                <w:rFonts w:ascii="Arial" w:eastAsia="Arial" w:hAnsi="Arial" w:cs="Arial"/>
                <w:color w:val="000000"/>
                <w:sz w:val="18"/>
              </w:rPr>
              <w:t>RIF</w:t>
            </w:r>
          </w:p>
        </w:tc>
        <w:tc>
          <w:tcPr>
            <w:tcW w:w="8175" w:type="dxa"/>
            <w:tcBorders>
              <w:top w:val="nil"/>
              <w:left w:val="nil"/>
              <w:bottom w:val="nil"/>
              <w:right w:val="nil"/>
            </w:tcBorders>
            <w:shd w:val="clear" w:color="auto" w:fill="FFFFFF"/>
            <w:tcMar>
              <w:top w:w="0" w:type="dxa"/>
              <w:left w:w="53" w:type="dxa"/>
              <w:bottom w:w="0" w:type="dxa"/>
              <w:right w:w="53" w:type="dxa"/>
            </w:tcMar>
            <w:vAlign w:val="center"/>
          </w:tcPr>
          <w:p w14:paraId="171F0CB8" w14:textId="77777777" w:rsidR="001614AC" w:rsidRDefault="004468F9">
            <w:pPr>
              <w:spacing w:line="288" w:lineRule="auto"/>
              <w:ind w:left="90"/>
            </w:pPr>
            <w:r>
              <w:rPr>
                <w:rFonts w:ascii="Arial" w:eastAsia="Arial" w:hAnsi="Arial" w:cs="Arial"/>
                <w:color w:val="000000"/>
                <w:sz w:val="18"/>
              </w:rPr>
              <w:t xml:space="preserve">Risk in force; for Primary </w:t>
            </w:r>
            <w:r>
              <w:rPr>
                <w:rFonts w:ascii="Arial" w:eastAsia="Arial" w:hAnsi="Arial" w:cs="Arial"/>
                <w:color w:val="000000"/>
                <w:sz w:val="18"/>
              </w:rPr>
              <w:t>Mortgage Insurance, RIF is equal to the underlying loan unpaid principal balance multiplied by the insurance coverage percentage, whereas for Pool Mortgage Insurance, it represents the remaining exposure under the agreements</w:t>
            </w:r>
          </w:p>
        </w:tc>
      </w:tr>
      <w:tr w:rsidR="001614AC" w14:paraId="3156B9C0" w14:textId="77777777">
        <w:trPr>
          <w:cantSplit/>
        </w:trPr>
        <w:tc>
          <w:tcPr>
            <w:tcW w:w="1905" w:type="dxa"/>
            <w:tcBorders>
              <w:top w:val="nil"/>
              <w:left w:val="nil"/>
              <w:bottom w:val="nil"/>
              <w:right w:val="nil"/>
            </w:tcBorders>
            <w:shd w:val="clear" w:color="auto" w:fill="F4F4F4"/>
            <w:tcMar>
              <w:top w:w="0" w:type="dxa"/>
              <w:left w:w="53" w:type="dxa"/>
              <w:bottom w:w="0" w:type="dxa"/>
              <w:right w:w="53" w:type="dxa"/>
            </w:tcMar>
            <w:vAlign w:val="center"/>
          </w:tcPr>
          <w:p w14:paraId="7C439F79" w14:textId="77777777" w:rsidR="001614AC" w:rsidRDefault="004468F9">
            <w:pPr>
              <w:spacing w:line="288" w:lineRule="auto"/>
            </w:pPr>
            <w:r>
              <w:rPr>
                <w:rFonts w:ascii="Arial" w:eastAsia="Arial" w:hAnsi="Arial" w:cs="Arial"/>
                <w:color w:val="000000"/>
                <w:sz w:val="18"/>
              </w:rPr>
              <w:t>Risk-to-capital</w:t>
            </w:r>
          </w:p>
        </w:tc>
        <w:tc>
          <w:tcPr>
            <w:tcW w:w="8175" w:type="dxa"/>
            <w:tcBorders>
              <w:top w:val="nil"/>
              <w:left w:val="nil"/>
              <w:bottom w:val="nil"/>
              <w:right w:val="nil"/>
            </w:tcBorders>
            <w:shd w:val="clear" w:color="auto" w:fill="F4F4F4"/>
            <w:tcMar>
              <w:top w:w="0" w:type="dxa"/>
              <w:left w:w="53" w:type="dxa"/>
              <w:bottom w:w="0" w:type="dxa"/>
              <w:right w:w="53" w:type="dxa"/>
            </w:tcMar>
            <w:vAlign w:val="center"/>
          </w:tcPr>
          <w:p w14:paraId="4949DAAB" w14:textId="77777777" w:rsidR="001614AC" w:rsidRDefault="004468F9">
            <w:pPr>
              <w:spacing w:line="288" w:lineRule="auto"/>
              <w:ind w:left="90"/>
            </w:pPr>
            <w:r>
              <w:rPr>
                <w:rFonts w:ascii="Arial" w:eastAsia="Arial" w:hAnsi="Arial" w:cs="Arial"/>
                <w:color w:val="000000"/>
                <w:sz w:val="18"/>
              </w:rPr>
              <w:t xml:space="preserve">Under certain state regulations, a maximum ratio of net RIF calculated relative to the level of statutory capital </w:t>
            </w:r>
          </w:p>
        </w:tc>
      </w:tr>
      <w:tr w:rsidR="001614AC" w14:paraId="25D26CB7" w14:textId="77777777">
        <w:trPr>
          <w:cantSplit/>
        </w:trPr>
        <w:tc>
          <w:tcPr>
            <w:tcW w:w="1905" w:type="dxa"/>
            <w:tcBorders>
              <w:top w:val="nil"/>
              <w:left w:val="nil"/>
              <w:bottom w:val="nil"/>
              <w:right w:val="nil"/>
            </w:tcBorders>
            <w:shd w:val="clear" w:color="auto" w:fill="FFFFFF"/>
            <w:tcMar>
              <w:top w:w="0" w:type="dxa"/>
              <w:left w:w="53" w:type="dxa"/>
              <w:bottom w:w="0" w:type="dxa"/>
              <w:right w:w="53" w:type="dxa"/>
            </w:tcMar>
            <w:vAlign w:val="center"/>
          </w:tcPr>
          <w:p w14:paraId="6720B63E" w14:textId="77777777" w:rsidR="001614AC" w:rsidRDefault="004468F9">
            <w:pPr>
              <w:spacing w:line="288" w:lineRule="auto"/>
            </w:pPr>
            <w:r>
              <w:rPr>
                <w:rFonts w:ascii="Arial" w:eastAsia="Arial" w:hAnsi="Arial" w:cs="Arial"/>
                <w:color w:val="000000"/>
                <w:sz w:val="18"/>
              </w:rPr>
              <w:lastRenderedPageBreak/>
              <w:t>RMBS</w:t>
            </w:r>
          </w:p>
        </w:tc>
        <w:tc>
          <w:tcPr>
            <w:tcW w:w="8175" w:type="dxa"/>
            <w:tcBorders>
              <w:top w:val="nil"/>
              <w:left w:val="nil"/>
              <w:bottom w:val="nil"/>
              <w:right w:val="nil"/>
            </w:tcBorders>
            <w:shd w:val="clear" w:color="auto" w:fill="FFFFFF"/>
            <w:tcMar>
              <w:top w:w="0" w:type="dxa"/>
              <w:left w:w="53" w:type="dxa"/>
              <w:bottom w:w="0" w:type="dxa"/>
              <w:right w:w="53" w:type="dxa"/>
            </w:tcMar>
            <w:vAlign w:val="center"/>
          </w:tcPr>
          <w:p w14:paraId="6CFC4AE7" w14:textId="77777777" w:rsidR="001614AC" w:rsidRDefault="004468F9">
            <w:pPr>
              <w:spacing w:line="288" w:lineRule="auto"/>
              <w:ind w:left="90"/>
            </w:pPr>
            <w:r>
              <w:rPr>
                <w:rFonts w:ascii="Arial" w:eastAsia="Arial" w:hAnsi="Arial" w:cs="Arial"/>
                <w:color w:val="000000"/>
                <w:sz w:val="18"/>
              </w:rPr>
              <w:t>Residential mortgage-backed securities</w:t>
            </w:r>
          </w:p>
        </w:tc>
      </w:tr>
      <w:tr w:rsidR="001614AC" w14:paraId="3EB9CFB1" w14:textId="77777777">
        <w:trPr>
          <w:cantSplit/>
        </w:trPr>
        <w:tc>
          <w:tcPr>
            <w:tcW w:w="1905" w:type="dxa"/>
            <w:tcBorders>
              <w:top w:val="nil"/>
              <w:left w:val="nil"/>
              <w:bottom w:val="nil"/>
              <w:right w:val="nil"/>
            </w:tcBorders>
            <w:shd w:val="clear" w:color="auto" w:fill="F4F4F4"/>
            <w:tcMar>
              <w:top w:w="0" w:type="dxa"/>
              <w:left w:w="53" w:type="dxa"/>
              <w:bottom w:w="0" w:type="dxa"/>
              <w:right w:w="53" w:type="dxa"/>
            </w:tcMar>
            <w:vAlign w:val="center"/>
          </w:tcPr>
          <w:p w14:paraId="14A1786F" w14:textId="77777777" w:rsidR="001614AC" w:rsidRDefault="004468F9">
            <w:pPr>
              <w:spacing w:line="288" w:lineRule="auto"/>
            </w:pPr>
            <w:r>
              <w:rPr>
                <w:rFonts w:ascii="Arial" w:eastAsia="Arial" w:hAnsi="Arial" w:cs="Arial"/>
                <w:color w:val="000000"/>
                <w:sz w:val="18"/>
              </w:rPr>
              <w:t>S&amp;P</w:t>
            </w:r>
          </w:p>
        </w:tc>
        <w:tc>
          <w:tcPr>
            <w:tcW w:w="8175" w:type="dxa"/>
            <w:tcBorders>
              <w:top w:val="nil"/>
              <w:left w:val="nil"/>
              <w:bottom w:val="nil"/>
              <w:right w:val="nil"/>
            </w:tcBorders>
            <w:shd w:val="clear" w:color="auto" w:fill="F4F4F4"/>
            <w:tcMar>
              <w:top w:w="0" w:type="dxa"/>
              <w:left w:w="53" w:type="dxa"/>
              <w:bottom w:w="0" w:type="dxa"/>
              <w:right w:w="53" w:type="dxa"/>
            </w:tcMar>
            <w:vAlign w:val="center"/>
          </w:tcPr>
          <w:p w14:paraId="1195E689" w14:textId="77777777" w:rsidR="001614AC" w:rsidRDefault="004468F9">
            <w:pPr>
              <w:spacing w:line="288" w:lineRule="auto"/>
              <w:ind w:left="90"/>
            </w:pPr>
            <w:r>
              <w:rPr>
                <w:rFonts w:ascii="Arial" w:eastAsia="Arial" w:hAnsi="Arial" w:cs="Arial"/>
                <w:color w:val="000000"/>
                <w:sz w:val="18"/>
              </w:rPr>
              <w:t>Standard &amp; Poor’s Financial Services LLC</w:t>
            </w:r>
          </w:p>
        </w:tc>
      </w:tr>
      <w:tr w:rsidR="001614AC" w14:paraId="23975358" w14:textId="77777777">
        <w:trPr>
          <w:cantSplit/>
        </w:trPr>
        <w:tc>
          <w:tcPr>
            <w:tcW w:w="1905" w:type="dxa"/>
            <w:tcBorders>
              <w:top w:val="nil"/>
              <w:left w:val="nil"/>
              <w:bottom w:val="nil"/>
              <w:right w:val="nil"/>
            </w:tcBorders>
            <w:shd w:val="clear" w:color="auto" w:fill="FFFFFF"/>
            <w:tcMar>
              <w:top w:w="0" w:type="dxa"/>
              <w:left w:w="53" w:type="dxa"/>
              <w:bottom w:w="0" w:type="dxa"/>
              <w:right w:w="53" w:type="dxa"/>
            </w:tcMar>
            <w:vAlign w:val="center"/>
          </w:tcPr>
          <w:p w14:paraId="79617C6F" w14:textId="77777777" w:rsidR="001614AC" w:rsidRDefault="004468F9">
            <w:pPr>
              <w:spacing w:line="288" w:lineRule="auto"/>
            </w:pPr>
            <w:r>
              <w:rPr>
                <w:rFonts w:ascii="Arial" w:eastAsia="Arial" w:hAnsi="Arial" w:cs="Arial"/>
                <w:color w:val="000000"/>
                <w:sz w:val="18"/>
              </w:rPr>
              <w:t>SaaS</w:t>
            </w:r>
          </w:p>
        </w:tc>
        <w:tc>
          <w:tcPr>
            <w:tcW w:w="8175" w:type="dxa"/>
            <w:tcBorders>
              <w:top w:val="nil"/>
              <w:left w:val="nil"/>
              <w:bottom w:val="nil"/>
              <w:right w:val="nil"/>
            </w:tcBorders>
            <w:shd w:val="clear" w:color="auto" w:fill="FFFFFF"/>
            <w:tcMar>
              <w:top w:w="0" w:type="dxa"/>
              <w:left w:w="53" w:type="dxa"/>
              <w:bottom w:w="0" w:type="dxa"/>
              <w:right w:w="53" w:type="dxa"/>
            </w:tcMar>
            <w:vAlign w:val="center"/>
          </w:tcPr>
          <w:p w14:paraId="2BEFA4F0" w14:textId="77777777" w:rsidR="001614AC" w:rsidRDefault="004468F9">
            <w:pPr>
              <w:spacing w:line="288" w:lineRule="auto"/>
              <w:ind w:left="90"/>
            </w:pPr>
            <w:r>
              <w:rPr>
                <w:rFonts w:ascii="Arial" w:eastAsia="Arial" w:hAnsi="Arial" w:cs="Arial"/>
                <w:color w:val="000000"/>
                <w:sz w:val="18"/>
              </w:rPr>
              <w:t>Software-as-a-Service</w:t>
            </w:r>
          </w:p>
        </w:tc>
      </w:tr>
      <w:tr w:rsidR="001614AC" w14:paraId="5D7ABCF5" w14:textId="77777777">
        <w:trPr>
          <w:cantSplit/>
        </w:trPr>
        <w:tc>
          <w:tcPr>
            <w:tcW w:w="1905" w:type="dxa"/>
            <w:tcBorders>
              <w:top w:val="nil"/>
              <w:left w:val="nil"/>
              <w:bottom w:val="nil"/>
              <w:right w:val="nil"/>
            </w:tcBorders>
            <w:shd w:val="clear" w:color="auto" w:fill="F4F4F4"/>
            <w:tcMar>
              <w:top w:w="0" w:type="dxa"/>
              <w:left w:w="53" w:type="dxa"/>
              <w:bottom w:w="0" w:type="dxa"/>
              <w:right w:w="53" w:type="dxa"/>
            </w:tcMar>
            <w:vAlign w:val="center"/>
          </w:tcPr>
          <w:p w14:paraId="7F652DBB" w14:textId="77777777" w:rsidR="001614AC" w:rsidRDefault="004468F9">
            <w:pPr>
              <w:spacing w:line="288" w:lineRule="auto"/>
            </w:pPr>
            <w:r>
              <w:rPr>
                <w:rFonts w:ascii="Arial" w:eastAsia="Arial" w:hAnsi="Arial" w:cs="Arial"/>
                <w:color w:val="000000"/>
                <w:sz w:val="18"/>
              </w:rPr>
              <w:t>SAP</w:t>
            </w:r>
          </w:p>
        </w:tc>
        <w:tc>
          <w:tcPr>
            <w:tcW w:w="8175" w:type="dxa"/>
            <w:tcBorders>
              <w:top w:val="nil"/>
              <w:left w:val="nil"/>
              <w:bottom w:val="nil"/>
              <w:right w:val="nil"/>
            </w:tcBorders>
            <w:shd w:val="clear" w:color="auto" w:fill="F4F4F4"/>
            <w:tcMar>
              <w:top w:w="0" w:type="dxa"/>
              <w:left w:w="53" w:type="dxa"/>
              <w:bottom w:w="0" w:type="dxa"/>
              <w:right w:w="53" w:type="dxa"/>
            </w:tcMar>
            <w:vAlign w:val="center"/>
          </w:tcPr>
          <w:p w14:paraId="67986C2C" w14:textId="77777777" w:rsidR="001614AC" w:rsidRDefault="004468F9">
            <w:pPr>
              <w:spacing w:line="288" w:lineRule="auto"/>
              <w:ind w:left="90"/>
            </w:pPr>
            <w:r>
              <w:rPr>
                <w:rFonts w:ascii="Arial" w:eastAsia="Arial" w:hAnsi="Arial" w:cs="Arial"/>
                <w:color w:val="000000"/>
                <w:sz w:val="18"/>
              </w:rPr>
              <w:t>Statutory accounting principles and practices, including those required or permitted, if applicable, by the insurance departments of the respective states of domicile of our insurance subsidiaries</w:t>
            </w:r>
          </w:p>
        </w:tc>
      </w:tr>
      <w:tr w:rsidR="001614AC" w14:paraId="447FC1AE" w14:textId="77777777">
        <w:trPr>
          <w:cantSplit/>
        </w:trPr>
        <w:tc>
          <w:tcPr>
            <w:tcW w:w="1905" w:type="dxa"/>
            <w:tcBorders>
              <w:top w:val="nil"/>
              <w:left w:val="nil"/>
              <w:bottom w:val="nil"/>
              <w:right w:val="nil"/>
            </w:tcBorders>
            <w:shd w:val="clear" w:color="auto" w:fill="FFFFFF"/>
            <w:tcMar>
              <w:top w:w="0" w:type="dxa"/>
              <w:left w:w="53" w:type="dxa"/>
              <w:bottom w:w="0" w:type="dxa"/>
              <w:right w:w="53" w:type="dxa"/>
            </w:tcMar>
            <w:vAlign w:val="center"/>
          </w:tcPr>
          <w:p w14:paraId="48AFEF33" w14:textId="77777777" w:rsidR="001614AC" w:rsidRDefault="004468F9">
            <w:pPr>
              <w:spacing w:line="288" w:lineRule="auto"/>
            </w:pPr>
            <w:r>
              <w:rPr>
                <w:rFonts w:ascii="Arial" w:eastAsia="Arial" w:hAnsi="Arial" w:cs="Arial"/>
                <w:color w:val="000000"/>
                <w:sz w:val="18"/>
              </w:rPr>
              <w:t>SEC</w:t>
            </w:r>
          </w:p>
        </w:tc>
        <w:tc>
          <w:tcPr>
            <w:tcW w:w="8175" w:type="dxa"/>
            <w:tcBorders>
              <w:top w:val="nil"/>
              <w:left w:val="nil"/>
              <w:bottom w:val="nil"/>
              <w:right w:val="nil"/>
            </w:tcBorders>
            <w:shd w:val="clear" w:color="auto" w:fill="FFFFFF"/>
            <w:tcMar>
              <w:top w:w="0" w:type="dxa"/>
              <w:left w:w="53" w:type="dxa"/>
              <w:bottom w:w="0" w:type="dxa"/>
              <w:right w:w="53" w:type="dxa"/>
            </w:tcMar>
            <w:vAlign w:val="center"/>
          </w:tcPr>
          <w:p w14:paraId="20785C75" w14:textId="77777777" w:rsidR="001614AC" w:rsidRDefault="004468F9">
            <w:pPr>
              <w:spacing w:line="288" w:lineRule="auto"/>
              <w:ind w:left="90"/>
            </w:pPr>
            <w:r>
              <w:rPr>
                <w:rFonts w:ascii="Arial" w:eastAsia="Arial" w:hAnsi="Arial" w:cs="Arial"/>
                <w:color w:val="000000"/>
                <w:sz w:val="18"/>
              </w:rPr>
              <w:t xml:space="preserve">United States Securities and Exchange Commission </w:t>
            </w:r>
          </w:p>
        </w:tc>
      </w:tr>
      <w:tr w:rsidR="001614AC" w14:paraId="0B08110E" w14:textId="77777777">
        <w:trPr>
          <w:cantSplit/>
        </w:trPr>
        <w:tc>
          <w:tcPr>
            <w:tcW w:w="1905" w:type="dxa"/>
            <w:tcBorders>
              <w:top w:val="nil"/>
              <w:left w:val="nil"/>
              <w:bottom w:val="nil"/>
              <w:right w:val="nil"/>
            </w:tcBorders>
            <w:shd w:val="clear" w:color="auto" w:fill="F4F4F4"/>
            <w:tcMar>
              <w:top w:w="0" w:type="dxa"/>
              <w:left w:w="53" w:type="dxa"/>
              <w:bottom w:w="0" w:type="dxa"/>
              <w:right w:w="53" w:type="dxa"/>
            </w:tcMar>
            <w:vAlign w:val="center"/>
          </w:tcPr>
          <w:p w14:paraId="74360D7E" w14:textId="77777777" w:rsidR="001614AC" w:rsidRDefault="004468F9">
            <w:pPr>
              <w:spacing w:line="288" w:lineRule="auto"/>
            </w:pPr>
            <w:r>
              <w:rPr>
                <w:rFonts w:ascii="Arial" w:eastAsia="Arial" w:hAnsi="Arial" w:cs="Arial"/>
                <w:color w:val="000000"/>
                <w:sz w:val="18"/>
              </w:rPr>
              <w:t>Securities Act</w:t>
            </w:r>
          </w:p>
        </w:tc>
        <w:tc>
          <w:tcPr>
            <w:tcW w:w="8175" w:type="dxa"/>
            <w:tcBorders>
              <w:top w:val="nil"/>
              <w:left w:val="nil"/>
              <w:bottom w:val="nil"/>
              <w:right w:val="nil"/>
            </w:tcBorders>
            <w:shd w:val="clear" w:color="auto" w:fill="F4F4F4"/>
            <w:tcMar>
              <w:top w:w="0" w:type="dxa"/>
              <w:left w:w="53" w:type="dxa"/>
              <w:bottom w:w="0" w:type="dxa"/>
              <w:right w:w="53" w:type="dxa"/>
            </w:tcMar>
            <w:vAlign w:val="center"/>
          </w:tcPr>
          <w:p w14:paraId="58B0A072" w14:textId="77777777" w:rsidR="001614AC" w:rsidRDefault="004468F9">
            <w:pPr>
              <w:spacing w:line="288" w:lineRule="auto"/>
              <w:ind w:left="90"/>
            </w:pPr>
            <w:r>
              <w:rPr>
                <w:rFonts w:ascii="Arial" w:eastAsia="Arial" w:hAnsi="Arial" w:cs="Arial"/>
                <w:color w:val="000000"/>
                <w:sz w:val="18"/>
              </w:rPr>
              <w:t>Securities Act of 1933, as amended</w:t>
            </w:r>
          </w:p>
        </w:tc>
      </w:tr>
      <w:tr w:rsidR="001614AC" w14:paraId="46FAD4BC" w14:textId="77777777">
        <w:trPr>
          <w:cantSplit/>
        </w:trPr>
        <w:tc>
          <w:tcPr>
            <w:tcW w:w="1905" w:type="dxa"/>
            <w:tcBorders>
              <w:top w:val="nil"/>
              <w:left w:val="nil"/>
              <w:bottom w:val="nil"/>
              <w:right w:val="nil"/>
            </w:tcBorders>
            <w:shd w:val="clear" w:color="auto" w:fill="FFFFFF"/>
            <w:tcMar>
              <w:top w:w="0" w:type="dxa"/>
              <w:left w:w="53" w:type="dxa"/>
              <w:bottom w:w="0" w:type="dxa"/>
              <w:right w:w="53" w:type="dxa"/>
            </w:tcMar>
            <w:vAlign w:val="center"/>
          </w:tcPr>
          <w:p w14:paraId="4F82FF2E" w14:textId="77777777" w:rsidR="001614AC" w:rsidRDefault="004468F9">
            <w:pPr>
              <w:spacing w:line="288" w:lineRule="auto"/>
            </w:pPr>
            <w:r>
              <w:rPr>
                <w:rFonts w:ascii="Arial" w:eastAsia="Arial" w:hAnsi="Arial" w:cs="Arial"/>
                <w:color w:val="000000"/>
                <w:sz w:val="18"/>
              </w:rPr>
              <w:t>Senior Notes due 2024</w:t>
            </w:r>
          </w:p>
        </w:tc>
        <w:tc>
          <w:tcPr>
            <w:tcW w:w="8175" w:type="dxa"/>
            <w:tcBorders>
              <w:top w:val="nil"/>
              <w:left w:val="nil"/>
              <w:bottom w:val="nil"/>
              <w:right w:val="nil"/>
            </w:tcBorders>
            <w:shd w:val="clear" w:color="auto" w:fill="FFFFFF"/>
            <w:tcMar>
              <w:top w:w="0" w:type="dxa"/>
              <w:left w:w="53" w:type="dxa"/>
              <w:bottom w:w="0" w:type="dxa"/>
              <w:right w:w="53" w:type="dxa"/>
            </w:tcMar>
            <w:vAlign w:val="center"/>
          </w:tcPr>
          <w:p w14:paraId="6F847148" w14:textId="77777777" w:rsidR="001614AC" w:rsidRDefault="004468F9">
            <w:pPr>
              <w:spacing w:line="288" w:lineRule="auto"/>
              <w:ind w:left="90"/>
            </w:pPr>
            <w:r>
              <w:rPr>
                <w:rFonts w:ascii="Arial" w:eastAsia="Arial" w:hAnsi="Arial" w:cs="Arial"/>
                <w:color w:val="000000"/>
                <w:sz w:val="18"/>
              </w:rPr>
              <w:t>Our 4.500% unsecured senior notes due October 2024 ($450 million original principal amount)</w:t>
            </w:r>
          </w:p>
        </w:tc>
      </w:tr>
      <w:tr w:rsidR="001614AC" w14:paraId="0EB8594E" w14:textId="77777777">
        <w:trPr>
          <w:cantSplit/>
        </w:trPr>
        <w:tc>
          <w:tcPr>
            <w:tcW w:w="1905" w:type="dxa"/>
            <w:tcBorders>
              <w:top w:val="nil"/>
              <w:left w:val="nil"/>
              <w:bottom w:val="nil"/>
              <w:right w:val="nil"/>
            </w:tcBorders>
            <w:shd w:val="clear" w:color="auto" w:fill="F4F4F4"/>
            <w:tcMar>
              <w:top w:w="0" w:type="dxa"/>
              <w:left w:w="53" w:type="dxa"/>
              <w:bottom w:w="0" w:type="dxa"/>
              <w:right w:w="53" w:type="dxa"/>
            </w:tcMar>
            <w:vAlign w:val="center"/>
          </w:tcPr>
          <w:p w14:paraId="1FC01A9F" w14:textId="77777777" w:rsidR="001614AC" w:rsidRDefault="004468F9">
            <w:pPr>
              <w:spacing w:line="288" w:lineRule="auto"/>
            </w:pPr>
            <w:r>
              <w:rPr>
                <w:rFonts w:ascii="Arial" w:eastAsia="Arial" w:hAnsi="Arial" w:cs="Arial"/>
                <w:color w:val="000000"/>
                <w:sz w:val="18"/>
              </w:rPr>
              <w:t>Senior Notes due 2025</w:t>
            </w:r>
          </w:p>
        </w:tc>
        <w:tc>
          <w:tcPr>
            <w:tcW w:w="8175" w:type="dxa"/>
            <w:tcBorders>
              <w:top w:val="nil"/>
              <w:left w:val="nil"/>
              <w:bottom w:val="nil"/>
              <w:right w:val="nil"/>
            </w:tcBorders>
            <w:shd w:val="clear" w:color="auto" w:fill="F4F4F4"/>
            <w:tcMar>
              <w:top w:w="0" w:type="dxa"/>
              <w:left w:w="53" w:type="dxa"/>
              <w:bottom w:w="0" w:type="dxa"/>
              <w:right w:w="53" w:type="dxa"/>
            </w:tcMar>
            <w:vAlign w:val="center"/>
          </w:tcPr>
          <w:p w14:paraId="27CA15F0" w14:textId="77777777" w:rsidR="001614AC" w:rsidRDefault="004468F9">
            <w:pPr>
              <w:spacing w:line="288" w:lineRule="auto"/>
              <w:ind w:left="90"/>
            </w:pPr>
            <w:r>
              <w:rPr>
                <w:rFonts w:ascii="Arial" w:eastAsia="Arial" w:hAnsi="Arial" w:cs="Arial"/>
                <w:color w:val="000000"/>
                <w:sz w:val="18"/>
              </w:rPr>
              <w:t xml:space="preserve">Our 6.625% </w:t>
            </w:r>
            <w:r>
              <w:rPr>
                <w:rFonts w:ascii="Arial" w:eastAsia="Arial" w:hAnsi="Arial" w:cs="Arial"/>
                <w:color w:val="000000"/>
                <w:sz w:val="18"/>
              </w:rPr>
              <w:t>unsecured senior notes due March 2025 ($525 million original principal amount)</w:t>
            </w:r>
          </w:p>
        </w:tc>
      </w:tr>
      <w:tr w:rsidR="001614AC" w14:paraId="48428AD3" w14:textId="77777777">
        <w:trPr>
          <w:cantSplit/>
        </w:trPr>
        <w:tc>
          <w:tcPr>
            <w:tcW w:w="1905" w:type="dxa"/>
            <w:tcBorders>
              <w:top w:val="nil"/>
              <w:left w:val="nil"/>
              <w:bottom w:val="nil"/>
              <w:right w:val="nil"/>
            </w:tcBorders>
            <w:shd w:val="clear" w:color="auto" w:fill="FFFFFF"/>
            <w:tcMar>
              <w:top w:w="0" w:type="dxa"/>
              <w:left w:w="53" w:type="dxa"/>
              <w:bottom w:w="0" w:type="dxa"/>
              <w:right w:w="53" w:type="dxa"/>
            </w:tcMar>
            <w:vAlign w:val="center"/>
          </w:tcPr>
          <w:p w14:paraId="5146B2E4" w14:textId="77777777" w:rsidR="001614AC" w:rsidRDefault="004468F9">
            <w:pPr>
              <w:spacing w:line="288" w:lineRule="auto"/>
            </w:pPr>
            <w:r>
              <w:rPr>
                <w:rFonts w:ascii="Arial" w:eastAsia="Arial" w:hAnsi="Arial" w:cs="Arial"/>
                <w:color w:val="000000"/>
                <w:sz w:val="18"/>
              </w:rPr>
              <w:t>Senior Notes due 2027</w:t>
            </w:r>
          </w:p>
        </w:tc>
        <w:tc>
          <w:tcPr>
            <w:tcW w:w="8175" w:type="dxa"/>
            <w:tcBorders>
              <w:top w:val="nil"/>
              <w:left w:val="nil"/>
              <w:bottom w:val="nil"/>
              <w:right w:val="nil"/>
            </w:tcBorders>
            <w:shd w:val="clear" w:color="auto" w:fill="FFFFFF"/>
            <w:tcMar>
              <w:top w:w="0" w:type="dxa"/>
              <w:left w:w="53" w:type="dxa"/>
              <w:bottom w:w="0" w:type="dxa"/>
              <w:right w:w="53" w:type="dxa"/>
            </w:tcMar>
            <w:vAlign w:val="center"/>
          </w:tcPr>
          <w:p w14:paraId="2049BF74" w14:textId="77777777" w:rsidR="001614AC" w:rsidRDefault="004468F9">
            <w:pPr>
              <w:spacing w:line="288" w:lineRule="auto"/>
              <w:ind w:left="90"/>
            </w:pPr>
            <w:r>
              <w:rPr>
                <w:rFonts w:ascii="Arial" w:eastAsia="Arial" w:hAnsi="Arial" w:cs="Arial"/>
                <w:color w:val="000000"/>
                <w:sz w:val="18"/>
              </w:rPr>
              <w:t>Our 4.875% unsecured senior notes due March 2027 ($450 million original principal amount)</w:t>
            </w:r>
          </w:p>
        </w:tc>
      </w:tr>
      <w:tr w:rsidR="001614AC" w14:paraId="215F27F6" w14:textId="77777777">
        <w:trPr>
          <w:cantSplit/>
        </w:trPr>
        <w:tc>
          <w:tcPr>
            <w:tcW w:w="1905" w:type="dxa"/>
            <w:tcBorders>
              <w:top w:val="nil"/>
              <w:left w:val="nil"/>
              <w:bottom w:val="nil"/>
              <w:right w:val="nil"/>
            </w:tcBorders>
            <w:shd w:val="clear" w:color="auto" w:fill="F4F4F4"/>
            <w:tcMar>
              <w:top w:w="0" w:type="dxa"/>
              <w:left w:w="53" w:type="dxa"/>
              <w:bottom w:w="0" w:type="dxa"/>
              <w:right w:w="53" w:type="dxa"/>
            </w:tcMar>
            <w:vAlign w:val="center"/>
          </w:tcPr>
          <w:p w14:paraId="3BD497A5" w14:textId="77777777" w:rsidR="001614AC" w:rsidRDefault="004468F9">
            <w:pPr>
              <w:spacing w:line="288" w:lineRule="auto"/>
            </w:pPr>
            <w:r>
              <w:rPr>
                <w:rFonts w:ascii="Arial" w:eastAsia="Arial" w:hAnsi="Arial" w:cs="Arial"/>
                <w:color w:val="000000"/>
                <w:sz w:val="18"/>
              </w:rPr>
              <w:t>Single Premium NIW</w:t>
            </w:r>
          </w:p>
        </w:tc>
        <w:tc>
          <w:tcPr>
            <w:tcW w:w="8175" w:type="dxa"/>
            <w:tcBorders>
              <w:top w:val="nil"/>
              <w:left w:val="nil"/>
              <w:bottom w:val="nil"/>
              <w:right w:val="nil"/>
            </w:tcBorders>
            <w:shd w:val="clear" w:color="auto" w:fill="F4F4F4"/>
            <w:tcMar>
              <w:top w:w="0" w:type="dxa"/>
              <w:left w:w="53" w:type="dxa"/>
              <w:bottom w:w="0" w:type="dxa"/>
              <w:right w:w="53" w:type="dxa"/>
            </w:tcMar>
            <w:vAlign w:val="center"/>
          </w:tcPr>
          <w:p w14:paraId="65CA6A5C" w14:textId="77777777" w:rsidR="001614AC" w:rsidRDefault="004468F9">
            <w:pPr>
              <w:spacing w:line="288" w:lineRule="auto"/>
              <w:ind w:left="90"/>
            </w:pPr>
            <w:r>
              <w:rPr>
                <w:rFonts w:ascii="Arial" w:eastAsia="Arial" w:hAnsi="Arial" w:cs="Arial"/>
                <w:color w:val="000000"/>
                <w:sz w:val="18"/>
              </w:rPr>
              <w:t>NIW on Single Premium Policies</w:t>
            </w:r>
          </w:p>
        </w:tc>
      </w:tr>
      <w:tr w:rsidR="001614AC" w14:paraId="23199536" w14:textId="77777777">
        <w:trPr>
          <w:cantSplit/>
        </w:trPr>
        <w:tc>
          <w:tcPr>
            <w:tcW w:w="1905" w:type="dxa"/>
            <w:tcBorders>
              <w:top w:val="nil"/>
              <w:left w:val="nil"/>
              <w:bottom w:val="nil"/>
              <w:right w:val="nil"/>
            </w:tcBorders>
            <w:shd w:val="clear" w:color="auto" w:fill="FFFFFF"/>
            <w:tcMar>
              <w:top w:w="0" w:type="dxa"/>
              <w:left w:w="53" w:type="dxa"/>
              <w:bottom w:w="0" w:type="dxa"/>
              <w:right w:w="53" w:type="dxa"/>
            </w:tcMar>
            <w:vAlign w:val="center"/>
          </w:tcPr>
          <w:p w14:paraId="5A8CC85B" w14:textId="77777777" w:rsidR="001614AC" w:rsidRDefault="004468F9">
            <w:pPr>
              <w:spacing w:line="288" w:lineRule="auto"/>
            </w:pPr>
            <w:r>
              <w:rPr>
                <w:rFonts w:ascii="Arial" w:eastAsia="Arial" w:hAnsi="Arial" w:cs="Arial"/>
                <w:color w:val="000000"/>
                <w:sz w:val="18"/>
              </w:rPr>
              <w:t xml:space="preserve">Single </w:t>
            </w:r>
            <w:r>
              <w:rPr>
                <w:rFonts w:ascii="Arial" w:eastAsia="Arial" w:hAnsi="Arial" w:cs="Arial"/>
                <w:color w:val="000000"/>
                <w:sz w:val="18"/>
              </w:rPr>
              <w:t>Premium Policy / Policies</w:t>
            </w:r>
          </w:p>
        </w:tc>
        <w:tc>
          <w:tcPr>
            <w:tcW w:w="8175" w:type="dxa"/>
            <w:tcBorders>
              <w:top w:val="nil"/>
              <w:left w:val="nil"/>
              <w:bottom w:val="nil"/>
              <w:right w:val="nil"/>
            </w:tcBorders>
            <w:shd w:val="clear" w:color="auto" w:fill="FFFFFF"/>
            <w:tcMar>
              <w:top w:w="0" w:type="dxa"/>
              <w:left w:w="53" w:type="dxa"/>
              <w:bottom w:w="0" w:type="dxa"/>
              <w:right w:w="53" w:type="dxa"/>
            </w:tcMar>
            <w:vAlign w:val="center"/>
          </w:tcPr>
          <w:p w14:paraId="65EF298B" w14:textId="77777777" w:rsidR="001614AC" w:rsidRDefault="004468F9">
            <w:pPr>
              <w:spacing w:line="288" w:lineRule="auto"/>
              <w:ind w:left="90"/>
            </w:pPr>
            <w:r>
              <w:rPr>
                <w:rFonts w:ascii="Arial" w:eastAsia="Arial" w:hAnsi="Arial" w:cs="Arial"/>
                <w:color w:val="000000"/>
                <w:sz w:val="18"/>
              </w:rPr>
              <w:t>Insurance policies where premiums are paid in a single payment, which includes policies written on an individual basis (as each loan is originated) and on an aggregated basis (in which each individual loan in a group of loans is i</w:t>
            </w:r>
            <w:r>
              <w:rPr>
                <w:rFonts w:ascii="Arial" w:eastAsia="Arial" w:hAnsi="Arial" w:cs="Arial"/>
                <w:color w:val="000000"/>
                <w:sz w:val="18"/>
              </w:rPr>
              <w:t>nsured in a single transaction, typically shortly after the loans have been originated)</w:t>
            </w:r>
          </w:p>
        </w:tc>
      </w:tr>
      <w:tr w:rsidR="001614AC" w14:paraId="4B1E2159" w14:textId="77777777">
        <w:trPr>
          <w:cantSplit/>
        </w:trPr>
        <w:tc>
          <w:tcPr>
            <w:tcW w:w="1905" w:type="dxa"/>
            <w:tcBorders>
              <w:top w:val="nil"/>
              <w:left w:val="nil"/>
              <w:bottom w:val="nil"/>
              <w:right w:val="nil"/>
            </w:tcBorders>
            <w:shd w:val="clear" w:color="auto" w:fill="F4F4F4"/>
            <w:tcMar>
              <w:top w:w="0" w:type="dxa"/>
              <w:left w:w="53" w:type="dxa"/>
              <w:bottom w:w="0" w:type="dxa"/>
              <w:right w:w="53" w:type="dxa"/>
            </w:tcMar>
            <w:vAlign w:val="center"/>
          </w:tcPr>
          <w:p w14:paraId="277DF8AF" w14:textId="77777777" w:rsidR="001614AC" w:rsidRDefault="004468F9">
            <w:pPr>
              <w:spacing w:line="288" w:lineRule="auto"/>
            </w:pPr>
            <w:r>
              <w:rPr>
                <w:rFonts w:ascii="Arial" w:eastAsia="Arial" w:hAnsi="Arial" w:cs="Arial"/>
                <w:color w:val="000000"/>
                <w:sz w:val="18"/>
              </w:rPr>
              <w:t>Single Premium QSR Program</w:t>
            </w:r>
          </w:p>
        </w:tc>
        <w:tc>
          <w:tcPr>
            <w:tcW w:w="8175" w:type="dxa"/>
            <w:tcBorders>
              <w:top w:val="nil"/>
              <w:left w:val="nil"/>
              <w:bottom w:val="nil"/>
              <w:right w:val="nil"/>
            </w:tcBorders>
            <w:shd w:val="clear" w:color="auto" w:fill="F4F4F4"/>
            <w:tcMar>
              <w:top w:w="0" w:type="dxa"/>
              <w:left w:w="53" w:type="dxa"/>
              <w:bottom w:w="0" w:type="dxa"/>
              <w:right w:w="53" w:type="dxa"/>
            </w:tcMar>
            <w:vAlign w:val="center"/>
          </w:tcPr>
          <w:p w14:paraId="26BA10AA" w14:textId="77777777" w:rsidR="001614AC" w:rsidRDefault="004468F9">
            <w:pPr>
              <w:spacing w:line="288" w:lineRule="auto"/>
              <w:ind w:left="90"/>
            </w:pPr>
            <w:r>
              <w:rPr>
                <w:rFonts w:ascii="Arial" w:eastAsia="Arial" w:hAnsi="Arial" w:cs="Arial"/>
                <w:color w:val="000000"/>
                <w:sz w:val="18"/>
              </w:rPr>
              <w:t xml:space="preserve">The 2016 Single Premium QSR Agreement, the 2018 Single Premium QSR Agreement and the 2020 Single Premium QSR Agreement, </w:t>
            </w:r>
            <w:r>
              <w:rPr>
                <w:rFonts w:ascii="Arial" w:eastAsia="Arial" w:hAnsi="Arial" w:cs="Arial"/>
                <w:color w:val="000000"/>
                <w:sz w:val="18"/>
              </w:rPr>
              <w:t>collectively</w:t>
            </w:r>
          </w:p>
        </w:tc>
      </w:tr>
      <w:tr w:rsidR="001614AC" w14:paraId="79BD0F81" w14:textId="77777777">
        <w:trPr>
          <w:cantSplit/>
        </w:trPr>
        <w:tc>
          <w:tcPr>
            <w:tcW w:w="1905" w:type="dxa"/>
            <w:tcBorders>
              <w:top w:val="nil"/>
              <w:left w:val="nil"/>
              <w:bottom w:val="nil"/>
              <w:right w:val="nil"/>
            </w:tcBorders>
            <w:shd w:val="clear" w:color="auto" w:fill="FFFFFF"/>
            <w:tcMar>
              <w:top w:w="0" w:type="dxa"/>
              <w:left w:w="53" w:type="dxa"/>
              <w:bottom w:w="0" w:type="dxa"/>
              <w:right w:w="53" w:type="dxa"/>
            </w:tcMar>
            <w:vAlign w:val="center"/>
          </w:tcPr>
          <w:p w14:paraId="5DF23A22" w14:textId="77777777" w:rsidR="001614AC" w:rsidRDefault="004468F9">
            <w:pPr>
              <w:spacing w:line="288" w:lineRule="auto"/>
            </w:pPr>
            <w:r>
              <w:rPr>
                <w:rFonts w:ascii="Arial" w:eastAsia="Arial" w:hAnsi="Arial" w:cs="Arial"/>
                <w:color w:val="000000"/>
                <w:sz w:val="18"/>
              </w:rPr>
              <w:t>SOFR</w:t>
            </w:r>
          </w:p>
        </w:tc>
        <w:tc>
          <w:tcPr>
            <w:tcW w:w="8175" w:type="dxa"/>
            <w:tcBorders>
              <w:top w:val="nil"/>
              <w:left w:val="nil"/>
              <w:bottom w:val="nil"/>
              <w:right w:val="nil"/>
            </w:tcBorders>
            <w:shd w:val="clear" w:color="auto" w:fill="FFFFFF"/>
            <w:tcMar>
              <w:top w:w="0" w:type="dxa"/>
              <w:left w:w="53" w:type="dxa"/>
              <w:bottom w:w="0" w:type="dxa"/>
              <w:right w:w="53" w:type="dxa"/>
            </w:tcMar>
            <w:vAlign w:val="center"/>
          </w:tcPr>
          <w:p w14:paraId="30AD0C49" w14:textId="77777777" w:rsidR="001614AC" w:rsidRDefault="004468F9">
            <w:pPr>
              <w:spacing w:line="288" w:lineRule="auto"/>
              <w:ind w:left="90"/>
            </w:pPr>
            <w:r>
              <w:rPr>
                <w:rFonts w:ascii="Arial" w:eastAsia="Arial" w:hAnsi="Arial" w:cs="Arial"/>
                <w:color w:val="000000"/>
                <w:sz w:val="18"/>
              </w:rPr>
              <w:t>Secured Overnight Financing Rate</w:t>
            </w:r>
          </w:p>
        </w:tc>
      </w:tr>
      <w:tr w:rsidR="001614AC" w14:paraId="7CC22D6C" w14:textId="77777777">
        <w:trPr>
          <w:cantSplit/>
        </w:trPr>
        <w:tc>
          <w:tcPr>
            <w:tcW w:w="1905" w:type="dxa"/>
            <w:tcBorders>
              <w:top w:val="nil"/>
              <w:left w:val="nil"/>
              <w:bottom w:val="nil"/>
              <w:right w:val="nil"/>
            </w:tcBorders>
            <w:shd w:val="clear" w:color="auto" w:fill="F4F4F4"/>
            <w:tcMar>
              <w:top w:w="0" w:type="dxa"/>
              <w:left w:w="53" w:type="dxa"/>
              <w:bottom w:w="0" w:type="dxa"/>
              <w:right w:w="53" w:type="dxa"/>
            </w:tcMar>
            <w:vAlign w:val="center"/>
          </w:tcPr>
          <w:p w14:paraId="6508B089" w14:textId="77777777" w:rsidR="001614AC" w:rsidRDefault="004468F9">
            <w:pPr>
              <w:spacing w:line="288" w:lineRule="auto"/>
            </w:pPr>
            <w:r>
              <w:rPr>
                <w:rFonts w:ascii="Arial" w:eastAsia="Arial" w:hAnsi="Arial" w:cs="Arial"/>
                <w:color w:val="000000"/>
                <w:sz w:val="18"/>
              </w:rPr>
              <w:t>Stage of Default</w:t>
            </w:r>
          </w:p>
        </w:tc>
        <w:tc>
          <w:tcPr>
            <w:tcW w:w="8175" w:type="dxa"/>
            <w:tcBorders>
              <w:top w:val="nil"/>
              <w:left w:val="nil"/>
              <w:bottom w:val="nil"/>
              <w:right w:val="nil"/>
            </w:tcBorders>
            <w:shd w:val="clear" w:color="auto" w:fill="F4F4F4"/>
            <w:tcMar>
              <w:top w:w="0" w:type="dxa"/>
              <w:left w:w="53" w:type="dxa"/>
              <w:bottom w:w="0" w:type="dxa"/>
              <w:right w:w="53" w:type="dxa"/>
            </w:tcMar>
            <w:vAlign w:val="center"/>
          </w:tcPr>
          <w:p w14:paraId="19696E89" w14:textId="77777777" w:rsidR="001614AC" w:rsidRDefault="004468F9">
            <w:pPr>
              <w:spacing w:line="288" w:lineRule="auto"/>
              <w:ind w:left="90"/>
            </w:pPr>
            <w:r>
              <w:rPr>
                <w:rFonts w:ascii="Arial" w:eastAsia="Arial" w:hAnsi="Arial" w:cs="Arial"/>
                <w:color w:val="000000"/>
                <w:sz w:val="18"/>
              </w:rPr>
              <w:t>The stage a loan is in relative to the foreclosure process, based on whether a foreclosure sale has been scheduled or held</w:t>
            </w:r>
          </w:p>
        </w:tc>
      </w:tr>
      <w:tr w:rsidR="001614AC" w14:paraId="5F2D4F5C" w14:textId="77777777">
        <w:trPr>
          <w:cantSplit/>
        </w:trPr>
        <w:tc>
          <w:tcPr>
            <w:tcW w:w="1905" w:type="dxa"/>
            <w:tcBorders>
              <w:top w:val="nil"/>
              <w:left w:val="nil"/>
              <w:bottom w:val="nil"/>
              <w:right w:val="nil"/>
            </w:tcBorders>
            <w:shd w:val="clear" w:color="auto" w:fill="FFFFFF"/>
            <w:tcMar>
              <w:top w:w="0" w:type="dxa"/>
              <w:left w:w="53" w:type="dxa"/>
              <w:bottom w:w="0" w:type="dxa"/>
              <w:right w:w="53" w:type="dxa"/>
            </w:tcMar>
            <w:vAlign w:val="center"/>
          </w:tcPr>
          <w:p w14:paraId="40557628" w14:textId="77777777" w:rsidR="001614AC" w:rsidRDefault="004468F9">
            <w:pPr>
              <w:spacing w:line="288" w:lineRule="auto"/>
            </w:pPr>
            <w:r>
              <w:rPr>
                <w:rFonts w:ascii="Arial" w:eastAsia="Arial" w:hAnsi="Arial" w:cs="Arial"/>
                <w:color w:val="000000"/>
                <w:sz w:val="18"/>
              </w:rPr>
              <w:t>Statutory RBC Requirement</w:t>
            </w:r>
          </w:p>
        </w:tc>
        <w:tc>
          <w:tcPr>
            <w:tcW w:w="8175" w:type="dxa"/>
            <w:tcBorders>
              <w:top w:val="nil"/>
              <w:left w:val="nil"/>
              <w:bottom w:val="nil"/>
              <w:right w:val="nil"/>
            </w:tcBorders>
            <w:shd w:val="clear" w:color="auto" w:fill="FFFFFF"/>
            <w:tcMar>
              <w:top w:w="0" w:type="dxa"/>
              <w:left w:w="53" w:type="dxa"/>
              <w:bottom w:w="0" w:type="dxa"/>
              <w:right w:w="53" w:type="dxa"/>
            </w:tcMar>
            <w:vAlign w:val="center"/>
          </w:tcPr>
          <w:p w14:paraId="29A2A1FE" w14:textId="77777777" w:rsidR="001614AC" w:rsidRDefault="004468F9">
            <w:pPr>
              <w:spacing w:line="288" w:lineRule="auto"/>
              <w:ind w:left="90"/>
            </w:pPr>
            <w:r>
              <w:rPr>
                <w:rFonts w:ascii="Arial" w:eastAsia="Arial" w:hAnsi="Arial" w:cs="Arial"/>
                <w:color w:val="000000"/>
                <w:sz w:val="18"/>
              </w:rPr>
              <w:t xml:space="preserve">Risk-based capital </w:t>
            </w:r>
            <w:r>
              <w:rPr>
                <w:rFonts w:ascii="Arial" w:eastAsia="Arial" w:hAnsi="Arial" w:cs="Arial"/>
                <w:color w:val="000000"/>
                <w:sz w:val="18"/>
              </w:rPr>
              <w:t>requirement imposed by the RBC States, requiring a minimum surplus level and, in certain states, a minimum ratio of statutory capital relative to the level of risk</w:t>
            </w:r>
          </w:p>
        </w:tc>
      </w:tr>
      <w:tr w:rsidR="001614AC" w14:paraId="6E0696E3" w14:textId="77777777">
        <w:trPr>
          <w:cantSplit/>
        </w:trPr>
        <w:tc>
          <w:tcPr>
            <w:tcW w:w="1905" w:type="dxa"/>
            <w:tcBorders>
              <w:top w:val="nil"/>
              <w:left w:val="nil"/>
              <w:bottom w:val="nil"/>
              <w:right w:val="nil"/>
            </w:tcBorders>
            <w:shd w:val="clear" w:color="auto" w:fill="F4F4F4"/>
            <w:tcMar>
              <w:top w:w="0" w:type="dxa"/>
              <w:left w:w="53" w:type="dxa"/>
              <w:bottom w:w="0" w:type="dxa"/>
              <w:right w:w="53" w:type="dxa"/>
            </w:tcMar>
            <w:vAlign w:val="center"/>
          </w:tcPr>
          <w:p w14:paraId="684A5E33" w14:textId="77777777" w:rsidR="001614AC" w:rsidRDefault="004468F9">
            <w:pPr>
              <w:spacing w:line="288" w:lineRule="auto"/>
            </w:pPr>
            <w:r>
              <w:rPr>
                <w:rFonts w:ascii="Arial" w:eastAsia="Arial" w:hAnsi="Arial" w:cs="Arial"/>
                <w:color w:val="000000"/>
                <w:sz w:val="18"/>
              </w:rPr>
              <w:t>Time in Default</w:t>
            </w:r>
          </w:p>
        </w:tc>
        <w:tc>
          <w:tcPr>
            <w:tcW w:w="8175" w:type="dxa"/>
            <w:tcBorders>
              <w:top w:val="nil"/>
              <w:left w:val="nil"/>
              <w:bottom w:val="nil"/>
              <w:right w:val="nil"/>
            </w:tcBorders>
            <w:shd w:val="clear" w:color="auto" w:fill="F4F4F4"/>
            <w:tcMar>
              <w:top w:w="0" w:type="dxa"/>
              <w:left w:w="53" w:type="dxa"/>
              <w:bottom w:w="0" w:type="dxa"/>
              <w:right w:w="53" w:type="dxa"/>
            </w:tcMar>
            <w:vAlign w:val="center"/>
          </w:tcPr>
          <w:p w14:paraId="080CCC4F" w14:textId="77777777" w:rsidR="001614AC" w:rsidRDefault="004468F9">
            <w:pPr>
              <w:spacing w:line="288" w:lineRule="auto"/>
              <w:ind w:left="90"/>
            </w:pPr>
            <w:r>
              <w:rPr>
                <w:rFonts w:ascii="Arial" w:eastAsia="Arial" w:hAnsi="Arial" w:cs="Arial"/>
                <w:color w:val="000000"/>
                <w:sz w:val="18"/>
              </w:rPr>
              <w:t xml:space="preserve">The time period from the point a loan reaches default status (based on </w:t>
            </w:r>
            <w:r>
              <w:rPr>
                <w:rFonts w:ascii="Arial" w:eastAsia="Arial" w:hAnsi="Arial" w:cs="Arial"/>
                <w:color w:val="000000"/>
                <w:sz w:val="18"/>
              </w:rPr>
              <w:t>the month the default occurred) to the current reporting date</w:t>
            </w:r>
          </w:p>
        </w:tc>
      </w:tr>
      <w:tr w:rsidR="001614AC" w14:paraId="206E78DC" w14:textId="77777777">
        <w:trPr>
          <w:cantSplit/>
        </w:trPr>
        <w:tc>
          <w:tcPr>
            <w:tcW w:w="1905" w:type="dxa"/>
            <w:tcBorders>
              <w:top w:val="nil"/>
              <w:left w:val="nil"/>
              <w:bottom w:val="nil"/>
              <w:right w:val="nil"/>
            </w:tcBorders>
            <w:shd w:val="clear" w:color="auto" w:fill="FFFFFF"/>
            <w:tcMar>
              <w:top w:w="0" w:type="dxa"/>
              <w:left w:w="53" w:type="dxa"/>
              <w:bottom w:w="0" w:type="dxa"/>
              <w:right w:w="53" w:type="dxa"/>
            </w:tcMar>
            <w:vAlign w:val="center"/>
          </w:tcPr>
          <w:p w14:paraId="0DD77868" w14:textId="77777777" w:rsidR="001614AC" w:rsidRDefault="004468F9">
            <w:pPr>
              <w:spacing w:line="288" w:lineRule="auto"/>
            </w:pPr>
            <w:r>
              <w:rPr>
                <w:rFonts w:ascii="Arial" w:eastAsia="Arial" w:hAnsi="Arial" w:cs="Arial"/>
                <w:color w:val="000000"/>
                <w:sz w:val="18"/>
              </w:rPr>
              <w:t>VIE</w:t>
            </w:r>
          </w:p>
        </w:tc>
        <w:tc>
          <w:tcPr>
            <w:tcW w:w="8175" w:type="dxa"/>
            <w:tcBorders>
              <w:top w:val="nil"/>
              <w:left w:val="nil"/>
              <w:bottom w:val="nil"/>
              <w:right w:val="nil"/>
            </w:tcBorders>
            <w:shd w:val="clear" w:color="auto" w:fill="FFFFFF"/>
            <w:tcMar>
              <w:top w:w="0" w:type="dxa"/>
              <w:left w:w="53" w:type="dxa"/>
              <w:bottom w:w="0" w:type="dxa"/>
              <w:right w:w="53" w:type="dxa"/>
            </w:tcMar>
            <w:vAlign w:val="center"/>
          </w:tcPr>
          <w:p w14:paraId="1E32DDAA" w14:textId="77777777" w:rsidR="001614AC" w:rsidRDefault="004468F9">
            <w:pPr>
              <w:spacing w:line="288" w:lineRule="auto"/>
              <w:ind w:left="90"/>
            </w:pPr>
            <w:r>
              <w:rPr>
                <w:rFonts w:ascii="Arial" w:eastAsia="Arial" w:hAnsi="Arial" w:cs="Arial"/>
                <w:color w:val="000000"/>
                <w:sz w:val="18"/>
              </w:rPr>
              <w:t>Variable interest entity</w:t>
            </w:r>
          </w:p>
        </w:tc>
      </w:tr>
    </w:tbl>
    <w:p w14:paraId="491F48F1" w14:textId="77777777" w:rsidR="001614AC" w:rsidRDefault="001614AC">
      <w:pPr>
        <w:keepLines/>
        <w:widowControl w:val="0"/>
        <w:spacing w:line="288" w:lineRule="auto"/>
        <w:rPr>
          <w:rFonts w:ascii="Arial" w:eastAsia="Arial" w:hAnsi="Arial" w:cs="Arial"/>
          <w:sz w:val="18"/>
        </w:rPr>
      </w:pPr>
    </w:p>
    <w:p w14:paraId="503E2828" w14:textId="77777777" w:rsidR="001614AC" w:rsidRDefault="001614AC">
      <w:pPr>
        <w:keepLines/>
        <w:widowControl w:val="0"/>
        <w:spacing w:line="288" w:lineRule="auto"/>
        <w:rPr>
          <w:rFonts w:ascii="Arial" w:eastAsia="Arial" w:hAnsi="Arial" w:cs="Arial"/>
          <w:sz w:val="18"/>
        </w:rPr>
        <w:sectPr w:rsidR="001614AC">
          <w:headerReference w:type="default" r:id="rId12"/>
          <w:pgSz w:w="12240" w:h="15840"/>
          <w:pgMar w:top="990" w:right="1080" w:bottom="1080" w:left="1080" w:header="270" w:footer="270" w:gutter="0"/>
          <w:cols w:space="708"/>
        </w:sectPr>
      </w:pPr>
    </w:p>
    <w:p w14:paraId="7B9761DE" w14:textId="77777777" w:rsidR="001614AC" w:rsidRDefault="004468F9">
      <w:pPr>
        <w:spacing w:after="160" w:line="288" w:lineRule="auto"/>
        <w:outlineLvl w:val="0"/>
        <w:rPr>
          <w:rFonts w:ascii="Arial" w:eastAsia="Arial" w:hAnsi="Arial" w:cs="Arial"/>
          <w:b/>
          <w:color w:val="4D6B80"/>
          <w:sz w:val="30"/>
        </w:rPr>
      </w:pPr>
      <w:bookmarkStart w:id="3" w:name="Section4"/>
      <w:bookmarkEnd w:id="3"/>
      <w:r>
        <w:rPr>
          <w:rFonts w:ascii="Arial" w:eastAsia="Arial" w:hAnsi="Arial" w:cs="Arial"/>
          <w:b/>
          <w:color w:val="4D6B80"/>
          <w:sz w:val="30"/>
        </w:rPr>
        <w:lastRenderedPageBreak/>
        <w:t>Cautionary Note Regarding Forward-Looking Statements</w:t>
      </w:r>
      <w:r>
        <w:rPr>
          <w:rFonts w:ascii="Arial" w:eastAsia="Arial" w:hAnsi="Arial" w:cs="Arial"/>
          <w:b/>
          <w:color w:val="4D6B80"/>
          <w:sz w:val="30"/>
        </w:rPr>
        <w:br/>
      </w:r>
      <w:r>
        <w:rPr>
          <w:rFonts w:ascii="Arial" w:eastAsia="Arial" w:hAnsi="Arial" w:cs="Arial"/>
          <w:b/>
          <w:color w:val="4D6B80"/>
          <w:sz w:val="30"/>
        </w:rPr>
        <w:t xml:space="preserve">—Safe Harbor Provisions </w:t>
      </w:r>
    </w:p>
    <w:p w14:paraId="79926B98" w14:textId="77777777" w:rsidR="001614AC" w:rsidRDefault="004468F9">
      <w:pPr>
        <w:spacing w:before="100" w:after="100" w:line="288" w:lineRule="auto"/>
        <w:ind w:firstLine="450"/>
        <w:rPr>
          <w:rFonts w:ascii="Arial" w:eastAsia="Arial" w:hAnsi="Arial" w:cs="Arial"/>
          <w:sz w:val="18"/>
        </w:rPr>
      </w:pPr>
      <w:r>
        <w:rPr>
          <w:rFonts w:ascii="Arial" w:eastAsia="Arial" w:hAnsi="Arial" w:cs="Arial"/>
          <w:sz w:val="18"/>
        </w:rPr>
        <w:t>All statements in this report that address events, developments or results that we expect or anticipate may occur in the future are “forward-looking statements” within the meaning of Section 27A of the Securities Act, Section 21E o</w:t>
      </w:r>
      <w:r>
        <w:rPr>
          <w:rFonts w:ascii="Arial" w:eastAsia="Arial" w:hAnsi="Arial" w:cs="Arial"/>
          <w:sz w:val="18"/>
        </w:rPr>
        <w:t>f the Exchange Act and the Private Securities Litigation Reform Act of 1995. In most cases, forward-looking statements may be identified by words such as “anticipate,” “may,” “will,” “could,” “should,” “would,” “expect,” “intend,” “plan,” “goal,” “contempl</w:t>
      </w:r>
      <w:r>
        <w:rPr>
          <w:rFonts w:ascii="Arial" w:eastAsia="Arial" w:hAnsi="Arial" w:cs="Arial"/>
          <w:sz w:val="18"/>
        </w:rPr>
        <w:t>ate,” “believe,” “estimate,” “predict,” “project,” “potential,” “continue,” “seek,” “strategy,” “future,” “likely” or the negative or other variations on these words and other similar expressions. These statements, which may include, without limitation, pr</w:t>
      </w:r>
      <w:r>
        <w:rPr>
          <w:rFonts w:ascii="Arial" w:eastAsia="Arial" w:hAnsi="Arial" w:cs="Arial"/>
          <w:sz w:val="18"/>
        </w:rPr>
        <w:t>ojections regarding our future performance and financial condition, are made on the basis of management’s current views and assumptions with respect to future events, including management’s current views regarding the likely impacts of the COVID-19 pandemi</w:t>
      </w:r>
      <w:r>
        <w:rPr>
          <w:rFonts w:ascii="Arial" w:eastAsia="Arial" w:hAnsi="Arial" w:cs="Arial"/>
          <w:sz w:val="18"/>
        </w:rPr>
        <w:t xml:space="preserve">c. These statements speak only as of the date they were made, and we undertake no obligation to update or revise any forward-looking statements, whether as a result of new information, future events or otherwise. We operate in a changing environment where </w:t>
      </w:r>
      <w:r>
        <w:rPr>
          <w:rFonts w:ascii="Arial" w:eastAsia="Arial" w:hAnsi="Arial" w:cs="Arial"/>
          <w:sz w:val="18"/>
        </w:rPr>
        <w:t xml:space="preserve">new risks emerge from time to time and it is not possible for us to predict all risks that may affect us, particularly those associated with the COVID-19 pandemic, which has had wide-ranging and continually evolving effects. The forward-looking statements </w:t>
      </w:r>
      <w:r>
        <w:rPr>
          <w:rFonts w:ascii="Arial" w:eastAsia="Arial" w:hAnsi="Arial" w:cs="Arial"/>
          <w:sz w:val="18"/>
        </w:rPr>
        <w:t>are not guarantees of future performance, and the forward-looking statements, as well as our prospects as a whole, are subject to risks and uncertainties that could cause actual results to differ materially from those set forth in the forward-looking state</w:t>
      </w:r>
      <w:r>
        <w:rPr>
          <w:rFonts w:ascii="Arial" w:eastAsia="Arial" w:hAnsi="Arial" w:cs="Arial"/>
          <w:sz w:val="18"/>
        </w:rPr>
        <w:t>ments. These risks and uncertainties include, without limitation:</w:t>
      </w:r>
    </w:p>
    <w:p w14:paraId="0136A06E" w14:textId="77777777" w:rsidR="001614AC" w:rsidRDefault="004468F9" w:rsidP="004468F9">
      <w:pPr>
        <w:numPr>
          <w:ilvl w:val="0"/>
          <w:numId w:val="2"/>
        </w:numPr>
        <w:spacing w:before="100" w:after="100" w:line="288" w:lineRule="auto"/>
        <w:ind w:left="360"/>
        <w:rPr>
          <w:rFonts w:ascii="Arial" w:eastAsia="Arial" w:hAnsi="Arial" w:cs="Arial"/>
          <w:color w:val="668092"/>
          <w:sz w:val="18"/>
        </w:rPr>
      </w:pPr>
      <w:r>
        <w:rPr>
          <w:rFonts w:ascii="Arial" w:eastAsia="Arial" w:hAnsi="Arial" w:cs="Arial"/>
          <w:sz w:val="18"/>
        </w:rPr>
        <w:t>the COVID-19 pandemic, which has caused significant economic disruption, high unemployment, periods of volatility and disruption in financial markets, and required adjustments in the housing</w:t>
      </w:r>
      <w:r>
        <w:rPr>
          <w:rFonts w:ascii="Arial" w:eastAsia="Arial" w:hAnsi="Arial" w:cs="Arial"/>
          <w:sz w:val="18"/>
        </w:rPr>
        <w:t xml:space="preserve"> finance system and real estate markets. The COVID-19 pandemic has adversely impacted our businesses, and we expect that the COVID-19 pandemic could further impact our business and subject us to certain risks, including those discussed in “Item 1A. Risk Fa</w:t>
      </w:r>
      <w:r>
        <w:rPr>
          <w:rFonts w:ascii="Arial" w:eastAsia="Arial" w:hAnsi="Arial" w:cs="Arial"/>
          <w:sz w:val="18"/>
        </w:rPr>
        <w:t>ctors—</w:t>
      </w:r>
      <w:r>
        <w:rPr>
          <w:rFonts w:ascii="Arial" w:eastAsia="Arial" w:hAnsi="Arial" w:cs="Arial"/>
          <w:i/>
          <w:sz w:val="18"/>
        </w:rPr>
        <w:t>The COVID-19 pandemic has adversely impacted us, and its ultimate impact on our business and financial results will depend on future developments, which are highly uncertain and cannot be predicted, including the scope, severity and duration of the p</w:t>
      </w:r>
      <w:r>
        <w:rPr>
          <w:rFonts w:ascii="Arial" w:eastAsia="Arial" w:hAnsi="Arial" w:cs="Arial"/>
          <w:i/>
          <w:sz w:val="18"/>
        </w:rPr>
        <w:t>andemic and actions taken by governmental authorities in response to the pandemic</w:t>
      </w:r>
      <w:r>
        <w:rPr>
          <w:rFonts w:ascii="Arial" w:eastAsia="Arial" w:hAnsi="Arial" w:cs="Arial"/>
          <w:sz w:val="18"/>
        </w:rPr>
        <w:t>” and the other risk factors in our 2020 Form 10-K;</w:t>
      </w:r>
    </w:p>
    <w:p w14:paraId="27B55954" w14:textId="77777777" w:rsidR="001614AC" w:rsidRDefault="004468F9" w:rsidP="004468F9">
      <w:pPr>
        <w:numPr>
          <w:ilvl w:val="0"/>
          <w:numId w:val="3"/>
        </w:numPr>
        <w:spacing w:before="100" w:after="100" w:line="288" w:lineRule="auto"/>
        <w:ind w:left="360"/>
        <w:rPr>
          <w:rFonts w:ascii="Arial" w:eastAsia="Arial" w:hAnsi="Arial" w:cs="Arial"/>
          <w:color w:val="668092"/>
          <w:sz w:val="18"/>
        </w:rPr>
      </w:pPr>
      <w:r>
        <w:rPr>
          <w:rFonts w:ascii="Arial" w:eastAsia="Arial" w:hAnsi="Arial" w:cs="Arial"/>
          <w:sz w:val="18"/>
        </w:rPr>
        <w:t>changes in economic and political conditions that impact the size of the insurable market, the credit performance of our in</w:t>
      </w:r>
      <w:r>
        <w:rPr>
          <w:rFonts w:ascii="Arial" w:eastAsia="Arial" w:hAnsi="Arial" w:cs="Arial"/>
          <w:sz w:val="18"/>
        </w:rPr>
        <w:t>sured portfolio, and our business prospects;</w:t>
      </w:r>
    </w:p>
    <w:p w14:paraId="7330BC49" w14:textId="77777777" w:rsidR="001614AC" w:rsidRDefault="004468F9" w:rsidP="004468F9">
      <w:pPr>
        <w:numPr>
          <w:ilvl w:val="0"/>
          <w:numId w:val="4"/>
        </w:numPr>
        <w:spacing w:before="100" w:after="100" w:line="288" w:lineRule="auto"/>
        <w:ind w:left="360"/>
        <w:rPr>
          <w:rFonts w:ascii="Arial" w:eastAsia="Arial" w:hAnsi="Arial" w:cs="Arial"/>
          <w:color w:val="668092"/>
          <w:sz w:val="18"/>
        </w:rPr>
      </w:pPr>
      <w:r>
        <w:rPr>
          <w:rFonts w:ascii="Arial" w:eastAsia="Arial" w:hAnsi="Arial" w:cs="Arial"/>
          <w:sz w:val="18"/>
        </w:rPr>
        <w:t>changes in the way customers, investors, ratings agencies, regulators or legislators perceive our performance, financial strength and future prospects;</w:t>
      </w:r>
    </w:p>
    <w:p w14:paraId="2FB440E2" w14:textId="77777777" w:rsidR="001614AC" w:rsidRDefault="004468F9" w:rsidP="004468F9">
      <w:pPr>
        <w:numPr>
          <w:ilvl w:val="0"/>
          <w:numId w:val="4"/>
        </w:numPr>
        <w:spacing w:before="100" w:after="100" w:line="288" w:lineRule="auto"/>
        <w:ind w:left="360"/>
        <w:rPr>
          <w:rFonts w:ascii="Arial" w:eastAsia="Arial" w:hAnsi="Arial" w:cs="Arial"/>
          <w:color w:val="668092"/>
          <w:sz w:val="18"/>
        </w:rPr>
      </w:pPr>
      <w:r>
        <w:rPr>
          <w:rFonts w:ascii="Arial" w:eastAsia="Arial" w:hAnsi="Arial" w:cs="Arial"/>
          <w:sz w:val="18"/>
        </w:rPr>
        <w:t xml:space="preserve">Radian Guaranty’s ability to remain eligible under the PMIERs and other applicable requirements imposed by the FHFA and by the GSEs to insure loans purchased by the GSEs; </w:t>
      </w:r>
    </w:p>
    <w:p w14:paraId="3129DFD1" w14:textId="77777777" w:rsidR="001614AC" w:rsidRDefault="004468F9" w:rsidP="004468F9">
      <w:pPr>
        <w:numPr>
          <w:ilvl w:val="0"/>
          <w:numId w:val="4"/>
        </w:numPr>
        <w:spacing w:before="100" w:after="100" w:line="288" w:lineRule="auto"/>
        <w:ind w:left="360"/>
        <w:rPr>
          <w:rFonts w:ascii="Arial" w:eastAsia="Arial" w:hAnsi="Arial" w:cs="Arial"/>
          <w:color w:val="668092"/>
          <w:sz w:val="18"/>
        </w:rPr>
      </w:pPr>
      <w:r>
        <w:rPr>
          <w:rFonts w:ascii="Arial" w:eastAsia="Arial" w:hAnsi="Arial" w:cs="Arial"/>
          <w:sz w:val="18"/>
        </w:rPr>
        <w:t>our ability to maintain an adequate level of capital in our insurance subsidiaries t</w:t>
      </w:r>
      <w:r>
        <w:rPr>
          <w:rFonts w:ascii="Arial" w:eastAsia="Arial" w:hAnsi="Arial" w:cs="Arial"/>
          <w:sz w:val="18"/>
        </w:rPr>
        <w:t>o satisfy existing and future regulatory requirements, including the PMIERs and any changes thereto, such as the application of the COVID-19 Amendment, and potential changes to the Model Act currently under consideration;</w:t>
      </w:r>
    </w:p>
    <w:p w14:paraId="2E7C13DE" w14:textId="77777777" w:rsidR="001614AC" w:rsidRDefault="004468F9" w:rsidP="004468F9">
      <w:pPr>
        <w:numPr>
          <w:ilvl w:val="0"/>
          <w:numId w:val="4"/>
        </w:numPr>
        <w:spacing w:before="100" w:after="100" w:line="288" w:lineRule="auto"/>
        <w:ind w:left="360"/>
        <w:rPr>
          <w:rFonts w:ascii="Arial" w:eastAsia="Arial" w:hAnsi="Arial" w:cs="Arial"/>
          <w:color w:val="668092"/>
          <w:sz w:val="18"/>
        </w:rPr>
      </w:pPr>
      <w:r>
        <w:rPr>
          <w:rFonts w:ascii="Arial" w:eastAsia="Arial" w:hAnsi="Arial" w:cs="Arial"/>
          <w:sz w:val="18"/>
        </w:rPr>
        <w:t>changes in the charters or business practices of, or rules or regulations imposed by or applicable to, the GSEs, which may include changes in response to the COVID-19 pandemic, changes in the requirements for Radian Guaranty to remain an approved insurer t</w:t>
      </w:r>
      <w:r>
        <w:rPr>
          <w:rFonts w:ascii="Arial" w:eastAsia="Arial" w:hAnsi="Arial" w:cs="Arial"/>
          <w:sz w:val="18"/>
        </w:rPr>
        <w:t>o the GSEs, changes in the GSEs’ interpretation and application of the PMIERs, or changes impacting loans purchased by the GSEs;</w:t>
      </w:r>
    </w:p>
    <w:p w14:paraId="6912F54D" w14:textId="77777777" w:rsidR="001614AC" w:rsidRDefault="004468F9" w:rsidP="004468F9">
      <w:pPr>
        <w:numPr>
          <w:ilvl w:val="0"/>
          <w:numId w:val="5"/>
        </w:numPr>
        <w:spacing w:before="100" w:after="100" w:line="288" w:lineRule="auto"/>
        <w:ind w:left="360"/>
        <w:rPr>
          <w:rFonts w:ascii="Arial" w:eastAsia="Arial" w:hAnsi="Arial" w:cs="Arial"/>
          <w:color w:val="668092"/>
          <w:sz w:val="18"/>
        </w:rPr>
      </w:pPr>
      <w:r>
        <w:rPr>
          <w:rFonts w:ascii="Arial" w:eastAsia="Arial" w:hAnsi="Arial" w:cs="Arial"/>
          <w:sz w:val="18"/>
        </w:rPr>
        <w:t>the effects of the Enterprise Regulatory Capital Framework which was finalized by the FHFA in December 2020 and which, among ot</w:t>
      </w:r>
      <w:r>
        <w:rPr>
          <w:rFonts w:ascii="Arial" w:eastAsia="Arial" w:hAnsi="Arial" w:cs="Arial"/>
          <w:sz w:val="18"/>
        </w:rPr>
        <w:t xml:space="preserve">her things, increases the capital requirements for the GSEs and reduces the credit they receive for risk transfer, which could impact their operations and pricing as well as the size of the insurable mortgage insurance market, and which may form the basis </w:t>
      </w:r>
      <w:r>
        <w:rPr>
          <w:rFonts w:ascii="Arial" w:eastAsia="Arial" w:hAnsi="Arial" w:cs="Arial"/>
          <w:sz w:val="18"/>
        </w:rPr>
        <w:t xml:space="preserve">for future versions of the PMIERs; </w:t>
      </w:r>
    </w:p>
    <w:p w14:paraId="17597A05" w14:textId="77777777" w:rsidR="001614AC" w:rsidRDefault="004468F9" w:rsidP="004468F9">
      <w:pPr>
        <w:numPr>
          <w:ilvl w:val="0"/>
          <w:numId w:val="5"/>
        </w:numPr>
        <w:spacing w:before="100" w:after="100" w:line="288" w:lineRule="auto"/>
        <w:ind w:left="360"/>
        <w:rPr>
          <w:rFonts w:ascii="Arial" w:eastAsia="Arial" w:hAnsi="Arial" w:cs="Arial"/>
          <w:color w:val="668092"/>
          <w:sz w:val="18"/>
        </w:rPr>
      </w:pPr>
      <w:r>
        <w:rPr>
          <w:rFonts w:ascii="Arial" w:eastAsia="Arial" w:hAnsi="Arial" w:cs="Arial"/>
          <w:sz w:val="18"/>
        </w:rPr>
        <w:t>changes in the current housing finance system in the United States, including the roles of the FHA, the GSEs and private mortgage insurers in this system;</w:t>
      </w:r>
    </w:p>
    <w:p w14:paraId="5EAACCA2" w14:textId="77777777" w:rsidR="001614AC" w:rsidRDefault="004468F9" w:rsidP="004468F9">
      <w:pPr>
        <w:numPr>
          <w:ilvl w:val="0"/>
          <w:numId w:val="5"/>
        </w:numPr>
        <w:spacing w:before="100" w:after="100" w:line="288" w:lineRule="auto"/>
        <w:ind w:left="360"/>
        <w:rPr>
          <w:rFonts w:ascii="Arial" w:eastAsia="Arial" w:hAnsi="Arial" w:cs="Arial"/>
          <w:color w:val="668092"/>
          <w:sz w:val="18"/>
        </w:rPr>
      </w:pPr>
      <w:r>
        <w:rPr>
          <w:rFonts w:ascii="Arial" w:eastAsia="Arial" w:hAnsi="Arial" w:cs="Arial"/>
          <w:sz w:val="18"/>
        </w:rPr>
        <w:t>our ability to successfully execute and implement our capital pla</w:t>
      </w:r>
      <w:r>
        <w:rPr>
          <w:rFonts w:ascii="Arial" w:eastAsia="Arial" w:hAnsi="Arial" w:cs="Arial"/>
          <w:sz w:val="18"/>
        </w:rPr>
        <w:t>ns, including our risk distribution strategy through the capital markets and reinsurance markets, and to maintain sufficient holding company liquidity to meet our liquidity needs;</w:t>
      </w:r>
    </w:p>
    <w:p w14:paraId="5979533E" w14:textId="77777777" w:rsidR="001614AC" w:rsidRDefault="004468F9" w:rsidP="004468F9">
      <w:pPr>
        <w:numPr>
          <w:ilvl w:val="0"/>
          <w:numId w:val="5"/>
        </w:numPr>
        <w:spacing w:before="100" w:after="100" w:line="288" w:lineRule="auto"/>
        <w:ind w:left="360"/>
        <w:rPr>
          <w:rFonts w:ascii="Arial" w:eastAsia="Arial" w:hAnsi="Arial" w:cs="Arial"/>
          <w:color w:val="668092"/>
          <w:sz w:val="18"/>
        </w:rPr>
      </w:pPr>
      <w:r>
        <w:rPr>
          <w:rFonts w:ascii="Arial" w:eastAsia="Arial" w:hAnsi="Arial" w:cs="Arial"/>
          <w:sz w:val="18"/>
        </w:rPr>
        <w:t>our ability to successfully execute and implement our business plans and str</w:t>
      </w:r>
      <w:r>
        <w:rPr>
          <w:rFonts w:ascii="Arial" w:eastAsia="Arial" w:hAnsi="Arial" w:cs="Arial"/>
          <w:sz w:val="18"/>
        </w:rPr>
        <w:t>ategies, including plans and strategies that require GSE and/or regulatory approvals and licenses or are subject to complex compliance requirements that we may be unable to satisfy, or that may expose us to new risks including those that could impact our c</w:t>
      </w:r>
      <w:r>
        <w:rPr>
          <w:rFonts w:ascii="Arial" w:eastAsia="Arial" w:hAnsi="Arial" w:cs="Arial"/>
          <w:sz w:val="18"/>
        </w:rPr>
        <w:t>apital and liquidity positions;</w:t>
      </w:r>
    </w:p>
    <w:p w14:paraId="1E7B5D0C" w14:textId="77777777" w:rsidR="001614AC" w:rsidRDefault="004468F9" w:rsidP="004468F9">
      <w:pPr>
        <w:numPr>
          <w:ilvl w:val="0"/>
          <w:numId w:val="6"/>
        </w:numPr>
        <w:spacing w:before="100" w:after="100" w:line="288" w:lineRule="auto"/>
        <w:ind w:left="360"/>
        <w:rPr>
          <w:rFonts w:ascii="Arial" w:eastAsia="Arial" w:hAnsi="Arial" w:cs="Arial"/>
          <w:color w:val="668092"/>
          <w:sz w:val="18"/>
        </w:rPr>
      </w:pPr>
      <w:r>
        <w:rPr>
          <w:rFonts w:ascii="Arial" w:eastAsia="Arial" w:hAnsi="Arial" w:cs="Arial"/>
          <w:sz w:val="18"/>
        </w:rPr>
        <w:t xml:space="preserve">uncertainty from the upcoming discontinuance of LIBOR and transition to one or more alternative benchmarks that could cause interest rate volatility and, among other things, impact our investment portfolio, cost of debt and </w:t>
      </w:r>
      <w:r>
        <w:rPr>
          <w:rFonts w:ascii="Arial" w:eastAsia="Arial" w:hAnsi="Arial" w:cs="Arial"/>
          <w:sz w:val="18"/>
        </w:rPr>
        <w:t>cost of reinsurance through mortgage insurance-linked notes transactions;</w:t>
      </w:r>
    </w:p>
    <w:p w14:paraId="7DAD61EF" w14:textId="77777777" w:rsidR="001614AC" w:rsidRDefault="004468F9" w:rsidP="004468F9">
      <w:pPr>
        <w:numPr>
          <w:ilvl w:val="0"/>
          <w:numId w:val="6"/>
        </w:numPr>
        <w:spacing w:before="100" w:after="100" w:line="288" w:lineRule="auto"/>
        <w:ind w:left="360"/>
        <w:rPr>
          <w:rFonts w:ascii="Arial" w:eastAsia="Arial" w:hAnsi="Arial" w:cs="Arial"/>
          <w:color w:val="668092"/>
          <w:sz w:val="18"/>
        </w:rPr>
      </w:pPr>
      <w:r>
        <w:rPr>
          <w:rFonts w:ascii="Arial" w:eastAsia="Arial" w:hAnsi="Arial" w:cs="Arial"/>
          <w:sz w:val="18"/>
        </w:rPr>
        <w:lastRenderedPageBreak/>
        <w:t xml:space="preserve">any disruption in the servicing of mortgages covered by our insurance policies, as well as poor servicer performance, which could be impacted by the burdens placed on many servicers </w:t>
      </w:r>
      <w:r>
        <w:rPr>
          <w:rFonts w:ascii="Arial" w:eastAsia="Arial" w:hAnsi="Arial" w:cs="Arial"/>
          <w:sz w:val="18"/>
        </w:rPr>
        <w:t>due to the COVID-19 pandemic;</w:t>
      </w:r>
    </w:p>
    <w:p w14:paraId="7F930016" w14:textId="77777777" w:rsidR="001614AC" w:rsidRDefault="004468F9" w:rsidP="004468F9">
      <w:pPr>
        <w:numPr>
          <w:ilvl w:val="0"/>
          <w:numId w:val="6"/>
        </w:numPr>
        <w:spacing w:before="100" w:after="100" w:line="288" w:lineRule="auto"/>
        <w:ind w:left="360"/>
        <w:rPr>
          <w:rFonts w:ascii="Arial" w:eastAsia="Arial" w:hAnsi="Arial" w:cs="Arial"/>
          <w:color w:val="668092"/>
          <w:sz w:val="18"/>
        </w:rPr>
      </w:pPr>
      <w:r>
        <w:rPr>
          <w:rFonts w:ascii="Arial" w:eastAsia="Arial" w:hAnsi="Arial" w:cs="Arial"/>
          <w:sz w:val="18"/>
        </w:rPr>
        <w:t>a decrease in the Persistency Rates of our mortgage insurance on Monthly Premium Policies;</w:t>
      </w:r>
    </w:p>
    <w:p w14:paraId="45774C58" w14:textId="77777777" w:rsidR="001614AC" w:rsidRDefault="004468F9" w:rsidP="004468F9">
      <w:pPr>
        <w:numPr>
          <w:ilvl w:val="0"/>
          <w:numId w:val="6"/>
        </w:numPr>
        <w:spacing w:before="100" w:after="100" w:line="288" w:lineRule="auto"/>
        <w:ind w:left="360"/>
        <w:rPr>
          <w:rFonts w:ascii="Arial" w:eastAsia="Arial" w:hAnsi="Arial" w:cs="Arial"/>
          <w:color w:val="668092"/>
          <w:sz w:val="18"/>
        </w:rPr>
      </w:pPr>
      <w:r>
        <w:rPr>
          <w:rFonts w:ascii="Arial" w:eastAsia="Arial" w:hAnsi="Arial" w:cs="Arial"/>
          <w:sz w:val="18"/>
        </w:rPr>
        <w:t>competition in the private mortgage insurance industry generally, and more specifically: price competition in our mortgage insurance bu</w:t>
      </w:r>
      <w:r>
        <w:rPr>
          <w:rFonts w:ascii="Arial" w:eastAsia="Arial" w:hAnsi="Arial" w:cs="Arial"/>
          <w:sz w:val="18"/>
        </w:rPr>
        <w:t>siness, including as a result of the increased use of loan-level pricing delivery methodologies that are less transparent than historical pricing practices; and competition from the FHA and the U.S. Department of Veterans Affairs as well as from other form</w:t>
      </w:r>
      <w:r>
        <w:rPr>
          <w:rFonts w:ascii="Arial" w:eastAsia="Arial" w:hAnsi="Arial" w:cs="Arial"/>
          <w:sz w:val="18"/>
        </w:rPr>
        <w:t>s of credit enhancement, such as GSE-sponsored alternatives to traditional mortgage insurance;</w:t>
      </w:r>
    </w:p>
    <w:p w14:paraId="0CB8ABA8" w14:textId="77777777" w:rsidR="001614AC" w:rsidRDefault="004468F9" w:rsidP="004468F9">
      <w:pPr>
        <w:numPr>
          <w:ilvl w:val="0"/>
          <w:numId w:val="6"/>
        </w:numPr>
        <w:spacing w:before="100" w:after="100" w:line="288" w:lineRule="auto"/>
        <w:ind w:left="360"/>
        <w:rPr>
          <w:rFonts w:ascii="Arial" w:eastAsia="Arial" w:hAnsi="Arial" w:cs="Arial"/>
          <w:color w:val="668092"/>
          <w:sz w:val="18"/>
        </w:rPr>
      </w:pPr>
      <w:r>
        <w:rPr>
          <w:rFonts w:ascii="Arial" w:eastAsia="Arial" w:hAnsi="Arial" w:cs="Arial"/>
          <w:sz w:val="18"/>
        </w:rPr>
        <w:t>the effect of the Dodd-Frank Act on the financial services industry in general, and on our businesses in particular;</w:t>
      </w:r>
    </w:p>
    <w:p w14:paraId="239DFDC9" w14:textId="77777777" w:rsidR="001614AC" w:rsidRDefault="004468F9" w:rsidP="004468F9">
      <w:pPr>
        <w:numPr>
          <w:ilvl w:val="0"/>
          <w:numId w:val="6"/>
        </w:numPr>
        <w:spacing w:before="100" w:after="100" w:line="288" w:lineRule="auto"/>
        <w:ind w:left="360"/>
        <w:rPr>
          <w:rFonts w:ascii="Arial" w:eastAsia="Arial" w:hAnsi="Arial" w:cs="Arial"/>
          <w:color w:val="668092"/>
          <w:sz w:val="18"/>
        </w:rPr>
      </w:pPr>
      <w:r>
        <w:rPr>
          <w:rFonts w:ascii="Arial" w:eastAsia="Arial" w:hAnsi="Arial" w:cs="Arial"/>
          <w:sz w:val="18"/>
        </w:rPr>
        <w:t>legislative and regulatory activity (or inac</w:t>
      </w:r>
      <w:r>
        <w:rPr>
          <w:rFonts w:ascii="Arial" w:eastAsia="Arial" w:hAnsi="Arial" w:cs="Arial"/>
          <w:sz w:val="18"/>
        </w:rPr>
        <w:t>tivity), including the adoption of (or failure to adopt) new laws and regulations, or changes in existing laws and regulations, or the way they are interpreted or applied, including potential changes in tax law under the Biden Administration;</w:t>
      </w:r>
    </w:p>
    <w:p w14:paraId="7F1DD2DF" w14:textId="77777777" w:rsidR="001614AC" w:rsidRDefault="004468F9" w:rsidP="004468F9">
      <w:pPr>
        <w:numPr>
          <w:ilvl w:val="0"/>
          <w:numId w:val="6"/>
        </w:numPr>
        <w:spacing w:before="100" w:after="100" w:line="288" w:lineRule="auto"/>
        <w:ind w:left="360"/>
        <w:rPr>
          <w:rFonts w:ascii="Arial" w:eastAsia="Arial" w:hAnsi="Arial" w:cs="Arial"/>
          <w:color w:val="668092"/>
          <w:sz w:val="18"/>
        </w:rPr>
      </w:pPr>
      <w:r>
        <w:rPr>
          <w:rFonts w:ascii="Arial" w:eastAsia="Arial" w:hAnsi="Arial" w:cs="Arial"/>
          <w:sz w:val="18"/>
        </w:rPr>
        <w:t>legal and reg</w:t>
      </w:r>
      <w:r>
        <w:rPr>
          <w:rFonts w:ascii="Arial" w:eastAsia="Arial" w:hAnsi="Arial" w:cs="Arial"/>
          <w:sz w:val="18"/>
        </w:rPr>
        <w:t xml:space="preserve">ulatory claims, assertions, actions, reviews, audits, inquiries and investigations that could result in adverse judgments, settlements, fines, injunctions, restitutions or other relief that could require significant expenditures, new or increased reserves </w:t>
      </w:r>
      <w:r>
        <w:rPr>
          <w:rFonts w:ascii="Arial" w:eastAsia="Arial" w:hAnsi="Arial" w:cs="Arial"/>
          <w:sz w:val="18"/>
        </w:rPr>
        <w:t>or have other effects on our business;</w:t>
      </w:r>
    </w:p>
    <w:p w14:paraId="362FA076" w14:textId="77777777" w:rsidR="001614AC" w:rsidRDefault="004468F9" w:rsidP="004468F9">
      <w:pPr>
        <w:numPr>
          <w:ilvl w:val="0"/>
          <w:numId w:val="6"/>
        </w:numPr>
        <w:spacing w:before="100" w:after="100" w:line="288" w:lineRule="auto"/>
        <w:ind w:left="360"/>
        <w:rPr>
          <w:rFonts w:ascii="Arial" w:eastAsia="Arial" w:hAnsi="Arial" w:cs="Arial"/>
          <w:color w:val="668092"/>
          <w:sz w:val="18"/>
        </w:rPr>
      </w:pPr>
      <w:r>
        <w:rPr>
          <w:rFonts w:ascii="Arial" w:eastAsia="Arial" w:hAnsi="Arial" w:cs="Arial"/>
          <w:sz w:val="18"/>
        </w:rPr>
        <w:t>the amount and timing of potential payments or adjustments associated with federal or other tax examinations;</w:t>
      </w:r>
    </w:p>
    <w:p w14:paraId="5C2B94A0" w14:textId="77777777" w:rsidR="001614AC" w:rsidRDefault="004468F9" w:rsidP="004468F9">
      <w:pPr>
        <w:numPr>
          <w:ilvl w:val="0"/>
          <w:numId w:val="6"/>
        </w:numPr>
        <w:spacing w:before="100" w:after="100" w:line="288" w:lineRule="auto"/>
        <w:ind w:left="360"/>
        <w:rPr>
          <w:rFonts w:ascii="Arial" w:eastAsia="Arial" w:hAnsi="Arial" w:cs="Arial"/>
          <w:color w:val="668092"/>
          <w:sz w:val="18"/>
        </w:rPr>
      </w:pPr>
      <w:r>
        <w:rPr>
          <w:rFonts w:ascii="Arial" w:eastAsia="Arial" w:hAnsi="Arial" w:cs="Arial"/>
          <w:sz w:val="18"/>
        </w:rPr>
        <w:t>the possibility that we may fail to estimate accurately, especially in the event of an extended economic do</w:t>
      </w:r>
      <w:r>
        <w:rPr>
          <w:rFonts w:ascii="Arial" w:eastAsia="Arial" w:hAnsi="Arial" w:cs="Arial"/>
          <w:sz w:val="18"/>
        </w:rPr>
        <w:t>wnturn or a period of extreme market volatility and economic uncertainty, the likelihood, magnitude and timing of losses in establishing loss reserves for our mortgage insurance business or to accurately calculate and/or project our Available Assets and Mi</w:t>
      </w:r>
      <w:r>
        <w:rPr>
          <w:rFonts w:ascii="Arial" w:eastAsia="Arial" w:hAnsi="Arial" w:cs="Arial"/>
          <w:sz w:val="18"/>
        </w:rPr>
        <w:t>nimum Required Assets under the PMIERs, which will be impacted by, among other things, the size and mix of our IIF, the level of defaults in our portfolio, the reported status of defaults in our portfolio, including whether they are subject to forbearance,</w:t>
      </w:r>
      <w:r>
        <w:rPr>
          <w:rFonts w:ascii="Arial" w:eastAsia="Arial" w:hAnsi="Arial" w:cs="Arial"/>
          <w:sz w:val="18"/>
        </w:rPr>
        <w:t xml:space="preserve"> a repayment plan or a loan modification trial period granted in response to a financial hardship related to COVID-19, the level of cash flow generated by our insurance operations and our risk distribution strategies;</w:t>
      </w:r>
    </w:p>
    <w:p w14:paraId="0EF19C17" w14:textId="77777777" w:rsidR="001614AC" w:rsidRDefault="004468F9" w:rsidP="004468F9">
      <w:pPr>
        <w:numPr>
          <w:ilvl w:val="0"/>
          <w:numId w:val="6"/>
        </w:numPr>
        <w:spacing w:before="100" w:after="100" w:line="288" w:lineRule="auto"/>
        <w:ind w:left="360"/>
        <w:rPr>
          <w:rFonts w:ascii="Arial" w:eastAsia="Arial" w:hAnsi="Arial" w:cs="Arial"/>
          <w:color w:val="668092"/>
          <w:sz w:val="18"/>
        </w:rPr>
      </w:pPr>
      <w:r>
        <w:rPr>
          <w:rFonts w:ascii="Arial" w:eastAsia="Arial" w:hAnsi="Arial" w:cs="Arial"/>
          <w:sz w:val="18"/>
        </w:rPr>
        <w:t>volatility in our financial results ca</w:t>
      </w:r>
      <w:r>
        <w:rPr>
          <w:rFonts w:ascii="Arial" w:eastAsia="Arial" w:hAnsi="Arial" w:cs="Arial"/>
          <w:sz w:val="18"/>
        </w:rPr>
        <w:t>used by changes in the fair value of our assets and liabilities, including with respect to our use of derivatives and within our investment portfolio;</w:t>
      </w:r>
    </w:p>
    <w:p w14:paraId="65FDC94A" w14:textId="77777777" w:rsidR="001614AC" w:rsidRDefault="004468F9" w:rsidP="004468F9">
      <w:pPr>
        <w:numPr>
          <w:ilvl w:val="0"/>
          <w:numId w:val="6"/>
        </w:numPr>
        <w:spacing w:before="100" w:after="100" w:line="288" w:lineRule="auto"/>
        <w:ind w:left="360"/>
        <w:rPr>
          <w:rFonts w:ascii="Arial" w:eastAsia="Arial" w:hAnsi="Arial" w:cs="Arial"/>
          <w:color w:val="668092"/>
          <w:sz w:val="18"/>
        </w:rPr>
      </w:pPr>
      <w:r>
        <w:rPr>
          <w:rFonts w:ascii="Arial" w:eastAsia="Arial" w:hAnsi="Arial" w:cs="Arial"/>
          <w:sz w:val="18"/>
        </w:rPr>
        <w:t>changes in GAAP or SAP rules and guidance, or their interpretation;</w:t>
      </w:r>
    </w:p>
    <w:p w14:paraId="541FF8CB" w14:textId="77777777" w:rsidR="001614AC" w:rsidRDefault="004468F9" w:rsidP="004468F9">
      <w:pPr>
        <w:numPr>
          <w:ilvl w:val="0"/>
          <w:numId w:val="6"/>
        </w:numPr>
        <w:spacing w:before="100" w:after="100" w:line="288" w:lineRule="auto"/>
        <w:ind w:left="360"/>
        <w:rPr>
          <w:rFonts w:ascii="Arial" w:eastAsia="Arial" w:hAnsi="Arial" w:cs="Arial"/>
          <w:color w:val="668092"/>
          <w:sz w:val="18"/>
        </w:rPr>
      </w:pPr>
      <w:r>
        <w:rPr>
          <w:rFonts w:ascii="Arial" w:eastAsia="Arial" w:hAnsi="Arial" w:cs="Arial"/>
          <w:sz w:val="18"/>
        </w:rPr>
        <w:t>our ability and related costs to deve</w:t>
      </w:r>
      <w:r>
        <w:rPr>
          <w:rFonts w:ascii="Arial" w:eastAsia="Arial" w:hAnsi="Arial" w:cs="Arial"/>
          <w:sz w:val="18"/>
        </w:rPr>
        <w:t>lop, launch and implement new and innovative technologies and digital products and services, and whether we will have broad customer acceptance of these products and services;</w:t>
      </w:r>
    </w:p>
    <w:p w14:paraId="69986693" w14:textId="77777777" w:rsidR="001614AC" w:rsidRDefault="004468F9" w:rsidP="004468F9">
      <w:pPr>
        <w:numPr>
          <w:ilvl w:val="0"/>
          <w:numId w:val="6"/>
        </w:numPr>
        <w:spacing w:before="100" w:after="100" w:line="288" w:lineRule="auto"/>
        <w:ind w:left="360"/>
        <w:rPr>
          <w:rFonts w:ascii="Arial" w:eastAsia="Arial" w:hAnsi="Arial" w:cs="Arial"/>
          <w:color w:val="668092"/>
          <w:sz w:val="18"/>
        </w:rPr>
      </w:pPr>
      <w:r>
        <w:rPr>
          <w:rFonts w:ascii="Arial" w:eastAsia="Arial" w:hAnsi="Arial" w:cs="Arial"/>
          <w:sz w:val="18"/>
        </w:rPr>
        <w:t>effectiveness and security of our information technology systems and digital pro</w:t>
      </w:r>
      <w:r>
        <w:rPr>
          <w:rFonts w:ascii="Arial" w:eastAsia="Arial" w:hAnsi="Arial" w:cs="Arial"/>
          <w:sz w:val="18"/>
        </w:rPr>
        <w:t>ducts and services, including the risk that these systems, products or services fail to operate as expected or planned or expose us to cybersecurity or third party risks, including due to computer viruses, unauthorized access, cyber-attack, natural disaste</w:t>
      </w:r>
      <w:r>
        <w:rPr>
          <w:rFonts w:ascii="Arial" w:eastAsia="Arial" w:hAnsi="Arial" w:cs="Arial"/>
          <w:sz w:val="18"/>
        </w:rPr>
        <w:t>rs or other similar events;</w:t>
      </w:r>
    </w:p>
    <w:p w14:paraId="16A405A6" w14:textId="77777777" w:rsidR="001614AC" w:rsidRDefault="004468F9" w:rsidP="004468F9">
      <w:pPr>
        <w:numPr>
          <w:ilvl w:val="0"/>
          <w:numId w:val="6"/>
        </w:numPr>
        <w:spacing w:before="100" w:after="100" w:line="288" w:lineRule="auto"/>
        <w:ind w:left="360"/>
        <w:rPr>
          <w:rFonts w:ascii="Arial" w:eastAsia="Arial" w:hAnsi="Arial" w:cs="Arial"/>
          <w:color w:val="668092"/>
          <w:sz w:val="18"/>
        </w:rPr>
      </w:pPr>
      <w:r>
        <w:rPr>
          <w:rFonts w:ascii="Arial" w:eastAsia="Arial" w:hAnsi="Arial" w:cs="Arial"/>
          <w:sz w:val="18"/>
        </w:rPr>
        <w:t>our ability to attract and retain key employees; and</w:t>
      </w:r>
    </w:p>
    <w:p w14:paraId="2D796887" w14:textId="77777777" w:rsidR="001614AC" w:rsidRDefault="004468F9" w:rsidP="004468F9">
      <w:pPr>
        <w:numPr>
          <w:ilvl w:val="0"/>
          <w:numId w:val="6"/>
        </w:numPr>
        <w:spacing w:before="100" w:after="100" w:line="288" w:lineRule="auto"/>
        <w:ind w:left="360"/>
        <w:rPr>
          <w:rFonts w:ascii="Arial" w:eastAsia="Arial" w:hAnsi="Arial" w:cs="Arial"/>
          <w:color w:val="668092"/>
          <w:sz w:val="18"/>
        </w:rPr>
      </w:pPr>
      <w:r>
        <w:rPr>
          <w:rFonts w:ascii="Arial" w:eastAsia="Arial" w:hAnsi="Arial" w:cs="Arial"/>
          <w:sz w:val="18"/>
        </w:rPr>
        <w:t>legal and other limitations on amounts we may receive from our subsidiaries, including dividends or ordinary course distributions under our internal tax- and expense-sharing a</w:t>
      </w:r>
      <w:r>
        <w:rPr>
          <w:rFonts w:ascii="Arial" w:eastAsia="Arial" w:hAnsi="Arial" w:cs="Arial"/>
          <w:sz w:val="18"/>
        </w:rPr>
        <w:t>rrangements.</w:t>
      </w:r>
    </w:p>
    <w:p w14:paraId="25ABD7DD" w14:textId="77777777" w:rsidR="001614AC" w:rsidRDefault="004468F9">
      <w:pPr>
        <w:spacing w:before="100" w:line="288" w:lineRule="auto"/>
        <w:ind w:firstLine="450"/>
        <w:rPr>
          <w:rFonts w:ascii="Arial" w:eastAsia="Arial" w:hAnsi="Arial" w:cs="Arial"/>
          <w:sz w:val="18"/>
        </w:rPr>
      </w:pPr>
      <w:r>
        <w:rPr>
          <w:rFonts w:ascii="Arial" w:eastAsia="Arial" w:hAnsi="Arial" w:cs="Arial"/>
          <w:sz w:val="18"/>
        </w:rPr>
        <w:t xml:space="preserve">For more information regarding these risks and uncertainties as well as certain additional risks that we face, you should refer to “Item 1A. Risk Factors” in this report and “Item 1A. Risk Factors” in our 2020 Form 10-K, and to </w:t>
      </w:r>
      <w:r>
        <w:rPr>
          <w:rFonts w:ascii="Arial" w:eastAsia="Arial" w:hAnsi="Arial" w:cs="Arial"/>
          <w:sz w:val="18"/>
        </w:rPr>
        <w:t xml:space="preserve">subsequent reports and registration statements filed from time to time with the SEC. We caution you not to place undue reliance on these forward-looking statements, which are current only as of the date on which we issued this report. We do not intend to, </w:t>
      </w:r>
      <w:r>
        <w:rPr>
          <w:rFonts w:ascii="Arial" w:eastAsia="Arial" w:hAnsi="Arial" w:cs="Arial"/>
          <w:sz w:val="18"/>
        </w:rPr>
        <w:t>and we disclaim any duty or obligation to, update or revise any forward-looking statements to reflect new information or future events or for any other reason.</w:t>
      </w:r>
    </w:p>
    <w:p w14:paraId="4C850470" w14:textId="77777777" w:rsidR="001614AC" w:rsidRDefault="001614AC">
      <w:pPr>
        <w:spacing w:before="100" w:line="288" w:lineRule="auto"/>
        <w:ind w:firstLine="450"/>
        <w:sectPr w:rsidR="001614AC">
          <w:headerReference w:type="default" r:id="rId13"/>
          <w:pgSz w:w="12240" w:h="15840"/>
          <w:pgMar w:top="990" w:right="1080" w:bottom="1080" w:left="990" w:header="270" w:footer="270" w:gutter="0"/>
          <w:cols w:space="708"/>
        </w:sectPr>
      </w:pPr>
    </w:p>
    <w:p w14:paraId="26081DA6" w14:textId="77777777" w:rsidR="001614AC" w:rsidRDefault="004468F9">
      <w:pPr>
        <w:keepNext/>
        <w:spacing w:line="288" w:lineRule="auto"/>
        <w:outlineLvl w:val="0"/>
        <w:rPr>
          <w:rFonts w:ascii="Arial" w:eastAsia="Arial" w:hAnsi="Arial" w:cs="Arial"/>
          <w:color w:val="00BAB3"/>
          <w:sz w:val="38"/>
        </w:rPr>
      </w:pPr>
      <w:bookmarkStart w:id="4" w:name="Section5"/>
      <w:bookmarkEnd w:id="4"/>
      <w:r>
        <w:rPr>
          <w:rFonts w:ascii="Arial" w:eastAsia="Arial" w:hAnsi="Arial" w:cs="Arial"/>
          <w:color w:val="00BAB3"/>
          <w:sz w:val="38"/>
        </w:rPr>
        <w:lastRenderedPageBreak/>
        <w:t>PART I—FINANCIAL INFORMATION</w:t>
      </w:r>
    </w:p>
    <w:p w14:paraId="20661E6E" w14:textId="77777777" w:rsidR="001614AC" w:rsidRDefault="001614AC">
      <w:pPr>
        <w:keepNext/>
        <w:spacing w:line="288" w:lineRule="auto"/>
        <w:outlineLvl w:val="0"/>
        <w:sectPr w:rsidR="001614AC">
          <w:headerReference w:type="default" r:id="rId14"/>
          <w:pgSz w:w="12240" w:h="15840"/>
          <w:pgMar w:top="1260" w:right="1080" w:bottom="1080" w:left="1080" w:header="270" w:footer="270" w:gutter="0"/>
          <w:cols w:space="708"/>
        </w:sectPr>
      </w:pPr>
    </w:p>
    <w:p w14:paraId="08AA337D" w14:textId="77777777" w:rsidR="001614AC" w:rsidRDefault="004468F9">
      <w:pPr>
        <w:keepNext/>
        <w:spacing w:before="220" w:after="180" w:line="288" w:lineRule="auto"/>
        <w:rPr>
          <w:rFonts w:ascii="Arial" w:eastAsia="Arial" w:hAnsi="Arial" w:cs="Arial"/>
          <w:color w:val="00BAB3"/>
          <w:sz w:val="34"/>
        </w:rPr>
      </w:pPr>
      <w:bookmarkStart w:id="5" w:name="Section6"/>
      <w:bookmarkEnd w:id="5"/>
      <w:r>
        <w:rPr>
          <w:rFonts w:ascii="Arial" w:eastAsia="Arial" w:hAnsi="Arial" w:cs="Arial"/>
          <w:color w:val="00BAB3"/>
          <w:sz w:val="34"/>
        </w:rPr>
        <w:t>Item 1.</w:t>
      </w:r>
      <w:r>
        <w:rPr>
          <w:rFonts w:ascii="Arial" w:eastAsia="Arial" w:hAnsi="Arial" w:cs="Arial"/>
          <w:color w:val="00BAB3"/>
          <w:sz w:val="34"/>
        </w:rPr>
        <w:tab/>
        <w:t>Financial Statements (Unaudited)</w:t>
      </w:r>
    </w:p>
    <w:p w14:paraId="0485E781" w14:textId="77777777" w:rsidR="001614AC" w:rsidRDefault="004468F9">
      <w:pPr>
        <w:keepNext/>
        <w:spacing w:before="200" w:after="160" w:line="288" w:lineRule="auto"/>
        <w:ind w:left="360" w:hanging="360"/>
        <w:rPr>
          <w:rFonts w:ascii="Arial" w:eastAsia="Arial" w:hAnsi="Arial" w:cs="Arial"/>
          <w:b/>
          <w:color w:val="4D6B80"/>
          <w:sz w:val="30"/>
        </w:rPr>
      </w:pPr>
      <w:r>
        <w:rPr>
          <w:rFonts w:ascii="Arial" w:eastAsia="Arial" w:hAnsi="Arial" w:cs="Arial"/>
          <w:b/>
          <w:color w:val="4D6B80"/>
          <w:sz w:val="30"/>
        </w:rPr>
        <w:t>Index to Condensed Consolidated Financial Statements</w:t>
      </w:r>
    </w:p>
    <w:tbl>
      <w:tblPr>
        <w:tblW w:w="102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02"/>
        <w:gridCol w:w="780"/>
      </w:tblGrid>
      <w:tr w:rsidR="001614AC" w14:paraId="69C13A1A" w14:textId="77777777">
        <w:trPr>
          <w:cantSplit/>
          <w:trHeight w:hRule="exact" w:val="315"/>
        </w:trPr>
        <w:tc>
          <w:tcPr>
            <w:tcW w:w="9315" w:type="dxa"/>
            <w:tcBorders>
              <w:top w:val="nil"/>
              <w:left w:val="nil"/>
              <w:bottom w:val="nil"/>
              <w:right w:val="nil"/>
            </w:tcBorders>
            <w:tcMar>
              <w:top w:w="0" w:type="dxa"/>
              <w:left w:w="0" w:type="dxa"/>
              <w:bottom w:w="0" w:type="dxa"/>
              <w:right w:w="0" w:type="dxa"/>
            </w:tcMar>
            <w:vAlign w:val="bottom"/>
          </w:tcPr>
          <w:p w14:paraId="200EEFF8" w14:textId="77777777" w:rsidR="001614AC" w:rsidRDefault="001614AC">
            <w:pPr>
              <w:keepNext/>
            </w:pPr>
          </w:p>
        </w:tc>
        <w:tc>
          <w:tcPr>
            <w:tcW w:w="765" w:type="dxa"/>
            <w:tcBorders>
              <w:top w:val="nil"/>
              <w:left w:val="nil"/>
              <w:bottom w:val="nil"/>
              <w:right w:val="nil"/>
            </w:tcBorders>
            <w:tcMar>
              <w:top w:w="0" w:type="dxa"/>
              <w:left w:w="53" w:type="dxa"/>
              <w:bottom w:w="0" w:type="dxa"/>
              <w:right w:w="53" w:type="dxa"/>
            </w:tcMar>
            <w:vAlign w:val="bottom"/>
          </w:tcPr>
          <w:p w14:paraId="7818C818" w14:textId="77777777" w:rsidR="001614AC" w:rsidRDefault="004468F9">
            <w:pPr>
              <w:keepNext/>
              <w:spacing w:before="75" w:after="30" w:line="288" w:lineRule="auto"/>
              <w:jc w:val="right"/>
            </w:pPr>
            <w:r>
              <w:rPr>
                <w:rFonts w:ascii="Arial" w:eastAsia="Arial" w:hAnsi="Arial" w:cs="Arial"/>
                <w:b/>
                <w:color w:val="000000"/>
                <w:sz w:val="18"/>
              </w:rPr>
              <w:t>Page</w:t>
            </w:r>
          </w:p>
        </w:tc>
      </w:tr>
      <w:tr w:rsidR="001614AC" w14:paraId="480F5DC2" w14:textId="77777777">
        <w:trPr>
          <w:cantSplit/>
          <w:trHeight w:hRule="exact" w:val="315"/>
        </w:trPr>
        <w:tc>
          <w:tcPr>
            <w:tcW w:w="9315" w:type="dxa"/>
            <w:tcBorders>
              <w:top w:val="nil"/>
              <w:left w:val="nil"/>
              <w:bottom w:val="single" w:sz="8" w:space="0" w:color="F4F4F4"/>
              <w:right w:val="nil"/>
            </w:tcBorders>
            <w:shd w:val="clear" w:color="auto" w:fill="F4F4F4"/>
            <w:tcMar>
              <w:top w:w="0" w:type="dxa"/>
              <w:left w:w="53" w:type="dxa"/>
              <w:bottom w:w="0" w:type="dxa"/>
              <w:right w:w="53" w:type="dxa"/>
            </w:tcMar>
            <w:vAlign w:val="bottom"/>
          </w:tcPr>
          <w:p w14:paraId="34DEDB2D" w14:textId="77777777" w:rsidR="001614AC" w:rsidRDefault="004468F9">
            <w:pPr>
              <w:keepNext/>
              <w:spacing w:before="75" w:after="30" w:line="288" w:lineRule="auto"/>
            </w:pPr>
            <w:r>
              <w:rPr>
                <w:rFonts w:ascii="Arial" w:eastAsia="Arial" w:hAnsi="Arial" w:cs="Arial"/>
                <w:b/>
                <w:color w:val="00BAB3"/>
                <w:sz w:val="18"/>
              </w:rPr>
              <w:t>Quarterly Financial Statements</w:t>
            </w:r>
          </w:p>
        </w:tc>
        <w:tc>
          <w:tcPr>
            <w:tcW w:w="765" w:type="dxa"/>
            <w:tcBorders>
              <w:top w:val="nil"/>
              <w:left w:val="nil"/>
              <w:bottom w:val="single" w:sz="8" w:space="0" w:color="F4F4F4"/>
              <w:right w:val="nil"/>
            </w:tcBorders>
            <w:shd w:val="clear" w:color="auto" w:fill="F4F4F4"/>
            <w:tcMar>
              <w:top w:w="0" w:type="dxa"/>
              <w:left w:w="0" w:type="dxa"/>
              <w:bottom w:w="0" w:type="dxa"/>
              <w:right w:w="0" w:type="dxa"/>
            </w:tcMar>
            <w:vAlign w:val="bottom"/>
          </w:tcPr>
          <w:p w14:paraId="648B1E1E" w14:textId="77777777" w:rsidR="001614AC" w:rsidRDefault="001614AC">
            <w:pPr>
              <w:keepNext/>
            </w:pPr>
          </w:p>
        </w:tc>
      </w:tr>
      <w:tr w:rsidR="001614AC" w14:paraId="0EADD13D" w14:textId="77777777">
        <w:trPr>
          <w:cantSplit/>
          <w:trHeight w:hRule="exact" w:val="315"/>
        </w:trPr>
        <w:tc>
          <w:tcPr>
            <w:tcW w:w="9315" w:type="dxa"/>
            <w:tcBorders>
              <w:top w:val="single" w:sz="8" w:space="0" w:color="F4F4F4"/>
              <w:left w:val="nil"/>
              <w:bottom w:val="single" w:sz="8" w:space="0" w:color="F4F4F4"/>
              <w:right w:val="nil"/>
            </w:tcBorders>
            <w:tcMar>
              <w:top w:w="0" w:type="dxa"/>
              <w:left w:w="53" w:type="dxa"/>
              <w:bottom w:w="0" w:type="dxa"/>
              <w:right w:w="53" w:type="dxa"/>
            </w:tcMar>
            <w:vAlign w:val="bottom"/>
          </w:tcPr>
          <w:p w14:paraId="108CB4CB" w14:textId="77777777" w:rsidR="001614AC" w:rsidRDefault="004468F9">
            <w:pPr>
              <w:keepNext/>
              <w:spacing w:before="55" w:after="30" w:line="288" w:lineRule="auto"/>
              <w:rPr>
                <w:rFonts w:ascii="Arial" w:eastAsia="Arial" w:hAnsi="Arial" w:cs="Arial"/>
                <w:color w:val="668092"/>
                <w:sz w:val="18"/>
              </w:rPr>
            </w:pPr>
            <w:hyperlink w:anchor="Section7" w:history="1">
              <w:r>
                <w:rPr>
                  <w:rFonts w:ascii="Arial" w:eastAsia="Arial" w:hAnsi="Arial" w:cs="Arial"/>
                  <w:color w:val="668092"/>
                  <w:sz w:val="18"/>
                  <w:u w:val="single"/>
                </w:rPr>
                <w:t>Condensed Consolidated Balance Sheets</w:t>
              </w:r>
            </w:hyperlink>
          </w:p>
        </w:tc>
        <w:tc>
          <w:tcPr>
            <w:tcW w:w="765" w:type="dxa"/>
            <w:tcBorders>
              <w:top w:val="single" w:sz="8" w:space="0" w:color="F4F4F4"/>
              <w:left w:val="nil"/>
              <w:bottom w:val="single" w:sz="8" w:space="0" w:color="F4F4F4"/>
              <w:right w:val="nil"/>
            </w:tcBorders>
            <w:tcMar>
              <w:top w:w="0" w:type="dxa"/>
              <w:left w:w="53" w:type="dxa"/>
              <w:bottom w:w="0" w:type="dxa"/>
              <w:right w:w="53" w:type="dxa"/>
            </w:tcMar>
            <w:vAlign w:val="bottom"/>
          </w:tcPr>
          <w:p w14:paraId="01009702" w14:textId="77777777" w:rsidR="001614AC" w:rsidRDefault="004468F9">
            <w:pPr>
              <w:keepNext/>
              <w:spacing w:before="55" w:after="30" w:line="288" w:lineRule="auto"/>
              <w:jc w:val="right"/>
              <w:rPr>
                <w:rFonts w:ascii="Arial" w:eastAsia="Arial" w:hAnsi="Arial" w:cs="Arial"/>
                <w:color w:val="668092"/>
                <w:sz w:val="18"/>
              </w:rPr>
            </w:pPr>
            <w:r>
              <w:rPr>
                <w:rFonts w:ascii="Arial" w:eastAsia="Arial" w:hAnsi="Arial" w:cs="Arial"/>
                <w:color w:val="668092"/>
                <w:sz w:val="18"/>
                <w:u w:val="single"/>
              </w:rPr>
              <w:fldChar w:fldCharType="begin"/>
            </w:r>
            <w:r>
              <w:rPr>
                <w:rFonts w:ascii="Arial" w:eastAsia="Arial" w:hAnsi="Arial" w:cs="Arial"/>
                <w:color w:val="668092"/>
                <w:sz w:val="18"/>
                <w:u w:val="single"/>
              </w:rPr>
              <w:instrText xml:space="preserve"> PAGEREF  Section7 \h</w:instrText>
            </w:r>
            <w:r>
              <w:rPr>
                <w:rFonts w:ascii="Arial" w:eastAsia="Arial" w:hAnsi="Arial" w:cs="Arial"/>
                <w:color w:val="668092"/>
                <w:sz w:val="18"/>
                <w:u w:val="single"/>
              </w:rPr>
            </w:r>
            <w:r>
              <w:rPr>
                <w:rFonts w:ascii="Arial" w:eastAsia="Arial" w:hAnsi="Arial" w:cs="Arial"/>
                <w:color w:val="668092"/>
                <w:sz w:val="18"/>
                <w:u w:val="single"/>
              </w:rPr>
              <w:fldChar w:fldCharType="separate"/>
            </w:r>
            <w:r>
              <w:rPr>
                <w:rFonts w:ascii="Arial" w:eastAsia="Arial" w:hAnsi="Arial" w:cs="Arial"/>
                <w:color w:val="668092"/>
                <w:sz w:val="18"/>
                <w:u w:val="single"/>
              </w:rPr>
              <w:t>10</w:t>
            </w:r>
            <w:r>
              <w:rPr>
                <w:rFonts w:ascii="Arial" w:eastAsia="Arial" w:hAnsi="Arial" w:cs="Arial"/>
                <w:color w:val="668092"/>
                <w:sz w:val="18"/>
                <w:u w:val="single"/>
              </w:rPr>
              <w:fldChar w:fldCharType="end"/>
            </w:r>
          </w:p>
        </w:tc>
      </w:tr>
      <w:tr w:rsidR="001614AC" w14:paraId="59C2B4C2" w14:textId="77777777">
        <w:trPr>
          <w:cantSplit/>
          <w:trHeight w:hRule="exact" w:val="315"/>
        </w:trPr>
        <w:tc>
          <w:tcPr>
            <w:tcW w:w="9315" w:type="dxa"/>
            <w:tcBorders>
              <w:top w:val="single" w:sz="8" w:space="0" w:color="F4F4F4"/>
              <w:left w:val="nil"/>
              <w:bottom w:val="single" w:sz="8" w:space="0" w:color="F4F4F4"/>
              <w:right w:val="nil"/>
            </w:tcBorders>
            <w:tcMar>
              <w:top w:w="0" w:type="dxa"/>
              <w:left w:w="53" w:type="dxa"/>
              <w:bottom w:w="0" w:type="dxa"/>
              <w:right w:w="53" w:type="dxa"/>
            </w:tcMar>
            <w:vAlign w:val="bottom"/>
          </w:tcPr>
          <w:p w14:paraId="3D40DCC4" w14:textId="77777777" w:rsidR="001614AC" w:rsidRDefault="004468F9">
            <w:pPr>
              <w:keepNext/>
              <w:spacing w:before="55" w:after="30" w:line="288" w:lineRule="auto"/>
              <w:rPr>
                <w:rFonts w:ascii="Arial" w:eastAsia="Arial" w:hAnsi="Arial" w:cs="Arial"/>
                <w:color w:val="668092"/>
                <w:sz w:val="18"/>
              </w:rPr>
            </w:pPr>
            <w:hyperlink w:anchor="Section8" w:history="1">
              <w:r>
                <w:rPr>
                  <w:rFonts w:ascii="Arial" w:eastAsia="Arial" w:hAnsi="Arial" w:cs="Arial"/>
                  <w:color w:val="668092"/>
                  <w:sz w:val="18"/>
                  <w:u w:val="single"/>
                </w:rPr>
                <w:t>Condensed Consolidated Statements of Operations</w:t>
              </w:r>
            </w:hyperlink>
          </w:p>
        </w:tc>
        <w:tc>
          <w:tcPr>
            <w:tcW w:w="765" w:type="dxa"/>
            <w:tcBorders>
              <w:top w:val="single" w:sz="8" w:space="0" w:color="F4F4F4"/>
              <w:left w:val="nil"/>
              <w:bottom w:val="single" w:sz="8" w:space="0" w:color="F4F4F4"/>
              <w:right w:val="nil"/>
            </w:tcBorders>
            <w:tcMar>
              <w:top w:w="0" w:type="dxa"/>
              <w:left w:w="53" w:type="dxa"/>
              <w:bottom w:w="0" w:type="dxa"/>
              <w:right w:w="53" w:type="dxa"/>
            </w:tcMar>
            <w:vAlign w:val="bottom"/>
          </w:tcPr>
          <w:p w14:paraId="7C6214BE" w14:textId="77777777" w:rsidR="001614AC" w:rsidRDefault="004468F9">
            <w:pPr>
              <w:keepNext/>
              <w:spacing w:before="55" w:after="30" w:line="288" w:lineRule="auto"/>
              <w:jc w:val="right"/>
              <w:rPr>
                <w:rFonts w:ascii="Arial" w:eastAsia="Arial" w:hAnsi="Arial" w:cs="Arial"/>
                <w:color w:val="668092"/>
                <w:sz w:val="18"/>
              </w:rPr>
            </w:pPr>
            <w:r>
              <w:rPr>
                <w:rFonts w:ascii="Arial" w:eastAsia="Arial" w:hAnsi="Arial" w:cs="Arial"/>
                <w:color w:val="668092"/>
                <w:sz w:val="18"/>
                <w:u w:val="single"/>
              </w:rPr>
              <w:fldChar w:fldCharType="begin"/>
            </w:r>
            <w:r>
              <w:rPr>
                <w:rFonts w:ascii="Arial" w:eastAsia="Arial" w:hAnsi="Arial" w:cs="Arial"/>
                <w:color w:val="668092"/>
                <w:sz w:val="18"/>
                <w:u w:val="single"/>
              </w:rPr>
              <w:instrText xml:space="preserve"> PAGEREF  Section8 \h</w:instrText>
            </w:r>
            <w:r>
              <w:rPr>
                <w:rFonts w:ascii="Arial" w:eastAsia="Arial" w:hAnsi="Arial" w:cs="Arial"/>
                <w:color w:val="668092"/>
                <w:sz w:val="18"/>
                <w:u w:val="single"/>
              </w:rPr>
            </w:r>
            <w:r>
              <w:rPr>
                <w:rFonts w:ascii="Arial" w:eastAsia="Arial" w:hAnsi="Arial" w:cs="Arial"/>
                <w:color w:val="668092"/>
                <w:sz w:val="18"/>
                <w:u w:val="single"/>
              </w:rPr>
              <w:fldChar w:fldCharType="separate"/>
            </w:r>
            <w:r>
              <w:rPr>
                <w:rFonts w:ascii="Arial" w:eastAsia="Arial" w:hAnsi="Arial" w:cs="Arial"/>
                <w:color w:val="668092"/>
                <w:sz w:val="18"/>
                <w:u w:val="single"/>
              </w:rPr>
              <w:t>12</w:t>
            </w:r>
            <w:r>
              <w:rPr>
                <w:rFonts w:ascii="Arial" w:eastAsia="Arial" w:hAnsi="Arial" w:cs="Arial"/>
                <w:color w:val="668092"/>
                <w:sz w:val="18"/>
                <w:u w:val="single"/>
              </w:rPr>
              <w:fldChar w:fldCharType="end"/>
            </w:r>
          </w:p>
        </w:tc>
      </w:tr>
      <w:tr w:rsidR="001614AC" w14:paraId="517BAA9A" w14:textId="77777777">
        <w:trPr>
          <w:cantSplit/>
          <w:trHeight w:hRule="exact" w:val="315"/>
        </w:trPr>
        <w:tc>
          <w:tcPr>
            <w:tcW w:w="9315" w:type="dxa"/>
            <w:tcBorders>
              <w:top w:val="single" w:sz="8" w:space="0" w:color="F4F4F4"/>
              <w:left w:val="nil"/>
              <w:bottom w:val="single" w:sz="8" w:space="0" w:color="F4F4F4"/>
              <w:right w:val="nil"/>
            </w:tcBorders>
            <w:tcMar>
              <w:top w:w="0" w:type="dxa"/>
              <w:left w:w="53" w:type="dxa"/>
              <w:bottom w:w="0" w:type="dxa"/>
              <w:right w:w="53" w:type="dxa"/>
            </w:tcMar>
            <w:vAlign w:val="bottom"/>
          </w:tcPr>
          <w:p w14:paraId="1D9D5A82" w14:textId="77777777" w:rsidR="001614AC" w:rsidRDefault="004468F9">
            <w:pPr>
              <w:keepNext/>
              <w:spacing w:before="55" w:after="30" w:line="288" w:lineRule="auto"/>
              <w:rPr>
                <w:rFonts w:ascii="Arial" w:eastAsia="Arial" w:hAnsi="Arial" w:cs="Arial"/>
                <w:color w:val="668092"/>
                <w:sz w:val="18"/>
              </w:rPr>
            </w:pPr>
            <w:hyperlink w:anchor="Section9" w:history="1">
              <w:r>
                <w:rPr>
                  <w:rFonts w:ascii="Arial" w:eastAsia="Arial" w:hAnsi="Arial" w:cs="Arial"/>
                  <w:color w:val="668092"/>
                  <w:sz w:val="18"/>
                  <w:u w:val="single"/>
                </w:rPr>
                <w:t>Condensed Consolidated Statements of Comprehensive Income (Loss)</w:t>
              </w:r>
            </w:hyperlink>
          </w:p>
        </w:tc>
        <w:tc>
          <w:tcPr>
            <w:tcW w:w="765" w:type="dxa"/>
            <w:tcBorders>
              <w:top w:val="single" w:sz="8" w:space="0" w:color="F4F4F4"/>
              <w:left w:val="nil"/>
              <w:bottom w:val="single" w:sz="8" w:space="0" w:color="F4F4F4"/>
              <w:right w:val="nil"/>
            </w:tcBorders>
            <w:tcMar>
              <w:top w:w="0" w:type="dxa"/>
              <w:left w:w="53" w:type="dxa"/>
              <w:bottom w:w="0" w:type="dxa"/>
              <w:right w:w="53" w:type="dxa"/>
            </w:tcMar>
            <w:vAlign w:val="bottom"/>
          </w:tcPr>
          <w:p w14:paraId="38A5F383" w14:textId="77777777" w:rsidR="001614AC" w:rsidRDefault="004468F9">
            <w:pPr>
              <w:keepNext/>
              <w:spacing w:before="55" w:after="30" w:line="288" w:lineRule="auto"/>
              <w:jc w:val="right"/>
              <w:rPr>
                <w:rFonts w:ascii="Arial" w:eastAsia="Arial" w:hAnsi="Arial" w:cs="Arial"/>
                <w:color w:val="668092"/>
                <w:sz w:val="18"/>
              </w:rPr>
            </w:pPr>
            <w:r>
              <w:rPr>
                <w:rFonts w:ascii="Arial" w:eastAsia="Arial" w:hAnsi="Arial" w:cs="Arial"/>
                <w:color w:val="668092"/>
                <w:sz w:val="18"/>
                <w:u w:val="single"/>
              </w:rPr>
              <w:fldChar w:fldCharType="begin"/>
            </w:r>
            <w:r>
              <w:rPr>
                <w:rFonts w:ascii="Arial" w:eastAsia="Arial" w:hAnsi="Arial" w:cs="Arial"/>
                <w:color w:val="668092"/>
                <w:sz w:val="18"/>
                <w:u w:val="single"/>
              </w:rPr>
              <w:instrText xml:space="preserve"> PAGEREF  Section9 \h</w:instrText>
            </w:r>
            <w:r>
              <w:rPr>
                <w:rFonts w:ascii="Arial" w:eastAsia="Arial" w:hAnsi="Arial" w:cs="Arial"/>
                <w:color w:val="668092"/>
                <w:sz w:val="18"/>
                <w:u w:val="single"/>
              </w:rPr>
            </w:r>
            <w:r>
              <w:rPr>
                <w:rFonts w:ascii="Arial" w:eastAsia="Arial" w:hAnsi="Arial" w:cs="Arial"/>
                <w:color w:val="668092"/>
                <w:sz w:val="18"/>
                <w:u w:val="single"/>
              </w:rPr>
              <w:fldChar w:fldCharType="separate"/>
            </w:r>
            <w:r>
              <w:rPr>
                <w:rFonts w:ascii="Arial" w:eastAsia="Arial" w:hAnsi="Arial" w:cs="Arial"/>
                <w:color w:val="668092"/>
                <w:sz w:val="18"/>
                <w:u w:val="single"/>
              </w:rPr>
              <w:t>13</w:t>
            </w:r>
            <w:r>
              <w:rPr>
                <w:rFonts w:ascii="Arial" w:eastAsia="Arial" w:hAnsi="Arial" w:cs="Arial"/>
                <w:color w:val="668092"/>
                <w:sz w:val="18"/>
                <w:u w:val="single"/>
              </w:rPr>
              <w:fldChar w:fldCharType="end"/>
            </w:r>
          </w:p>
        </w:tc>
      </w:tr>
      <w:tr w:rsidR="001614AC" w14:paraId="6D5C5744" w14:textId="77777777">
        <w:trPr>
          <w:cantSplit/>
          <w:trHeight w:hRule="exact" w:val="315"/>
        </w:trPr>
        <w:tc>
          <w:tcPr>
            <w:tcW w:w="9315" w:type="dxa"/>
            <w:tcBorders>
              <w:top w:val="single" w:sz="8" w:space="0" w:color="F4F4F4"/>
              <w:left w:val="nil"/>
              <w:bottom w:val="single" w:sz="8" w:space="0" w:color="F4F4F4"/>
              <w:right w:val="nil"/>
            </w:tcBorders>
            <w:tcMar>
              <w:top w:w="0" w:type="dxa"/>
              <w:left w:w="53" w:type="dxa"/>
              <w:bottom w:w="0" w:type="dxa"/>
              <w:right w:w="53" w:type="dxa"/>
            </w:tcMar>
            <w:vAlign w:val="bottom"/>
          </w:tcPr>
          <w:p w14:paraId="104CB0C3" w14:textId="77777777" w:rsidR="001614AC" w:rsidRDefault="004468F9">
            <w:pPr>
              <w:keepNext/>
              <w:spacing w:before="55" w:after="30" w:line="288" w:lineRule="auto"/>
              <w:rPr>
                <w:rFonts w:ascii="Arial" w:eastAsia="Arial" w:hAnsi="Arial" w:cs="Arial"/>
                <w:color w:val="668092"/>
                <w:sz w:val="18"/>
              </w:rPr>
            </w:pPr>
            <w:hyperlink w:anchor="Section10" w:history="1">
              <w:r>
                <w:rPr>
                  <w:rFonts w:ascii="Arial" w:eastAsia="Arial" w:hAnsi="Arial" w:cs="Arial"/>
                  <w:color w:val="668092"/>
                  <w:sz w:val="18"/>
                  <w:u w:val="single"/>
                </w:rPr>
                <w:t>Condensed Consolidated Statements of Changes in Common Stockholders’ Equity</w:t>
              </w:r>
            </w:hyperlink>
          </w:p>
        </w:tc>
        <w:tc>
          <w:tcPr>
            <w:tcW w:w="765" w:type="dxa"/>
            <w:tcBorders>
              <w:top w:val="single" w:sz="8" w:space="0" w:color="F4F4F4"/>
              <w:left w:val="nil"/>
              <w:bottom w:val="single" w:sz="8" w:space="0" w:color="F4F4F4"/>
              <w:right w:val="nil"/>
            </w:tcBorders>
            <w:tcMar>
              <w:top w:w="0" w:type="dxa"/>
              <w:left w:w="53" w:type="dxa"/>
              <w:bottom w:w="0" w:type="dxa"/>
              <w:right w:w="53" w:type="dxa"/>
            </w:tcMar>
            <w:vAlign w:val="bottom"/>
          </w:tcPr>
          <w:p w14:paraId="6925E202" w14:textId="77777777" w:rsidR="001614AC" w:rsidRDefault="004468F9">
            <w:pPr>
              <w:keepNext/>
              <w:spacing w:before="55" w:after="30" w:line="288" w:lineRule="auto"/>
              <w:jc w:val="right"/>
              <w:rPr>
                <w:rFonts w:ascii="Arial" w:eastAsia="Arial" w:hAnsi="Arial" w:cs="Arial"/>
                <w:color w:val="668092"/>
                <w:sz w:val="18"/>
              </w:rPr>
            </w:pPr>
            <w:r>
              <w:rPr>
                <w:rFonts w:ascii="Arial" w:eastAsia="Arial" w:hAnsi="Arial" w:cs="Arial"/>
                <w:color w:val="668092"/>
                <w:sz w:val="18"/>
                <w:u w:val="single"/>
              </w:rPr>
              <w:fldChar w:fldCharType="begin"/>
            </w:r>
            <w:r>
              <w:rPr>
                <w:rFonts w:ascii="Arial" w:eastAsia="Arial" w:hAnsi="Arial" w:cs="Arial"/>
                <w:color w:val="668092"/>
                <w:sz w:val="18"/>
                <w:u w:val="single"/>
              </w:rPr>
              <w:instrText xml:space="preserve"> PAGEREF  Section10 \h</w:instrText>
            </w:r>
            <w:r>
              <w:rPr>
                <w:rFonts w:ascii="Arial" w:eastAsia="Arial" w:hAnsi="Arial" w:cs="Arial"/>
                <w:color w:val="668092"/>
                <w:sz w:val="18"/>
                <w:u w:val="single"/>
              </w:rPr>
            </w:r>
            <w:r>
              <w:rPr>
                <w:rFonts w:ascii="Arial" w:eastAsia="Arial" w:hAnsi="Arial" w:cs="Arial"/>
                <w:color w:val="668092"/>
                <w:sz w:val="18"/>
                <w:u w:val="single"/>
              </w:rPr>
              <w:fldChar w:fldCharType="separate"/>
            </w:r>
            <w:r>
              <w:rPr>
                <w:rFonts w:ascii="Arial" w:eastAsia="Arial" w:hAnsi="Arial" w:cs="Arial"/>
                <w:color w:val="668092"/>
                <w:sz w:val="18"/>
                <w:u w:val="single"/>
              </w:rPr>
              <w:t>14</w:t>
            </w:r>
            <w:r>
              <w:rPr>
                <w:rFonts w:ascii="Arial" w:eastAsia="Arial" w:hAnsi="Arial" w:cs="Arial"/>
                <w:color w:val="668092"/>
                <w:sz w:val="18"/>
                <w:u w:val="single"/>
              </w:rPr>
              <w:fldChar w:fldCharType="end"/>
            </w:r>
          </w:p>
        </w:tc>
      </w:tr>
      <w:tr w:rsidR="001614AC" w14:paraId="764493BD" w14:textId="77777777">
        <w:trPr>
          <w:cantSplit/>
          <w:trHeight w:hRule="exact" w:val="315"/>
        </w:trPr>
        <w:tc>
          <w:tcPr>
            <w:tcW w:w="9315" w:type="dxa"/>
            <w:tcBorders>
              <w:top w:val="single" w:sz="8" w:space="0" w:color="F4F4F4"/>
              <w:left w:val="nil"/>
              <w:bottom w:val="single" w:sz="8" w:space="0" w:color="F4F4F4"/>
              <w:right w:val="nil"/>
            </w:tcBorders>
            <w:shd w:val="clear" w:color="auto" w:fill="FFFFFF"/>
            <w:tcMar>
              <w:top w:w="0" w:type="dxa"/>
              <w:left w:w="53" w:type="dxa"/>
              <w:bottom w:w="0" w:type="dxa"/>
              <w:right w:w="53" w:type="dxa"/>
            </w:tcMar>
            <w:vAlign w:val="bottom"/>
          </w:tcPr>
          <w:p w14:paraId="0A8CC52A" w14:textId="77777777" w:rsidR="001614AC" w:rsidRDefault="004468F9">
            <w:pPr>
              <w:keepNext/>
              <w:spacing w:before="55" w:after="30" w:line="288" w:lineRule="auto"/>
              <w:rPr>
                <w:rFonts w:ascii="Arial" w:eastAsia="Arial" w:hAnsi="Arial" w:cs="Arial"/>
                <w:color w:val="668092"/>
                <w:sz w:val="18"/>
              </w:rPr>
            </w:pPr>
            <w:hyperlink w:anchor="Section11" w:history="1">
              <w:r>
                <w:rPr>
                  <w:rFonts w:ascii="Arial" w:eastAsia="Arial" w:hAnsi="Arial" w:cs="Arial"/>
                  <w:color w:val="668092"/>
                  <w:sz w:val="18"/>
                  <w:u w:val="single"/>
                </w:rPr>
                <w:t xml:space="preserve">Condensed Consolidated Statements of Cash </w:t>
              </w:r>
              <w:r>
                <w:rPr>
                  <w:rFonts w:ascii="Arial" w:eastAsia="Arial" w:hAnsi="Arial" w:cs="Arial"/>
                  <w:color w:val="668092"/>
                  <w:sz w:val="18"/>
                  <w:u w:val="single"/>
                </w:rPr>
                <w:t>Flows</w:t>
              </w:r>
            </w:hyperlink>
          </w:p>
        </w:tc>
        <w:tc>
          <w:tcPr>
            <w:tcW w:w="765" w:type="dxa"/>
            <w:tcBorders>
              <w:top w:val="single" w:sz="8" w:space="0" w:color="F4F4F4"/>
              <w:left w:val="nil"/>
              <w:bottom w:val="single" w:sz="8" w:space="0" w:color="F4F4F4"/>
              <w:right w:val="nil"/>
            </w:tcBorders>
            <w:tcMar>
              <w:top w:w="0" w:type="dxa"/>
              <w:left w:w="53" w:type="dxa"/>
              <w:bottom w:w="0" w:type="dxa"/>
              <w:right w:w="53" w:type="dxa"/>
            </w:tcMar>
            <w:vAlign w:val="bottom"/>
          </w:tcPr>
          <w:p w14:paraId="5574A0AB" w14:textId="77777777" w:rsidR="001614AC" w:rsidRDefault="004468F9">
            <w:pPr>
              <w:keepNext/>
              <w:spacing w:before="55" w:after="30" w:line="288" w:lineRule="auto"/>
              <w:jc w:val="right"/>
              <w:rPr>
                <w:rFonts w:ascii="Arial" w:eastAsia="Arial" w:hAnsi="Arial" w:cs="Arial"/>
                <w:color w:val="668092"/>
                <w:sz w:val="18"/>
              </w:rPr>
            </w:pPr>
            <w:r>
              <w:rPr>
                <w:rFonts w:ascii="Arial" w:eastAsia="Arial" w:hAnsi="Arial" w:cs="Arial"/>
                <w:color w:val="668092"/>
                <w:sz w:val="18"/>
                <w:u w:val="single"/>
              </w:rPr>
              <w:fldChar w:fldCharType="begin"/>
            </w:r>
            <w:r>
              <w:rPr>
                <w:rFonts w:ascii="Arial" w:eastAsia="Arial" w:hAnsi="Arial" w:cs="Arial"/>
                <w:color w:val="668092"/>
                <w:sz w:val="18"/>
                <w:u w:val="single"/>
              </w:rPr>
              <w:instrText xml:space="preserve"> PAGEREF  Section11 \h</w:instrText>
            </w:r>
            <w:r>
              <w:rPr>
                <w:rFonts w:ascii="Arial" w:eastAsia="Arial" w:hAnsi="Arial" w:cs="Arial"/>
                <w:color w:val="668092"/>
                <w:sz w:val="18"/>
                <w:u w:val="single"/>
              </w:rPr>
            </w:r>
            <w:r>
              <w:rPr>
                <w:rFonts w:ascii="Arial" w:eastAsia="Arial" w:hAnsi="Arial" w:cs="Arial"/>
                <w:color w:val="668092"/>
                <w:sz w:val="18"/>
                <w:u w:val="single"/>
              </w:rPr>
              <w:fldChar w:fldCharType="separate"/>
            </w:r>
            <w:r>
              <w:rPr>
                <w:rFonts w:ascii="Arial" w:eastAsia="Arial" w:hAnsi="Arial" w:cs="Arial"/>
                <w:color w:val="668092"/>
                <w:sz w:val="18"/>
                <w:u w:val="single"/>
              </w:rPr>
              <w:t>15</w:t>
            </w:r>
            <w:r>
              <w:rPr>
                <w:rFonts w:ascii="Arial" w:eastAsia="Arial" w:hAnsi="Arial" w:cs="Arial"/>
                <w:color w:val="668092"/>
                <w:sz w:val="18"/>
                <w:u w:val="single"/>
              </w:rPr>
              <w:fldChar w:fldCharType="end"/>
            </w:r>
          </w:p>
        </w:tc>
      </w:tr>
      <w:tr w:rsidR="001614AC" w14:paraId="19D34C73" w14:textId="77777777">
        <w:trPr>
          <w:cantSplit/>
          <w:trHeight w:hRule="exact" w:val="315"/>
        </w:trPr>
        <w:tc>
          <w:tcPr>
            <w:tcW w:w="9315" w:type="dxa"/>
            <w:tcBorders>
              <w:top w:val="single" w:sz="8" w:space="0" w:color="F4F4F4"/>
              <w:left w:val="nil"/>
              <w:bottom w:val="nil"/>
              <w:right w:val="nil"/>
            </w:tcBorders>
            <w:tcMar>
              <w:top w:w="0" w:type="dxa"/>
              <w:left w:w="0" w:type="dxa"/>
              <w:bottom w:w="0" w:type="dxa"/>
              <w:right w:w="0" w:type="dxa"/>
            </w:tcMar>
            <w:vAlign w:val="bottom"/>
          </w:tcPr>
          <w:p w14:paraId="3FE4AEC6" w14:textId="77777777" w:rsidR="001614AC" w:rsidRDefault="001614AC">
            <w:pPr>
              <w:keepNext/>
            </w:pPr>
          </w:p>
        </w:tc>
        <w:tc>
          <w:tcPr>
            <w:tcW w:w="765" w:type="dxa"/>
            <w:tcBorders>
              <w:top w:val="single" w:sz="8" w:space="0" w:color="F4F4F4"/>
              <w:left w:val="nil"/>
              <w:bottom w:val="nil"/>
              <w:right w:val="nil"/>
            </w:tcBorders>
            <w:tcMar>
              <w:top w:w="0" w:type="dxa"/>
              <w:left w:w="0" w:type="dxa"/>
              <w:bottom w:w="0" w:type="dxa"/>
              <w:right w:w="0" w:type="dxa"/>
            </w:tcMar>
            <w:vAlign w:val="bottom"/>
          </w:tcPr>
          <w:p w14:paraId="4311B82C" w14:textId="77777777" w:rsidR="001614AC" w:rsidRDefault="001614AC">
            <w:pPr>
              <w:keepNext/>
            </w:pPr>
          </w:p>
        </w:tc>
      </w:tr>
      <w:tr w:rsidR="001614AC" w14:paraId="19527BD2" w14:textId="77777777">
        <w:trPr>
          <w:cantSplit/>
          <w:trHeight w:hRule="exact" w:val="315"/>
        </w:trPr>
        <w:tc>
          <w:tcPr>
            <w:tcW w:w="9315" w:type="dxa"/>
            <w:tcBorders>
              <w:top w:val="nil"/>
              <w:left w:val="nil"/>
              <w:bottom w:val="nil"/>
              <w:right w:val="nil"/>
            </w:tcBorders>
            <w:shd w:val="clear" w:color="auto" w:fill="F4F4F4"/>
            <w:tcMar>
              <w:top w:w="0" w:type="dxa"/>
              <w:left w:w="53" w:type="dxa"/>
              <w:bottom w:w="0" w:type="dxa"/>
              <w:right w:w="53" w:type="dxa"/>
            </w:tcMar>
            <w:vAlign w:val="bottom"/>
          </w:tcPr>
          <w:p w14:paraId="5A2890CC" w14:textId="77777777" w:rsidR="001614AC" w:rsidRDefault="004468F9">
            <w:pPr>
              <w:keepNext/>
              <w:spacing w:before="75" w:after="30" w:line="288" w:lineRule="auto"/>
            </w:pPr>
            <w:r>
              <w:rPr>
                <w:rFonts w:ascii="Arial" w:eastAsia="Arial" w:hAnsi="Arial" w:cs="Arial"/>
                <w:b/>
                <w:color w:val="00BAB3"/>
                <w:sz w:val="18"/>
              </w:rPr>
              <w:t>Notes to Unaudited Condensed Consolidated Financial Statements</w:t>
            </w:r>
          </w:p>
        </w:tc>
        <w:tc>
          <w:tcPr>
            <w:tcW w:w="765" w:type="dxa"/>
            <w:tcBorders>
              <w:top w:val="nil"/>
              <w:left w:val="nil"/>
              <w:bottom w:val="nil"/>
              <w:right w:val="nil"/>
            </w:tcBorders>
            <w:shd w:val="clear" w:color="auto" w:fill="F4F4F4"/>
            <w:tcMar>
              <w:top w:w="0" w:type="dxa"/>
              <w:left w:w="0" w:type="dxa"/>
              <w:bottom w:w="0" w:type="dxa"/>
              <w:right w:w="0" w:type="dxa"/>
            </w:tcMar>
            <w:vAlign w:val="bottom"/>
          </w:tcPr>
          <w:p w14:paraId="6147C4B7" w14:textId="77777777" w:rsidR="001614AC" w:rsidRDefault="001614AC">
            <w:pPr>
              <w:keepNext/>
            </w:pPr>
          </w:p>
        </w:tc>
      </w:tr>
      <w:tr w:rsidR="001614AC" w14:paraId="2FE5F342" w14:textId="77777777">
        <w:trPr>
          <w:cantSplit/>
          <w:trHeight w:hRule="exact" w:val="315"/>
        </w:trPr>
        <w:tc>
          <w:tcPr>
            <w:tcW w:w="9315" w:type="dxa"/>
            <w:tcBorders>
              <w:top w:val="nil"/>
              <w:left w:val="nil"/>
              <w:bottom w:val="single" w:sz="8" w:space="0" w:color="F4F4F4"/>
              <w:right w:val="nil"/>
            </w:tcBorders>
            <w:tcMar>
              <w:top w:w="0" w:type="dxa"/>
              <w:left w:w="53" w:type="dxa"/>
              <w:bottom w:w="0" w:type="dxa"/>
              <w:right w:w="53" w:type="dxa"/>
            </w:tcMar>
            <w:vAlign w:val="bottom"/>
          </w:tcPr>
          <w:p w14:paraId="0C64EAE1" w14:textId="77777777" w:rsidR="001614AC" w:rsidRDefault="004468F9">
            <w:pPr>
              <w:keepNext/>
              <w:spacing w:before="75" w:after="30" w:line="288" w:lineRule="auto"/>
              <w:rPr>
                <w:rFonts w:ascii="Arial" w:eastAsia="Arial" w:hAnsi="Arial" w:cs="Arial"/>
                <w:color w:val="668092"/>
                <w:sz w:val="18"/>
              </w:rPr>
            </w:pPr>
            <w:hyperlink w:anchor="Section13" w:history="1">
              <w:r>
                <w:rPr>
                  <w:rFonts w:ascii="Arial" w:eastAsia="Arial" w:hAnsi="Arial" w:cs="Arial"/>
                  <w:color w:val="668092"/>
                  <w:sz w:val="18"/>
                  <w:u w:val="single"/>
                </w:rPr>
                <w:t>Note 1 - Description of Business</w:t>
              </w:r>
            </w:hyperlink>
          </w:p>
        </w:tc>
        <w:tc>
          <w:tcPr>
            <w:tcW w:w="765" w:type="dxa"/>
            <w:tcBorders>
              <w:top w:val="nil"/>
              <w:left w:val="nil"/>
              <w:bottom w:val="single" w:sz="8" w:space="0" w:color="F4F4F4"/>
              <w:right w:val="nil"/>
            </w:tcBorders>
            <w:tcMar>
              <w:top w:w="0" w:type="dxa"/>
              <w:left w:w="53" w:type="dxa"/>
              <w:bottom w:w="0" w:type="dxa"/>
              <w:right w:w="53" w:type="dxa"/>
            </w:tcMar>
            <w:vAlign w:val="bottom"/>
          </w:tcPr>
          <w:p w14:paraId="16936713" w14:textId="77777777" w:rsidR="001614AC" w:rsidRDefault="004468F9">
            <w:pPr>
              <w:keepNext/>
              <w:spacing w:before="75" w:after="30" w:line="288" w:lineRule="auto"/>
              <w:jc w:val="right"/>
              <w:rPr>
                <w:rFonts w:ascii="Arial" w:eastAsia="Arial" w:hAnsi="Arial" w:cs="Arial"/>
                <w:color w:val="668092"/>
                <w:sz w:val="18"/>
              </w:rPr>
            </w:pPr>
            <w:r>
              <w:rPr>
                <w:rFonts w:ascii="Arial" w:eastAsia="Arial" w:hAnsi="Arial" w:cs="Arial"/>
                <w:color w:val="668092"/>
                <w:sz w:val="18"/>
                <w:u w:val="single"/>
              </w:rPr>
              <w:fldChar w:fldCharType="begin"/>
            </w:r>
            <w:r>
              <w:rPr>
                <w:rFonts w:ascii="Arial" w:eastAsia="Arial" w:hAnsi="Arial" w:cs="Arial"/>
                <w:color w:val="668092"/>
                <w:sz w:val="18"/>
                <w:u w:val="single"/>
              </w:rPr>
              <w:instrText xml:space="preserve"> PAGEREF  Section13 \h</w:instrText>
            </w:r>
            <w:r>
              <w:rPr>
                <w:rFonts w:ascii="Arial" w:eastAsia="Arial" w:hAnsi="Arial" w:cs="Arial"/>
                <w:color w:val="668092"/>
                <w:sz w:val="18"/>
                <w:u w:val="single"/>
              </w:rPr>
            </w:r>
            <w:r>
              <w:rPr>
                <w:rFonts w:ascii="Arial" w:eastAsia="Arial" w:hAnsi="Arial" w:cs="Arial"/>
                <w:color w:val="668092"/>
                <w:sz w:val="18"/>
                <w:u w:val="single"/>
              </w:rPr>
              <w:fldChar w:fldCharType="separate"/>
            </w:r>
            <w:r>
              <w:rPr>
                <w:rFonts w:ascii="Arial" w:eastAsia="Arial" w:hAnsi="Arial" w:cs="Arial"/>
                <w:color w:val="668092"/>
                <w:sz w:val="18"/>
                <w:u w:val="single"/>
              </w:rPr>
              <w:t>17</w:t>
            </w:r>
            <w:r>
              <w:rPr>
                <w:rFonts w:ascii="Arial" w:eastAsia="Arial" w:hAnsi="Arial" w:cs="Arial"/>
                <w:color w:val="668092"/>
                <w:sz w:val="18"/>
                <w:u w:val="single"/>
              </w:rPr>
              <w:fldChar w:fldCharType="end"/>
            </w:r>
          </w:p>
        </w:tc>
      </w:tr>
      <w:tr w:rsidR="001614AC" w14:paraId="2A7C9D58" w14:textId="77777777">
        <w:trPr>
          <w:cantSplit/>
          <w:trHeight w:hRule="exact" w:val="315"/>
        </w:trPr>
        <w:tc>
          <w:tcPr>
            <w:tcW w:w="9315" w:type="dxa"/>
            <w:tcBorders>
              <w:top w:val="single" w:sz="8" w:space="0" w:color="F4F4F4"/>
              <w:left w:val="nil"/>
              <w:bottom w:val="single" w:sz="8" w:space="0" w:color="F4F4F4"/>
              <w:right w:val="nil"/>
            </w:tcBorders>
            <w:tcMar>
              <w:top w:w="0" w:type="dxa"/>
              <w:left w:w="53" w:type="dxa"/>
              <w:bottom w:w="0" w:type="dxa"/>
              <w:right w:w="53" w:type="dxa"/>
            </w:tcMar>
            <w:vAlign w:val="bottom"/>
          </w:tcPr>
          <w:p w14:paraId="23B1FD06" w14:textId="77777777" w:rsidR="001614AC" w:rsidRDefault="004468F9">
            <w:pPr>
              <w:keepNext/>
              <w:spacing w:before="55" w:after="30" w:line="288" w:lineRule="auto"/>
              <w:rPr>
                <w:rFonts w:ascii="Arial" w:eastAsia="Arial" w:hAnsi="Arial" w:cs="Arial"/>
                <w:color w:val="668092"/>
                <w:sz w:val="18"/>
              </w:rPr>
            </w:pPr>
            <w:hyperlink w:anchor="Section14" w:history="1">
              <w:r>
                <w:rPr>
                  <w:rFonts w:ascii="Arial" w:eastAsia="Arial" w:hAnsi="Arial" w:cs="Arial"/>
                  <w:color w:val="668092"/>
                  <w:sz w:val="18"/>
                  <w:u w:val="single"/>
                </w:rPr>
                <w:t>Note 2 - Significant Accounting Policies</w:t>
              </w:r>
            </w:hyperlink>
          </w:p>
        </w:tc>
        <w:tc>
          <w:tcPr>
            <w:tcW w:w="765" w:type="dxa"/>
            <w:tcBorders>
              <w:top w:val="single" w:sz="8" w:space="0" w:color="F4F4F4"/>
              <w:left w:val="nil"/>
              <w:bottom w:val="single" w:sz="8" w:space="0" w:color="F4F4F4"/>
              <w:right w:val="nil"/>
            </w:tcBorders>
            <w:tcMar>
              <w:top w:w="0" w:type="dxa"/>
              <w:left w:w="53" w:type="dxa"/>
              <w:bottom w:w="0" w:type="dxa"/>
              <w:right w:w="53" w:type="dxa"/>
            </w:tcMar>
            <w:vAlign w:val="bottom"/>
          </w:tcPr>
          <w:p w14:paraId="7E44A50B" w14:textId="77777777" w:rsidR="001614AC" w:rsidRDefault="004468F9">
            <w:pPr>
              <w:keepNext/>
              <w:spacing w:before="55" w:after="30" w:line="288" w:lineRule="auto"/>
              <w:jc w:val="right"/>
              <w:rPr>
                <w:rFonts w:ascii="Arial" w:eastAsia="Arial" w:hAnsi="Arial" w:cs="Arial"/>
                <w:color w:val="668092"/>
                <w:sz w:val="18"/>
              </w:rPr>
            </w:pPr>
            <w:r>
              <w:rPr>
                <w:rFonts w:ascii="Arial" w:eastAsia="Arial" w:hAnsi="Arial" w:cs="Arial"/>
                <w:color w:val="668092"/>
                <w:sz w:val="18"/>
                <w:u w:val="single"/>
              </w:rPr>
              <w:fldChar w:fldCharType="begin"/>
            </w:r>
            <w:r>
              <w:rPr>
                <w:rFonts w:ascii="Arial" w:eastAsia="Arial" w:hAnsi="Arial" w:cs="Arial"/>
                <w:color w:val="668092"/>
                <w:sz w:val="18"/>
                <w:u w:val="single"/>
              </w:rPr>
              <w:instrText xml:space="preserve"> PAGEREF  Section14 \h</w:instrText>
            </w:r>
            <w:r>
              <w:rPr>
                <w:rFonts w:ascii="Arial" w:eastAsia="Arial" w:hAnsi="Arial" w:cs="Arial"/>
                <w:color w:val="668092"/>
                <w:sz w:val="18"/>
                <w:u w:val="single"/>
              </w:rPr>
            </w:r>
            <w:r>
              <w:rPr>
                <w:rFonts w:ascii="Arial" w:eastAsia="Arial" w:hAnsi="Arial" w:cs="Arial"/>
                <w:color w:val="668092"/>
                <w:sz w:val="18"/>
                <w:u w:val="single"/>
              </w:rPr>
              <w:fldChar w:fldCharType="separate"/>
            </w:r>
            <w:r>
              <w:rPr>
                <w:rFonts w:ascii="Arial" w:eastAsia="Arial" w:hAnsi="Arial" w:cs="Arial"/>
                <w:color w:val="668092"/>
                <w:sz w:val="18"/>
                <w:u w:val="single"/>
              </w:rPr>
              <w:t>18</w:t>
            </w:r>
            <w:r>
              <w:rPr>
                <w:rFonts w:ascii="Arial" w:eastAsia="Arial" w:hAnsi="Arial" w:cs="Arial"/>
                <w:color w:val="668092"/>
                <w:sz w:val="18"/>
                <w:u w:val="single"/>
              </w:rPr>
              <w:fldChar w:fldCharType="end"/>
            </w:r>
          </w:p>
        </w:tc>
      </w:tr>
      <w:tr w:rsidR="001614AC" w14:paraId="007D221E" w14:textId="77777777">
        <w:trPr>
          <w:cantSplit/>
          <w:trHeight w:hRule="exact" w:val="315"/>
        </w:trPr>
        <w:tc>
          <w:tcPr>
            <w:tcW w:w="9315" w:type="dxa"/>
            <w:tcBorders>
              <w:top w:val="single" w:sz="8" w:space="0" w:color="F4F4F4"/>
              <w:left w:val="nil"/>
              <w:bottom w:val="single" w:sz="8" w:space="0" w:color="F4F4F4"/>
              <w:right w:val="nil"/>
            </w:tcBorders>
            <w:tcMar>
              <w:top w:w="0" w:type="dxa"/>
              <w:left w:w="53" w:type="dxa"/>
              <w:bottom w:w="0" w:type="dxa"/>
              <w:right w:w="53" w:type="dxa"/>
            </w:tcMar>
            <w:vAlign w:val="bottom"/>
          </w:tcPr>
          <w:p w14:paraId="09AD06AC" w14:textId="77777777" w:rsidR="001614AC" w:rsidRDefault="004468F9">
            <w:pPr>
              <w:keepNext/>
              <w:spacing w:before="55" w:after="30" w:line="288" w:lineRule="auto"/>
              <w:rPr>
                <w:rFonts w:ascii="Arial" w:eastAsia="Arial" w:hAnsi="Arial" w:cs="Arial"/>
                <w:color w:val="668092"/>
                <w:sz w:val="18"/>
              </w:rPr>
            </w:pPr>
            <w:hyperlink w:anchor="Section15" w:history="1">
              <w:r>
                <w:rPr>
                  <w:rFonts w:ascii="Arial" w:eastAsia="Arial" w:hAnsi="Arial" w:cs="Arial"/>
                  <w:color w:val="668092"/>
                  <w:sz w:val="18"/>
                  <w:u w:val="single"/>
                </w:rPr>
                <w:t>Note 3 - Net Income (Loss) Per Share</w:t>
              </w:r>
            </w:hyperlink>
          </w:p>
        </w:tc>
        <w:tc>
          <w:tcPr>
            <w:tcW w:w="765" w:type="dxa"/>
            <w:tcBorders>
              <w:top w:val="single" w:sz="8" w:space="0" w:color="F4F4F4"/>
              <w:left w:val="nil"/>
              <w:bottom w:val="single" w:sz="8" w:space="0" w:color="F4F4F4"/>
              <w:right w:val="nil"/>
            </w:tcBorders>
            <w:tcMar>
              <w:top w:w="0" w:type="dxa"/>
              <w:left w:w="53" w:type="dxa"/>
              <w:bottom w:w="0" w:type="dxa"/>
              <w:right w:w="53" w:type="dxa"/>
            </w:tcMar>
            <w:vAlign w:val="bottom"/>
          </w:tcPr>
          <w:p w14:paraId="4DE5B5D2" w14:textId="77777777" w:rsidR="001614AC" w:rsidRDefault="004468F9">
            <w:pPr>
              <w:keepNext/>
              <w:spacing w:before="55" w:after="30" w:line="288" w:lineRule="auto"/>
              <w:jc w:val="right"/>
              <w:rPr>
                <w:rFonts w:ascii="Arial" w:eastAsia="Arial" w:hAnsi="Arial" w:cs="Arial"/>
                <w:color w:val="668092"/>
                <w:sz w:val="18"/>
              </w:rPr>
            </w:pPr>
            <w:r>
              <w:rPr>
                <w:rFonts w:ascii="Arial" w:eastAsia="Arial" w:hAnsi="Arial" w:cs="Arial"/>
                <w:color w:val="668092"/>
                <w:sz w:val="18"/>
                <w:u w:val="single"/>
              </w:rPr>
              <w:fldChar w:fldCharType="begin"/>
            </w:r>
            <w:r>
              <w:rPr>
                <w:rFonts w:ascii="Arial" w:eastAsia="Arial" w:hAnsi="Arial" w:cs="Arial"/>
                <w:color w:val="668092"/>
                <w:sz w:val="18"/>
                <w:u w:val="single"/>
              </w:rPr>
              <w:instrText xml:space="preserve"> PAGEREF  Section15 \h</w:instrText>
            </w:r>
            <w:r>
              <w:rPr>
                <w:rFonts w:ascii="Arial" w:eastAsia="Arial" w:hAnsi="Arial" w:cs="Arial"/>
                <w:color w:val="668092"/>
                <w:sz w:val="18"/>
                <w:u w:val="single"/>
              </w:rPr>
            </w:r>
            <w:r>
              <w:rPr>
                <w:rFonts w:ascii="Arial" w:eastAsia="Arial" w:hAnsi="Arial" w:cs="Arial"/>
                <w:color w:val="668092"/>
                <w:sz w:val="18"/>
                <w:u w:val="single"/>
              </w:rPr>
              <w:fldChar w:fldCharType="separate"/>
            </w:r>
            <w:r>
              <w:rPr>
                <w:rFonts w:ascii="Arial" w:eastAsia="Arial" w:hAnsi="Arial" w:cs="Arial"/>
                <w:color w:val="668092"/>
                <w:sz w:val="18"/>
                <w:u w:val="single"/>
              </w:rPr>
              <w:t>20</w:t>
            </w:r>
            <w:r>
              <w:rPr>
                <w:rFonts w:ascii="Arial" w:eastAsia="Arial" w:hAnsi="Arial" w:cs="Arial"/>
                <w:color w:val="668092"/>
                <w:sz w:val="18"/>
                <w:u w:val="single"/>
              </w:rPr>
              <w:fldChar w:fldCharType="end"/>
            </w:r>
          </w:p>
        </w:tc>
      </w:tr>
      <w:tr w:rsidR="001614AC" w14:paraId="73621742" w14:textId="77777777">
        <w:trPr>
          <w:cantSplit/>
          <w:trHeight w:hRule="exact" w:val="315"/>
        </w:trPr>
        <w:tc>
          <w:tcPr>
            <w:tcW w:w="9315" w:type="dxa"/>
            <w:tcBorders>
              <w:top w:val="single" w:sz="8" w:space="0" w:color="F4F4F4"/>
              <w:left w:val="nil"/>
              <w:bottom w:val="single" w:sz="8" w:space="0" w:color="F4F4F4"/>
              <w:right w:val="nil"/>
            </w:tcBorders>
            <w:tcMar>
              <w:top w:w="0" w:type="dxa"/>
              <w:left w:w="53" w:type="dxa"/>
              <w:bottom w:w="0" w:type="dxa"/>
              <w:right w:w="53" w:type="dxa"/>
            </w:tcMar>
            <w:vAlign w:val="bottom"/>
          </w:tcPr>
          <w:p w14:paraId="5B9290CB" w14:textId="77777777" w:rsidR="001614AC" w:rsidRDefault="004468F9">
            <w:pPr>
              <w:keepNext/>
              <w:spacing w:before="55" w:after="30" w:line="288" w:lineRule="auto"/>
              <w:rPr>
                <w:rFonts w:ascii="Arial" w:eastAsia="Arial" w:hAnsi="Arial" w:cs="Arial"/>
                <w:color w:val="668092"/>
                <w:sz w:val="18"/>
              </w:rPr>
            </w:pPr>
            <w:hyperlink w:anchor="Section16" w:history="1">
              <w:r>
                <w:rPr>
                  <w:rFonts w:ascii="Arial" w:eastAsia="Arial" w:hAnsi="Arial" w:cs="Arial"/>
                  <w:color w:val="668092"/>
                  <w:sz w:val="18"/>
                  <w:u w:val="single"/>
                </w:rPr>
                <w:t>Note 4 - Segment Reporting</w:t>
              </w:r>
            </w:hyperlink>
          </w:p>
        </w:tc>
        <w:tc>
          <w:tcPr>
            <w:tcW w:w="765" w:type="dxa"/>
            <w:tcBorders>
              <w:top w:val="single" w:sz="8" w:space="0" w:color="F4F4F4"/>
              <w:left w:val="nil"/>
              <w:bottom w:val="single" w:sz="8" w:space="0" w:color="F4F4F4"/>
              <w:right w:val="nil"/>
            </w:tcBorders>
            <w:tcMar>
              <w:top w:w="0" w:type="dxa"/>
              <w:left w:w="53" w:type="dxa"/>
              <w:bottom w:w="0" w:type="dxa"/>
              <w:right w:w="53" w:type="dxa"/>
            </w:tcMar>
            <w:vAlign w:val="bottom"/>
          </w:tcPr>
          <w:p w14:paraId="20C9A8EC" w14:textId="77777777" w:rsidR="001614AC" w:rsidRDefault="004468F9">
            <w:pPr>
              <w:keepNext/>
              <w:spacing w:before="55" w:after="30" w:line="288" w:lineRule="auto"/>
              <w:jc w:val="right"/>
              <w:rPr>
                <w:rFonts w:ascii="Arial" w:eastAsia="Arial" w:hAnsi="Arial" w:cs="Arial"/>
                <w:color w:val="668092"/>
                <w:sz w:val="18"/>
              </w:rPr>
            </w:pPr>
            <w:r>
              <w:rPr>
                <w:rFonts w:ascii="Arial" w:eastAsia="Arial" w:hAnsi="Arial" w:cs="Arial"/>
                <w:color w:val="668092"/>
                <w:sz w:val="18"/>
                <w:u w:val="single"/>
              </w:rPr>
              <w:fldChar w:fldCharType="begin"/>
            </w:r>
            <w:r>
              <w:rPr>
                <w:rFonts w:ascii="Arial" w:eastAsia="Arial" w:hAnsi="Arial" w:cs="Arial"/>
                <w:color w:val="668092"/>
                <w:sz w:val="18"/>
                <w:u w:val="single"/>
              </w:rPr>
              <w:instrText xml:space="preserve"> PAGEREF  Section16 \h</w:instrText>
            </w:r>
            <w:r>
              <w:rPr>
                <w:rFonts w:ascii="Arial" w:eastAsia="Arial" w:hAnsi="Arial" w:cs="Arial"/>
                <w:color w:val="668092"/>
                <w:sz w:val="18"/>
                <w:u w:val="single"/>
              </w:rPr>
            </w:r>
            <w:r>
              <w:rPr>
                <w:rFonts w:ascii="Arial" w:eastAsia="Arial" w:hAnsi="Arial" w:cs="Arial"/>
                <w:color w:val="668092"/>
                <w:sz w:val="18"/>
                <w:u w:val="single"/>
              </w:rPr>
              <w:fldChar w:fldCharType="separate"/>
            </w:r>
            <w:r>
              <w:rPr>
                <w:rFonts w:ascii="Arial" w:eastAsia="Arial" w:hAnsi="Arial" w:cs="Arial"/>
                <w:color w:val="668092"/>
                <w:sz w:val="18"/>
                <w:u w:val="single"/>
              </w:rPr>
              <w:t>20</w:t>
            </w:r>
            <w:r>
              <w:rPr>
                <w:rFonts w:ascii="Arial" w:eastAsia="Arial" w:hAnsi="Arial" w:cs="Arial"/>
                <w:color w:val="668092"/>
                <w:sz w:val="18"/>
                <w:u w:val="single"/>
              </w:rPr>
              <w:fldChar w:fldCharType="end"/>
            </w:r>
          </w:p>
        </w:tc>
      </w:tr>
      <w:tr w:rsidR="001614AC" w14:paraId="348BC462" w14:textId="77777777">
        <w:trPr>
          <w:cantSplit/>
          <w:trHeight w:hRule="exact" w:val="315"/>
        </w:trPr>
        <w:tc>
          <w:tcPr>
            <w:tcW w:w="9315" w:type="dxa"/>
            <w:tcBorders>
              <w:top w:val="single" w:sz="8" w:space="0" w:color="F4F4F4"/>
              <w:left w:val="nil"/>
              <w:bottom w:val="single" w:sz="8" w:space="0" w:color="F4F4F4"/>
              <w:right w:val="nil"/>
            </w:tcBorders>
            <w:tcMar>
              <w:top w:w="0" w:type="dxa"/>
              <w:left w:w="53" w:type="dxa"/>
              <w:bottom w:w="0" w:type="dxa"/>
              <w:right w:w="53" w:type="dxa"/>
            </w:tcMar>
            <w:vAlign w:val="bottom"/>
          </w:tcPr>
          <w:p w14:paraId="152341A8" w14:textId="77777777" w:rsidR="001614AC" w:rsidRDefault="004468F9">
            <w:pPr>
              <w:keepNext/>
              <w:spacing w:before="55" w:after="30" w:line="288" w:lineRule="auto"/>
              <w:rPr>
                <w:rFonts w:ascii="Arial" w:eastAsia="Arial" w:hAnsi="Arial" w:cs="Arial"/>
                <w:color w:val="668092"/>
                <w:sz w:val="18"/>
              </w:rPr>
            </w:pPr>
            <w:hyperlink w:anchor="Section17" w:history="1">
              <w:r>
                <w:rPr>
                  <w:rFonts w:ascii="Arial" w:eastAsia="Arial" w:hAnsi="Arial" w:cs="Arial"/>
                  <w:color w:val="668092"/>
                  <w:sz w:val="18"/>
                  <w:u w:val="single"/>
                </w:rPr>
                <w:t>Note 5 - Fair Value of Financial Instruments</w:t>
              </w:r>
            </w:hyperlink>
          </w:p>
        </w:tc>
        <w:tc>
          <w:tcPr>
            <w:tcW w:w="765" w:type="dxa"/>
            <w:tcBorders>
              <w:top w:val="single" w:sz="8" w:space="0" w:color="F4F4F4"/>
              <w:left w:val="nil"/>
              <w:bottom w:val="single" w:sz="8" w:space="0" w:color="F4F4F4"/>
              <w:right w:val="nil"/>
            </w:tcBorders>
            <w:tcMar>
              <w:top w:w="0" w:type="dxa"/>
              <w:left w:w="53" w:type="dxa"/>
              <w:bottom w:w="0" w:type="dxa"/>
              <w:right w:w="53" w:type="dxa"/>
            </w:tcMar>
            <w:vAlign w:val="bottom"/>
          </w:tcPr>
          <w:p w14:paraId="049A751E" w14:textId="77777777" w:rsidR="001614AC" w:rsidRDefault="004468F9">
            <w:pPr>
              <w:keepNext/>
              <w:spacing w:before="55" w:after="30" w:line="288" w:lineRule="auto"/>
              <w:jc w:val="right"/>
              <w:rPr>
                <w:rFonts w:ascii="Arial" w:eastAsia="Arial" w:hAnsi="Arial" w:cs="Arial"/>
                <w:color w:val="668092"/>
                <w:sz w:val="18"/>
              </w:rPr>
            </w:pPr>
            <w:r>
              <w:rPr>
                <w:rFonts w:ascii="Arial" w:eastAsia="Arial" w:hAnsi="Arial" w:cs="Arial"/>
                <w:color w:val="668092"/>
                <w:sz w:val="18"/>
                <w:u w:val="single"/>
              </w:rPr>
              <w:fldChar w:fldCharType="begin"/>
            </w:r>
            <w:r>
              <w:rPr>
                <w:rFonts w:ascii="Arial" w:eastAsia="Arial" w:hAnsi="Arial" w:cs="Arial"/>
                <w:color w:val="668092"/>
                <w:sz w:val="18"/>
                <w:u w:val="single"/>
              </w:rPr>
              <w:instrText xml:space="preserve"> PAGEREF  Section17 \h</w:instrText>
            </w:r>
            <w:r>
              <w:rPr>
                <w:rFonts w:ascii="Arial" w:eastAsia="Arial" w:hAnsi="Arial" w:cs="Arial"/>
                <w:color w:val="668092"/>
                <w:sz w:val="18"/>
                <w:u w:val="single"/>
              </w:rPr>
            </w:r>
            <w:r>
              <w:rPr>
                <w:rFonts w:ascii="Arial" w:eastAsia="Arial" w:hAnsi="Arial" w:cs="Arial"/>
                <w:color w:val="668092"/>
                <w:sz w:val="18"/>
                <w:u w:val="single"/>
              </w:rPr>
              <w:fldChar w:fldCharType="separate"/>
            </w:r>
            <w:r>
              <w:rPr>
                <w:rFonts w:ascii="Arial" w:eastAsia="Arial" w:hAnsi="Arial" w:cs="Arial"/>
                <w:color w:val="668092"/>
                <w:sz w:val="18"/>
                <w:u w:val="single"/>
              </w:rPr>
              <w:t>23</w:t>
            </w:r>
            <w:r>
              <w:rPr>
                <w:rFonts w:ascii="Arial" w:eastAsia="Arial" w:hAnsi="Arial" w:cs="Arial"/>
                <w:color w:val="668092"/>
                <w:sz w:val="18"/>
                <w:u w:val="single"/>
              </w:rPr>
              <w:fldChar w:fldCharType="end"/>
            </w:r>
          </w:p>
        </w:tc>
      </w:tr>
      <w:tr w:rsidR="001614AC" w14:paraId="45D5DA81" w14:textId="77777777">
        <w:trPr>
          <w:cantSplit/>
          <w:trHeight w:hRule="exact" w:val="315"/>
        </w:trPr>
        <w:tc>
          <w:tcPr>
            <w:tcW w:w="9315" w:type="dxa"/>
            <w:tcBorders>
              <w:top w:val="single" w:sz="8" w:space="0" w:color="F4F4F4"/>
              <w:left w:val="nil"/>
              <w:bottom w:val="single" w:sz="8" w:space="0" w:color="F4F4F4"/>
              <w:right w:val="nil"/>
            </w:tcBorders>
            <w:tcMar>
              <w:top w:w="0" w:type="dxa"/>
              <w:left w:w="53" w:type="dxa"/>
              <w:bottom w:w="0" w:type="dxa"/>
              <w:right w:w="53" w:type="dxa"/>
            </w:tcMar>
            <w:vAlign w:val="bottom"/>
          </w:tcPr>
          <w:p w14:paraId="70F9BE30" w14:textId="77777777" w:rsidR="001614AC" w:rsidRDefault="004468F9">
            <w:pPr>
              <w:keepNext/>
              <w:spacing w:before="55" w:after="30" w:line="288" w:lineRule="auto"/>
              <w:rPr>
                <w:rFonts w:ascii="Arial" w:eastAsia="Arial" w:hAnsi="Arial" w:cs="Arial"/>
                <w:color w:val="668092"/>
                <w:sz w:val="18"/>
              </w:rPr>
            </w:pPr>
            <w:hyperlink w:anchor="Section18" w:history="1">
              <w:r>
                <w:rPr>
                  <w:rFonts w:ascii="Arial" w:eastAsia="Arial" w:hAnsi="Arial" w:cs="Arial"/>
                  <w:color w:val="668092"/>
                  <w:sz w:val="18"/>
                  <w:u w:val="single"/>
                </w:rPr>
                <w:t>N</w:t>
              </w:r>
              <w:r>
                <w:rPr>
                  <w:rFonts w:ascii="Arial" w:eastAsia="Arial" w:hAnsi="Arial" w:cs="Arial"/>
                  <w:color w:val="668092"/>
                  <w:sz w:val="18"/>
                  <w:u w:val="single"/>
                </w:rPr>
                <w:t>ote 6 - Investments</w:t>
              </w:r>
            </w:hyperlink>
          </w:p>
        </w:tc>
        <w:tc>
          <w:tcPr>
            <w:tcW w:w="765" w:type="dxa"/>
            <w:tcBorders>
              <w:top w:val="single" w:sz="8" w:space="0" w:color="F4F4F4"/>
              <w:left w:val="nil"/>
              <w:bottom w:val="single" w:sz="8" w:space="0" w:color="F4F4F4"/>
              <w:right w:val="nil"/>
            </w:tcBorders>
            <w:tcMar>
              <w:top w:w="0" w:type="dxa"/>
              <w:left w:w="53" w:type="dxa"/>
              <w:bottom w:w="0" w:type="dxa"/>
              <w:right w:w="53" w:type="dxa"/>
            </w:tcMar>
            <w:vAlign w:val="bottom"/>
          </w:tcPr>
          <w:p w14:paraId="3802286E" w14:textId="77777777" w:rsidR="001614AC" w:rsidRDefault="004468F9">
            <w:pPr>
              <w:keepNext/>
              <w:spacing w:before="55" w:after="30" w:line="288" w:lineRule="auto"/>
              <w:jc w:val="right"/>
              <w:rPr>
                <w:rFonts w:ascii="Arial" w:eastAsia="Arial" w:hAnsi="Arial" w:cs="Arial"/>
                <w:color w:val="668092"/>
                <w:sz w:val="18"/>
              </w:rPr>
            </w:pPr>
            <w:r>
              <w:rPr>
                <w:rFonts w:ascii="Arial" w:eastAsia="Arial" w:hAnsi="Arial" w:cs="Arial"/>
                <w:color w:val="668092"/>
                <w:sz w:val="18"/>
                <w:u w:val="single"/>
              </w:rPr>
              <w:fldChar w:fldCharType="begin"/>
            </w:r>
            <w:r>
              <w:rPr>
                <w:rFonts w:ascii="Arial" w:eastAsia="Arial" w:hAnsi="Arial" w:cs="Arial"/>
                <w:color w:val="668092"/>
                <w:sz w:val="18"/>
                <w:u w:val="single"/>
              </w:rPr>
              <w:instrText xml:space="preserve"> PAGEREF  Section18 \h</w:instrText>
            </w:r>
            <w:r>
              <w:rPr>
                <w:rFonts w:ascii="Arial" w:eastAsia="Arial" w:hAnsi="Arial" w:cs="Arial"/>
                <w:color w:val="668092"/>
                <w:sz w:val="18"/>
                <w:u w:val="single"/>
              </w:rPr>
            </w:r>
            <w:r>
              <w:rPr>
                <w:rFonts w:ascii="Arial" w:eastAsia="Arial" w:hAnsi="Arial" w:cs="Arial"/>
                <w:color w:val="668092"/>
                <w:sz w:val="18"/>
                <w:u w:val="single"/>
              </w:rPr>
              <w:fldChar w:fldCharType="separate"/>
            </w:r>
            <w:r>
              <w:rPr>
                <w:rFonts w:ascii="Arial" w:eastAsia="Arial" w:hAnsi="Arial" w:cs="Arial"/>
                <w:color w:val="668092"/>
                <w:sz w:val="18"/>
                <w:u w:val="single"/>
              </w:rPr>
              <w:t>28</w:t>
            </w:r>
            <w:r>
              <w:rPr>
                <w:rFonts w:ascii="Arial" w:eastAsia="Arial" w:hAnsi="Arial" w:cs="Arial"/>
                <w:color w:val="668092"/>
                <w:sz w:val="18"/>
                <w:u w:val="single"/>
              </w:rPr>
              <w:fldChar w:fldCharType="end"/>
            </w:r>
          </w:p>
        </w:tc>
      </w:tr>
      <w:tr w:rsidR="001614AC" w14:paraId="237BEFAF" w14:textId="77777777">
        <w:trPr>
          <w:cantSplit/>
          <w:trHeight w:hRule="exact" w:val="315"/>
        </w:trPr>
        <w:tc>
          <w:tcPr>
            <w:tcW w:w="9315" w:type="dxa"/>
            <w:tcBorders>
              <w:top w:val="single" w:sz="8" w:space="0" w:color="F4F4F4"/>
              <w:left w:val="nil"/>
              <w:bottom w:val="single" w:sz="8" w:space="0" w:color="F4F4F4"/>
              <w:right w:val="nil"/>
            </w:tcBorders>
            <w:tcMar>
              <w:top w:w="0" w:type="dxa"/>
              <w:left w:w="53" w:type="dxa"/>
              <w:bottom w:w="0" w:type="dxa"/>
              <w:right w:w="53" w:type="dxa"/>
            </w:tcMar>
            <w:vAlign w:val="bottom"/>
          </w:tcPr>
          <w:p w14:paraId="382C58D6" w14:textId="77777777" w:rsidR="001614AC" w:rsidRDefault="004468F9">
            <w:pPr>
              <w:keepNext/>
              <w:spacing w:before="55" w:after="30" w:line="288" w:lineRule="auto"/>
              <w:rPr>
                <w:rFonts w:ascii="Arial" w:eastAsia="Arial" w:hAnsi="Arial" w:cs="Arial"/>
                <w:color w:val="668092"/>
                <w:sz w:val="18"/>
              </w:rPr>
            </w:pPr>
            <w:hyperlink w:anchor="Section19" w:history="1">
              <w:r>
                <w:rPr>
                  <w:rFonts w:ascii="Arial" w:eastAsia="Arial" w:hAnsi="Arial" w:cs="Arial"/>
                  <w:color w:val="668092"/>
                  <w:sz w:val="18"/>
                  <w:u w:val="single"/>
                </w:rPr>
                <w:t>Note 7 - Goodwill and Other Acquired Intangible Assets, Net</w:t>
              </w:r>
            </w:hyperlink>
          </w:p>
        </w:tc>
        <w:tc>
          <w:tcPr>
            <w:tcW w:w="765" w:type="dxa"/>
            <w:tcBorders>
              <w:top w:val="single" w:sz="8" w:space="0" w:color="F4F4F4"/>
              <w:left w:val="nil"/>
              <w:bottom w:val="single" w:sz="8" w:space="0" w:color="F4F4F4"/>
              <w:right w:val="nil"/>
            </w:tcBorders>
            <w:tcMar>
              <w:top w:w="0" w:type="dxa"/>
              <w:left w:w="53" w:type="dxa"/>
              <w:bottom w:w="0" w:type="dxa"/>
              <w:right w:w="53" w:type="dxa"/>
            </w:tcMar>
            <w:vAlign w:val="bottom"/>
          </w:tcPr>
          <w:p w14:paraId="1858D8A5" w14:textId="77777777" w:rsidR="001614AC" w:rsidRDefault="004468F9">
            <w:pPr>
              <w:keepNext/>
              <w:spacing w:before="55" w:after="30" w:line="288" w:lineRule="auto"/>
              <w:jc w:val="right"/>
              <w:rPr>
                <w:rFonts w:ascii="Arial" w:eastAsia="Arial" w:hAnsi="Arial" w:cs="Arial"/>
                <w:color w:val="668092"/>
                <w:sz w:val="18"/>
              </w:rPr>
            </w:pPr>
            <w:r>
              <w:rPr>
                <w:rFonts w:ascii="Arial" w:eastAsia="Arial" w:hAnsi="Arial" w:cs="Arial"/>
                <w:color w:val="668092"/>
                <w:sz w:val="18"/>
                <w:u w:val="single"/>
              </w:rPr>
              <w:fldChar w:fldCharType="begin"/>
            </w:r>
            <w:r>
              <w:rPr>
                <w:rFonts w:ascii="Arial" w:eastAsia="Arial" w:hAnsi="Arial" w:cs="Arial"/>
                <w:color w:val="668092"/>
                <w:sz w:val="18"/>
                <w:u w:val="single"/>
              </w:rPr>
              <w:instrText xml:space="preserve"> PAGEREF  Section19 \h</w:instrText>
            </w:r>
            <w:r>
              <w:rPr>
                <w:rFonts w:ascii="Arial" w:eastAsia="Arial" w:hAnsi="Arial" w:cs="Arial"/>
                <w:color w:val="668092"/>
                <w:sz w:val="18"/>
                <w:u w:val="single"/>
              </w:rPr>
            </w:r>
            <w:r>
              <w:rPr>
                <w:rFonts w:ascii="Arial" w:eastAsia="Arial" w:hAnsi="Arial" w:cs="Arial"/>
                <w:color w:val="668092"/>
                <w:sz w:val="18"/>
                <w:u w:val="single"/>
              </w:rPr>
              <w:fldChar w:fldCharType="separate"/>
            </w:r>
            <w:r>
              <w:rPr>
                <w:rFonts w:ascii="Arial" w:eastAsia="Arial" w:hAnsi="Arial" w:cs="Arial"/>
                <w:color w:val="668092"/>
                <w:sz w:val="18"/>
                <w:u w:val="single"/>
              </w:rPr>
              <w:t>33</w:t>
            </w:r>
            <w:r>
              <w:rPr>
                <w:rFonts w:ascii="Arial" w:eastAsia="Arial" w:hAnsi="Arial" w:cs="Arial"/>
                <w:color w:val="668092"/>
                <w:sz w:val="18"/>
                <w:u w:val="single"/>
              </w:rPr>
              <w:fldChar w:fldCharType="end"/>
            </w:r>
          </w:p>
        </w:tc>
      </w:tr>
      <w:tr w:rsidR="001614AC" w14:paraId="31DC3A78" w14:textId="77777777">
        <w:trPr>
          <w:cantSplit/>
          <w:trHeight w:hRule="exact" w:val="315"/>
        </w:trPr>
        <w:tc>
          <w:tcPr>
            <w:tcW w:w="9315" w:type="dxa"/>
            <w:tcBorders>
              <w:top w:val="single" w:sz="8" w:space="0" w:color="F4F4F4"/>
              <w:left w:val="nil"/>
              <w:bottom w:val="single" w:sz="8" w:space="0" w:color="F4F4F4"/>
              <w:right w:val="nil"/>
            </w:tcBorders>
            <w:tcMar>
              <w:top w:w="0" w:type="dxa"/>
              <w:left w:w="53" w:type="dxa"/>
              <w:bottom w:w="0" w:type="dxa"/>
              <w:right w:w="53" w:type="dxa"/>
            </w:tcMar>
            <w:vAlign w:val="bottom"/>
          </w:tcPr>
          <w:p w14:paraId="64A6D9D3" w14:textId="77777777" w:rsidR="001614AC" w:rsidRDefault="004468F9">
            <w:pPr>
              <w:keepNext/>
              <w:spacing w:before="55" w:after="30" w:line="288" w:lineRule="auto"/>
              <w:rPr>
                <w:rFonts w:ascii="Arial" w:eastAsia="Arial" w:hAnsi="Arial" w:cs="Arial"/>
                <w:color w:val="668092"/>
                <w:sz w:val="18"/>
              </w:rPr>
            </w:pPr>
            <w:hyperlink w:anchor="Section20" w:history="1">
              <w:r>
                <w:rPr>
                  <w:rFonts w:ascii="Arial" w:eastAsia="Arial" w:hAnsi="Arial" w:cs="Arial"/>
                  <w:color w:val="668092"/>
                  <w:sz w:val="18"/>
                  <w:u w:val="single"/>
                </w:rPr>
                <w:t>Note 8 - Reinsurance</w:t>
              </w:r>
            </w:hyperlink>
          </w:p>
        </w:tc>
        <w:tc>
          <w:tcPr>
            <w:tcW w:w="765" w:type="dxa"/>
            <w:tcBorders>
              <w:top w:val="single" w:sz="8" w:space="0" w:color="F4F4F4"/>
              <w:left w:val="nil"/>
              <w:bottom w:val="single" w:sz="8" w:space="0" w:color="F4F4F4"/>
              <w:right w:val="nil"/>
            </w:tcBorders>
            <w:tcMar>
              <w:top w:w="0" w:type="dxa"/>
              <w:left w:w="53" w:type="dxa"/>
              <w:bottom w:w="0" w:type="dxa"/>
              <w:right w:w="53" w:type="dxa"/>
            </w:tcMar>
            <w:vAlign w:val="bottom"/>
          </w:tcPr>
          <w:p w14:paraId="6FFF57E7" w14:textId="77777777" w:rsidR="001614AC" w:rsidRDefault="004468F9">
            <w:pPr>
              <w:keepNext/>
              <w:spacing w:before="55" w:after="30" w:line="288" w:lineRule="auto"/>
              <w:jc w:val="right"/>
              <w:rPr>
                <w:rFonts w:ascii="Arial" w:eastAsia="Arial" w:hAnsi="Arial" w:cs="Arial"/>
                <w:color w:val="668092"/>
                <w:sz w:val="18"/>
              </w:rPr>
            </w:pPr>
            <w:r>
              <w:rPr>
                <w:rFonts w:ascii="Arial" w:eastAsia="Arial" w:hAnsi="Arial" w:cs="Arial"/>
                <w:color w:val="668092"/>
                <w:sz w:val="18"/>
                <w:u w:val="single"/>
              </w:rPr>
              <w:fldChar w:fldCharType="begin"/>
            </w:r>
            <w:r>
              <w:rPr>
                <w:rFonts w:ascii="Arial" w:eastAsia="Arial" w:hAnsi="Arial" w:cs="Arial"/>
                <w:color w:val="668092"/>
                <w:sz w:val="18"/>
                <w:u w:val="single"/>
              </w:rPr>
              <w:instrText xml:space="preserve"> PAGEREF  Section20 \h</w:instrText>
            </w:r>
            <w:r>
              <w:rPr>
                <w:rFonts w:ascii="Arial" w:eastAsia="Arial" w:hAnsi="Arial" w:cs="Arial"/>
                <w:color w:val="668092"/>
                <w:sz w:val="18"/>
                <w:u w:val="single"/>
              </w:rPr>
            </w:r>
            <w:r>
              <w:rPr>
                <w:rFonts w:ascii="Arial" w:eastAsia="Arial" w:hAnsi="Arial" w:cs="Arial"/>
                <w:color w:val="668092"/>
                <w:sz w:val="18"/>
                <w:u w:val="single"/>
              </w:rPr>
              <w:fldChar w:fldCharType="separate"/>
            </w:r>
            <w:r>
              <w:rPr>
                <w:rFonts w:ascii="Arial" w:eastAsia="Arial" w:hAnsi="Arial" w:cs="Arial"/>
                <w:color w:val="668092"/>
                <w:sz w:val="18"/>
                <w:u w:val="single"/>
              </w:rPr>
              <w:t>34</w:t>
            </w:r>
            <w:r>
              <w:rPr>
                <w:rFonts w:ascii="Arial" w:eastAsia="Arial" w:hAnsi="Arial" w:cs="Arial"/>
                <w:color w:val="668092"/>
                <w:sz w:val="18"/>
                <w:u w:val="single"/>
              </w:rPr>
              <w:fldChar w:fldCharType="end"/>
            </w:r>
          </w:p>
        </w:tc>
      </w:tr>
      <w:tr w:rsidR="001614AC" w14:paraId="0E4B9EC0" w14:textId="77777777">
        <w:trPr>
          <w:cantSplit/>
          <w:trHeight w:hRule="exact" w:val="315"/>
        </w:trPr>
        <w:tc>
          <w:tcPr>
            <w:tcW w:w="9315" w:type="dxa"/>
            <w:tcBorders>
              <w:top w:val="single" w:sz="8" w:space="0" w:color="F4F4F4"/>
              <w:left w:val="nil"/>
              <w:bottom w:val="single" w:sz="8" w:space="0" w:color="F4F4F4"/>
              <w:right w:val="nil"/>
            </w:tcBorders>
            <w:tcMar>
              <w:top w:w="0" w:type="dxa"/>
              <w:left w:w="53" w:type="dxa"/>
              <w:bottom w:w="0" w:type="dxa"/>
              <w:right w:w="53" w:type="dxa"/>
            </w:tcMar>
            <w:vAlign w:val="bottom"/>
          </w:tcPr>
          <w:p w14:paraId="68BBE9AE" w14:textId="77777777" w:rsidR="001614AC" w:rsidRDefault="004468F9">
            <w:pPr>
              <w:keepNext/>
              <w:spacing w:before="55" w:after="30" w:line="288" w:lineRule="auto"/>
              <w:rPr>
                <w:rFonts w:ascii="Arial" w:eastAsia="Arial" w:hAnsi="Arial" w:cs="Arial"/>
                <w:color w:val="668092"/>
                <w:sz w:val="18"/>
              </w:rPr>
            </w:pPr>
            <w:hyperlink w:anchor="Section21" w:history="1">
              <w:r>
                <w:rPr>
                  <w:rFonts w:ascii="Arial" w:eastAsia="Arial" w:hAnsi="Arial" w:cs="Arial"/>
                  <w:color w:val="668092"/>
                  <w:sz w:val="18"/>
                  <w:u w:val="single"/>
                </w:rPr>
                <w:t>Note 9 - Other Assets</w:t>
              </w:r>
            </w:hyperlink>
          </w:p>
        </w:tc>
        <w:tc>
          <w:tcPr>
            <w:tcW w:w="765" w:type="dxa"/>
            <w:tcBorders>
              <w:top w:val="single" w:sz="8" w:space="0" w:color="F4F4F4"/>
              <w:left w:val="nil"/>
              <w:bottom w:val="single" w:sz="8" w:space="0" w:color="F4F4F4"/>
              <w:right w:val="nil"/>
            </w:tcBorders>
            <w:tcMar>
              <w:top w:w="0" w:type="dxa"/>
              <w:left w:w="53" w:type="dxa"/>
              <w:bottom w:w="0" w:type="dxa"/>
              <w:right w:w="53" w:type="dxa"/>
            </w:tcMar>
            <w:vAlign w:val="bottom"/>
          </w:tcPr>
          <w:p w14:paraId="0C009B1F" w14:textId="77777777" w:rsidR="001614AC" w:rsidRDefault="004468F9">
            <w:pPr>
              <w:keepNext/>
              <w:spacing w:before="55" w:after="30" w:line="288" w:lineRule="auto"/>
              <w:jc w:val="right"/>
              <w:rPr>
                <w:rFonts w:ascii="Arial" w:eastAsia="Arial" w:hAnsi="Arial" w:cs="Arial"/>
                <w:color w:val="668092"/>
                <w:sz w:val="18"/>
              </w:rPr>
            </w:pPr>
            <w:r>
              <w:rPr>
                <w:rFonts w:ascii="Arial" w:eastAsia="Arial" w:hAnsi="Arial" w:cs="Arial"/>
                <w:color w:val="668092"/>
                <w:sz w:val="18"/>
                <w:u w:val="single"/>
              </w:rPr>
              <w:fldChar w:fldCharType="begin"/>
            </w:r>
            <w:r>
              <w:rPr>
                <w:rFonts w:ascii="Arial" w:eastAsia="Arial" w:hAnsi="Arial" w:cs="Arial"/>
                <w:color w:val="668092"/>
                <w:sz w:val="18"/>
                <w:u w:val="single"/>
              </w:rPr>
              <w:instrText xml:space="preserve"> PA</w:instrText>
            </w:r>
            <w:r>
              <w:rPr>
                <w:rFonts w:ascii="Arial" w:eastAsia="Arial" w:hAnsi="Arial" w:cs="Arial"/>
                <w:color w:val="668092"/>
                <w:sz w:val="18"/>
                <w:u w:val="single"/>
              </w:rPr>
              <w:instrText>GEREF  Section21 \h</w:instrText>
            </w:r>
            <w:r>
              <w:rPr>
                <w:rFonts w:ascii="Arial" w:eastAsia="Arial" w:hAnsi="Arial" w:cs="Arial"/>
                <w:color w:val="668092"/>
                <w:sz w:val="18"/>
                <w:u w:val="single"/>
              </w:rPr>
            </w:r>
            <w:r>
              <w:rPr>
                <w:rFonts w:ascii="Arial" w:eastAsia="Arial" w:hAnsi="Arial" w:cs="Arial"/>
                <w:color w:val="668092"/>
                <w:sz w:val="18"/>
                <w:u w:val="single"/>
              </w:rPr>
              <w:fldChar w:fldCharType="separate"/>
            </w:r>
            <w:r>
              <w:rPr>
                <w:rFonts w:ascii="Arial" w:eastAsia="Arial" w:hAnsi="Arial" w:cs="Arial"/>
                <w:color w:val="668092"/>
                <w:sz w:val="18"/>
                <w:u w:val="single"/>
              </w:rPr>
              <w:t>37</w:t>
            </w:r>
            <w:r>
              <w:rPr>
                <w:rFonts w:ascii="Arial" w:eastAsia="Arial" w:hAnsi="Arial" w:cs="Arial"/>
                <w:color w:val="668092"/>
                <w:sz w:val="18"/>
                <w:u w:val="single"/>
              </w:rPr>
              <w:fldChar w:fldCharType="end"/>
            </w:r>
          </w:p>
        </w:tc>
      </w:tr>
      <w:tr w:rsidR="001614AC" w14:paraId="49B491F6" w14:textId="77777777">
        <w:trPr>
          <w:cantSplit/>
          <w:trHeight w:hRule="exact" w:val="315"/>
        </w:trPr>
        <w:tc>
          <w:tcPr>
            <w:tcW w:w="9315" w:type="dxa"/>
            <w:tcBorders>
              <w:top w:val="single" w:sz="8" w:space="0" w:color="F4F4F4"/>
              <w:left w:val="nil"/>
              <w:bottom w:val="single" w:sz="8" w:space="0" w:color="F4F4F4"/>
              <w:right w:val="nil"/>
            </w:tcBorders>
            <w:tcMar>
              <w:top w:w="0" w:type="dxa"/>
              <w:left w:w="53" w:type="dxa"/>
              <w:bottom w:w="0" w:type="dxa"/>
              <w:right w:w="53" w:type="dxa"/>
            </w:tcMar>
            <w:vAlign w:val="bottom"/>
          </w:tcPr>
          <w:p w14:paraId="0615DEDB" w14:textId="77777777" w:rsidR="001614AC" w:rsidRDefault="004468F9">
            <w:pPr>
              <w:keepNext/>
              <w:spacing w:before="55" w:after="30" w:line="288" w:lineRule="auto"/>
              <w:rPr>
                <w:rFonts w:ascii="Arial" w:eastAsia="Arial" w:hAnsi="Arial" w:cs="Arial"/>
                <w:color w:val="668092"/>
                <w:sz w:val="18"/>
              </w:rPr>
            </w:pPr>
            <w:hyperlink w:anchor="Section22" w:history="1">
              <w:r>
                <w:rPr>
                  <w:rFonts w:ascii="Arial" w:eastAsia="Arial" w:hAnsi="Arial" w:cs="Arial"/>
                  <w:color w:val="668092"/>
                  <w:sz w:val="18"/>
                  <w:u w:val="single"/>
                </w:rPr>
                <w:t>Note 10 - Income Taxes</w:t>
              </w:r>
            </w:hyperlink>
          </w:p>
        </w:tc>
        <w:tc>
          <w:tcPr>
            <w:tcW w:w="765" w:type="dxa"/>
            <w:tcBorders>
              <w:top w:val="single" w:sz="8" w:space="0" w:color="F4F4F4"/>
              <w:left w:val="nil"/>
              <w:bottom w:val="single" w:sz="8" w:space="0" w:color="F4F4F4"/>
              <w:right w:val="nil"/>
            </w:tcBorders>
            <w:tcMar>
              <w:top w:w="0" w:type="dxa"/>
              <w:left w:w="53" w:type="dxa"/>
              <w:bottom w:w="0" w:type="dxa"/>
              <w:right w:w="53" w:type="dxa"/>
            </w:tcMar>
            <w:vAlign w:val="bottom"/>
          </w:tcPr>
          <w:p w14:paraId="10132664" w14:textId="77777777" w:rsidR="001614AC" w:rsidRDefault="004468F9">
            <w:pPr>
              <w:keepNext/>
              <w:spacing w:before="55" w:after="30" w:line="288" w:lineRule="auto"/>
              <w:jc w:val="right"/>
              <w:rPr>
                <w:rFonts w:ascii="Arial" w:eastAsia="Arial" w:hAnsi="Arial" w:cs="Arial"/>
                <w:color w:val="668092"/>
                <w:sz w:val="18"/>
              </w:rPr>
            </w:pPr>
            <w:r>
              <w:rPr>
                <w:rFonts w:ascii="Arial" w:eastAsia="Arial" w:hAnsi="Arial" w:cs="Arial"/>
                <w:color w:val="668092"/>
                <w:sz w:val="18"/>
                <w:u w:val="single"/>
              </w:rPr>
              <w:fldChar w:fldCharType="begin"/>
            </w:r>
            <w:r>
              <w:rPr>
                <w:rFonts w:ascii="Arial" w:eastAsia="Arial" w:hAnsi="Arial" w:cs="Arial"/>
                <w:color w:val="668092"/>
                <w:sz w:val="18"/>
                <w:u w:val="single"/>
              </w:rPr>
              <w:instrText xml:space="preserve"> PAGEREF  Section22 \h</w:instrText>
            </w:r>
            <w:r>
              <w:rPr>
                <w:rFonts w:ascii="Arial" w:eastAsia="Arial" w:hAnsi="Arial" w:cs="Arial"/>
                <w:color w:val="668092"/>
                <w:sz w:val="18"/>
                <w:u w:val="single"/>
              </w:rPr>
            </w:r>
            <w:r>
              <w:rPr>
                <w:rFonts w:ascii="Arial" w:eastAsia="Arial" w:hAnsi="Arial" w:cs="Arial"/>
                <w:color w:val="668092"/>
                <w:sz w:val="18"/>
                <w:u w:val="single"/>
              </w:rPr>
              <w:fldChar w:fldCharType="separate"/>
            </w:r>
            <w:r>
              <w:rPr>
                <w:rFonts w:ascii="Arial" w:eastAsia="Arial" w:hAnsi="Arial" w:cs="Arial"/>
                <w:color w:val="668092"/>
                <w:sz w:val="18"/>
                <w:u w:val="single"/>
              </w:rPr>
              <w:t>38</w:t>
            </w:r>
            <w:r>
              <w:rPr>
                <w:rFonts w:ascii="Arial" w:eastAsia="Arial" w:hAnsi="Arial" w:cs="Arial"/>
                <w:color w:val="668092"/>
                <w:sz w:val="18"/>
                <w:u w:val="single"/>
              </w:rPr>
              <w:fldChar w:fldCharType="end"/>
            </w:r>
          </w:p>
        </w:tc>
      </w:tr>
      <w:tr w:rsidR="001614AC" w14:paraId="18F6E72C" w14:textId="77777777">
        <w:trPr>
          <w:cantSplit/>
          <w:trHeight w:hRule="exact" w:val="315"/>
        </w:trPr>
        <w:tc>
          <w:tcPr>
            <w:tcW w:w="9315" w:type="dxa"/>
            <w:tcBorders>
              <w:top w:val="single" w:sz="8" w:space="0" w:color="F4F4F4"/>
              <w:left w:val="nil"/>
              <w:bottom w:val="single" w:sz="8" w:space="0" w:color="F4F4F4"/>
              <w:right w:val="nil"/>
            </w:tcBorders>
            <w:tcMar>
              <w:top w:w="0" w:type="dxa"/>
              <w:left w:w="53" w:type="dxa"/>
              <w:bottom w:w="0" w:type="dxa"/>
              <w:right w:w="53" w:type="dxa"/>
            </w:tcMar>
            <w:vAlign w:val="bottom"/>
          </w:tcPr>
          <w:p w14:paraId="2F5056B8" w14:textId="77777777" w:rsidR="001614AC" w:rsidRDefault="004468F9">
            <w:pPr>
              <w:keepNext/>
              <w:spacing w:before="55" w:after="30" w:line="288" w:lineRule="auto"/>
              <w:rPr>
                <w:rFonts w:ascii="Arial" w:eastAsia="Arial" w:hAnsi="Arial" w:cs="Arial"/>
                <w:color w:val="668092"/>
                <w:sz w:val="18"/>
              </w:rPr>
            </w:pPr>
            <w:hyperlink w:anchor="Section23" w:history="1">
              <w:r>
                <w:rPr>
                  <w:rFonts w:ascii="Arial" w:eastAsia="Arial" w:hAnsi="Arial" w:cs="Arial"/>
                  <w:color w:val="668092"/>
                  <w:sz w:val="18"/>
                  <w:u w:val="single"/>
                </w:rPr>
                <w:t>Note 11 - Losses and LAE</w:t>
              </w:r>
            </w:hyperlink>
          </w:p>
        </w:tc>
        <w:tc>
          <w:tcPr>
            <w:tcW w:w="765" w:type="dxa"/>
            <w:tcBorders>
              <w:top w:val="single" w:sz="8" w:space="0" w:color="F4F4F4"/>
              <w:left w:val="nil"/>
              <w:bottom w:val="single" w:sz="8" w:space="0" w:color="F4F4F4"/>
              <w:right w:val="nil"/>
            </w:tcBorders>
            <w:tcMar>
              <w:top w:w="0" w:type="dxa"/>
              <w:left w:w="53" w:type="dxa"/>
              <w:bottom w:w="0" w:type="dxa"/>
              <w:right w:w="53" w:type="dxa"/>
            </w:tcMar>
            <w:vAlign w:val="bottom"/>
          </w:tcPr>
          <w:p w14:paraId="381BAE35" w14:textId="77777777" w:rsidR="001614AC" w:rsidRDefault="004468F9">
            <w:pPr>
              <w:keepNext/>
              <w:spacing w:before="55" w:after="30" w:line="288" w:lineRule="auto"/>
              <w:jc w:val="right"/>
              <w:rPr>
                <w:rFonts w:ascii="Arial" w:eastAsia="Arial" w:hAnsi="Arial" w:cs="Arial"/>
                <w:color w:val="668092"/>
                <w:sz w:val="18"/>
              </w:rPr>
            </w:pPr>
            <w:r>
              <w:rPr>
                <w:rFonts w:ascii="Arial" w:eastAsia="Arial" w:hAnsi="Arial" w:cs="Arial"/>
                <w:color w:val="668092"/>
                <w:sz w:val="18"/>
                <w:u w:val="single"/>
              </w:rPr>
              <w:fldChar w:fldCharType="begin"/>
            </w:r>
            <w:r>
              <w:rPr>
                <w:rFonts w:ascii="Arial" w:eastAsia="Arial" w:hAnsi="Arial" w:cs="Arial"/>
                <w:color w:val="668092"/>
                <w:sz w:val="18"/>
                <w:u w:val="single"/>
              </w:rPr>
              <w:instrText xml:space="preserve"> PAGEREF  Section23 \h</w:instrText>
            </w:r>
            <w:r>
              <w:rPr>
                <w:rFonts w:ascii="Arial" w:eastAsia="Arial" w:hAnsi="Arial" w:cs="Arial"/>
                <w:color w:val="668092"/>
                <w:sz w:val="18"/>
                <w:u w:val="single"/>
              </w:rPr>
            </w:r>
            <w:r>
              <w:rPr>
                <w:rFonts w:ascii="Arial" w:eastAsia="Arial" w:hAnsi="Arial" w:cs="Arial"/>
                <w:color w:val="668092"/>
                <w:sz w:val="18"/>
                <w:u w:val="single"/>
              </w:rPr>
              <w:fldChar w:fldCharType="separate"/>
            </w:r>
            <w:r>
              <w:rPr>
                <w:rFonts w:ascii="Arial" w:eastAsia="Arial" w:hAnsi="Arial" w:cs="Arial"/>
                <w:color w:val="668092"/>
                <w:sz w:val="18"/>
                <w:u w:val="single"/>
              </w:rPr>
              <w:t>39</w:t>
            </w:r>
            <w:r>
              <w:rPr>
                <w:rFonts w:ascii="Arial" w:eastAsia="Arial" w:hAnsi="Arial" w:cs="Arial"/>
                <w:color w:val="668092"/>
                <w:sz w:val="18"/>
                <w:u w:val="single"/>
              </w:rPr>
              <w:fldChar w:fldCharType="end"/>
            </w:r>
          </w:p>
        </w:tc>
      </w:tr>
      <w:tr w:rsidR="001614AC" w14:paraId="5D7E9AE9" w14:textId="77777777">
        <w:trPr>
          <w:cantSplit/>
          <w:trHeight w:hRule="exact" w:val="315"/>
        </w:trPr>
        <w:tc>
          <w:tcPr>
            <w:tcW w:w="9315" w:type="dxa"/>
            <w:tcBorders>
              <w:top w:val="single" w:sz="8" w:space="0" w:color="F4F4F4"/>
              <w:left w:val="nil"/>
              <w:bottom w:val="single" w:sz="8" w:space="0" w:color="F4F4F4"/>
              <w:right w:val="nil"/>
            </w:tcBorders>
            <w:tcMar>
              <w:top w:w="0" w:type="dxa"/>
              <w:left w:w="53" w:type="dxa"/>
              <w:bottom w:w="0" w:type="dxa"/>
              <w:right w:w="53" w:type="dxa"/>
            </w:tcMar>
            <w:vAlign w:val="bottom"/>
          </w:tcPr>
          <w:p w14:paraId="530F3423" w14:textId="77777777" w:rsidR="001614AC" w:rsidRDefault="004468F9">
            <w:pPr>
              <w:keepNext/>
              <w:spacing w:before="55" w:after="30" w:line="288" w:lineRule="auto"/>
              <w:rPr>
                <w:rFonts w:ascii="Arial" w:eastAsia="Arial" w:hAnsi="Arial" w:cs="Arial"/>
                <w:color w:val="668092"/>
                <w:sz w:val="18"/>
              </w:rPr>
            </w:pPr>
            <w:hyperlink w:anchor="Section24" w:history="1">
              <w:r>
                <w:rPr>
                  <w:rFonts w:ascii="Arial" w:eastAsia="Arial" w:hAnsi="Arial" w:cs="Arial"/>
                  <w:color w:val="668092"/>
                  <w:sz w:val="18"/>
                  <w:u w:val="single"/>
                </w:rPr>
                <w:t>Note 12 - Borrowings and Financing Activities</w:t>
              </w:r>
            </w:hyperlink>
          </w:p>
        </w:tc>
        <w:tc>
          <w:tcPr>
            <w:tcW w:w="765" w:type="dxa"/>
            <w:tcBorders>
              <w:top w:val="single" w:sz="8" w:space="0" w:color="F4F4F4"/>
              <w:left w:val="nil"/>
              <w:bottom w:val="single" w:sz="8" w:space="0" w:color="F4F4F4"/>
              <w:right w:val="nil"/>
            </w:tcBorders>
            <w:tcMar>
              <w:top w:w="0" w:type="dxa"/>
              <w:left w:w="53" w:type="dxa"/>
              <w:bottom w:w="0" w:type="dxa"/>
              <w:right w:w="53" w:type="dxa"/>
            </w:tcMar>
            <w:vAlign w:val="bottom"/>
          </w:tcPr>
          <w:p w14:paraId="0950028D" w14:textId="77777777" w:rsidR="001614AC" w:rsidRDefault="004468F9">
            <w:pPr>
              <w:keepNext/>
              <w:spacing w:before="55" w:after="30" w:line="288" w:lineRule="auto"/>
              <w:jc w:val="right"/>
              <w:rPr>
                <w:rFonts w:ascii="Arial" w:eastAsia="Arial" w:hAnsi="Arial" w:cs="Arial"/>
                <w:color w:val="668092"/>
                <w:sz w:val="18"/>
              </w:rPr>
            </w:pPr>
            <w:r>
              <w:rPr>
                <w:rFonts w:ascii="Arial" w:eastAsia="Arial" w:hAnsi="Arial" w:cs="Arial"/>
                <w:color w:val="668092"/>
                <w:sz w:val="18"/>
                <w:u w:val="single"/>
              </w:rPr>
              <w:fldChar w:fldCharType="begin"/>
            </w:r>
            <w:r>
              <w:rPr>
                <w:rFonts w:ascii="Arial" w:eastAsia="Arial" w:hAnsi="Arial" w:cs="Arial"/>
                <w:color w:val="668092"/>
                <w:sz w:val="18"/>
                <w:u w:val="single"/>
              </w:rPr>
              <w:instrText xml:space="preserve"> PAGEREF  Section24 \h</w:instrText>
            </w:r>
            <w:r>
              <w:rPr>
                <w:rFonts w:ascii="Arial" w:eastAsia="Arial" w:hAnsi="Arial" w:cs="Arial"/>
                <w:color w:val="668092"/>
                <w:sz w:val="18"/>
                <w:u w:val="single"/>
              </w:rPr>
            </w:r>
            <w:r>
              <w:rPr>
                <w:rFonts w:ascii="Arial" w:eastAsia="Arial" w:hAnsi="Arial" w:cs="Arial"/>
                <w:color w:val="668092"/>
                <w:sz w:val="18"/>
                <w:u w:val="single"/>
              </w:rPr>
              <w:fldChar w:fldCharType="separate"/>
            </w:r>
            <w:r>
              <w:rPr>
                <w:rFonts w:ascii="Arial" w:eastAsia="Arial" w:hAnsi="Arial" w:cs="Arial"/>
                <w:color w:val="668092"/>
                <w:sz w:val="18"/>
                <w:u w:val="single"/>
              </w:rPr>
              <w:t>40</w:t>
            </w:r>
            <w:r>
              <w:rPr>
                <w:rFonts w:ascii="Arial" w:eastAsia="Arial" w:hAnsi="Arial" w:cs="Arial"/>
                <w:color w:val="668092"/>
                <w:sz w:val="18"/>
                <w:u w:val="single"/>
              </w:rPr>
              <w:fldChar w:fldCharType="end"/>
            </w:r>
          </w:p>
        </w:tc>
      </w:tr>
      <w:tr w:rsidR="001614AC" w14:paraId="2441EE26" w14:textId="77777777">
        <w:trPr>
          <w:cantSplit/>
          <w:trHeight w:hRule="exact" w:val="315"/>
        </w:trPr>
        <w:tc>
          <w:tcPr>
            <w:tcW w:w="9315" w:type="dxa"/>
            <w:tcBorders>
              <w:top w:val="single" w:sz="8" w:space="0" w:color="F4F4F4"/>
              <w:left w:val="nil"/>
              <w:bottom w:val="single" w:sz="8" w:space="0" w:color="F4F4F4"/>
              <w:right w:val="nil"/>
            </w:tcBorders>
            <w:tcMar>
              <w:top w:w="0" w:type="dxa"/>
              <w:left w:w="53" w:type="dxa"/>
              <w:bottom w:w="0" w:type="dxa"/>
              <w:right w:w="53" w:type="dxa"/>
            </w:tcMar>
            <w:vAlign w:val="bottom"/>
          </w:tcPr>
          <w:p w14:paraId="5D09C59E" w14:textId="77777777" w:rsidR="001614AC" w:rsidRDefault="004468F9">
            <w:pPr>
              <w:keepNext/>
              <w:spacing w:before="55" w:after="30" w:line="288" w:lineRule="auto"/>
              <w:rPr>
                <w:rFonts w:ascii="Arial" w:eastAsia="Arial" w:hAnsi="Arial" w:cs="Arial"/>
                <w:color w:val="668092"/>
                <w:sz w:val="18"/>
              </w:rPr>
            </w:pPr>
            <w:hyperlink w:anchor="Section25" w:history="1">
              <w:r>
                <w:rPr>
                  <w:rFonts w:ascii="Arial" w:eastAsia="Arial" w:hAnsi="Arial" w:cs="Arial"/>
                  <w:color w:val="668092"/>
                  <w:sz w:val="18"/>
                  <w:u w:val="single"/>
                </w:rPr>
                <w:t>N</w:t>
              </w:r>
              <w:r>
                <w:rPr>
                  <w:rFonts w:ascii="Arial" w:eastAsia="Arial" w:hAnsi="Arial" w:cs="Arial"/>
                  <w:color w:val="668092"/>
                  <w:sz w:val="18"/>
                  <w:u w:val="single"/>
                </w:rPr>
                <w:t>ote 13 - Commitments and Contingencies</w:t>
              </w:r>
            </w:hyperlink>
          </w:p>
        </w:tc>
        <w:tc>
          <w:tcPr>
            <w:tcW w:w="765" w:type="dxa"/>
            <w:tcBorders>
              <w:top w:val="single" w:sz="8" w:space="0" w:color="F4F4F4"/>
              <w:left w:val="nil"/>
              <w:bottom w:val="single" w:sz="8" w:space="0" w:color="F4F4F4"/>
              <w:right w:val="nil"/>
            </w:tcBorders>
            <w:tcMar>
              <w:top w:w="0" w:type="dxa"/>
              <w:left w:w="53" w:type="dxa"/>
              <w:bottom w:w="0" w:type="dxa"/>
              <w:right w:w="53" w:type="dxa"/>
            </w:tcMar>
            <w:vAlign w:val="bottom"/>
          </w:tcPr>
          <w:p w14:paraId="5AEF2A98" w14:textId="77777777" w:rsidR="001614AC" w:rsidRDefault="004468F9">
            <w:pPr>
              <w:keepNext/>
              <w:spacing w:before="55" w:after="30" w:line="288" w:lineRule="auto"/>
              <w:jc w:val="right"/>
              <w:rPr>
                <w:rFonts w:ascii="Arial" w:eastAsia="Arial" w:hAnsi="Arial" w:cs="Arial"/>
                <w:color w:val="668092"/>
                <w:sz w:val="18"/>
              </w:rPr>
            </w:pPr>
            <w:r>
              <w:rPr>
                <w:rFonts w:ascii="Arial" w:eastAsia="Arial" w:hAnsi="Arial" w:cs="Arial"/>
                <w:color w:val="668092"/>
                <w:sz w:val="18"/>
                <w:u w:val="single"/>
              </w:rPr>
              <w:fldChar w:fldCharType="begin"/>
            </w:r>
            <w:r>
              <w:rPr>
                <w:rFonts w:ascii="Arial" w:eastAsia="Arial" w:hAnsi="Arial" w:cs="Arial"/>
                <w:color w:val="668092"/>
                <w:sz w:val="18"/>
                <w:u w:val="single"/>
              </w:rPr>
              <w:instrText xml:space="preserve"> PAGEREF  Section25 \h</w:instrText>
            </w:r>
            <w:r>
              <w:rPr>
                <w:rFonts w:ascii="Arial" w:eastAsia="Arial" w:hAnsi="Arial" w:cs="Arial"/>
                <w:color w:val="668092"/>
                <w:sz w:val="18"/>
                <w:u w:val="single"/>
              </w:rPr>
            </w:r>
            <w:r>
              <w:rPr>
                <w:rFonts w:ascii="Arial" w:eastAsia="Arial" w:hAnsi="Arial" w:cs="Arial"/>
                <w:color w:val="668092"/>
                <w:sz w:val="18"/>
                <w:u w:val="single"/>
              </w:rPr>
              <w:fldChar w:fldCharType="separate"/>
            </w:r>
            <w:r>
              <w:rPr>
                <w:rFonts w:ascii="Arial" w:eastAsia="Arial" w:hAnsi="Arial" w:cs="Arial"/>
                <w:color w:val="668092"/>
                <w:sz w:val="18"/>
                <w:u w:val="single"/>
              </w:rPr>
              <w:t>41</w:t>
            </w:r>
            <w:r>
              <w:rPr>
                <w:rFonts w:ascii="Arial" w:eastAsia="Arial" w:hAnsi="Arial" w:cs="Arial"/>
                <w:color w:val="668092"/>
                <w:sz w:val="18"/>
                <w:u w:val="single"/>
              </w:rPr>
              <w:fldChar w:fldCharType="end"/>
            </w:r>
          </w:p>
        </w:tc>
      </w:tr>
      <w:tr w:rsidR="001614AC" w14:paraId="4655C0E7" w14:textId="77777777">
        <w:trPr>
          <w:cantSplit/>
          <w:trHeight w:hRule="exact" w:val="315"/>
        </w:trPr>
        <w:tc>
          <w:tcPr>
            <w:tcW w:w="9315" w:type="dxa"/>
            <w:tcBorders>
              <w:top w:val="single" w:sz="8" w:space="0" w:color="F4F4F4"/>
              <w:left w:val="nil"/>
              <w:bottom w:val="single" w:sz="8" w:space="0" w:color="F4F4F4"/>
              <w:right w:val="nil"/>
            </w:tcBorders>
            <w:tcMar>
              <w:top w:w="0" w:type="dxa"/>
              <w:left w:w="53" w:type="dxa"/>
              <w:bottom w:w="0" w:type="dxa"/>
              <w:right w:w="53" w:type="dxa"/>
            </w:tcMar>
            <w:vAlign w:val="bottom"/>
          </w:tcPr>
          <w:p w14:paraId="1059F4FC" w14:textId="77777777" w:rsidR="001614AC" w:rsidRDefault="004468F9">
            <w:pPr>
              <w:keepNext/>
              <w:spacing w:before="55" w:after="30" w:line="288" w:lineRule="auto"/>
              <w:rPr>
                <w:rFonts w:ascii="Arial" w:eastAsia="Arial" w:hAnsi="Arial" w:cs="Arial"/>
                <w:color w:val="668092"/>
                <w:sz w:val="18"/>
              </w:rPr>
            </w:pPr>
            <w:hyperlink w:anchor="Section26" w:history="1">
              <w:r>
                <w:rPr>
                  <w:rFonts w:ascii="Arial" w:eastAsia="Arial" w:hAnsi="Arial" w:cs="Arial"/>
                  <w:color w:val="668092"/>
                  <w:sz w:val="18"/>
                  <w:u w:val="single"/>
                </w:rPr>
                <w:t>Note 14 - Capital Stock</w:t>
              </w:r>
            </w:hyperlink>
          </w:p>
        </w:tc>
        <w:tc>
          <w:tcPr>
            <w:tcW w:w="765" w:type="dxa"/>
            <w:tcBorders>
              <w:top w:val="single" w:sz="8" w:space="0" w:color="F4F4F4"/>
              <w:left w:val="nil"/>
              <w:bottom w:val="single" w:sz="8" w:space="0" w:color="F4F4F4"/>
              <w:right w:val="nil"/>
            </w:tcBorders>
            <w:tcMar>
              <w:top w:w="0" w:type="dxa"/>
              <w:left w:w="53" w:type="dxa"/>
              <w:bottom w:w="0" w:type="dxa"/>
              <w:right w:w="53" w:type="dxa"/>
            </w:tcMar>
            <w:vAlign w:val="bottom"/>
          </w:tcPr>
          <w:p w14:paraId="66181E78" w14:textId="77777777" w:rsidR="001614AC" w:rsidRDefault="004468F9">
            <w:pPr>
              <w:keepNext/>
              <w:spacing w:before="55" w:after="30" w:line="288" w:lineRule="auto"/>
              <w:jc w:val="right"/>
              <w:rPr>
                <w:rFonts w:ascii="Arial" w:eastAsia="Arial" w:hAnsi="Arial" w:cs="Arial"/>
                <w:color w:val="668092"/>
                <w:sz w:val="18"/>
              </w:rPr>
            </w:pPr>
            <w:r>
              <w:rPr>
                <w:rFonts w:ascii="Arial" w:eastAsia="Arial" w:hAnsi="Arial" w:cs="Arial"/>
                <w:color w:val="668092"/>
                <w:sz w:val="18"/>
                <w:u w:val="single"/>
              </w:rPr>
              <w:fldChar w:fldCharType="begin"/>
            </w:r>
            <w:r>
              <w:rPr>
                <w:rFonts w:ascii="Arial" w:eastAsia="Arial" w:hAnsi="Arial" w:cs="Arial"/>
                <w:color w:val="668092"/>
                <w:sz w:val="18"/>
                <w:u w:val="single"/>
              </w:rPr>
              <w:instrText xml:space="preserve"> PAGEREF  Section26 \h</w:instrText>
            </w:r>
            <w:r>
              <w:rPr>
                <w:rFonts w:ascii="Arial" w:eastAsia="Arial" w:hAnsi="Arial" w:cs="Arial"/>
                <w:color w:val="668092"/>
                <w:sz w:val="18"/>
                <w:u w:val="single"/>
              </w:rPr>
            </w:r>
            <w:r>
              <w:rPr>
                <w:rFonts w:ascii="Arial" w:eastAsia="Arial" w:hAnsi="Arial" w:cs="Arial"/>
                <w:color w:val="668092"/>
                <w:sz w:val="18"/>
                <w:u w:val="single"/>
              </w:rPr>
              <w:fldChar w:fldCharType="separate"/>
            </w:r>
            <w:r>
              <w:rPr>
                <w:rFonts w:ascii="Arial" w:eastAsia="Arial" w:hAnsi="Arial" w:cs="Arial"/>
                <w:color w:val="668092"/>
                <w:sz w:val="18"/>
                <w:u w:val="single"/>
              </w:rPr>
              <w:t>42</w:t>
            </w:r>
            <w:r>
              <w:rPr>
                <w:rFonts w:ascii="Arial" w:eastAsia="Arial" w:hAnsi="Arial" w:cs="Arial"/>
                <w:color w:val="668092"/>
                <w:sz w:val="18"/>
                <w:u w:val="single"/>
              </w:rPr>
              <w:fldChar w:fldCharType="end"/>
            </w:r>
          </w:p>
        </w:tc>
      </w:tr>
      <w:tr w:rsidR="001614AC" w14:paraId="51887B92" w14:textId="77777777">
        <w:trPr>
          <w:cantSplit/>
          <w:trHeight w:hRule="exact" w:val="315"/>
        </w:trPr>
        <w:tc>
          <w:tcPr>
            <w:tcW w:w="9315" w:type="dxa"/>
            <w:tcBorders>
              <w:top w:val="single" w:sz="8" w:space="0" w:color="F4F4F4"/>
              <w:left w:val="nil"/>
              <w:bottom w:val="single" w:sz="8" w:space="0" w:color="F4F4F4"/>
              <w:right w:val="nil"/>
            </w:tcBorders>
            <w:tcMar>
              <w:top w:w="0" w:type="dxa"/>
              <w:left w:w="53" w:type="dxa"/>
              <w:bottom w:w="0" w:type="dxa"/>
              <w:right w:w="53" w:type="dxa"/>
            </w:tcMar>
            <w:vAlign w:val="bottom"/>
          </w:tcPr>
          <w:p w14:paraId="62D6398E" w14:textId="77777777" w:rsidR="001614AC" w:rsidRDefault="004468F9">
            <w:pPr>
              <w:keepNext/>
              <w:spacing w:before="55" w:after="30" w:line="288" w:lineRule="auto"/>
              <w:rPr>
                <w:rFonts w:ascii="Arial" w:eastAsia="Arial" w:hAnsi="Arial" w:cs="Arial"/>
                <w:color w:val="668092"/>
                <w:sz w:val="18"/>
              </w:rPr>
            </w:pPr>
            <w:hyperlink w:anchor="Section27" w:history="1">
              <w:r>
                <w:rPr>
                  <w:rFonts w:ascii="Arial" w:eastAsia="Arial" w:hAnsi="Arial" w:cs="Arial"/>
                  <w:color w:val="668092"/>
                  <w:sz w:val="18"/>
                  <w:u w:val="single"/>
                </w:rPr>
                <w:t>Note 15 - Accumulated Other Comprehensive Income (Loss)</w:t>
              </w:r>
            </w:hyperlink>
            <w:r>
              <w:rPr>
                <w:rFonts w:ascii="Arial" w:eastAsia="Arial" w:hAnsi="Arial" w:cs="Arial"/>
                <w:color w:val="668092"/>
                <w:sz w:val="18"/>
              </w:rPr>
              <w:t xml:space="preserve"> </w:t>
            </w:r>
          </w:p>
        </w:tc>
        <w:tc>
          <w:tcPr>
            <w:tcW w:w="765" w:type="dxa"/>
            <w:tcBorders>
              <w:top w:val="single" w:sz="8" w:space="0" w:color="F4F4F4"/>
              <w:left w:val="nil"/>
              <w:bottom w:val="single" w:sz="8" w:space="0" w:color="F4F4F4"/>
              <w:right w:val="nil"/>
            </w:tcBorders>
            <w:tcMar>
              <w:top w:w="0" w:type="dxa"/>
              <w:left w:w="53" w:type="dxa"/>
              <w:bottom w:w="0" w:type="dxa"/>
              <w:right w:w="53" w:type="dxa"/>
            </w:tcMar>
            <w:vAlign w:val="bottom"/>
          </w:tcPr>
          <w:p w14:paraId="4F6ADC0B" w14:textId="77777777" w:rsidR="001614AC" w:rsidRDefault="004468F9">
            <w:pPr>
              <w:keepNext/>
              <w:spacing w:before="55" w:after="30" w:line="288" w:lineRule="auto"/>
              <w:jc w:val="right"/>
              <w:rPr>
                <w:rFonts w:ascii="Arial" w:eastAsia="Arial" w:hAnsi="Arial" w:cs="Arial"/>
                <w:color w:val="668092"/>
                <w:sz w:val="18"/>
              </w:rPr>
            </w:pPr>
            <w:r>
              <w:rPr>
                <w:rFonts w:ascii="Arial" w:eastAsia="Arial" w:hAnsi="Arial" w:cs="Arial"/>
                <w:color w:val="668092"/>
                <w:sz w:val="18"/>
                <w:u w:val="single"/>
              </w:rPr>
              <w:fldChar w:fldCharType="begin"/>
            </w:r>
            <w:r>
              <w:rPr>
                <w:rFonts w:ascii="Arial" w:eastAsia="Arial" w:hAnsi="Arial" w:cs="Arial"/>
                <w:color w:val="668092"/>
                <w:sz w:val="18"/>
                <w:u w:val="single"/>
              </w:rPr>
              <w:instrText xml:space="preserve"> PAGEREF  Section27 \h</w:instrText>
            </w:r>
            <w:r>
              <w:rPr>
                <w:rFonts w:ascii="Arial" w:eastAsia="Arial" w:hAnsi="Arial" w:cs="Arial"/>
                <w:color w:val="668092"/>
                <w:sz w:val="18"/>
                <w:u w:val="single"/>
              </w:rPr>
            </w:r>
            <w:r>
              <w:rPr>
                <w:rFonts w:ascii="Arial" w:eastAsia="Arial" w:hAnsi="Arial" w:cs="Arial"/>
                <w:color w:val="668092"/>
                <w:sz w:val="18"/>
                <w:u w:val="single"/>
              </w:rPr>
              <w:fldChar w:fldCharType="separate"/>
            </w:r>
            <w:r>
              <w:rPr>
                <w:rFonts w:ascii="Arial" w:eastAsia="Arial" w:hAnsi="Arial" w:cs="Arial"/>
                <w:color w:val="668092"/>
                <w:sz w:val="18"/>
                <w:u w:val="single"/>
              </w:rPr>
              <w:t>44</w:t>
            </w:r>
            <w:r>
              <w:rPr>
                <w:rFonts w:ascii="Arial" w:eastAsia="Arial" w:hAnsi="Arial" w:cs="Arial"/>
                <w:color w:val="668092"/>
                <w:sz w:val="18"/>
                <w:u w:val="single"/>
              </w:rPr>
              <w:fldChar w:fldCharType="end"/>
            </w:r>
          </w:p>
        </w:tc>
      </w:tr>
      <w:tr w:rsidR="001614AC" w14:paraId="20125170" w14:textId="77777777">
        <w:trPr>
          <w:cantSplit/>
          <w:trHeight w:hRule="exact" w:val="315"/>
        </w:trPr>
        <w:tc>
          <w:tcPr>
            <w:tcW w:w="9315" w:type="dxa"/>
            <w:tcBorders>
              <w:top w:val="single" w:sz="8" w:space="0" w:color="F4F4F4"/>
              <w:left w:val="nil"/>
              <w:bottom w:val="single" w:sz="8" w:space="0" w:color="F4F4F4"/>
              <w:right w:val="nil"/>
            </w:tcBorders>
            <w:tcMar>
              <w:top w:w="0" w:type="dxa"/>
              <w:left w:w="53" w:type="dxa"/>
              <w:bottom w:w="0" w:type="dxa"/>
              <w:right w:w="53" w:type="dxa"/>
            </w:tcMar>
            <w:vAlign w:val="bottom"/>
          </w:tcPr>
          <w:p w14:paraId="7BF96741" w14:textId="77777777" w:rsidR="001614AC" w:rsidRDefault="004468F9">
            <w:pPr>
              <w:spacing w:before="55" w:after="30" w:line="288" w:lineRule="auto"/>
              <w:rPr>
                <w:rFonts w:ascii="Arial" w:eastAsia="Arial" w:hAnsi="Arial" w:cs="Arial"/>
                <w:color w:val="668092"/>
                <w:sz w:val="18"/>
              </w:rPr>
            </w:pPr>
            <w:hyperlink w:anchor="Section28" w:history="1">
              <w:r>
                <w:rPr>
                  <w:rFonts w:ascii="Arial" w:eastAsia="Arial" w:hAnsi="Arial" w:cs="Arial"/>
                  <w:color w:val="668092"/>
                  <w:sz w:val="18"/>
                  <w:u w:val="single"/>
                </w:rPr>
                <w:t>Note 16 - Statutory Information</w:t>
              </w:r>
            </w:hyperlink>
          </w:p>
        </w:tc>
        <w:tc>
          <w:tcPr>
            <w:tcW w:w="765" w:type="dxa"/>
            <w:tcBorders>
              <w:top w:val="single" w:sz="8" w:space="0" w:color="F4F4F4"/>
              <w:left w:val="nil"/>
              <w:bottom w:val="single" w:sz="8" w:space="0" w:color="F4F4F4"/>
              <w:right w:val="nil"/>
            </w:tcBorders>
            <w:tcMar>
              <w:top w:w="0" w:type="dxa"/>
              <w:left w:w="53" w:type="dxa"/>
              <w:bottom w:w="0" w:type="dxa"/>
              <w:right w:w="53" w:type="dxa"/>
            </w:tcMar>
            <w:vAlign w:val="bottom"/>
          </w:tcPr>
          <w:p w14:paraId="29FB12F0" w14:textId="77777777" w:rsidR="001614AC" w:rsidRDefault="004468F9">
            <w:pPr>
              <w:spacing w:before="55" w:after="30" w:line="288" w:lineRule="auto"/>
              <w:jc w:val="right"/>
              <w:rPr>
                <w:rFonts w:ascii="Arial" w:eastAsia="Arial" w:hAnsi="Arial" w:cs="Arial"/>
                <w:color w:val="668092"/>
                <w:sz w:val="18"/>
              </w:rPr>
            </w:pPr>
            <w:r>
              <w:rPr>
                <w:rFonts w:ascii="Arial" w:eastAsia="Arial" w:hAnsi="Arial" w:cs="Arial"/>
                <w:color w:val="668092"/>
                <w:sz w:val="18"/>
                <w:u w:val="single"/>
              </w:rPr>
              <w:fldChar w:fldCharType="begin"/>
            </w:r>
            <w:r>
              <w:rPr>
                <w:rFonts w:ascii="Arial" w:eastAsia="Arial" w:hAnsi="Arial" w:cs="Arial"/>
                <w:color w:val="668092"/>
                <w:sz w:val="18"/>
                <w:u w:val="single"/>
              </w:rPr>
              <w:instrText xml:space="preserve"> PAGEREF  Section28 \h</w:instrText>
            </w:r>
            <w:r>
              <w:rPr>
                <w:rFonts w:ascii="Arial" w:eastAsia="Arial" w:hAnsi="Arial" w:cs="Arial"/>
                <w:color w:val="668092"/>
                <w:sz w:val="18"/>
                <w:u w:val="single"/>
              </w:rPr>
            </w:r>
            <w:r>
              <w:rPr>
                <w:rFonts w:ascii="Arial" w:eastAsia="Arial" w:hAnsi="Arial" w:cs="Arial"/>
                <w:color w:val="668092"/>
                <w:sz w:val="18"/>
                <w:u w:val="single"/>
              </w:rPr>
              <w:fldChar w:fldCharType="separate"/>
            </w:r>
            <w:r>
              <w:rPr>
                <w:rFonts w:ascii="Arial" w:eastAsia="Arial" w:hAnsi="Arial" w:cs="Arial"/>
                <w:color w:val="668092"/>
                <w:sz w:val="18"/>
                <w:u w:val="single"/>
              </w:rPr>
              <w:t>45</w:t>
            </w:r>
            <w:r>
              <w:rPr>
                <w:rFonts w:ascii="Arial" w:eastAsia="Arial" w:hAnsi="Arial" w:cs="Arial"/>
                <w:color w:val="668092"/>
                <w:sz w:val="18"/>
                <w:u w:val="single"/>
              </w:rPr>
              <w:fldChar w:fldCharType="end"/>
            </w:r>
          </w:p>
        </w:tc>
      </w:tr>
    </w:tbl>
    <w:p w14:paraId="79CAFDC4" w14:textId="77777777" w:rsidR="001614AC" w:rsidRDefault="001614AC">
      <w:pPr>
        <w:keepNext/>
        <w:spacing w:after="100" w:line="288" w:lineRule="auto"/>
        <w:rPr>
          <w:rFonts w:ascii="Arial" w:eastAsia="Arial" w:hAnsi="Arial" w:cs="Arial"/>
          <w:sz w:val="18"/>
        </w:rPr>
      </w:pPr>
    </w:p>
    <w:p w14:paraId="7B763E5D" w14:textId="77777777" w:rsidR="001614AC" w:rsidRDefault="001614AC">
      <w:pPr>
        <w:keepNext/>
        <w:spacing w:after="100" w:line="288" w:lineRule="auto"/>
        <w:rPr>
          <w:rFonts w:ascii="Arial" w:eastAsia="Arial" w:hAnsi="Arial" w:cs="Arial"/>
          <w:sz w:val="18"/>
        </w:rPr>
        <w:sectPr w:rsidR="001614AC">
          <w:headerReference w:type="default" r:id="rId15"/>
          <w:type w:val="continuous"/>
          <w:pgSz w:w="12240" w:h="15840"/>
          <w:pgMar w:top="1260" w:right="1080" w:bottom="1080" w:left="1080" w:header="270" w:footer="270" w:gutter="0"/>
          <w:cols w:space="708"/>
        </w:sectPr>
      </w:pPr>
    </w:p>
    <w:p w14:paraId="024360DD" w14:textId="77777777" w:rsidR="001614AC" w:rsidRDefault="004468F9">
      <w:pPr>
        <w:spacing w:after="120" w:line="288" w:lineRule="auto"/>
        <w:rPr>
          <w:rFonts w:ascii="Arial" w:eastAsia="Arial" w:hAnsi="Arial" w:cs="Arial"/>
          <w:b/>
          <w:color w:val="4D6B80"/>
          <w:sz w:val="22"/>
        </w:rPr>
      </w:pPr>
      <w:bookmarkStart w:id="6" w:name="Section7"/>
      <w:bookmarkEnd w:id="6"/>
      <w:r>
        <w:rPr>
          <w:rFonts w:ascii="Arial" w:eastAsia="Arial" w:hAnsi="Arial" w:cs="Arial"/>
          <w:b/>
          <w:color w:val="4D6B80"/>
          <w:sz w:val="22"/>
        </w:rPr>
        <w:lastRenderedPageBreak/>
        <w:t>Radian Group Inc. and Subsidiaries</w:t>
      </w:r>
      <w:r>
        <w:rPr>
          <w:rFonts w:ascii="Arial" w:eastAsia="Arial" w:hAnsi="Arial" w:cs="Arial"/>
          <w:b/>
          <w:color w:val="4D6B80"/>
          <w:sz w:val="22"/>
        </w:rPr>
        <w:br/>
        <w:t>Condensed Consolidated Balance Sheets (Unaudited)</w:t>
      </w:r>
    </w:p>
    <w:tbl>
      <w:tblPr>
        <w:tblW w:w="10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89"/>
        <w:gridCol w:w="107"/>
        <w:gridCol w:w="163"/>
        <w:gridCol w:w="1066"/>
        <w:gridCol w:w="102"/>
        <w:gridCol w:w="107"/>
        <w:gridCol w:w="163"/>
        <w:gridCol w:w="1066"/>
        <w:gridCol w:w="102"/>
      </w:tblGrid>
      <w:tr w:rsidR="001614AC" w14:paraId="4818F37F" w14:textId="77777777">
        <w:trPr>
          <w:cantSplit/>
          <w:tblHeader/>
        </w:trPr>
        <w:tc>
          <w:tcPr>
            <w:tcW w:w="7440" w:type="dxa"/>
            <w:tcBorders>
              <w:top w:val="nil"/>
              <w:left w:val="nil"/>
              <w:bottom w:val="single" w:sz="8" w:space="0" w:color="FFFFFF"/>
              <w:right w:val="nil"/>
            </w:tcBorders>
            <w:tcMar>
              <w:top w:w="0" w:type="dxa"/>
              <w:left w:w="53" w:type="dxa"/>
              <w:bottom w:w="0" w:type="dxa"/>
              <w:right w:w="53" w:type="dxa"/>
            </w:tcMar>
            <w:vAlign w:val="bottom"/>
          </w:tcPr>
          <w:p w14:paraId="6DE7A120" w14:textId="77777777" w:rsidR="001614AC" w:rsidRDefault="004468F9">
            <w:pPr>
              <w:spacing w:before="75" w:after="30" w:line="288" w:lineRule="auto"/>
            </w:pPr>
            <w:r>
              <w:rPr>
                <w:rFonts w:ascii="Arial" w:eastAsia="Arial" w:hAnsi="Arial" w:cs="Arial"/>
                <w:color w:val="8B8886"/>
                <w:sz w:val="16"/>
              </w:rPr>
              <w:t>(In thousands, except per-share amount</w:t>
            </w:r>
            <w:r>
              <w:rPr>
                <w:rFonts w:ascii="Arial" w:eastAsia="Arial" w:hAnsi="Arial" w:cs="Arial"/>
                <w:color w:val="8B8886"/>
                <w:sz w:val="16"/>
              </w:rPr>
              <w:t>s)</w:t>
            </w:r>
          </w:p>
        </w:tc>
        <w:tc>
          <w:tcPr>
            <w:tcW w:w="105" w:type="dxa"/>
            <w:tcBorders>
              <w:top w:val="nil"/>
              <w:left w:val="nil"/>
              <w:bottom w:val="single" w:sz="8" w:space="0" w:color="FFFFFF"/>
              <w:right w:val="nil"/>
            </w:tcBorders>
            <w:tcMar>
              <w:top w:w="0" w:type="dxa"/>
              <w:left w:w="0" w:type="dxa"/>
              <w:bottom w:w="0" w:type="dxa"/>
              <w:right w:w="0" w:type="dxa"/>
            </w:tcMar>
            <w:vAlign w:val="bottom"/>
          </w:tcPr>
          <w:p w14:paraId="6A1D3439" w14:textId="77777777" w:rsidR="001614AC" w:rsidRDefault="001614AC"/>
        </w:tc>
        <w:tc>
          <w:tcPr>
            <w:tcW w:w="1305" w:type="dxa"/>
            <w:gridSpan w:val="3"/>
            <w:tcBorders>
              <w:top w:val="nil"/>
              <w:left w:val="nil"/>
              <w:bottom w:val="single" w:sz="8" w:space="0" w:color="FFFFFF"/>
              <w:right w:val="nil"/>
            </w:tcBorders>
            <w:shd w:val="clear" w:color="auto" w:fill="E6F8F8"/>
            <w:tcMar>
              <w:top w:w="0" w:type="dxa"/>
              <w:left w:w="53" w:type="dxa"/>
              <w:bottom w:w="0" w:type="dxa"/>
              <w:right w:w="53" w:type="dxa"/>
            </w:tcMar>
            <w:vAlign w:val="bottom"/>
          </w:tcPr>
          <w:p w14:paraId="7D695954" w14:textId="77777777" w:rsidR="001614AC" w:rsidRDefault="004468F9">
            <w:pPr>
              <w:spacing w:before="75" w:after="30" w:line="288" w:lineRule="auto"/>
              <w:jc w:val="center"/>
            </w:pPr>
            <w:r>
              <w:rPr>
                <w:rFonts w:ascii="Arial" w:eastAsia="Arial" w:hAnsi="Arial" w:cs="Arial"/>
                <w:b/>
                <w:color w:val="00BAB3"/>
                <w:sz w:val="18"/>
              </w:rPr>
              <w:t>June 30,</w:t>
            </w:r>
            <w:r>
              <w:br/>
            </w:r>
            <w:r>
              <w:rPr>
                <w:rFonts w:ascii="Arial" w:eastAsia="Arial" w:hAnsi="Arial" w:cs="Arial"/>
                <w:b/>
                <w:color w:val="00BAB3"/>
                <w:sz w:val="18"/>
              </w:rPr>
              <w:t>2021</w:t>
            </w:r>
          </w:p>
        </w:tc>
        <w:tc>
          <w:tcPr>
            <w:tcW w:w="105" w:type="dxa"/>
            <w:tcBorders>
              <w:top w:val="nil"/>
              <w:left w:val="nil"/>
              <w:bottom w:val="single" w:sz="8" w:space="0" w:color="FFFFFF"/>
              <w:right w:val="nil"/>
            </w:tcBorders>
            <w:tcMar>
              <w:top w:w="0" w:type="dxa"/>
              <w:left w:w="0" w:type="dxa"/>
              <w:bottom w:w="0" w:type="dxa"/>
              <w:right w:w="0" w:type="dxa"/>
            </w:tcMar>
            <w:vAlign w:val="bottom"/>
          </w:tcPr>
          <w:p w14:paraId="4D94D790" w14:textId="77777777" w:rsidR="001614AC" w:rsidRDefault="001614AC"/>
        </w:tc>
        <w:tc>
          <w:tcPr>
            <w:tcW w:w="1305" w:type="dxa"/>
            <w:gridSpan w:val="3"/>
            <w:tcBorders>
              <w:top w:val="nil"/>
              <w:left w:val="nil"/>
              <w:bottom w:val="single" w:sz="8" w:space="0" w:color="FFFFFF"/>
              <w:right w:val="nil"/>
            </w:tcBorders>
            <w:tcMar>
              <w:top w:w="0" w:type="dxa"/>
              <w:left w:w="53" w:type="dxa"/>
              <w:bottom w:w="0" w:type="dxa"/>
              <w:right w:w="53" w:type="dxa"/>
            </w:tcMar>
            <w:vAlign w:val="bottom"/>
          </w:tcPr>
          <w:p w14:paraId="621E8674" w14:textId="77777777" w:rsidR="001614AC" w:rsidRDefault="004468F9">
            <w:pPr>
              <w:spacing w:before="75" w:after="30" w:line="288" w:lineRule="auto"/>
              <w:jc w:val="center"/>
            </w:pPr>
            <w:r>
              <w:rPr>
                <w:rFonts w:ascii="Arial" w:eastAsia="Arial" w:hAnsi="Arial" w:cs="Arial"/>
                <w:b/>
                <w:color w:val="00BAB3"/>
                <w:sz w:val="18"/>
              </w:rPr>
              <w:t>December 31,</w:t>
            </w:r>
            <w:r>
              <w:br/>
            </w:r>
            <w:r>
              <w:rPr>
                <w:rFonts w:ascii="Arial" w:eastAsia="Arial" w:hAnsi="Arial" w:cs="Arial"/>
                <w:b/>
                <w:color w:val="00BAB3"/>
                <w:sz w:val="18"/>
              </w:rPr>
              <w:t>2020</w:t>
            </w:r>
          </w:p>
        </w:tc>
      </w:tr>
      <w:tr w:rsidR="001614AC" w14:paraId="37367E57" w14:textId="77777777">
        <w:trPr>
          <w:cantSplit/>
        </w:trPr>
        <w:tc>
          <w:tcPr>
            <w:tcW w:w="7440" w:type="dxa"/>
            <w:tcBorders>
              <w:top w:val="single" w:sz="8" w:space="0" w:color="FFFFFF"/>
              <w:left w:val="nil"/>
              <w:bottom w:val="single" w:sz="8" w:space="0" w:color="C7C9C7"/>
              <w:right w:val="nil"/>
            </w:tcBorders>
            <w:shd w:val="clear" w:color="auto" w:fill="F4F4F4"/>
            <w:tcMar>
              <w:top w:w="0" w:type="dxa"/>
              <w:left w:w="53" w:type="dxa"/>
              <w:bottom w:w="0" w:type="dxa"/>
              <w:right w:w="53" w:type="dxa"/>
            </w:tcMar>
            <w:vAlign w:val="bottom"/>
          </w:tcPr>
          <w:p w14:paraId="0042236F" w14:textId="77777777" w:rsidR="001614AC" w:rsidRDefault="004468F9">
            <w:pPr>
              <w:spacing w:before="55" w:after="30" w:line="288" w:lineRule="auto"/>
            </w:pPr>
            <w:r>
              <w:rPr>
                <w:rFonts w:ascii="Arial" w:eastAsia="Arial" w:hAnsi="Arial" w:cs="Arial"/>
                <w:b/>
                <w:color w:val="00BAB3"/>
                <w:sz w:val="20"/>
              </w:rPr>
              <w:t>Assets</w:t>
            </w:r>
          </w:p>
        </w:tc>
        <w:tc>
          <w:tcPr>
            <w:tcW w:w="105" w:type="dxa"/>
            <w:tcBorders>
              <w:top w:val="single" w:sz="8" w:space="0" w:color="FFFFFF"/>
              <w:left w:val="nil"/>
              <w:bottom w:val="single" w:sz="8" w:space="0" w:color="C7C9C7"/>
              <w:right w:val="nil"/>
            </w:tcBorders>
            <w:shd w:val="clear" w:color="auto" w:fill="F4F4F4"/>
            <w:tcMar>
              <w:top w:w="0" w:type="dxa"/>
              <w:left w:w="0" w:type="dxa"/>
              <w:bottom w:w="0" w:type="dxa"/>
              <w:right w:w="0" w:type="dxa"/>
            </w:tcMar>
            <w:vAlign w:val="bottom"/>
          </w:tcPr>
          <w:p w14:paraId="04561A11" w14:textId="77777777" w:rsidR="001614AC" w:rsidRDefault="001614AC"/>
        </w:tc>
        <w:tc>
          <w:tcPr>
            <w:tcW w:w="1305" w:type="dxa"/>
            <w:gridSpan w:val="3"/>
            <w:tcBorders>
              <w:top w:val="single" w:sz="8" w:space="0" w:color="FFFFFF"/>
              <w:left w:val="nil"/>
              <w:bottom w:val="single" w:sz="8" w:space="0" w:color="C7C9C7"/>
              <w:right w:val="nil"/>
            </w:tcBorders>
            <w:shd w:val="clear" w:color="auto" w:fill="F4F4F4"/>
            <w:tcMar>
              <w:top w:w="0" w:type="dxa"/>
              <w:left w:w="0" w:type="dxa"/>
              <w:bottom w:w="0" w:type="dxa"/>
              <w:right w:w="0" w:type="dxa"/>
            </w:tcMar>
            <w:vAlign w:val="bottom"/>
          </w:tcPr>
          <w:p w14:paraId="7632AF41" w14:textId="77777777" w:rsidR="001614AC" w:rsidRDefault="001614AC"/>
        </w:tc>
        <w:tc>
          <w:tcPr>
            <w:tcW w:w="105" w:type="dxa"/>
            <w:tcBorders>
              <w:top w:val="single" w:sz="8" w:space="0" w:color="FFFFFF"/>
              <w:left w:val="nil"/>
              <w:bottom w:val="single" w:sz="8" w:space="0" w:color="C7C9C7"/>
              <w:right w:val="nil"/>
            </w:tcBorders>
            <w:shd w:val="clear" w:color="auto" w:fill="F4F4F4"/>
            <w:tcMar>
              <w:top w:w="0" w:type="dxa"/>
              <w:left w:w="0" w:type="dxa"/>
              <w:bottom w:w="0" w:type="dxa"/>
              <w:right w:w="0" w:type="dxa"/>
            </w:tcMar>
            <w:vAlign w:val="bottom"/>
          </w:tcPr>
          <w:p w14:paraId="117A37DB" w14:textId="77777777" w:rsidR="001614AC" w:rsidRDefault="001614AC"/>
        </w:tc>
        <w:tc>
          <w:tcPr>
            <w:tcW w:w="1305" w:type="dxa"/>
            <w:gridSpan w:val="3"/>
            <w:tcBorders>
              <w:top w:val="single" w:sz="8" w:space="0" w:color="FFFFFF"/>
              <w:left w:val="nil"/>
              <w:bottom w:val="single" w:sz="8" w:space="0" w:color="C7C9C7"/>
              <w:right w:val="nil"/>
            </w:tcBorders>
            <w:shd w:val="clear" w:color="auto" w:fill="F4F4F4"/>
            <w:tcMar>
              <w:top w:w="0" w:type="dxa"/>
              <w:left w:w="0" w:type="dxa"/>
              <w:bottom w:w="0" w:type="dxa"/>
              <w:right w:w="0" w:type="dxa"/>
            </w:tcMar>
            <w:vAlign w:val="bottom"/>
          </w:tcPr>
          <w:p w14:paraId="18BD74CC" w14:textId="77777777" w:rsidR="001614AC" w:rsidRDefault="001614AC"/>
        </w:tc>
      </w:tr>
      <w:tr w:rsidR="001614AC" w14:paraId="564F22AD" w14:textId="77777777">
        <w:trPr>
          <w:cantSplit/>
        </w:trPr>
        <w:tc>
          <w:tcPr>
            <w:tcW w:w="7440" w:type="dxa"/>
            <w:tcBorders>
              <w:top w:val="single" w:sz="8" w:space="0" w:color="C7C9C7"/>
              <w:left w:val="nil"/>
              <w:bottom w:val="single" w:sz="8" w:space="0" w:color="F4F4F4"/>
              <w:right w:val="nil"/>
            </w:tcBorders>
            <w:tcMar>
              <w:top w:w="0" w:type="dxa"/>
              <w:left w:w="53" w:type="dxa"/>
              <w:bottom w:w="0" w:type="dxa"/>
              <w:right w:w="53" w:type="dxa"/>
            </w:tcMar>
            <w:vAlign w:val="bottom"/>
          </w:tcPr>
          <w:p w14:paraId="4099AD57" w14:textId="77777777" w:rsidR="001614AC" w:rsidRDefault="004468F9">
            <w:pPr>
              <w:spacing w:before="55" w:after="30" w:line="288" w:lineRule="auto"/>
              <w:rPr>
                <w:rFonts w:ascii="Arial" w:eastAsia="Arial" w:hAnsi="Arial" w:cs="Arial"/>
                <w:sz w:val="18"/>
              </w:rPr>
            </w:pPr>
            <w:r>
              <w:rPr>
                <w:rFonts w:ascii="Arial" w:eastAsia="Arial" w:hAnsi="Arial" w:cs="Arial"/>
                <w:sz w:val="18"/>
              </w:rPr>
              <w:t>Investments (Notes 5 and 6)</w:t>
            </w:r>
          </w:p>
        </w:tc>
        <w:tc>
          <w:tcPr>
            <w:tcW w:w="105" w:type="dxa"/>
            <w:tcBorders>
              <w:top w:val="single" w:sz="8" w:space="0" w:color="C7C9C7"/>
              <w:left w:val="nil"/>
              <w:bottom w:val="nil"/>
              <w:right w:val="nil"/>
            </w:tcBorders>
            <w:tcMar>
              <w:top w:w="0" w:type="dxa"/>
              <w:left w:w="0" w:type="dxa"/>
              <w:bottom w:w="0" w:type="dxa"/>
              <w:right w:w="0" w:type="dxa"/>
            </w:tcMar>
            <w:vAlign w:val="bottom"/>
          </w:tcPr>
          <w:p w14:paraId="629BC55C" w14:textId="77777777" w:rsidR="001614AC" w:rsidRDefault="001614AC"/>
        </w:tc>
        <w:tc>
          <w:tcPr>
            <w:tcW w:w="1305" w:type="dxa"/>
            <w:gridSpan w:val="3"/>
            <w:tcBorders>
              <w:top w:val="single" w:sz="8" w:space="0" w:color="C7C9C7"/>
              <w:left w:val="nil"/>
              <w:bottom w:val="single" w:sz="8" w:space="0" w:color="F4F4F4"/>
              <w:right w:val="nil"/>
            </w:tcBorders>
            <w:tcMar>
              <w:top w:w="0" w:type="dxa"/>
              <w:left w:w="0" w:type="dxa"/>
              <w:bottom w:w="0" w:type="dxa"/>
              <w:right w:w="0" w:type="dxa"/>
            </w:tcMar>
            <w:vAlign w:val="bottom"/>
          </w:tcPr>
          <w:p w14:paraId="0CEF43B3" w14:textId="77777777" w:rsidR="001614AC" w:rsidRDefault="001614AC"/>
        </w:tc>
        <w:tc>
          <w:tcPr>
            <w:tcW w:w="105" w:type="dxa"/>
            <w:tcBorders>
              <w:top w:val="single" w:sz="8" w:space="0" w:color="C7C9C7"/>
              <w:left w:val="nil"/>
              <w:bottom w:val="nil"/>
              <w:right w:val="nil"/>
            </w:tcBorders>
            <w:tcMar>
              <w:top w:w="0" w:type="dxa"/>
              <w:left w:w="0" w:type="dxa"/>
              <w:bottom w:w="0" w:type="dxa"/>
              <w:right w:w="0" w:type="dxa"/>
            </w:tcMar>
            <w:vAlign w:val="bottom"/>
          </w:tcPr>
          <w:p w14:paraId="5204E55F" w14:textId="77777777" w:rsidR="001614AC" w:rsidRDefault="001614AC"/>
        </w:tc>
        <w:tc>
          <w:tcPr>
            <w:tcW w:w="1305" w:type="dxa"/>
            <w:gridSpan w:val="3"/>
            <w:tcBorders>
              <w:top w:val="single" w:sz="8" w:space="0" w:color="C7C9C7"/>
              <w:left w:val="nil"/>
              <w:bottom w:val="single" w:sz="8" w:space="0" w:color="F4F4F4"/>
              <w:right w:val="nil"/>
            </w:tcBorders>
            <w:tcMar>
              <w:top w:w="0" w:type="dxa"/>
              <w:left w:w="0" w:type="dxa"/>
              <w:bottom w:w="0" w:type="dxa"/>
              <w:right w:w="0" w:type="dxa"/>
            </w:tcMar>
            <w:vAlign w:val="bottom"/>
          </w:tcPr>
          <w:p w14:paraId="20E041F5" w14:textId="77777777" w:rsidR="001614AC" w:rsidRDefault="001614AC"/>
        </w:tc>
      </w:tr>
      <w:tr w:rsidR="001614AC" w14:paraId="419F29E2" w14:textId="77777777">
        <w:trPr>
          <w:cantSplit/>
        </w:trPr>
        <w:tc>
          <w:tcPr>
            <w:tcW w:w="7440" w:type="dxa"/>
            <w:tcBorders>
              <w:top w:val="single" w:sz="8" w:space="0" w:color="F4F4F4"/>
              <w:left w:val="nil"/>
              <w:bottom w:val="single" w:sz="8" w:space="0" w:color="F4F4F4"/>
              <w:right w:val="nil"/>
            </w:tcBorders>
            <w:tcMar>
              <w:top w:w="0" w:type="dxa"/>
              <w:left w:w="53" w:type="dxa"/>
              <w:bottom w:w="0" w:type="dxa"/>
              <w:right w:w="53" w:type="dxa"/>
            </w:tcMar>
            <w:vAlign w:val="bottom"/>
          </w:tcPr>
          <w:p w14:paraId="34F23C69" w14:textId="77777777" w:rsidR="001614AC" w:rsidRDefault="004468F9">
            <w:pPr>
              <w:spacing w:before="55" w:after="30" w:line="288" w:lineRule="auto"/>
              <w:ind w:left="240"/>
              <w:rPr>
                <w:rFonts w:ascii="Arial" w:eastAsia="Arial" w:hAnsi="Arial" w:cs="Arial"/>
                <w:sz w:val="18"/>
              </w:rPr>
            </w:pPr>
            <w:r>
              <w:rPr>
                <w:rFonts w:ascii="Arial" w:eastAsia="Arial" w:hAnsi="Arial" w:cs="Arial"/>
                <w:sz w:val="18"/>
              </w:rPr>
              <w:t>Fixed-maturities available for sale—at fair value, net of allowance for credit losses of $0 and $948 (amortized cost of $5,349,405 and $5,393,623)</w:t>
            </w:r>
          </w:p>
        </w:tc>
        <w:tc>
          <w:tcPr>
            <w:tcW w:w="105" w:type="dxa"/>
            <w:tcBorders>
              <w:top w:val="nil"/>
              <w:left w:val="nil"/>
              <w:bottom w:val="nil"/>
              <w:right w:val="nil"/>
            </w:tcBorders>
            <w:tcMar>
              <w:top w:w="0" w:type="dxa"/>
              <w:left w:w="0" w:type="dxa"/>
              <w:bottom w:w="0" w:type="dxa"/>
              <w:right w:w="0" w:type="dxa"/>
            </w:tcMar>
            <w:vAlign w:val="bottom"/>
          </w:tcPr>
          <w:p w14:paraId="4C0461C2" w14:textId="77777777" w:rsidR="001614AC" w:rsidRDefault="001614AC"/>
        </w:tc>
        <w:tc>
          <w:tcPr>
            <w:tcW w:w="160" w:type="dxa"/>
            <w:tcBorders>
              <w:top w:val="single" w:sz="8" w:space="0" w:color="F4F4F4"/>
              <w:left w:val="nil"/>
              <w:bottom w:val="single" w:sz="8" w:space="0" w:color="F4F4F4"/>
              <w:right w:val="nil"/>
            </w:tcBorders>
            <w:tcMar>
              <w:top w:w="0" w:type="dxa"/>
              <w:left w:w="53" w:type="dxa"/>
              <w:bottom w:w="0" w:type="dxa"/>
              <w:right w:w="0" w:type="dxa"/>
            </w:tcMar>
            <w:vAlign w:val="bottom"/>
          </w:tcPr>
          <w:p w14:paraId="5F27329B" w14:textId="77777777" w:rsidR="001614AC" w:rsidRDefault="004468F9">
            <w:pPr>
              <w:spacing w:before="55" w:after="30" w:line="288" w:lineRule="auto"/>
            </w:pPr>
            <w:r>
              <w:rPr>
                <w:rFonts w:ascii="Arial" w:eastAsia="Arial" w:hAnsi="Arial" w:cs="Arial"/>
                <w:color w:val="000000"/>
                <w:sz w:val="18"/>
              </w:rPr>
              <w:t>$</w:t>
            </w:r>
          </w:p>
        </w:tc>
        <w:tc>
          <w:tcPr>
            <w:tcW w:w="1045" w:type="dxa"/>
            <w:tcBorders>
              <w:top w:val="single" w:sz="8" w:space="0" w:color="F4F4F4"/>
              <w:left w:val="nil"/>
              <w:bottom w:val="single" w:sz="8" w:space="0" w:color="F4F4F4"/>
              <w:right w:val="nil"/>
            </w:tcBorders>
            <w:tcMar>
              <w:top w:w="0" w:type="dxa"/>
              <w:left w:w="0" w:type="dxa"/>
              <w:bottom w:w="0" w:type="dxa"/>
              <w:right w:w="0" w:type="dxa"/>
            </w:tcMar>
            <w:vAlign w:val="bottom"/>
          </w:tcPr>
          <w:p w14:paraId="7DCD4A0F" w14:textId="77777777" w:rsidR="001614AC" w:rsidRDefault="004468F9">
            <w:pPr>
              <w:spacing w:before="55" w:after="30" w:line="288" w:lineRule="auto"/>
              <w:jc w:val="right"/>
            </w:pPr>
            <w:r>
              <w:rPr>
                <w:rFonts w:ascii="Arial" w:eastAsia="Arial" w:hAnsi="Arial" w:cs="Arial"/>
                <w:color w:val="000000"/>
                <w:sz w:val="18"/>
              </w:rPr>
              <w:t>5,572,813 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479F14EA" w14:textId="77777777" w:rsidR="001614AC" w:rsidRDefault="001614AC">
            <w:pPr>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3CF22B67" w14:textId="77777777" w:rsidR="001614AC" w:rsidRDefault="001614AC"/>
        </w:tc>
        <w:tc>
          <w:tcPr>
            <w:tcW w:w="160" w:type="dxa"/>
            <w:tcBorders>
              <w:top w:val="single" w:sz="8" w:space="0" w:color="F4F4F4"/>
              <w:left w:val="nil"/>
              <w:bottom w:val="single" w:sz="8" w:space="0" w:color="F4F4F4"/>
              <w:right w:val="nil"/>
            </w:tcBorders>
            <w:tcMar>
              <w:top w:w="0" w:type="dxa"/>
              <w:left w:w="53" w:type="dxa"/>
              <w:bottom w:w="0" w:type="dxa"/>
              <w:right w:w="0" w:type="dxa"/>
            </w:tcMar>
            <w:vAlign w:val="bottom"/>
          </w:tcPr>
          <w:p w14:paraId="3177D274" w14:textId="77777777" w:rsidR="001614AC" w:rsidRDefault="004468F9">
            <w:pPr>
              <w:spacing w:before="55" w:after="30" w:line="288" w:lineRule="auto"/>
            </w:pPr>
            <w:r>
              <w:rPr>
                <w:rFonts w:ascii="Arial" w:eastAsia="Arial" w:hAnsi="Arial" w:cs="Arial"/>
                <w:color w:val="000000"/>
                <w:sz w:val="18"/>
              </w:rPr>
              <w:t>$</w:t>
            </w:r>
          </w:p>
        </w:tc>
        <w:tc>
          <w:tcPr>
            <w:tcW w:w="1045" w:type="dxa"/>
            <w:tcBorders>
              <w:top w:val="single" w:sz="8" w:space="0" w:color="F4F4F4"/>
              <w:left w:val="nil"/>
              <w:bottom w:val="single" w:sz="8" w:space="0" w:color="F4F4F4"/>
              <w:right w:val="nil"/>
            </w:tcBorders>
            <w:tcMar>
              <w:top w:w="0" w:type="dxa"/>
              <w:left w:w="0" w:type="dxa"/>
              <w:bottom w:w="0" w:type="dxa"/>
              <w:right w:w="0" w:type="dxa"/>
            </w:tcMar>
            <w:vAlign w:val="bottom"/>
          </w:tcPr>
          <w:p w14:paraId="5CD18348" w14:textId="77777777" w:rsidR="001614AC" w:rsidRDefault="004468F9">
            <w:pPr>
              <w:spacing w:before="55" w:after="30" w:line="288" w:lineRule="auto"/>
              <w:jc w:val="right"/>
            </w:pPr>
            <w:r>
              <w:rPr>
                <w:rFonts w:ascii="Arial" w:eastAsia="Arial" w:hAnsi="Arial" w:cs="Arial"/>
                <w:color w:val="000000"/>
                <w:sz w:val="18"/>
              </w:rPr>
              <w:t>5,723,340 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6CA64482" w14:textId="77777777" w:rsidR="001614AC" w:rsidRDefault="001614AC">
            <w:pPr>
              <w:spacing w:before="55" w:after="30" w:line="288" w:lineRule="auto"/>
              <w:jc w:val="right"/>
            </w:pPr>
          </w:p>
        </w:tc>
      </w:tr>
      <w:tr w:rsidR="001614AC" w14:paraId="129FA891" w14:textId="77777777">
        <w:trPr>
          <w:cantSplit/>
        </w:trPr>
        <w:tc>
          <w:tcPr>
            <w:tcW w:w="7440" w:type="dxa"/>
            <w:tcBorders>
              <w:top w:val="single" w:sz="8" w:space="0" w:color="F4F4F4"/>
              <w:left w:val="nil"/>
              <w:bottom w:val="single" w:sz="8" w:space="0" w:color="F4F4F4"/>
              <w:right w:val="nil"/>
            </w:tcBorders>
            <w:tcMar>
              <w:top w:w="0" w:type="dxa"/>
              <w:left w:w="53" w:type="dxa"/>
              <w:bottom w:w="0" w:type="dxa"/>
              <w:right w:w="53" w:type="dxa"/>
            </w:tcMar>
            <w:vAlign w:val="bottom"/>
          </w:tcPr>
          <w:p w14:paraId="1216AA48" w14:textId="77777777" w:rsidR="001614AC" w:rsidRDefault="004468F9">
            <w:pPr>
              <w:spacing w:before="55" w:after="30" w:line="288" w:lineRule="auto"/>
              <w:ind w:left="240"/>
              <w:rPr>
                <w:rFonts w:ascii="Arial" w:eastAsia="Arial" w:hAnsi="Arial" w:cs="Arial"/>
                <w:sz w:val="18"/>
              </w:rPr>
            </w:pPr>
            <w:r>
              <w:rPr>
                <w:rFonts w:ascii="Arial" w:eastAsia="Arial" w:hAnsi="Arial" w:cs="Arial"/>
                <w:sz w:val="18"/>
              </w:rPr>
              <w:t>Trad</w:t>
            </w:r>
            <w:r>
              <w:rPr>
                <w:rFonts w:ascii="Arial" w:eastAsia="Arial" w:hAnsi="Arial" w:cs="Arial"/>
                <w:sz w:val="18"/>
              </w:rPr>
              <w:t>ing securities—at fair value (amortized cost of $241,657 and $260,773)</w:t>
            </w:r>
          </w:p>
        </w:tc>
        <w:tc>
          <w:tcPr>
            <w:tcW w:w="105" w:type="dxa"/>
            <w:tcBorders>
              <w:top w:val="nil"/>
              <w:left w:val="nil"/>
              <w:bottom w:val="nil"/>
              <w:right w:val="nil"/>
            </w:tcBorders>
            <w:tcMar>
              <w:top w:w="0" w:type="dxa"/>
              <w:left w:w="0" w:type="dxa"/>
              <w:bottom w:w="0" w:type="dxa"/>
              <w:right w:w="0" w:type="dxa"/>
            </w:tcMar>
            <w:vAlign w:val="bottom"/>
          </w:tcPr>
          <w:p w14:paraId="0A8F4435" w14:textId="77777777" w:rsidR="001614AC" w:rsidRDefault="001614AC"/>
        </w:tc>
        <w:tc>
          <w:tcPr>
            <w:tcW w:w="1205"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353853A3" w14:textId="77777777" w:rsidR="001614AC" w:rsidRDefault="004468F9">
            <w:pPr>
              <w:spacing w:before="55" w:after="30" w:line="288" w:lineRule="auto"/>
              <w:jc w:val="right"/>
            </w:pPr>
            <w:r>
              <w:rPr>
                <w:rFonts w:ascii="Arial" w:eastAsia="Arial" w:hAnsi="Arial" w:cs="Arial"/>
                <w:color w:val="000000"/>
                <w:sz w:val="18"/>
              </w:rPr>
              <w:t>267,980 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4CED5866" w14:textId="77777777" w:rsidR="001614AC" w:rsidRDefault="001614AC">
            <w:pPr>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48652622" w14:textId="77777777" w:rsidR="001614AC" w:rsidRDefault="001614AC"/>
        </w:tc>
        <w:tc>
          <w:tcPr>
            <w:tcW w:w="1205"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6B74C176" w14:textId="77777777" w:rsidR="001614AC" w:rsidRDefault="004468F9">
            <w:pPr>
              <w:spacing w:before="55" w:after="30" w:line="288" w:lineRule="auto"/>
              <w:jc w:val="right"/>
            </w:pPr>
            <w:r>
              <w:rPr>
                <w:rFonts w:ascii="Arial" w:eastAsia="Arial" w:hAnsi="Arial" w:cs="Arial"/>
                <w:color w:val="000000"/>
                <w:sz w:val="18"/>
              </w:rPr>
              <w:t>290,885 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792EC745" w14:textId="77777777" w:rsidR="001614AC" w:rsidRDefault="001614AC">
            <w:pPr>
              <w:spacing w:before="55" w:after="30" w:line="288" w:lineRule="auto"/>
              <w:jc w:val="right"/>
            </w:pPr>
          </w:p>
        </w:tc>
      </w:tr>
      <w:tr w:rsidR="001614AC" w14:paraId="63E7DD80" w14:textId="77777777">
        <w:trPr>
          <w:cantSplit/>
        </w:trPr>
        <w:tc>
          <w:tcPr>
            <w:tcW w:w="7440" w:type="dxa"/>
            <w:tcBorders>
              <w:top w:val="single" w:sz="8" w:space="0" w:color="F4F4F4"/>
              <w:left w:val="nil"/>
              <w:bottom w:val="single" w:sz="8" w:space="0" w:color="F4F4F4"/>
              <w:right w:val="nil"/>
            </w:tcBorders>
            <w:tcMar>
              <w:top w:w="0" w:type="dxa"/>
              <w:left w:w="53" w:type="dxa"/>
              <w:bottom w:w="0" w:type="dxa"/>
              <w:right w:w="53" w:type="dxa"/>
            </w:tcMar>
            <w:vAlign w:val="bottom"/>
          </w:tcPr>
          <w:p w14:paraId="121277F4" w14:textId="77777777" w:rsidR="001614AC" w:rsidRDefault="004468F9">
            <w:pPr>
              <w:spacing w:before="55" w:after="30" w:line="288" w:lineRule="auto"/>
              <w:ind w:left="240"/>
              <w:rPr>
                <w:rFonts w:ascii="Arial" w:eastAsia="Arial" w:hAnsi="Arial" w:cs="Arial"/>
                <w:sz w:val="18"/>
              </w:rPr>
            </w:pPr>
            <w:r>
              <w:rPr>
                <w:rFonts w:ascii="Arial" w:eastAsia="Arial" w:hAnsi="Arial" w:cs="Arial"/>
                <w:sz w:val="18"/>
              </w:rPr>
              <w:t>Equity securities—at fair value (cost of $160,224 and $145,501)</w:t>
            </w:r>
          </w:p>
        </w:tc>
        <w:tc>
          <w:tcPr>
            <w:tcW w:w="105" w:type="dxa"/>
            <w:tcBorders>
              <w:top w:val="nil"/>
              <w:left w:val="nil"/>
              <w:bottom w:val="nil"/>
              <w:right w:val="nil"/>
            </w:tcBorders>
            <w:tcMar>
              <w:top w:w="0" w:type="dxa"/>
              <w:left w:w="0" w:type="dxa"/>
              <w:bottom w:w="0" w:type="dxa"/>
              <w:right w:w="0" w:type="dxa"/>
            </w:tcMar>
            <w:vAlign w:val="bottom"/>
          </w:tcPr>
          <w:p w14:paraId="699084BC" w14:textId="77777777" w:rsidR="001614AC" w:rsidRDefault="001614AC"/>
        </w:tc>
        <w:tc>
          <w:tcPr>
            <w:tcW w:w="1205"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684109DE" w14:textId="77777777" w:rsidR="001614AC" w:rsidRDefault="004468F9">
            <w:pPr>
              <w:spacing w:before="55" w:after="30" w:line="288" w:lineRule="auto"/>
              <w:jc w:val="right"/>
            </w:pPr>
            <w:r>
              <w:rPr>
                <w:rFonts w:ascii="Arial" w:eastAsia="Arial" w:hAnsi="Arial" w:cs="Arial"/>
                <w:color w:val="000000"/>
                <w:sz w:val="18"/>
              </w:rPr>
              <w:t>175,147 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2224873B" w14:textId="77777777" w:rsidR="001614AC" w:rsidRDefault="001614AC">
            <w:pPr>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6E64A664" w14:textId="77777777" w:rsidR="001614AC" w:rsidRDefault="001614AC"/>
        </w:tc>
        <w:tc>
          <w:tcPr>
            <w:tcW w:w="1205"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265040DE" w14:textId="77777777" w:rsidR="001614AC" w:rsidRDefault="004468F9">
            <w:pPr>
              <w:spacing w:before="55" w:after="30" w:line="288" w:lineRule="auto"/>
              <w:jc w:val="right"/>
            </w:pPr>
            <w:r>
              <w:rPr>
                <w:rFonts w:ascii="Arial" w:eastAsia="Arial" w:hAnsi="Arial" w:cs="Arial"/>
                <w:color w:val="000000"/>
                <w:sz w:val="18"/>
              </w:rPr>
              <w:t>151,240 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6FD545E9" w14:textId="77777777" w:rsidR="001614AC" w:rsidRDefault="001614AC">
            <w:pPr>
              <w:spacing w:before="55" w:after="30" w:line="288" w:lineRule="auto"/>
              <w:jc w:val="right"/>
            </w:pPr>
          </w:p>
        </w:tc>
      </w:tr>
      <w:tr w:rsidR="001614AC" w14:paraId="6008249D" w14:textId="77777777">
        <w:trPr>
          <w:cantSplit/>
        </w:trPr>
        <w:tc>
          <w:tcPr>
            <w:tcW w:w="7440" w:type="dxa"/>
            <w:tcBorders>
              <w:top w:val="single" w:sz="8" w:space="0" w:color="F4F4F4"/>
              <w:left w:val="nil"/>
              <w:bottom w:val="single" w:sz="8" w:space="0" w:color="F4F4F4"/>
              <w:right w:val="nil"/>
            </w:tcBorders>
            <w:tcMar>
              <w:top w:w="0" w:type="dxa"/>
              <w:left w:w="53" w:type="dxa"/>
              <w:bottom w:w="0" w:type="dxa"/>
              <w:right w:w="53" w:type="dxa"/>
            </w:tcMar>
            <w:vAlign w:val="bottom"/>
          </w:tcPr>
          <w:p w14:paraId="51295A08" w14:textId="77777777" w:rsidR="001614AC" w:rsidRDefault="004468F9">
            <w:pPr>
              <w:spacing w:before="55" w:after="30" w:line="288" w:lineRule="auto"/>
              <w:ind w:left="240"/>
              <w:rPr>
                <w:rFonts w:ascii="Arial" w:eastAsia="Arial" w:hAnsi="Arial" w:cs="Arial"/>
                <w:sz w:val="18"/>
              </w:rPr>
            </w:pPr>
            <w:r>
              <w:rPr>
                <w:rFonts w:ascii="Arial" w:eastAsia="Arial" w:hAnsi="Arial" w:cs="Arial"/>
                <w:sz w:val="18"/>
              </w:rPr>
              <w:t>Short-term investments—at fair value (includes $32,435 and $15,587 of reinvested cash collateral held under securities lending agreements)</w:t>
            </w:r>
          </w:p>
        </w:tc>
        <w:tc>
          <w:tcPr>
            <w:tcW w:w="105" w:type="dxa"/>
            <w:tcBorders>
              <w:top w:val="nil"/>
              <w:left w:val="nil"/>
              <w:bottom w:val="nil"/>
              <w:right w:val="nil"/>
            </w:tcBorders>
            <w:tcMar>
              <w:top w:w="0" w:type="dxa"/>
              <w:left w:w="0" w:type="dxa"/>
              <w:bottom w:w="0" w:type="dxa"/>
              <w:right w:w="0" w:type="dxa"/>
            </w:tcMar>
            <w:vAlign w:val="bottom"/>
          </w:tcPr>
          <w:p w14:paraId="3A6FB947" w14:textId="77777777" w:rsidR="001614AC" w:rsidRDefault="001614AC"/>
        </w:tc>
        <w:tc>
          <w:tcPr>
            <w:tcW w:w="1205"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6B23A07F" w14:textId="77777777" w:rsidR="001614AC" w:rsidRDefault="004468F9">
            <w:pPr>
              <w:spacing w:before="55" w:after="30" w:line="288" w:lineRule="auto"/>
              <w:jc w:val="right"/>
            </w:pPr>
            <w:r>
              <w:rPr>
                <w:rFonts w:ascii="Arial" w:eastAsia="Arial" w:hAnsi="Arial" w:cs="Arial"/>
                <w:color w:val="000000"/>
                <w:sz w:val="18"/>
              </w:rPr>
              <w:t>662,095 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50D121D2" w14:textId="77777777" w:rsidR="001614AC" w:rsidRDefault="001614AC">
            <w:pPr>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020B4E88" w14:textId="77777777" w:rsidR="001614AC" w:rsidRDefault="001614AC"/>
        </w:tc>
        <w:tc>
          <w:tcPr>
            <w:tcW w:w="1205"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06D077B3" w14:textId="77777777" w:rsidR="001614AC" w:rsidRDefault="004468F9">
            <w:pPr>
              <w:spacing w:before="55" w:after="30" w:line="288" w:lineRule="auto"/>
              <w:jc w:val="right"/>
            </w:pPr>
            <w:r>
              <w:rPr>
                <w:rFonts w:ascii="Arial" w:eastAsia="Arial" w:hAnsi="Arial" w:cs="Arial"/>
                <w:color w:val="000000"/>
                <w:sz w:val="18"/>
              </w:rPr>
              <w:t>618,004 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068CBBAA" w14:textId="77777777" w:rsidR="001614AC" w:rsidRDefault="001614AC">
            <w:pPr>
              <w:spacing w:before="55" w:after="30" w:line="288" w:lineRule="auto"/>
              <w:jc w:val="right"/>
            </w:pPr>
          </w:p>
        </w:tc>
      </w:tr>
      <w:tr w:rsidR="001614AC" w14:paraId="14CEAAD0" w14:textId="77777777">
        <w:trPr>
          <w:cantSplit/>
        </w:trPr>
        <w:tc>
          <w:tcPr>
            <w:tcW w:w="7440" w:type="dxa"/>
            <w:tcBorders>
              <w:top w:val="single" w:sz="8" w:space="0" w:color="F4F4F4"/>
              <w:left w:val="nil"/>
              <w:bottom w:val="nil"/>
              <w:right w:val="nil"/>
            </w:tcBorders>
            <w:tcMar>
              <w:top w:w="0" w:type="dxa"/>
              <w:left w:w="53" w:type="dxa"/>
              <w:bottom w:w="0" w:type="dxa"/>
              <w:right w:w="53" w:type="dxa"/>
            </w:tcMar>
            <w:vAlign w:val="bottom"/>
          </w:tcPr>
          <w:p w14:paraId="33719100" w14:textId="77777777" w:rsidR="001614AC" w:rsidRDefault="004468F9">
            <w:pPr>
              <w:spacing w:before="55" w:after="30" w:line="288" w:lineRule="auto"/>
              <w:ind w:left="240"/>
            </w:pPr>
            <w:r>
              <w:rPr>
                <w:rFonts w:ascii="Arial" w:eastAsia="Arial" w:hAnsi="Arial" w:cs="Arial"/>
                <w:color w:val="000000"/>
                <w:sz w:val="18"/>
              </w:rPr>
              <w:t>Other invested assets—at fair value</w:t>
            </w:r>
          </w:p>
        </w:tc>
        <w:tc>
          <w:tcPr>
            <w:tcW w:w="105" w:type="dxa"/>
            <w:tcBorders>
              <w:top w:val="nil"/>
              <w:left w:val="nil"/>
              <w:bottom w:val="nil"/>
              <w:right w:val="nil"/>
            </w:tcBorders>
            <w:tcMar>
              <w:top w:w="0" w:type="dxa"/>
              <w:left w:w="0" w:type="dxa"/>
              <w:bottom w:w="0" w:type="dxa"/>
              <w:right w:w="0" w:type="dxa"/>
            </w:tcMar>
            <w:vAlign w:val="bottom"/>
          </w:tcPr>
          <w:p w14:paraId="26D48A83" w14:textId="77777777" w:rsidR="001614AC" w:rsidRDefault="001614AC"/>
        </w:tc>
        <w:tc>
          <w:tcPr>
            <w:tcW w:w="1205" w:type="dxa"/>
            <w:gridSpan w:val="2"/>
            <w:tcBorders>
              <w:top w:val="single" w:sz="8" w:space="0" w:color="F4F4F4"/>
              <w:left w:val="nil"/>
              <w:bottom w:val="single" w:sz="8" w:space="0" w:color="C7C9C7"/>
              <w:right w:val="nil"/>
            </w:tcBorders>
            <w:tcMar>
              <w:top w:w="0" w:type="dxa"/>
              <w:left w:w="53" w:type="dxa"/>
              <w:bottom w:w="0" w:type="dxa"/>
              <w:right w:w="0" w:type="dxa"/>
            </w:tcMar>
            <w:vAlign w:val="bottom"/>
          </w:tcPr>
          <w:p w14:paraId="42D29171" w14:textId="77777777" w:rsidR="001614AC" w:rsidRDefault="004468F9">
            <w:pPr>
              <w:spacing w:before="55" w:after="30" w:line="288" w:lineRule="auto"/>
              <w:jc w:val="right"/>
            </w:pPr>
            <w:r>
              <w:rPr>
                <w:rFonts w:ascii="Arial" w:eastAsia="Arial" w:hAnsi="Arial" w:cs="Arial"/>
                <w:color w:val="000000"/>
                <w:sz w:val="18"/>
              </w:rPr>
              <w:t>3,624 </w:t>
            </w:r>
          </w:p>
        </w:tc>
        <w:tc>
          <w:tcPr>
            <w:tcW w:w="100" w:type="dxa"/>
            <w:tcBorders>
              <w:top w:val="single" w:sz="8" w:space="0" w:color="F4F4F4"/>
              <w:left w:val="nil"/>
              <w:bottom w:val="single" w:sz="8" w:space="0" w:color="C7C9C7"/>
              <w:right w:val="nil"/>
            </w:tcBorders>
            <w:tcMar>
              <w:top w:w="0" w:type="dxa"/>
              <w:left w:w="0" w:type="dxa"/>
              <w:bottom w:w="0" w:type="dxa"/>
              <w:right w:w="15" w:type="dxa"/>
            </w:tcMar>
            <w:vAlign w:val="bottom"/>
          </w:tcPr>
          <w:p w14:paraId="23226B54" w14:textId="77777777" w:rsidR="001614AC" w:rsidRDefault="001614AC">
            <w:pPr>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7A7C2FBB" w14:textId="77777777" w:rsidR="001614AC" w:rsidRDefault="001614AC"/>
        </w:tc>
        <w:tc>
          <w:tcPr>
            <w:tcW w:w="1205" w:type="dxa"/>
            <w:gridSpan w:val="2"/>
            <w:tcBorders>
              <w:top w:val="single" w:sz="8" w:space="0" w:color="F4F4F4"/>
              <w:left w:val="nil"/>
              <w:bottom w:val="single" w:sz="8" w:space="0" w:color="C7C9C7"/>
              <w:right w:val="nil"/>
            </w:tcBorders>
            <w:tcMar>
              <w:top w:w="0" w:type="dxa"/>
              <w:left w:w="53" w:type="dxa"/>
              <w:bottom w:w="0" w:type="dxa"/>
              <w:right w:w="0" w:type="dxa"/>
            </w:tcMar>
            <w:vAlign w:val="bottom"/>
          </w:tcPr>
          <w:p w14:paraId="09401E4F" w14:textId="77777777" w:rsidR="001614AC" w:rsidRDefault="004468F9">
            <w:pPr>
              <w:spacing w:before="55" w:after="30" w:line="288" w:lineRule="auto"/>
              <w:jc w:val="right"/>
            </w:pPr>
            <w:r>
              <w:rPr>
                <w:rFonts w:ascii="Arial" w:eastAsia="Arial" w:hAnsi="Arial" w:cs="Arial"/>
                <w:color w:val="000000"/>
                <w:sz w:val="18"/>
              </w:rPr>
              <w:t>4,973 </w:t>
            </w:r>
          </w:p>
        </w:tc>
        <w:tc>
          <w:tcPr>
            <w:tcW w:w="100" w:type="dxa"/>
            <w:tcBorders>
              <w:top w:val="single" w:sz="8" w:space="0" w:color="F4F4F4"/>
              <w:left w:val="nil"/>
              <w:bottom w:val="single" w:sz="8" w:space="0" w:color="C7C9C7"/>
              <w:right w:val="nil"/>
            </w:tcBorders>
            <w:tcMar>
              <w:top w:w="0" w:type="dxa"/>
              <w:left w:w="0" w:type="dxa"/>
              <w:bottom w:w="0" w:type="dxa"/>
              <w:right w:w="15" w:type="dxa"/>
            </w:tcMar>
            <w:vAlign w:val="bottom"/>
          </w:tcPr>
          <w:p w14:paraId="7BD77C76" w14:textId="77777777" w:rsidR="001614AC" w:rsidRDefault="001614AC">
            <w:pPr>
              <w:spacing w:before="55" w:after="30" w:line="288" w:lineRule="auto"/>
              <w:jc w:val="right"/>
            </w:pPr>
          </w:p>
        </w:tc>
      </w:tr>
      <w:tr w:rsidR="001614AC" w14:paraId="18882A8A" w14:textId="77777777">
        <w:trPr>
          <w:cantSplit/>
        </w:trPr>
        <w:tc>
          <w:tcPr>
            <w:tcW w:w="7440" w:type="dxa"/>
            <w:tcBorders>
              <w:top w:val="nil"/>
              <w:left w:val="nil"/>
              <w:bottom w:val="nil"/>
              <w:right w:val="nil"/>
            </w:tcBorders>
            <w:shd w:val="clear" w:color="auto" w:fill="F4F4F4"/>
            <w:tcMar>
              <w:top w:w="0" w:type="dxa"/>
              <w:left w:w="53" w:type="dxa"/>
              <w:bottom w:w="0" w:type="dxa"/>
              <w:right w:w="53" w:type="dxa"/>
            </w:tcMar>
            <w:vAlign w:val="bottom"/>
          </w:tcPr>
          <w:p w14:paraId="577BAF6C" w14:textId="77777777" w:rsidR="001614AC" w:rsidRDefault="004468F9">
            <w:pPr>
              <w:spacing w:before="75" w:after="30" w:line="288" w:lineRule="auto"/>
              <w:ind w:left="240"/>
            </w:pPr>
            <w:r>
              <w:rPr>
                <w:rFonts w:ascii="Arial" w:eastAsia="Arial" w:hAnsi="Arial" w:cs="Arial"/>
                <w:color w:val="000000"/>
                <w:sz w:val="18"/>
              </w:rPr>
              <w:t xml:space="preserve">Total </w:t>
            </w:r>
            <w:r>
              <w:rPr>
                <w:rFonts w:ascii="Arial" w:eastAsia="Arial" w:hAnsi="Arial" w:cs="Arial"/>
                <w:color w:val="000000"/>
                <w:sz w:val="18"/>
              </w:rPr>
              <w:t xml:space="preserve">investments </w:t>
            </w:r>
          </w:p>
        </w:tc>
        <w:tc>
          <w:tcPr>
            <w:tcW w:w="105" w:type="dxa"/>
            <w:tcBorders>
              <w:top w:val="nil"/>
              <w:left w:val="nil"/>
              <w:bottom w:val="nil"/>
              <w:right w:val="nil"/>
            </w:tcBorders>
            <w:shd w:val="clear" w:color="auto" w:fill="F4F4F4"/>
            <w:tcMar>
              <w:top w:w="0" w:type="dxa"/>
              <w:left w:w="0" w:type="dxa"/>
              <w:bottom w:w="0" w:type="dxa"/>
              <w:right w:w="0" w:type="dxa"/>
            </w:tcMar>
            <w:vAlign w:val="bottom"/>
          </w:tcPr>
          <w:p w14:paraId="3F05B579" w14:textId="77777777" w:rsidR="001614AC" w:rsidRDefault="001614AC"/>
        </w:tc>
        <w:tc>
          <w:tcPr>
            <w:tcW w:w="1205" w:type="dxa"/>
            <w:gridSpan w:val="2"/>
            <w:tcBorders>
              <w:top w:val="single" w:sz="8" w:space="0" w:color="C7C9C7"/>
              <w:left w:val="nil"/>
              <w:bottom w:val="single" w:sz="8" w:space="0" w:color="F4F4F4"/>
              <w:right w:val="nil"/>
            </w:tcBorders>
            <w:shd w:val="clear" w:color="auto" w:fill="F4F4F4"/>
            <w:tcMar>
              <w:top w:w="0" w:type="dxa"/>
              <w:left w:w="53" w:type="dxa"/>
              <w:bottom w:w="0" w:type="dxa"/>
              <w:right w:w="0" w:type="dxa"/>
            </w:tcMar>
            <w:vAlign w:val="bottom"/>
          </w:tcPr>
          <w:p w14:paraId="590FCABB" w14:textId="77777777" w:rsidR="001614AC" w:rsidRDefault="004468F9">
            <w:pPr>
              <w:spacing w:before="55" w:after="30" w:line="288" w:lineRule="auto"/>
              <w:jc w:val="right"/>
            </w:pPr>
            <w:r>
              <w:rPr>
                <w:rFonts w:ascii="Arial" w:eastAsia="Arial" w:hAnsi="Arial" w:cs="Arial"/>
                <w:color w:val="000000"/>
                <w:sz w:val="18"/>
              </w:rPr>
              <w:t>6,681,659 </w:t>
            </w:r>
          </w:p>
        </w:tc>
        <w:tc>
          <w:tcPr>
            <w:tcW w:w="100" w:type="dxa"/>
            <w:tcBorders>
              <w:top w:val="single" w:sz="8" w:space="0" w:color="C7C9C7"/>
              <w:left w:val="nil"/>
              <w:bottom w:val="single" w:sz="8" w:space="0" w:color="F4F4F4"/>
              <w:right w:val="nil"/>
            </w:tcBorders>
            <w:shd w:val="clear" w:color="auto" w:fill="F4F4F4"/>
            <w:tcMar>
              <w:top w:w="0" w:type="dxa"/>
              <w:left w:w="0" w:type="dxa"/>
              <w:bottom w:w="0" w:type="dxa"/>
              <w:right w:w="15" w:type="dxa"/>
            </w:tcMar>
            <w:vAlign w:val="bottom"/>
          </w:tcPr>
          <w:p w14:paraId="4DE157BA" w14:textId="77777777" w:rsidR="001614AC" w:rsidRDefault="001614AC">
            <w:pPr>
              <w:spacing w:before="55" w:after="30" w:line="288" w:lineRule="auto"/>
              <w:jc w:val="right"/>
            </w:pPr>
          </w:p>
        </w:tc>
        <w:tc>
          <w:tcPr>
            <w:tcW w:w="105" w:type="dxa"/>
            <w:tcBorders>
              <w:top w:val="nil"/>
              <w:left w:val="nil"/>
              <w:bottom w:val="nil"/>
              <w:right w:val="nil"/>
            </w:tcBorders>
            <w:shd w:val="clear" w:color="auto" w:fill="F4F4F4"/>
            <w:tcMar>
              <w:top w:w="0" w:type="dxa"/>
              <w:left w:w="0" w:type="dxa"/>
              <w:bottom w:w="0" w:type="dxa"/>
              <w:right w:w="0" w:type="dxa"/>
            </w:tcMar>
            <w:vAlign w:val="bottom"/>
          </w:tcPr>
          <w:p w14:paraId="58EF54B5" w14:textId="77777777" w:rsidR="001614AC" w:rsidRDefault="001614AC"/>
        </w:tc>
        <w:tc>
          <w:tcPr>
            <w:tcW w:w="1205" w:type="dxa"/>
            <w:gridSpan w:val="2"/>
            <w:tcBorders>
              <w:top w:val="single" w:sz="8" w:space="0" w:color="C7C9C7"/>
              <w:left w:val="nil"/>
              <w:bottom w:val="single" w:sz="8" w:space="0" w:color="F4F4F4"/>
              <w:right w:val="nil"/>
            </w:tcBorders>
            <w:shd w:val="clear" w:color="auto" w:fill="F4F4F4"/>
            <w:tcMar>
              <w:top w:w="0" w:type="dxa"/>
              <w:left w:w="53" w:type="dxa"/>
              <w:bottom w:w="0" w:type="dxa"/>
              <w:right w:w="0" w:type="dxa"/>
            </w:tcMar>
            <w:vAlign w:val="bottom"/>
          </w:tcPr>
          <w:p w14:paraId="7091914C" w14:textId="77777777" w:rsidR="001614AC" w:rsidRDefault="004468F9">
            <w:pPr>
              <w:spacing w:before="55" w:after="30" w:line="288" w:lineRule="auto"/>
              <w:jc w:val="right"/>
            </w:pPr>
            <w:r>
              <w:rPr>
                <w:rFonts w:ascii="Arial" w:eastAsia="Arial" w:hAnsi="Arial" w:cs="Arial"/>
                <w:color w:val="000000"/>
                <w:sz w:val="18"/>
              </w:rPr>
              <w:t>6,788,442 </w:t>
            </w:r>
          </w:p>
        </w:tc>
        <w:tc>
          <w:tcPr>
            <w:tcW w:w="100" w:type="dxa"/>
            <w:tcBorders>
              <w:top w:val="single" w:sz="8" w:space="0" w:color="C7C9C7"/>
              <w:left w:val="nil"/>
              <w:bottom w:val="single" w:sz="8" w:space="0" w:color="F4F4F4"/>
              <w:right w:val="nil"/>
            </w:tcBorders>
            <w:shd w:val="clear" w:color="auto" w:fill="F4F4F4"/>
            <w:tcMar>
              <w:top w:w="0" w:type="dxa"/>
              <w:left w:w="0" w:type="dxa"/>
              <w:bottom w:w="0" w:type="dxa"/>
              <w:right w:w="15" w:type="dxa"/>
            </w:tcMar>
            <w:vAlign w:val="bottom"/>
          </w:tcPr>
          <w:p w14:paraId="1B7FFFE1" w14:textId="77777777" w:rsidR="001614AC" w:rsidRDefault="001614AC">
            <w:pPr>
              <w:spacing w:before="55" w:after="30" w:line="288" w:lineRule="auto"/>
              <w:jc w:val="right"/>
            </w:pPr>
          </w:p>
        </w:tc>
      </w:tr>
      <w:tr w:rsidR="001614AC" w14:paraId="3AE46C98" w14:textId="77777777">
        <w:trPr>
          <w:cantSplit/>
        </w:trPr>
        <w:tc>
          <w:tcPr>
            <w:tcW w:w="7440" w:type="dxa"/>
            <w:tcBorders>
              <w:top w:val="nil"/>
              <w:left w:val="nil"/>
              <w:bottom w:val="single" w:sz="8" w:space="0" w:color="F4F4F4"/>
              <w:right w:val="nil"/>
            </w:tcBorders>
            <w:tcMar>
              <w:top w:w="0" w:type="dxa"/>
              <w:left w:w="53" w:type="dxa"/>
              <w:bottom w:w="0" w:type="dxa"/>
              <w:right w:w="53" w:type="dxa"/>
            </w:tcMar>
            <w:vAlign w:val="bottom"/>
          </w:tcPr>
          <w:p w14:paraId="3AD4B4C5" w14:textId="77777777" w:rsidR="001614AC" w:rsidRDefault="004468F9">
            <w:pPr>
              <w:spacing w:before="75" w:after="30" w:line="288" w:lineRule="auto"/>
            </w:pPr>
            <w:r>
              <w:rPr>
                <w:rFonts w:ascii="Arial" w:eastAsia="Arial" w:hAnsi="Arial" w:cs="Arial"/>
                <w:color w:val="000000"/>
                <w:sz w:val="18"/>
              </w:rPr>
              <w:t>Cash</w:t>
            </w:r>
          </w:p>
        </w:tc>
        <w:tc>
          <w:tcPr>
            <w:tcW w:w="105" w:type="dxa"/>
            <w:tcBorders>
              <w:top w:val="nil"/>
              <w:left w:val="nil"/>
              <w:bottom w:val="nil"/>
              <w:right w:val="nil"/>
            </w:tcBorders>
            <w:tcMar>
              <w:top w:w="0" w:type="dxa"/>
              <w:left w:w="0" w:type="dxa"/>
              <w:bottom w:w="0" w:type="dxa"/>
              <w:right w:w="0" w:type="dxa"/>
            </w:tcMar>
            <w:vAlign w:val="bottom"/>
          </w:tcPr>
          <w:p w14:paraId="0D27ABBB" w14:textId="77777777" w:rsidR="001614AC" w:rsidRDefault="001614AC"/>
        </w:tc>
        <w:tc>
          <w:tcPr>
            <w:tcW w:w="1205"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45F3E752" w14:textId="77777777" w:rsidR="001614AC" w:rsidRDefault="004468F9">
            <w:pPr>
              <w:spacing w:before="55" w:after="30" w:line="288" w:lineRule="auto"/>
              <w:jc w:val="right"/>
            </w:pPr>
            <w:r>
              <w:rPr>
                <w:rFonts w:ascii="Arial" w:eastAsia="Arial" w:hAnsi="Arial" w:cs="Arial"/>
                <w:color w:val="000000"/>
                <w:sz w:val="18"/>
              </w:rPr>
              <w:t>134,939 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38FE0C15" w14:textId="77777777" w:rsidR="001614AC" w:rsidRDefault="001614AC">
            <w:pPr>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05224C90" w14:textId="77777777" w:rsidR="001614AC" w:rsidRDefault="001614AC"/>
        </w:tc>
        <w:tc>
          <w:tcPr>
            <w:tcW w:w="1205"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0FDFD601" w14:textId="77777777" w:rsidR="001614AC" w:rsidRDefault="004468F9">
            <w:pPr>
              <w:spacing w:before="55" w:after="30" w:line="288" w:lineRule="auto"/>
              <w:jc w:val="right"/>
            </w:pPr>
            <w:r>
              <w:rPr>
                <w:rFonts w:ascii="Arial" w:eastAsia="Arial" w:hAnsi="Arial" w:cs="Arial"/>
                <w:color w:val="000000"/>
                <w:sz w:val="18"/>
              </w:rPr>
              <w:t>87,915 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1921A5DA" w14:textId="77777777" w:rsidR="001614AC" w:rsidRDefault="001614AC">
            <w:pPr>
              <w:spacing w:before="55" w:after="30" w:line="288" w:lineRule="auto"/>
              <w:jc w:val="right"/>
            </w:pPr>
          </w:p>
        </w:tc>
      </w:tr>
      <w:tr w:rsidR="001614AC" w14:paraId="5DB87DB5" w14:textId="77777777">
        <w:trPr>
          <w:cantSplit/>
        </w:trPr>
        <w:tc>
          <w:tcPr>
            <w:tcW w:w="7440" w:type="dxa"/>
            <w:tcBorders>
              <w:top w:val="single" w:sz="8" w:space="0" w:color="F4F4F4"/>
              <w:left w:val="nil"/>
              <w:bottom w:val="single" w:sz="8" w:space="0" w:color="F4F4F4"/>
              <w:right w:val="nil"/>
            </w:tcBorders>
            <w:tcMar>
              <w:top w:w="0" w:type="dxa"/>
              <w:left w:w="53" w:type="dxa"/>
              <w:bottom w:w="0" w:type="dxa"/>
              <w:right w:w="53" w:type="dxa"/>
            </w:tcMar>
            <w:vAlign w:val="bottom"/>
          </w:tcPr>
          <w:p w14:paraId="6826D93C" w14:textId="77777777" w:rsidR="001614AC" w:rsidRDefault="004468F9">
            <w:pPr>
              <w:spacing w:before="55" w:after="30" w:line="288" w:lineRule="auto"/>
            </w:pPr>
            <w:r>
              <w:rPr>
                <w:rFonts w:ascii="Arial" w:eastAsia="Arial" w:hAnsi="Arial" w:cs="Arial"/>
                <w:color w:val="000000"/>
                <w:sz w:val="18"/>
              </w:rPr>
              <w:t>Restricted cash</w:t>
            </w:r>
          </w:p>
        </w:tc>
        <w:tc>
          <w:tcPr>
            <w:tcW w:w="105" w:type="dxa"/>
            <w:tcBorders>
              <w:top w:val="nil"/>
              <w:left w:val="nil"/>
              <w:bottom w:val="nil"/>
              <w:right w:val="nil"/>
            </w:tcBorders>
            <w:tcMar>
              <w:top w:w="0" w:type="dxa"/>
              <w:left w:w="0" w:type="dxa"/>
              <w:bottom w:w="0" w:type="dxa"/>
              <w:right w:w="0" w:type="dxa"/>
            </w:tcMar>
            <w:vAlign w:val="bottom"/>
          </w:tcPr>
          <w:p w14:paraId="3568C0B8" w14:textId="77777777" w:rsidR="001614AC" w:rsidRDefault="001614AC"/>
        </w:tc>
        <w:tc>
          <w:tcPr>
            <w:tcW w:w="1205"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0EB6183B" w14:textId="77777777" w:rsidR="001614AC" w:rsidRDefault="004468F9">
            <w:pPr>
              <w:spacing w:before="55" w:after="30" w:line="288" w:lineRule="auto"/>
              <w:jc w:val="right"/>
            </w:pPr>
            <w:r>
              <w:rPr>
                <w:rFonts w:ascii="Arial" w:eastAsia="Arial" w:hAnsi="Arial" w:cs="Arial"/>
                <w:color w:val="000000"/>
                <w:sz w:val="18"/>
              </w:rPr>
              <w:t>2,968 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7ACC4A8C" w14:textId="77777777" w:rsidR="001614AC" w:rsidRDefault="001614AC">
            <w:pPr>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0A54E921" w14:textId="77777777" w:rsidR="001614AC" w:rsidRDefault="001614AC"/>
        </w:tc>
        <w:tc>
          <w:tcPr>
            <w:tcW w:w="1205"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76804BA9" w14:textId="77777777" w:rsidR="001614AC" w:rsidRDefault="004468F9">
            <w:pPr>
              <w:spacing w:before="55" w:after="30" w:line="288" w:lineRule="auto"/>
              <w:jc w:val="right"/>
            </w:pPr>
            <w:r>
              <w:rPr>
                <w:rFonts w:ascii="Arial" w:eastAsia="Arial" w:hAnsi="Arial" w:cs="Arial"/>
                <w:color w:val="000000"/>
                <w:sz w:val="18"/>
              </w:rPr>
              <w:t>6,231 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32E386D6" w14:textId="77777777" w:rsidR="001614AC" w:rsidRDefault="001614AC">
            <w:pPr>
              <w:spacing w:before="55" w:after="30" w:line="288" w:lineRule="auto"/>
              <w:jc w:val="right"/>
            </w:pPr>
          </w:p>
        </w:tc>
      </w:tr>
      <w:tr w:rsidR="001614AC" w14:paraId="29882657" w14:textId="77777777">
        <w:trPr>
          <w:cantSplit/>
        </w:trPr>
        <w:tc>
          <w:tcPr>
            <w:tcW w:w="7440" w:type="dxa"/>
            <w:tcBorders>
              <w:top w:val="single" w:sz="8" w:space="0" w:color="F4F4F4"/>
              <w:left w:val="nil"/>
              <w:bottom w:val="single" w:sz="8" w:space="0" w:color="F4F4F4"/>
              <w:right w:val="nil"/>
            </w:tcBorders>
            <w:tcMar>
              <w:top w:w="0" w:type="dxa"/>
              <w:left w:w="53" w:type="dxa"/>
              <w:bottom w:w="0" w:type="dxa"/>
              <w:right w:w="53" w:type="dxa"/>
            </w:tcMar>
            <w:vAlign w:val="bottom"/>
          </w:tcPr>
          <w:p w14:paraId="09BB6AEA" w14:textId="77777777" w:rsidR="001614AC" w:rsidRDefault="004468F9">
            <w:pPr>
              <w:spacing w:before="55" w:after="30" w:line="288" w:lineRule="auto"/>
            </w:pPr>
            <w:r>
              <w:rPr>
                <w:rFonts w:ascii="Arial" w:eastAsia="Arial" w:hAnsi="Arial" w:cs="Arial"/>
                <w:color w:val="000000"/>
                <w:sz w:val="18"/>
              </w:rPr>
              <w:t>Accrued investment income</w:t>
            </w:r>
          </w:p>
        </w:tc>
        <w:tc>
          <w:tcPr>
            <w:tcW w:w="105" w:type="dxa"/>
            <w:tcBorders>
              <w:top w:val="nil"/>
              <w:left w:val="nil"/>
              <w:bottom w:val="nil"/>
              <w:right w:val="nil"/>
            </w:tcBorders>
            <w:tcMar>
              <w:top w:w="0" w:type="dxa"/>
              <w:left w:w="0" w:type="dxa"/>
              <w:bottom w:w="0" w:type="dxa"/>
              <w:right w:w="0" w:type="dxa"/>
            </w:tcMar>
            <w:vAlign w:val="bottom"/>
          </w:tcPr>
          <w:p w14:paraId="76014488" w14:textId="77777777" w:rsidR="001614AC" w:rsidRDefault="001614AC"/>
        </w:tc>
        <w:tc>
          <w:tcPr>
            <w:tcW w:w="1205"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29AF1815" w14:textId="77777777" w:rsidR="001614AC" w:rsidRDefault="004468F9">
            <w:pPr>
              <w:spacing w:before="55" w:after="30" w:line="288" w:lineRule="auto"/>
              <w:jc w:val="right"/>
            </w:pPr>
            <w:r>
              <w:rPr>
                <w:rFonts w:ascii="Arial" w:eastAsia="Arial" w:hAnsi="Arial" w:cs="Arial"/>
                <w:color w:val="000000"/>
                <w:sz w:val="18"/>
              </w:rPr>
              <w:t>32,223 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3D3BAF14" w14:textId="77777777" w:rsidR="001614AC" w:rsidRDefault="001614AC">
            <w:pPr>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35B856C0" w14:textId="77777777" w:rsidR="001614AC" w:rsidRDefault="001614AC"/>
        </w:tc>
        <w:tc>
          <w:tcPr>
            <w:tcW w:w="1205"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7BE4DE56" w14:textId="77777777" w:rsidR="001614AC" w:rsidRDefault="004468F9">
            <w:pPr>
              <w:spacing w:before="55" w:after="30" w:line="288" w:lineRule="auto"/>
              <w:jc w:val="right"/>
            </w:pPr>
            <w:r>
              <w:rPr>
                <w:rFonts w:ascii="Arial" w:eastAsia="Arial" w:hAnsi="Arial" w:cs="Arial"/>
                <w:color w:val="000000"/>
                <w:sz w:val="18"/>
              </w:rPr>
              <w:t>34,047 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16327A3D" w14:textId="77777777" w:rsidR="001614AC" w:rsidRDefault="001614AC">
            <w:pPr>
              <w:spacing w:before="55" w:after="30" w:line="288" w:lineRule="auto"/>
              <w:jc w:val="right"/>
            </w:pPr>
          </w:p>
        </w:tc>
      </w:tr>
      <w:tr w:rsidR="001614AC" w14:paraId="530ED09D" w14:textId="77777777">
        <w:trPr>
          <w:cantSplit/>
        </w:trPr>
        <w:tc>
          <w:tcPr>
            <w:tcW w:w="7440" w:type="dxa"/>
            <w:tcBorders>
              <w:top w:val="single" w:sz="8" w:space="0" w:color="F4F4F4"/>
              <w:left w:val="nil"/>
              <w:bottom w:val="single" w:sz="8" w:space="0" w:color="F4F4F4"/>
              <w:right w:val="nil"/>
            </w:tcBorders>
            <w:tcMar>
              <w:top w:w="0" w:type="dxa"/>
              <w:left w:w="53" w:type="dxa"/>
              <w:bottom w:w="0" w:type="dxa"/>
              <w:right w:w="53" w:type="dxa"/>
            </w:tcMar>
            <w:vAlign w:val="bottom"/>
          </w:tcPr>
          <w:p w14:paraId="6733A993" w14:textId="77777777" w:rsidR="001614AC" w:rsidRDefault="004468F9">
            <w:pPr>
              <w:spacing w:before="55" w:after="30" w:line="288" w:lineRule="auto"/>
            </w:pPr>
            <w:r>
              <w:rPr>
                <w:rFonts w:ascii="Arial" w:eastAsia="Arial" w:hAnsi="Arial" w:cs="Arial"/>
                <w:color w:val="000000"/>
                <w:sz w:val="18"/>
              </w:rPr>
              <w:t>Accounts and notes receivable</w:t>
            </w:r>
          </w:p>
        </w:tc>
        <w:tc>
          <w:tcPr>
            <w:tcW w:w="105" w:type="dxa"/>
            <w:tcBorders>
              <w:top w:val="nil"/>
              <w:left w:val="nil"/>
              <w:bottom w:val="nil"/>
              <w:right w:val="nil"/>
            </w:tcBorders>
            <w:tcMar>
              <w:top w:w="0" w:type="dxa"/>
              <w:left w:w="0" w:type="dxa"/>
              <w:bottom w:w="0" w:type="dxa"/>
              <w:right w:w="0" w:type="dxa"/>
            </w:tcMar>
            <w:vAlign w:val="bottom"/>
          </w:tcPr>
          <w:p w14:paraId="43FD61AA" w14:textId="77777777" w:rsidR="001614AC" w:rsidRDefault="001614AC"/>
        </w:tc>
        <w:tc>
          <w:tcPr>
            <w:tcW w:w="1205"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6A989ADC" w14:textId="77777777" w:rsidR="001614AC" w:rsidRDefault="004468F9">
            <w:pPr>
              <w:spacing w:before="55" w:after="30" w:line="288" w:lineRule="auto"/>
              <w:jc w:val="right"/>
            </w:pPr>
            <w:r>
              <w:rPr>
                <w:rFonts w:ascii="Arial" w:eastAsia="Arial" w:hAnsi="Arial" w:cs="Arial"/>
                <w:color w:val="000000"/>
                <w:sz w:val="18"/>
              </w:rPr>
              <w:t>153,128 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7B79DD88" w14:textId="77777777" w:rsidR="001614AC" w:rsidRDefault="001614AC">
            <w:pPr>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0D34B507" w14:textId="77777777" w:rsidR="001614AC" w:rsidRDefault="001614AC"/>
        </w:tc>
        <w:tc>
          <w:tcPr>
            <w:tcW w:w="1205"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3A118285" w14:textId="77777777" w:rsidR="001614AC" w:rsidRDefault="004468F9">
            <w:pPr>
              <w:spacing w:before="55" w:after="30" w:line="288" w:lineRule="auto"/>
              <w:jc w:val="right"/>
            </w:pPr>
            <w:r>
              <w:rPr>
                <w:rFonts w:ascii="Arial" w:eastAsia="Arial" w:hAnsi="Arial" w:cs="Arial"/>
                <w:color w:val="000000"/>
                <w:sz w:val="18"/>
              </w:rPr>
              <w:t>121,294 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4CC8EBE7" w14:textId="77777777" w:rsidR="001614AC" w:rsidRDefault="001614AC">
            <w:pPr>
              <w:spacing w:before="55" w:after="30" w:line="288" w:lineRule="auto"/>
              <w:jc w:val="right"/>
            </w:pPr>
          </w:p>
        </w:tc>
      </w:tr>
      <w:tr w:rsidR="001614AC" w14:paraId="51AA2BEA" w14:textId="77777777">
        <w:trPr>
          <w:cantSplit/>
        </w:trPr>
        <w:tc>
          <w:tcPr>
            <w:tcW w:w="7440" w:type="dxa"/>
            <w:tcBorders>
              <w:top w:val="single" w:sz="8" w:space="0" w:color="F4F4F4"/>
              <w:left w:val="nil"/>
              <w:bottom w:val="single" w:sz="8" w:space="0" w:color="F4F4F4"/>
              <w:right w:val="nil"/>
            </w:tcBorders>
            <w:tcMar>
              <w:top w:w="0" w:type="dxa"/>
              <w:left w:w="53" w:type="dxa"/>
              <w:bottom w:w="0" w:type="dxa"/>
              <w:right w:w="53" w:type="dxa"/>
            </w:tcMar>
            <w:vAlign w:val="bottom"/>
          </w:tcPr>
          <w:p w14:paraId="7A65ECC0" w14:textId="77777777" w:rsidR="001614AC" w:rsidRDefault="004468F9">
            <w:pPr>
              <w:spacing w:before="55" w:after="30" w:line="288" w:lineRule="auto"/>
              <w:rPr>
                <w:rFonts w:ascii="Arial" w:eastAsia="Arial" w:hAnsi="Arial" w:cs="Arial"/>
                <w:sz w:val="18"/>
              </w:rPr>
            </w:pPr>
            <w:r>
              <w:rPr>
                <w:rFonts w:ascii="Arial" w:eastAsia="Arial" w:hAnsi="Arial" w:cs="Arial"/>
                <w:sz w:val="18"/>
              </w:rPr>
              <w:t>Reinsurance recoverables (includes $7 and $32 for paid losses)</w:t>
            </w:r>
          </w:p>
        </w:tc>
        <w:tc>
          <w:tcPr>
            <w:tcW w:w="105" w:type="dxa"/>
            <w:tcBorders>
              <w:top w:val="nil"/>
              <w:left w:val="nil"/>
              <w:bottom w:val="nil"/>
              <w:right w:val="nil"/>
            </w:tcBorders>
            <w:tcMar>
              <w:top w:w="0" w:type="dxa"/>
              <w:left w:w="0" w:type="dxa"/>
              <w:bottom w:w="0" w:type="dxa"/>
              <w:right w:w="0" w:type="dxa"/>
            </w:tcMar>
            <w:vAlign w:val="bottom"/>
          </w:tcPr>
          <w:p w14:paraId="33387A29" w14:textId="77777777" w:rsidR="001614AC" w:rsidRDefault="001614AC"/>
        </w:tc>
        <w:tc>
          <w:tcPr>
            <w:tcW w:w="1205"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18B34CD7" w14:textId="77777777" w:rsidR="001614AC" w:rsidRDefault="004468F9">
            <w:pPr>
              <w:spacing w:before="55" w:after="30" w:line="288" w:lineRule="auto"/>
              <w:jc w:val="right"/>
            </w:pPr>
            <w:r>
              <w:rPr>
                <w:rFonts w:ascii="Arial" w:eastAsia="Arial" w:hAnsi="Arial" w:cs="Arial"/>
                <w:color w:val="000000"/>
                <w:sz w:val="18"/>
              </w:rPr>
              <w:t>75,411 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319794B2" w14:textId="77777777" w:rsidR="001614AC" w:rsidRDefault="001614AC">
            <w:pPr>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1F303A2C" w14:textId="77777777" w:rsidR="001614AC" w:rsidRDefault="001614AC"/>
        </w:tc>
        <w:tc>
          <w:tcPr>
            <w:tcW w:w="1205"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183464BB" w14:textId="77777777" w:rsidR="001614AC" w:rsidRDefault="004468F9">
            <w:pPr>
              <w:spacing w:before="55" w:after="30" w:line="288" w:lineRule="auto"/>
              <w:jc w:val="right"/>
            </w:pPr>
            <w:r>
              <w:rPr>
                <w:rFonts w:ascii="Arial" w:eastAsia="Arial" w:hAnsi="Arial" w:cs="Arial"/>
                <w:color w:val="000000"/>
                <w:sz w:val="18"/>
              </w:rPr>
              <w:t>73,202 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2D091CFF" w14:textId="77777777" w:rsidR="001614AC" w:rsidRDefault="001614AC">
            <w:pPr>
              <w:spacing w:before="55" w:after="30" w:line="288" w:lineRule="auto"/>
              <w:jc w:val="right"/>
            </w:pPr>
          </w:p>
        </w:tc>
      </w:tr>
      <w:tr w:rsidR="001614AC" w14:paraId="37FA3333" w14:textId="77777777">
        <w:trPr>
          <w:cantSplit/>
        </w:trPr>
        <w:tc>
          <w:tcPr>
            <w:tcW w:w="7440" w:type="dxa"/>
            <w:tcBorders>
              <w:top w:val="single" w:sz="8" w:space="0" w:color="F4F4F4"/>
              <w:left w:val="nil"/>
              <w:bottom w:val="single" w:sz="8" w:space="0" w:color="F4F4F4"/>
              <w:right w:val="nil"/>
            </w:tcBorders>
            <w:tcMar>
              <w:top w:w="0" w:type="dxa"/>
              <w:left w:w="53" w:type="dxa"/>
              <w:bottom w:w="0" w:type="dxa"/>
              <w:right w:w="53" w:type="dxa"/>
            </w:tcMar>
            <w:vAlign w:val="bottom"/>
          </w:tcPr>
          <w:p w14:paraId="0863A294" w14:textId="77777777" w:rsidR="001614AC" w:rsidRDefault="004468F9">
            <w:pPr>
              <w:spacing w:before="55" w:after="30" w:line="288" w:lineRule="auto"/>
            </w:pPr>
            <w:r>
              <w:rPr>
                <w:rFonts w:ascii="Arial" w:eastAsia="Arial" w:hAnsi="Arial" w:cs="Arial"/>
                <w:color w:val="000000"/>
                <w:sz w:val="18"/>
              </w:rPr>
              <w:t>Deferred policy acquisition costs</w:t>
            </w:r>
          </w:p>
        </w:tc>
        <w:tc>
          <w:tcPr>
            <w:tcW w:w="105" w:type="dxa"/>
            <w:tcBorders>
              <w:top w:val="nil"/>
              <w:left w:val="nil"/>
              <w:bottom w:val="nil"/>
              <w:right w:val="nil"/>
            </w:tcBorders>
            <w:tcMar>
              <w:top w:w="0" w:type="dxa"/>
              <w:left w:w="0" w:type="dxa"/>
              <w:bottom w:w="0" w:type="dxa"/>
              <w:right w:w="0" w:type="dxa"/>
            </w:tcMar>
            <w:vAlign w:val="bottom"/>
          </w:tcPr>
          <w:p w14:paraId="7160B0D3" w14:textId="77777777" w:rsidR="001614AC" w:rsidRDefault="001614AC"/>
        </w:tc>
        <w:tc>
          <w:tcPr>
            <w:tcW w:w="1205"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256C7D2C" w14:textId="77777777" w:rsidR="001614AC" w:rsidRDefault="004468F9">
            <w:pPr>
              <w:spacing w:before="55" w:after="30" w:line="288" w:lineRule="auto"/>
              <w:jc w:val="right"/>
            </w:pPr>
            <w:r>
              <w:rPr>
                <w:rFonts w:ascii="Arial" w:eastAsia="Arial" w:hAnsi="Arial" w:cs="Arial"/>
                <w:color w:val="000000"/>
                <w:sz w:val="18"/>
              </w:rPr>
              <w:t>17,873 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4E0AD7D3" w14:textId="77777777" w:rsidR="001614AC" w:rsidRDefault="001614AC">
            <w:pPr>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1106A780" w14:textId="77777777" w:rsidR="001614AC" w:rsidRDefault="001614AC"/>
        </w:tc>
        <w:tc>
          <w:tcPr>
            <w:tcW w:w="1205"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475497EA" w14:textId="77777777" w:rsidR="001614AC" w:rsidRDefault="004468F9">
            <w:pPr>
              <w:spacing w:before="55" w:after="30" w:line="288" w:lineRule="auto"/>
              <w:jc w:val="right"/>
            </w:pPr>
            <w:r>
              <w:rPr>
                <w:rFonts w:ascii="Arial" w:eastAsia="Arial" w:hAnsi="Arial" w:cs="Arial"/>
                <w:color w:val="000000"/>
                <w:sz w:val="18"/>
              </w:rPr>
              <w:t>18,305 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1354D19D" w14:textId="77777777" w:rsidR="001614AC" w:rsidRDefault="001614AC">
            <w:pPr>
              <w:spacing w:before="55" w:after="30" w:line="288" w:lineRule="auto"/>
              <w:jc w:val="right"/>
            </w:pPr>
          </w:p>
        </w:tc>
      </w:tr>
      <w:tr w:rsidR="001614AC" w14:paraId="0268020F" w14:textId="77777777">
        <w:trPr>
          <w:cantSplit/>
        </w:trPr>
        <w:tc>
          <w:tcPr>
            <w:tcW w:w="7440" w:type="dxa"/>
            <w:tcBorders>
              <w:top w:val="single" w:sz="8" w:space="0" w:color="F4F4F4"/>
              <w:left w:val="nil"/>
              <w:bottom w:val="single" w:sz="8" w:space="0" w:color="F4F4F4"/>
              <w:right w:val="nil"/>
            </w:tcBorders>
            <w:tcMar>
              <w:top w:w="0" w:type="dxa"/>
              <w:left w:w="53" w:type="dxa"/>
              <w:bottom w:w="0" w:type="dxa"/>
              <w:right w:w="53" w:type="dxa"/>
            </w:tcMar>
            <w:vAlign w:val="bottom"/>
          </w:tcPr>
          <w:p w14:paraId="148B0A17" w14:textId="77777777" w:rsidR="001614AC" w:rsidRDefault="004468F9">
            <w:pPr>
              <w:spacing w:before="55" w:after="30" w:line="288" w:lineRule="auto"/>
            </w:pPr>
            <w:r>
              <w:rPr>
                <w:rFonts w:ascii="Arial" w:eastAsia="Arial" w:hAnsi="Arial" w:cs="Arial"/>
                <w:color w:val="000000"/>
                <w:sz w:val="18"/>
              </w:rPr>
              <w:t>Property and equipment, net</w:t>
            </w:r>
          </w:p>
        </w:tc>
        <w:tc>
          <w:tcPr>
            <w:tcW w:w="105" w:type="dxa"/>
            <w:tcBorders>
              <w:top w:val="nil"/>
              <w:left w:val="nil"/>
              <w:bottom w:val="nil"/>
              <w:right w:val="nil"/>
            </w:tcBorders>
            <w:tcMar>
              <w:top w:w="0" w:type="dxa"/>
              <w:left w:w="0" w:type="dxa"/>
              <w:bottom w:w="0" w:type="dxa"/>
              <w:right w:w="0" w:type="dxa"/>
            </w:tcMar>
            <w:vAlign w:val="bottom"/>
          </w:tcPr>
          <w:p w14:paraId="350ED0AC" w14:textId="77777777" w:rsidR="001614AC" w:rsidRDefault="001614AC"/>
        </w:tc>
        <w:tc>
          <w:tcPr>
            <w:tcW w:w="1205"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146838CB" w14:textId="77777777" w:rsidR="001614AC" w:rsidRDefault="004468F9">
            <w:pPr>
              <w:spacing w:before="55" w:after="30" w:line="288" w:lineRule="auto"/>
              <w:jc w:val="right"/>
            </w:pPr>
            <w:r>
              <w:rPr>
                <w:rFonts w:ascii="Arial" w:eastAsia="Arial" w:hAnsi="Arial" w:cs="Arial"/>
                <w:color w:val="000000"/>
                <w:sz w:val="18"/>
              </w:rPr>
              <w:t>74,288 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7D578335" w14:textId="77777777" w:rsidR="001614AC" w:rsidRDefault="001614AC">
            <w:pPr>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215182B0" w14:textId="77777777" w:rsidR="001614AC" w:rsidRDefault="001614AC"/>
        </w:tc>
        <w:tc>
          <w:tcPr>
            <w:tcW w:w="1205"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4F0F6C48" w14:textId="77777777" w:rsidR="001614AC" w:rsidRDefault="004468F9">
            <w:pPr>
              <w:spacing w:before="55" w:after="30" w:line="288" w:lineRule="auto"/>
              <w:jc w:val="right"/>
            </w:pPr>
            <w:r>
              <w:rPr>
                <w:rFonts w:ascii="Arial" w:eastAsia="Arial" w:hAnsi="Arial" w:cs="Arial"/>
                <w:color w:val="000000"/>
                <w:sz w:val="18"/>
              </w:rPr>
              <w:t>80,457 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1DB9F7E6" w14:textId="77777777" w:rsidR="001614AC" w:rsidRDefault="001614AC">
            <w:pPr>
              <w:spacing w:before="55" w:after="30" w:line="288" w:lineRule="auto"/>
              <w:jc w:val="right"/>
            </w:pPr>
          </w:p>
        </w:tc>
      </w:tr>
      <w:tr w:rsidR="001614AC" w14:paraId="769B2431" w14:textId="77777777">
        <w:trPr>
          <w:cantSplit/>
        </w:trPr>
        <w:tc>
          <w:tcPr>
            <w:tcW w:w="7440" w:type="dxa"/>
            <w:tcBorders>
              <w:top w:val="single" w:sz="8" w:space="0" w:color="F4F4F4"/>
              <w:left w:val="nil"/>
              <w:bottom w:val="single" w:sz="8" w:space="0" w:color="F4F4F4"/>
              <w:right w:val="nil"/>
            </w:tcBorders>
            <w:tcMar>
              <w:top w:w="0" w:type="dxa"/>
              <w:left w:w="53" w:type="dxa"/>
              <w:bottom w:w="0" w:type="dxa"/>
              <w:right w:w="53" w:type="dxa"/>
            </w:tcMar>
            <w:vAlign w:val="bottom"/>
          </w:tcPr>
          <w:p w14:paraId="6B23A235" w14:textId="77777777" w:rsidR="001614AC" w:rsidRDefault="004468F9">
            <w:pPr>
              <w:spacing w:before="55" w:after="30" w:line="288" w:lineRule="auto"/>
              <w:rPr>
                <w:rFonts w:ascii="Arial" w:eastAsia="Arial" w:hAnsi="Arial" w:cs="Arial"/>
                <w:sz w:val="18"/>
              </w:rPr>
            </w:pPr>
            <w:r>
              <w:rPr>
                <w:rFonts w:ascii="Arial" w:eastAsia="Arial" w:hAnsi="Arial" w:cs="Arial"/>
                <w:sz w:val="18"/>
              </w:rPr>
              <w:t>Goodwill and other acquired intangible assets, net (Note 7)</w:t>
            </w:r>
          </w:p>
        </w:tc>
        <w:tc>
          <w:tcPr>
            <w:tcW w:w="105" w:type="dxa"/>
            <w:tcBorders>
              <w:top w:val="nil"/>
              <w:left w:val="nil"/>
              <w:bottom w:val="nil"/>
              <w:right w:val="nil"/>
            </w:tcBorders>
            <w:tcMar>
              <w:top w:w="0" w:type="dxa"/>
              <w:left w:w="0" w:type="dxa"/>
              <w:bottom w:w="0" w:type="dxa"/>
              <w:right w:w="0" w:type="dxa"/>
            </w:tcMar>
            <w:vAlign w:val="bottom"/>
          </w:tcPr>
          <w:p w14:paraId="5112C444" w14:textId="77777777" w:rsidR="001614AC" w:rsidRDefault="001614AC"/>
        </w:tc>
        <w:tc>
          <w:tcPr>
            <w:tcW w:w="1205"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58003C98" w14:textId="77777777" w:rsidR="001614AC" w:rsidRDefault="004468F9">
            <w:pPr>
              <w:spacing w:before="55" w:after="30" w:line="288" w:lineRule="auto"/>
              <w:jc w:val="right"/>
            </w:pPr>
            <w:r>
              <w:rPr>
                <w:rFonts w:ascii="Arial" w:eastAsia="Arial" w:hAnsi="Arial" w:cs="Arial"/>
                <w:color w:val="000000"/>
                <w:sz w:val="18"/>
              </w:rPr>
              <w:t>21,318 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1C216F88" w14:textId="77777777" w:rsidR="001614AC" w:rsidRDefault="001614AC">
            <w:pPr>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49C085DA" w14:textId="77777777" w:rsidR="001614AC" w:rsidRDefault="001614AC"/>
        </w:tc>
        <w:tc>
          <w:tcPr>
            <w:tcW w:w="1205"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79DBE70A" w14:textId="77777777" w:rsidR="001614AC" w:rsidRDefault="004468F9">
            <w:pPr>
              <w:spacing w:before="55" w:after="30" w:line="288" w:lineRule="auto"/>
              <w:jc w:val="right"/>
            </w:pPr>
            <w:r>
              <w:rPr>
                <w:rFonts w:ascii="Arial" w:eastAsia="Arial" w:hAnsi="Arial" w:cs="Arial"/>
                <w:color w:val="000000"/>
                <w:sz w:val="18"/>
              </w:rPr>
              <w:t>23,043 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043B6B97" w14:textId="77777777" w:rsidR="001614AC" w:rsidRDefault="001614AC">
            <w:pPr>
              <w:spacing w:before="55" w:after="30" w:line="288" w:lineRule="auto"/>
              <w:jc w:val="right"/>
            </w:pPr>
          </w:p>
        </w:tc>
      </w:tr>
      <w:tr w:rsidR="001614AC" w14:paraId="707A0054" w14:textId="77777777">
        <w:trPr>
          <w:cantSplit/>
        </w:trPr>
        <w:tc>
          <w:tcPr>
            <w:tcW w:w="7440" w:type="dxa"/>
            <w:tcBorders>
              <w:top w:val="single" w:sz="8" w:space="0" w:color="F4F4F4"/>
              <w:left w:val="nil"/>
              <w:bottom w:val="single" w:sz="8" w:space="0" w:color="F4F4F4"/>
              <w:right w:val="nil"/>
            </w:tcBorders>
            <w:tcMar>
              <w:top w:w="0" w:type="dxa"/>
              <w:left w:w="53" w:type="dxa"/>
              <w:bottom w:w="0" w:type="dxa"/>
              <w:right w:w="53" w:type="dxa"/>
            </w:tcMar>
            <w:vAlign w:val="bottom"/>
          </w:tcPr>
          <w:p w14:paraId="38C86FAD" w14:textId="77777777" w:rsidR="001614AC" w:rsidRDefault="004468F9">
            <w:pPr>
              <w:spacing w:before="55" w:after="30" w:line="288" w:lineRule="auto"/>
              <w:rPr>
                <w:rFonts w:ascii="Arial" w:eastAsia="Arial" w:hAnsi="Arial" w:cs="Arial"/>
                <w:sz w:val="18"/>
              </w:rPr>
            </w:pPr>
            <w:r>
              <w:rPr>
                <w:rFonts w:ascii="Arial" w:eastAsia="Arial" w:hAnsi="Arial" w:cs="Arial"/>
                <w:sz w:val="18"/>
              </w:rPr>
              <w:t>Other assets (Note 9)</w:t>
            </w:r>
          </w:p>
        </w:tc>
        <w:tc>
          <w:tcPr>
            <w:tcW w:w="105" w:type="dxa"/>
            <w:tcBorders>
              <w:top w:val="nil"/>
              <w:left w:val="nil"/>
              <w:bottom w:val="nil"/>
              <w:right w:val="nil"/>
            </w:tcBorders>
            <w:tcMar>
              <w:top w:w="0" w:type="dxa"/>
              <w:left w:w="0" w:type="dxa"/>
              <w:bottom w:w="0" w:type="dxa"/>
              <w:right w:w="0" w:type="dxa"/>
            </w:tcMar>
            <w:vAlign w:val="bottom"/>
          </w:tcPr>
          <w:p w14:paraId="7C710DB2" w14:textId="77777777" w:rsidR="001614AC" w:rsidRDefault="001614AC"/>
        </w:tc>
        <w:tc>
          <w:tcPr>
            <w:tcW w:w="1205"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18275B4E" w14:textId="77777777" w:rsidR="001614AC" w:rsidRDefault="004468F9">
            <w:pPr>
              <w:spacing w:before="55" w:after="30" w:line="288" w:lineRule="auto"/>
              <w:jc w:val="right"/>
            </w:pPr>
            <w:r>
              <w:rPr>
                <w:rFonts w:ascii="Arial" w:eastAsia="Arial" w:hAnsi="Arial" w:cs="Arial"/>
                <w:color w:val="000000"/>
                <w:sz w:val="18"/>
              </w:rPr>
              <w:t>815,261 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38E679B5" w14:textId="77777777" w:rsidR="001614AC" w:rsidRDefault="001614AC">
            <w:pPr>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7CD7DB55" w14:textId="77777777" w:rsidR="001614AC" w:rsidRDefault="001614AC"/>
        </w:tc>
        <w:tc>
          <w:tcPr>
            <w:tcW w:w="1205"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00065022" w14:textId="77777777" w:rsidR="001614AC" w:rsidRDefault="004468F9">
            <w:pPr>
              <w:spacing w:before="55" w:after="30" w:line="288" w:lineRule="auto"/>
              <w:jc w:val="right"/>
            </w:pPr>
            <w:r>
              <w:rPr>
                <w:rFonts w:ascii="Arial" w:eastAsia="Arial" w:hAnsi="Arial" w:cs="Arial"/>
                <w:color w:val="000000"/>
                <w:sz w:val="18"/>
              </w:rPr>
              <w:t>715,085 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0D3CCC65" w14:textId="77777777" w:rsidR="001614AC" w:rsidRDefault="001614AC">
            <w:pPr>
              <w:spacing w:before="55" w:after="30" w:line="288" w:lineRule="auto"/>
              <w:jc w:val="right"/>
            </w:pPr>
          </w:p>
        </w:tc>
      </w:tr>
      <w:tr w:rsidR="001614AC" w14:paraId="08D6E94C" w14:textId="77777777">
        <w:trPr>
          <w:cantSplit/>
        </w:trPr>
        <w:tc>
          <w:tcPr>
            <w:tcW w:w="7440" w:type="dxa"/>
            <w:tcBorders>
              <w:top w:val="nil"/>
              <w:left w:val="nil"/>
              <w:bottom w:val="nil"/>
              <w:right w:val="nil"/>
            </w:tcBorders>
            <w:shd w:val="clear" w:color="auto" w:fill="F4F4F4"/>
            <w:tcMar>
              <w:top w:w="0" w:type="dxa"/>
              <w:left w:w="53" w:type="dxa"/>
              <w:bottom w:w="0" w:type="dxa"/>
              <w:right w:w="53" w:type="dxa"/>
            </w:tcMar>
            <w:vAlign w:val="bottom"/>
          </w:tcPr>
          <w:p w14:paraId="136B8282" w14:textId="77777777" w:rsidR="001614AC" w:rsidRDefault="004468F9">
            <w:pPr>
              <w:spacing w:before="75" w:after="30" w:line="288" w:lineRule="auto"/>
            </w:pPr>
            <w:r>
              <w:rPr>
                <w:rFonts w:ascii="Arial" w:eastAsia="Arial" w:hAnsi="Arial" w:cs="Arial"/>
                <w:b/>
                <w:color w:val="000000"/>
                <w:sz w:val="18"/>
              </w:rPr>
              <w:t>Total assets</w:t>
            </w:r>
          </w:p>
        </w:tc>
        <w:tc>
          <w:tcPr>
            <w:tcW w:w="105" w:type="dxa"/>
            <w:tcBorders>
              <w:top w:val="nil"/>
              <w:left w:val="nil"/>
              <w:bottom w:val="nil"/>
              <w:right w:val="nil"/>
            </w:tcBorders>
            <w:shd w:val="clear" w:color="auto" w:fill="F4F4F4"/>
            <w:tcMar>
              <w:top w:w="0" w:type="dxa"/>
              <w:left w:w="0" w:type="dxa"/>
              <w:bottom w:w="0" w:type="dxa"/>
              <w:right w:w="0" w:type="dxa"/>
            </w:tcMar>
            <w:vAlign w:val="bottom"/>
          </w:tcPr>
          <w:p w14:paraId="1E7A7D89" w14:textId="77777777" w:rsidR="001614AC" w:rsidRDefault="001614AC"/>
        </w:tc>
        <w:tc>
          <w:tcPr>
            <w:tcW w:w="160" w:type="dxa"/>
            <w:tcBorders>
              <w:top w:val="single" w:sz="8" w:space="0" w:color="C7C9C7"/>
              <w:left w:val="nil"/>
              <w:bottom w:val="double" w:sz="8" w:space="0" w:color="C7C9C7"/>
              <w:right w:val="nil"/>
            </w:tcBorders>
            <w:shd w:val="clear" w:color="auto" w:fill="F4F4F4"/>
            <w:tcMar>
              <w:top w:w="0" w:type="dxa"/>
              <w:left w:w="53" w:type="dxa"/>
              <w:bottom w:w="0" w:type="dxa"/>
              <w:right w:w="0" w:type="dxa"/>
            </w:tcMar>
            <w:vAlign w:val="bottom"/>
          </w:tcPr>
          <w:p w14:paraId="5C2EAF1C" w14:textId="77777777" w:rsidR="001614AC" w:rsidRDefault="004468F9">
            <w:pPr>
              <w:spacing w:before="55" w:after="30" w:line="288" w:lineRule="auto"/>
            </w:pPr>
            <w:r>
              <w:rPr>
                <w:rFonts w:ascii="Arial" w:eastAsia="Arial" w:hAnsi="Arial" w:cs="Arial"/>
                <w:b/>
                <w:color w:val="000000"/>
                <w:sz w:val="18"/>
              </w:rPr>
              <w:t>$</w:t>
            </w:r>
          </w:p>
        </w:tc>
        <w:tc>
          <w:tcPr>
            <w:tcW w:w="1045" w:type="dxa"/>
            <w:tcBorders>
              <w:top w:val="single" w:sz="8" w:space="0" w:color="C7C9C7"/>
              <w:left w:val="nil"/>
              <w:bottom w:val="double" w:sz="8" w:space="0" w:color="C7C9C7"/>
              <w:right w:val="nil"/>
            </w:tcBorders>
            <w:shd w:val="clear" w:color="auto" w:fill="F4F4F4"/>
            <w:tcMar>
              <w:top w:w="0" w:type="dxa"/>
              <w:left w:w="0" w:type="dxa"/>
              <w:bottom w:w="0" w:type="dxa"/>
              <w:right w:w="0" w:type="dxa"/>
            </w:tcMar>
            <w:vAlign w:val="bottom"/>
          </w:tcPr>
          <w:p w14:paraId="0600A3CF" w14:textId="77777777" w:rsidR="001614AC" w:rsidRDefault="004468F9">
            <w:pPr>
              <w:spacing w:before="55" w:after="30" w:line="288" w:lineRule="auto"/>
              <w:jc w:val="right"/>
            </w:pPr>
            <w:r>
              <w:rPr>
                <w:rFonts w:ascii="Arial" w:eastAsia="Arial" w:hAnsi="Arial" w:cs="Arial"/>
                <w:b/>
                <w:color w:val="000000"/>
                <w:sz w:val="18"/>
              </w:rPr>
              <w:t>8,009,068 </w:t>
            </w:r>
          </w:p>
        </w:tc>
        <w:tc>
          <w:tcPr>
            <w:tcW w:w="100" w:type="dxa"/>
            <w:tcBorders>
              <w:top w:val="single" w:sz="8" w:space="0" w:color="C7C9C7"/>
              <w:left w:val="nil"/>
              <w:bottom w:val="double" w:sz="8" w:space="0" w:color="C7C9C7"/>
              <w:right w:val="nil"/>
            </w:tcBorders>
            <w:shd w:val="clear" w:color="auto" w:fill="F4F4F4"/>
            <w:tcMar>
              <w:top w:w="0" w:type="dxa"/>
              <w:left w:w="0" w:type="dxa"/>
              <w:bottom w:w="0" w:type="dxa"/>
              <w:right w:w="15" w:type="dxa"/>
            </w:tcMar>
            <w:vAlign w:val="bottom"/>
          </w:tcPr>
          <w:p w14:paraId="6198FF7C" w14:textId="77777777" w:rsidR="001614AC" w:rsidRDefault="001614AC">
            <w:pPr>
              <w:spacing w:before="55" w:after="30" w:line="288" w:lineRule="auto"/>
              <w:jc w:val="right"/>
            </w:pPr>
          </w:p>
        </w:tc>
        <w:tc>
          <w:tcPr>
            <w:tcW w:w="105" w:type="dxa"/>
            <w:tcBorders>
              <w:top w:val="nil"/>
              <w:left w:val="nil"/>
              <w:bottom w:val="nil"/>
              <w:right w:val="nil"/>
            </w:tcBorders>
            <w:shd w:val="clear" w:color="auto" w:fill="F4F4F4"/>
            <w:tcMar>
              <w:top w:w="0" w:type="dxa"/>
              <w:left w:w="0" w:type="dxa"/>
              <w:bottom w:w="0" w:type="dxa"/>
              <w:right w:w="0" w:type="dxa"/>
            </w:tcMar>
            <w:vAlign w:val="bottom"/>
          </w:tcPr>
          <w:p w14:paraId="458E163B" w14:textId="77777777" w:rsidR="001614AC" w:rsidRDefault="001614AC"/>
        </w:tc>
        <w:tc>
          <w:tcPr>
            <w:tcW w:w="160" w:type="dxa"/>
            <w:tcBorders>
              <w:top w:val="single" w:sz="8" w:space="0" w:color="C7C9C7"/>
              <w:left w:val="nil"/>
              <w:bottom w:val="double" w:sz="8" w:space="0" w:color="C7C9C7"/>
              <w:right w:val="nil"/>
            </w:tcBorders>
            <w:shd w:val="clear" w:color="auto" w:fill="F4F4F4"/>
            <w:tcMar>
              <w:top w:w="0" w:type="dxa"/>
              <w:left w:w="53" w:type="dxa"/>
              <w:bottom w:w="0" w:type="dxa"/>
              <w:right w:w="0" w:type="dxa"/>
            </w:tcMar>
            <w:vAlign w:val="bottom"/>
          </w:tcPr>
          <w:p w14:paraId="76F7BBA2" w14:textId="77777777" w:rsidR="001614AC" w:rsidRDefault="004468F9">
            <w:pPr>
              <w:spacing w:before="55" w:after="30" w:line="288" w:lineRule="auto"/>
            </w:pPr>
            <w:r>
              <w:rPr>
                <w:rFonts w:ascii="Arial" w:eastAsia="Arial" w:hAnsi="Arial" w:cs="Arial"/>
                <w:b/>
                <w:color w:val="000000"/>
                <w:sz w:val="18"/>
              </w:rPr>
              <w:t>$</w:t>
            </w:r>
          </w:p>
        </w:tc>
        <w:tc>
          <w:tcPr>
            <w:tcW w:w="1045" w:type="dxa"/>
            <w:tcBorders>
              <w:top w:val="single" w:sz="8" w:space="0" w:color="C7C9C7"/>
              <w:left w:val="nil"/>
              <w:bottom w:val="double" w:sz="8" w:space="0" w:color="C7C9C7"/>
              <w:right w:val="nil"/>
            </w:tcBorders>
            <w:shd w:val="clear" w:color="auto" w:fill="F4F4F4"/>
            <w:tcMar>
              <w:top w:w="0" w:type="dxa"/>
              <w:left w:w="0" w:type="dxa"/>
              <w:bottom w:w="0" w:type="dxa"/>
              <w:right w:w="0" w:type="dxa"/>
            </w:tcMar>
            <w:vAlign w:val="bottom"/>
          </w:tcPr>
          <w:p w14:paraId="18E62CC4" w14:textId="77777777" w:rsidR="001614AC" w:rsidRDefault="004468F9">
            <w:pPr>
              <w:spacing w:before="55" w:after="30" w:line="288" w:lineRule="auto"/>
              <w:jc w:val="right"/>
            </w:pPr>
            <w:r>
              <w:rPr>
                <w:rFonts w:ascii="Arial" w:eastAsia="Arial" w:hAnsi="Arial" w:cs="Arial"/>
                <w:b/>
                <w:color w:val="000000"/>
                <w:sz w:val="18"/>
              </w:rPr>
              <w:t>7,948,021 </w:t>
            </w:r>
          </w:p>
        </w:tc>
        <w:tc>
          <w:tcPr>
            <w:tcW w:w="100" w:type="dxa"/>
            <w:tcBorders>
              <w:top w:val="single" w:sz="8" w:space="0" w:color="C7C9C7"/>
              <w:left w:val="nil"/>
              <w:bottom w:val="double" w:sz="8" w:space="0" w:color="C7C9C7"/>
              <w:right w:val="nil"/>
            </w:tcBorders>
            <w:shd w:val="clear" w:color="auto" w:fill="F4F4F4"/>
            <w:tcMar>
              <w:top w:w="0" w:type="dxa"/>
              <w:left w:w="0" w:type="dxa"/>
              <w:bottom w:w="0" w:type="dxa"/>
              <w:right w:w="15" w:type="dxa"/>
            </w:tcMar>
            <w:vAlign w:val="bottom"/>
          </w:tcPr>
          <w:p w14:paraId="515018DE" w14:textId="77777777" w:rsidR="001614AC" w:rsidRDefault="001614AC">
            <w:pPr>
              <w:spacing w:before="55" w:after="30" w:line="288" w:lineRule="auto"/>
              <w:jc w:val="right"/>
            </w:pPr>
          </w:p>
        </w:tc>
      </w:tr>
      <w:tr w:rsidR="001614AC" w14:paraId="3DA35B1D" w14:textId="77777777">
        <w:trPr>
          <w:cantSplit/>
        </w:trPr>
        <w:tc>
          <w:tcPr>
            <w:tcW w:w="7440" w:type="dxa"/>
            <w:tcBorders>
              <w:top w:val="nil"/>
              <w:left w:val="nil"/>
              <w:bottom w:val="nil"/>
              <w:right w:val="nil"/>
            </w:tcBorders>
            <w:tcMar>
              <w:top w:w="0" w:type="dxa"/>
              <w:left w:w="0" w:type="dxa"/>
              <w:bottom w:w="0" w:type="dxa"/>
              <w:right w:w="0" w:type="dxa"/>
            </w:tcMar>
            <w:vAlign w:val="bottom"/>
          </w:tcPr>
          <w:p w14:paraId="37C0CA9F" w14:textId="77777777" w:rsidR="001614AC" w:rsidRDefault="001614AC"/>
        </w:tc>
        <w:tc>
          <w:tcPr>
            <w:tcW w:w="105" w:type="dxa"/>
            <w:tcBorders>
              <w:top w:val="nil"/>
              <w:left w:val="nil"/>
              <w:bottom w:val="nil"/>
              <w:right w:val="nil"/>
            </w:tcBorders>
            <w:tcMar>
              <w:top w:w="0" w:type="dxa"/>
              <w:left w:w="0" w:type="dxa"/>
              <w:bottom w:w="0" w:type="dxa"/>
              <w:right w:w="0" w:type="dxa"/>
            </w:tcMar>
            <w:vAlign w:val="bottom"/>
          </w:tcPr>
          <w:p w14:paraId="7A2A1092" w14:textId="77777777" w:rsidR="001614AC" w:rsidRDefault="001614AC"/>
        </w:tc>
        <w:tc>
          <w:tcPr>
            <w:tcW w:w="1305" w:type="dxa"/>
            <w:gridSpan w:val="3"/>
            <w:tcBorders>
              <w:top w:val="double" w:sz="8" w:space="0" w:color="C7C9C7"/>
              <w:left w:val="nil"/>
              <w:bottom w:val="nil"/>
              <w:right w:val="nil"/>
            </w:tcBorders>
            <w:tcMar>
              <w:top w:w="0" w:type="dxa"/>
              <w:left w:w="0" w:type="dxa"/>
              <w:bottom w:w="0" w:type="dxa"/>
              <w:right w:w="0" w:type="dxa"/>
            </w:tcMar>
            <w:vAlign w:val="bottom"/>
          </w:tcPr>
          <w:p w14:paraId="3ACAB6F0" w14:textId="77777777" w:rsidR="001614AC" w:rsidRDefault="001614AC"/>
        </w:tc>
        <w:tc>
          <w:tcPr>
            <w:tcW w:w="105" w:type="dxa"/>
            <w:tcBorders>
              <w:top w:val="nil"/>
              <w:left w:val="nil"/>
              <w:bottom w:val="nil"/>
              <w:right w:val="nil"/>
            </w:tcBorders>
            <w:tcMar>
              <w:top w:w="0" w:type="dxa"/>
              <w:left w:w="0" w:type="dxa"/>
              <w:bottom w:w="0" w:type="dxa"/>
              <w:right w:w="0" w:type="dxa"/>
            </w:tcMar>
            <w:vAlign w:val="bottom"/>
          </w:tcPr>
          <w:p w14:paraId="0DD8DF72" w14:textId="77777777" w:rsidR="001614AC" w:rsidRDefault="001614AC"/>
        </w:tc>
        <w:tc>
          <w:tcPr>
            <w:tcW w:w="1305" w:type="dxa"/>
            <w:gridSpan w:val="3"/>
            <w:tcBorders>
              <w:top w:val="double" w:sz="8" w:space="0" w:color="C7C9C7"/>
              <w:left w:val="nil"/>
              <w:bottom w:val="nil"/>
              <w:right w:val="nil"/>
            </w:tcBorders>
            <w:tcMar>
              <w:top w:w="0" w:type="dxa"/>
              <w:left w:w="0" w:type="dxa"/>
              <w:bottom w:w="0" w:type="dxa"/>
              <w:right w:w="0" w:type="dxa"/>
            </w:tcMar>
            <w:vAlign w:val="bottom"/>
          </w:tcPr>
          <w:p w14:paraId="5400CC1D" w14:textId="77777777" w:rsidR="001614AC" w:rsidRDefault="001614AC"/>
        </w:tc>
      </w:tr>
      <w:tr w:rsidR="001614AC" w14:paraId="541B49E1" w14:textId="77777777">
        <w:trPr>
          <w:cantSplit/>
          <w:trHeight w:hRule="exact" w:val="300"/>
        </w:trPr>
        <w:tc>
          <w:tcPr>
            <w:tcW w:w="7440" w:type="dxa"/>
            <w:tcBorders>
              <w:top w:val="nil"/>
              <w:left w:val="nil"/>
              <w:bottom w:val="single" w:sz="8" w:space="0" w:color="C7C9C7"/>
              <w:right w:val="nil"/>
            </w:tcBorders>
            <w:shd w:val="clear" w:color="auto" w:fill="F4F4F4"/>
            <w:tcMar>
              <w:top w:w="0" w:type="dxa"/>
              <w:left w:w="53" w:type="dxa"/>
              <w:bottom w:w="0" w:type="dxa"/>
              <w:right w:w="53" w:type="dxa"/>
            </w:tcMar>
            <w:vAlign w:val="bottom"/>
          </w:tcPr>
          <w:p w14:paraId="3EEB3490" w14:textId="77777777" w:rsidR="001614AC" w:rsidRDefault="004468F9">
            <w:pPr>
              <w:spacing w:before="75" w:after="30" w:line="288" w:lineRule="auto"/>
            </w:pPr>
            <w:r>
              <w:rPr>
                <w:rFonts w:ascii="Arial" w:eastAsia="Arial" w:hAnsi="Arial" w:cs="Arial"/>
                <w:b/>
                <w:color w:val="00BAB3"/>
                <w:sz w:val="20"/>
              </w:rPr>
              <w:t>Liabilities and Stockholders’ Equity</w:t>
            </w:r>
          </w:p>
        </w:tc>
        <w:tc>
          <w:tcPr>
            <w:tcW w:w="105" w:type="dxa"/>
            <w:tcBorders>
              <w:top w:val="nil"/>
              <w:left w:val="nil"/>
              <w:bottom w:val="single" w:sz="8" w:space="0" w:color="C7C9C7"/>
              <w:right w:val="nil"/>
            </w:tcBorders>
            <w:shd w:val="clear" w:color="auto" w:fill="F4F4F4"/>
            <w:tcMar>
              <w:top w:w="0" w:type="dxa"/>
              <w:left w:w="0" w:type="dxa"/>
              <w:bottom w:w="0" w:type="dxa"/>
              <w:right w:w="0" w:type="dxa"/>
            </w:tcMar>
            <w:vAlign w:val="bottom"/>
          </w:tcPr>
          <w:p w14:paraId="604C47A9" w14:textId="77777777" w:rsidR="001614AC" w:rsidRDefault="001614AC"/>
        </w:tc>
        <w:tc>
          <w:tcPr>
            <w:tcW w:w="1305" w:type="dxa"/>
            <w:gridSpan w:val="3"/>
            <w:tcBorders>
              <w:top w:val="nil"/>
              <w:left w:val="nil"/>
              <w:bottom w:val="single" w:sz="8" w:space="0" w:color="C7C9C7"/>
              <w:right w:val="nil"/>
            </w:tcBorders>
            <w:shd w:val="clear" w:color="auto" w:fill="F4F4F4"/>
            <w:tcMar>
              <w:top w:w="0" w:type="dxa"/>
              <w:left w:w="0" w:type="dxa"/>
              <w:bottom w:w="0" w:type="dxa"/>
              <w:right w:w="0" w:type="dxa"/>
            </w:tcMar>
            <w:vAlign w:val="bottom"/>
          </w:tcPr>
          <w:p w14:paraId="696605F1" w14:textId="77777777" w:rsidR="001614AC" w:rsidRDefault="001614AC"/>
        </w:tc>
        <w:tc>
          <w:tcPr>
            <w:tcW w:w="105" w:type="dxa"/>
            <w:tcBorders>
              <w:top w:val="nil"/>
              <w:left w:val="nil"/>
              <w:bottom w:val="single" w:sz="8" w:space="0" w:color="C7C9C7"/>
              <w:right w:val="nil"/>
            </w:tcBorders>
            <w:shd w:val="clear" w:color="auto" w:fill="F4F4F4"/>
            <w:tcMar>
              <w:top w:w="0" w:type="dxa"/>
              <w:left w:w="0" w:type="dxa"/>
              <w:bottom w:w="0" w:type="dxa"/>
              <w:right w:w="0" w:type="dxa"/>
            </w:tcMar>
            <w:vAlign w:val="bottom"/>
          </w:tcPr>
          <w:p w14:paraId="09FEEFCE" w14:textId="77777777" w:rsidR="001614AC" w:rsidRDefault="001614AC"/>
        </w:tc>
        <w:tc>
          <w:tcPr>
            <w:tcW w:w="1305" w:type="dxa"/>
            <w:gridSpan w:val="3"/>
            <w:tcBorders>
              <w:top w:val="nil"/>
              <w:left w:val="nil"/>
              <w:bottom w:val="single" w:sz="8" w:space="0" w:color="C7C9C7"/>
              <w:right w:val="nil"/>
            </w:tcBorders>
            <w:shd w:val="clear" w:color="auto" w:fill="F4F4F4"/>
            <w:tcMar>
              <w:top w:w="0" w:type="dxa"/>
              <w:left w:w="0" w:type="dxa"/>
              <w:bottom w:w="0" w:type="dxa"/>
              <w:right w:w="0" w:type="dxa"/>
            </w:tcMar>
            <w:vAlign w:val="bottom"/>
          </w:tcPr>
          <w:p w14:paraId="144271FA" w14:textId="77777777" w:rsidR="001614AC" w:rsidRDefault="001614AC"/>
        </w:tc>
      </w:tr>
      <w:tr w:rsidR="001614AC" w14:paraId="05FF54FA" w14:textId="77777777">
        <w:trPr>
          <w:cantSplit/>
        </w:trPr>
        <w:tc>
          <w:tcPr>
            <w:tcW w:w="7440" w:type="dxa"/>
            <w:tcBorders>
              <w:top w:val="single" w:sz="8" w:space="0" w:color="C7C9C7"/>
              <w:left w:val="nil"/>
              <w:bottom w:val="single" w:sz="8" w:space="0" w:color="F4F4F4"/>
              <w:right w:val="nil"/>
            </w:tcBorders>
            <w:tcMar>
              <w:top w:w="0" w:type="dxa"/>
              <w:left w:w="53" w:type="dxa"/>
              <w:bottom w:w="0" w:type="dxa"/>
              <w:right w:w="53" w:type="dxa"/>
            </w:tcMar>
            <w:vAlign w:val="bottom"/>
          </w:tcPr>
          <w:p w14:paraId="35EE1036" w14:textId="77777777" w:rsidR="001614AC" w:rsidRDefault="004468F9">
            <w:pPr>
              <w:spacing w:before="55" w:after="30" w:line="288" w:lineRule="auto"/>
            </w:pPr>
            <w:r>
              <w:rPr>
                <w:rFonts w:ascii="Arial" w:eastAsia="Arial" w:hAnsi="Arial" w:cs="Arial"/>
                <w:color w:val="000000"/>
                <w:sz w:val="18"/>
              </w:rPr>
              <w:t>Liabilities</w:t>
            </w:r>
          </w:p>
        </w:tc>
        <w:tc>
          <w:tcPr>
            <w:tcW w:w="105" w:type="dxa"/>
            <w:tcBorders>
              <w:top w:val="single" w:sz="8" w:space="0" w:color="C7C9C7"/>
              <w:left w:val="nil"/>
              <w:bottom w:val="nil"/>
              <w:right w:val="nil"/>
            </w:tcBorders>
            <w:tcMar>
              <w:top w:w="0" w:type="dxa"/>
              <w:left w:w="0" w:type="dxa"/>
              <w:bottom w:w="0" w:type="dxa"/>
              <w:right w:w="0" w:type="dxa"/>
            </w:tcMar>
            <w:vAlign w:val="bottom"/>
          </w:tcPr>
          <w:p w14:paraId="08F0A86F" w14:textId="77777777" w:rsidR="001614AC" w:rsidRDefault="001614AC"/>
        </w:tc>
        <w:tc>
          <w:tcPr>
            <w:tcW w:w="1305" w:type="dxa"/>
            <w:gridSpan w:val="3"/>
            <w:tcBorders>
              <w:top w:val="single" w:sz="8" w:space="0" w:color="C7C9C7"/>
              <w:left w:val="nil"/>
              <w:bottom w:val="single" w:sz="8" w:space="0" w:color="F4F4F4"/>
              <w:right w:val="nil"/>
            </w:tcBorders>
            <w:tcMar>
              <w:top w:w="0" w:type="dxa"/>
              <w:left w:w="0" w:type="dxa"/>
              <w:bottom w:w="0" w:type="dxa"/>
              <w:right w:w="0" w:type="dxa"/>
            </w:tcMar>
            <w:vAlign w:val="bottom"/>
          </w:tcPr>
          <w:p w14:paraId="137A6260" w14:textId="77777777" w:rsidR="001614AC" w:rsidRDefault="001614AC"/>
        </w:tc>
        <w:tc>
          <w:tcPr>
            <w:tcW w:w="105" w:type="dxa"/>
            <w:tcBorders>
              <w:top w:val="single" w:sz="8" w:space="0" w:color="C7C9C7"/>
              <w:left w:val="nil"/>
              <w:bottom w:val="nil"/>
              <w:right w:val="nil"/>
            </w:tcBorders>
            <w:tcMar>
              <w:top w:w="0" w:type="dxa"/>
              <w:left w:w="0" w:type="dxa"/>
              <w:bottom w:w="0" w:type="dxa"/>
              <w:right w:w="0" w:type="dxa"/>
            </w:tcMar>
            <w:vAlign w:val="bottom"/>
          </w:tcPr>
          <w:p w14:paraId="591CAB41" w14:textId="77777777" w:rsidR="001614AC" w:rsidRDefault="001614AC"/>
        </w:tc>
        <w:tc>
          <w:tcPr>
            <w:tcW w:w="1305" w:type="dxa"/>
            <w:gridSpan w:val="3"/>
            <w:tcBorders>
              <w:top w:val="single" w:sz="8" w:space="0" w:color="C7C9C7"/>
              <w:left w:val="nil"/>
              <w:bottom w:val="single" w:sz="8" w:space="0" w:color="F4F4F4"/>
              <w:right w:val="nil"/>
            </w:tcBorders>
            <w:tcMar>
              <w:top w:w="0" w:type="dxa"/>
              <w:left w:w="0" w:type="dxa"/>
              <w:bottom w:w="0" w:type="dxa"/>
              <w:right w:w="0" w:type="dxa"/>
            </w:tcMar>
            <w:vAlign w:val="bottom"/>
          </w:tcPr>
          <w:p w14:paraId="3BE2C729" w14:textId="77777777" w:rsidR="001614AC" w:rsidRDefault="001614AC"/>
        </w:tc>
      </w:tr>
      <w:tr w:rsidR="001614AC" w14:paraId="490C23DE" w14:textId="77777777">
        <w:trPr>
          <w:cantSplit/>
        </w:trPr>
        <w:tc>
          <w:tcPr>
            <w:tcW w:w="7440" w:type="dxa"/>
            <w:tcBorders>
              <w:top w:val="single" w:sz="8" w:space="0" w:color="F4F4F4"/>
              <w:left w:val="nil"/>
              <w:bottom w:val="single" w:sz="8" w:space="0" w:color="F4F4F4"/>
              <w:right w:val="nil"/>
            </w:tcBorders>
            <w:tcMar>
              <w:top w:w="0" w:type="dxa"/>
              <w:left w:w="53" w:type="dxa"/>
              <w:bottom w:w="0" w:type="dxa"/>
              <w:right w:w="53" w:type="dxa"/>
            </w:tcMar>
            <w:vAlign w:val="bottom"/>
          </w:tcPr>
          <w:p w14:paraId="2F6BAF92" w14:textId="77777777" w:rsidR="001614AC" w:rsidRDefault="004468F9">
            <w:pPr>
              <w:spacing w:before="55" w:after="30" w:line="288" w:lineRule="auto"/>
              <w:ind w:left="240"/>
            </w:pPr>
            <w:r>
              <w:rPr>
                <w:rFonts w:ascii="Arial" w:eastAsia="Arial" w:hAnsi="Arial" w:cs="Arial"/>
                <w:color w:val="000000"/>
                <w:sz w:val="18"/>
              </w:rPr>
              <w:t>Unearned premiums</w:t>
            </w:r>
          </w:p>
        </w:tc>
        <w:tc>
          <w:tcPr>
            <w:tcW w:w="105" w:type="dxa"/>
            <w:tcBorders>
              <w:top w:val="nil"/>
              <w:left w:val="nil"/>
              <w:bottom w:val="nil"/>
              <w:right w:val="nil"/>
            </w:tcBorders>
            <w:tcMar>
              <w:top w:w="0" w:type="dxa"/>
              <w:left w:w="0" w:type="dxa"/>
              <w:bottom w:w="0" w:type="dxa"/>
              <w:right w:w="0" w:type="dxa"/>
            </w:tcMar>
            <w:vAlign w:val="bottom"/>
          </w:tcPr>
          <w:p w14:paraId="513B4915" w14:textId="77777777" w:rsidR="001614AC" w:rsidRDefault="001614AC"/>
        </w:tc>
        <w:tc>
          <w:tcPr>
            <w:tcW w:w="160" w:type="dxa"/>
            <w:tcBorders>
              <w:top w:val="single" w:sz="8" w:space="0" w:color="F4F4F4"/>
              <w:left w:val="nil"/>
              <w:bottom w:val="single" w:sz="8" w:space="0" w:color="F4F4F4"/>
              <w:right w:val="nil"/>
            </w:tcBorders>
            <w:tcMar>
              <w:top w:w="0" w:type="dxa"/>
              <w:left w:w="53" w:type="dxa"/>
              <w:bottom w:w="0" w:type="dxa"/>
              <w:right w:w="0" w:type="dxa"/>
            </w:tcMar>
            <w:vAlign w:val="bottom"/>
          </w:tcPr>
          <w:p w14:paraId="6A6F8AAF" w14:textId="77777777" w:rsidR="001614AC" w:rsidRDefault="004468F9">
            <w:pPr>
              <w:spacing w:before="55" w:after="30" w:line="288" w:lineRule="auto"/>
            </w:pPr>
            <w:r>
              <w:rPr>
                <w:rFonts w:ascii="Arial" w:eastAsia="Arial" w:hAnsi="Arial" w:cs="Arial"/>
                <w:color w:val="000000"/>
                <w:sz w:val="18"/>
              </w:rPr>
              <w:t>$</w:t>
            </w:r>
          </w:p>
        </w:tc>
        <w:tc>
          <w:tcPr>
            <w:tcW w:w="1045" w:type="dxa"/>
            <w:tcBorders>
              <w:top w:val="single" w:sz="8" w:space="0" w:color="F4F4F4"/>
              <w:left w:val="nil"/>
              <w:bottom w:val="single" w:sz="8" w:space="0" w:color="F4F4F4"/>
              <w:right w:val="nil"/>
            </w:tcBorders>
            <w:tcMar>
              <w:top w:w="0" w:type="dxa"/>
              <w:left w:w="0" w:type="dxa"/>
              <w:bottom w:w="0" w:type="dxa"/>
              <w:right w:w="0" w:type="dxa"/>
            </w:tcMar>
            <w:vAlign w:val="bottom"/>
          </w:tcPr>
          <w:p w14:paraId="54285688" w14:textId="77777777" w:rsidR="001614AC" w:rsidRDefault="004468F9">
            <w:pPr>
              <w:spacing w:before="55" w:after="30" w:line="288" w:lineRule="auto"/>
              <w:jc w:val="right"/>
            </w:pPr>
            <w:r>
              <w:rPr>
                <w:rFonts w:ascii="Arial" w:eastAsia="Arial" w:hAnsi="Arial" w:cs="Arial"/>
                <w:color w:val="000000"/>
                <w:sz w:val="18"/>
              </w:rPr>
              <w:t>373,031 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2A8C7C05" w14:textId="77777777" w:rsidR="001614AC" w:rsidRDefault="001614AC">
            <w:pPr>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6A7E92C5" w14:textId="77777777" w:rsidR="001614AC" w:rsidRDefault="001614AC"/>
        </w:tc>
        <w:tc>
          <w:tcPr>
            <w:tcW w:w="160" w:type="dxa"/>
            <w:tcBorders>
              <w:top w:val="single" w:sz="8" w:space="0" w:color="F4F4F4"/>
              <w:left w:val="nil"/>
              <w:bottom w:val="single" w:sz="8" w:space="0" w:color="F4F4F4"/>
              <w:right w:val="nil"/>
            </w:tcBorders>
            <w:tcMar>
              <w:top w:w="0" w:type="dxa"/>
              <w:left w:w="53" w:type="dxa"/>
              <w:bottom w:w="0" w:type="dxa"/>
              <w:right w:w="0" w:type="dxa"/>
            </w:tcMar>
            <w:vAlign w:val="bottom"/>
          </w:tcPr>
          <w:p w14:paraId="14D1904C" w14:textId="77777777" w:rsidR="001614AC" w:rsidRDefault="004468F9">
            <w:pPr>
              <w:spacing w:before="55" w:after="30" w:line="288" w:lineRule="auto"/>
            </w:pPr>
            <w:r>
              <w:rPr>
                <w:rFonts w:ascii="Arial" w:eastAsia="Arial" w:hAnsi="Arial" w:cs="Arial"/>
                <w:color w:val="000000"/>
                <w:sz w:val="18"/>
              </w:rPr>
              <w:t>$</w:t>
            </w:r>
          </w:p>
        </w:tc>
        <w:tc>
          <w:tcPr>
            <w:tcW w:w="1045" w:type="dxa"/>
            <w:tcBorders>
              <w:top w:val="single" w:sz="8" w:space="0" w:color="F4F4F4"/>
              <w:left w:val="nil"/>
              <w:bottom w:val="single" w:sz="8" w:space="0" w:color="F4F4F4"/>
              <w:right w:val="nil"/>
            </w:tcBorders>
            <w:tcMar>
              <w:top w:w="0" w:type="dxa"/>
              <w:left w:w="0" w:type="dxa"/>
              <w:bottom w:w="0" w:type="dxa"/>
              <w:right w:w="0" w:type="dxa"/>
            </w:tcMar>
            <w:vAlign w:val="bottom"/>
          </w:tcPr>
          <w:p w14:paraId="46996955" w14:textId="77777777" w:rsidR="001614AC" w:rsidRDefault="004468F9">
            <w:pPr>
              <w:spacing w:before="55" w:after="30" w:line="288" w:lineRule="auto"/>
              <w:jc w:val="right"/>
            </w:pPr>
            <w:r>
              <w:rPr>
                <w:rFonts w:ascii="Arial" w:eastAsia="Arial" w:hAnsi="Arial" w:cs="Arial"/>
                <w:color w:val="000000"/>
                <w:sz w:val="18"/>
              </w:rPr>
              <w:t>448,791 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066AC4CA" w14:textId="77777777" w:rsidR="001614AC" w:rsidRDefault="001614AC">
            <w:pPr>
              <w:spacing w:before="55" w:after="30" w:line="288" w:lineRule="auto"/>
              <w:jc w:val="right"/>
            </w:pPr>
          </w:p>
        </w:tc>
      </w:tr>
      <w:tr w:rsidR="001614AC" w14:paraId="3DE325F3" w14:textId="77777777">
        <w:trPr>
          <w:cantSplit/>
        </w:trPr>
        <w:tc>
          <w:tcPr>
            <w:tcW w:w="7440" w:type="dxa"/>
            <w:tcBorders>
              <w:top w:val="single" w:sz="8" w:space="0" w:color="F4F4F4"/>
              <w:left w:val="nil"/>
              <w:bottom w:val="single" w:sz="8" w:space="0" w:color="F4F4F4"/>
              <w:right w:val="nil"/>
            </w:tcBorders>
            <w:tcMar>
              <w:top w:w="0" w:type="dxa"/>
              <w:left w:w="53" w:type="dxa"/>
              <w:bottom w:w="0" w:type="dxa"/>
              <w:right w:w="53" w:type="dxa"/>
            </w:tcMar>
            <w:vAlign w:val="bottom"/>
          </w:tcPr>
          <w:p w14:paraId="71C8D51C" w14:textId="77777777" w:rsidR="001614AC" w:rsidRDefault="004468F9">
            <w:pPr>
              <w:spacing w:before="55" w:after="30" w:line="288" w:lineRule="auto"/>
              <w:ind w:left="240"/>
              <w:rPr>
                <w:rFonts w:ascii="Arial" w:eastAsia="Arial" w:hAnsi="Arial" w:cs="Arial"/>
                <w:sz w:val="18"/>
              </w:rPr>
            </w:pPr>
            <w:r>
              <w:rPr>
                <w:rFonts w:ascii="Arial" w:eastAsia="Arial" w:hAnsi="Arial" w:cs="Arial"/>
                <w:sz w:val="18"/>
              </w:rPr>
              <w:t>Rese</w:t>
            </w:r>
            <w:r>
              <w:rPr>
                <w:rFonts w:ascii="Arial" w:eastAsia="Arial" w:hAnsi="Arial" w:cs="Arial"/>
                <w:sz w:val="18"/>
              </w:rPr>
              <w:t>rve for losses and LAE (Note 11)</w:t>
            </w:r>
          </w:p>
        </w:tc>
        <w:tc>
          <w:tcPr>
            <w:tcW w:w="105" w:type="dxa"/>
            <w:tcBorders>
              <w:top w:val="nil"/>
              <w:left w:val="nil"/>
              <w:bottom w:val="nil"/>
              <w:right w:val="nil"/>
            </w:tcBorders>
            <w:tcMar>
              <w:top w:w="0" w:type="dxa"/>
              <w:left w:w="0" w:type="dxa"/>
              <w:bottom w:w="0" w:type="dxa"/>
              <w:right w:w="0" w:type="dxa"/>
            </w:tcMar>
            <w:vAlign w:val="bottom"/>
          </w:tcPr>
          <w:p w14:paraId="40A48EBB" w14:textId="77777777" w:rsidR="001614AC" w:rsidRDefault="001614AC"/>
        </w:tc>
        <w:tc>
          <w:tcPr>
            <w:tcW w:w="1205"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040463A5" w14:textId="77777777" w:rsidR="001614AC" w:rsidRDefault="004468F9">
            <w:pPr>
              <w:spacing w:before="55" w:after="30" w:line="288" w:lineRule="auto"/>
              <w:jc w:val="right"/>
            </w:pPr>
            <w:r>
              <w:rPr>
                <w:rFonts w:ascii="Arial" w:eastAsia="Arial" w:hAnsi="Arial" w:cs="Arial"/>
                <w:color w:val="000000"/>
                <w:sz w:val="18"/>
              </w:rPr>
              <w:t>885,498 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376F5DE6" w14:textId="77777777" w:rsidR="001614AC" w:rsidRDefault="001614AC">
            <w:pPr>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467219CB" w14:textId="77777777" w:rsidR="001614AC" w:rsidRDefault="001614AC"/>
        </w:tc>
        <w:tc>
          <w:tcPr>
            <w:tcW w:w="1205"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22546766" w14:textId="77777777" w:rsidR="001614AC" w:rsidRDefault="004468F9">
            <w:pPr>
              <w:spacing w:before="55" w:after="30" w:line="288" w:lineRule="auto"/>
              <w:jc w:val="right"/>
            </w:pPr>
            <w:r>
              <w:rPr>
                <w:rFonts w:ascii="Arial" w:eastAsia="Arial" w:hAnsi="Arial" w:cs="Arial"/>
                <w:color w:val="000000"/>
                <w:sz w:val="18"/>
              </w:rPr>
              <w:t>848,413 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1B0F880D" w14:textId="77777777" w:rsidR="001614AC" w:rsidRDefault="001614AC">
            <w:pPr>
              <w:spacing w:before="55" w:after="30" w:line="288" w:lineRule="auto"/>
              <w:jc w:val="right"/>
            </w:pPr>
          </w:p>
        </w:tc>
      </w:tr>
      <w:tr w:rsidR="001614AC" w14:paraId="35954869" w14:textId="77777777">
        <w:trPr>
          <w:cantSplit/>
        </w:trPr>
        <w:tc>
          <w:tcPr>
            <w:tcW w:w="7440" w:type="dxa"/>
            <w:tcBorders>
              <w:top w:val="single" w:sz="8" w:space="0" w:color="F4F4F4"/>
              <w:left w:val="nil"/>
              <w:bottom w:val="single" w:sz="8" w:space="0" w:color="F4F4F4"/>
              <w:right w:val="nil"/>
            </w:tcBorders>
            <w:tcMar>
              <w:top w:w="0" w:type="dxa"/>
              <w:left w:w="53" w:type="dxa"/>
              <w:bottom w:w="0" w:type="dxa"/>
              <w:right w:w="53" w:type="dxa"/>
            </w:tcMar>
            <w:vAlign w:val="bottom"/>
          </w:tcPr>
          <w:p w14:paraId="4E33C334" w14:textId="77777777" w:rsidR="001614AC" w:rsidRDefault="004468F9">
            <w:pPr>
              <w:spacing w:before="55" w:after="30" w:line="288" w:lineRule="auto"/>
              <w:ind w:left="240"/>
              <w:rPr>
                <w:rFonts w:ascii="Arial" w:eastAsia="Arial" w:hAnsi="Arial" w:cs="Arial"/>
                <w:sz w:val="18"/>
              </w:rPr>
            </w:pPr>
            <w:r>
              <w:rPr>
                <w:rFonts w:ascii="Arial" w:eastAsia="Arial" w:hAnsi="Arial" w:cs="Arial"/>
                <w:sz w:val="18"/>
              </w:rPr>
              <w:t>Senior notes (Note 12)</w:t>
            </w:r>
          </w:p>
        </w:tc>
        <w:tc>
          <w:tcPr>
            <w:tcW w:w="105" w:type="dxa"/>
            <w:tcBorders>
              <w:top w:val="nil"/>
              <w:left w:val="nil"/>
              <w:bottom w:val="nil"/>
              <w:right w:val="nil"/>
            </w:tcBorders>
            <w:tcMar>
              <w:top w:w="0" w:type="dxa"/>
              <w:left w:w="0" w:type="dxa"/>
              <w:bottom w:w="0" w:type="dxa"/>
              <w:right w:w="0" w:type="dxa"/>
            </w:tcMar>
            <w:vAlign w:val="bottom"/>
          </w:tcPr>
          <w:p w14:paraId="32D47942" w14:textId="77777777" w:rsidR="001614AC" w:rsidRDefault="001614AC"/>
        </w:tc>
        <w:tc>
          <w:tcPr>
            <w:tcW w:w="1205"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1C3CAAE0" w14:textId="77777777" w:rsidR="001614AC" w:rsidRDefault="004468F9">
            <w:pPr>
              <w:spacing w:before="55" w:after="30" w:line="288" w:lineRule="auto"/>
              <w:jc w:val="right"/>
            </w:pPr>
            <w:r>
              <w:rPr>
                <w:rFonts w:ascii="Arial" w:eastAsia="Arial" w:hAnsi="Arial" w:cs="Arial"/>
                <w:color w:val="000000"/>
                <w:sz w:val="18"/>
              </w:rPr>
              <w:t>1,407,545 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5E741B4E" w14:textId="77777777" w:rsidR="001614AC" w:rsidRDefault="001614AC">
            <w:pPr>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27486790" w14:textId="77777777" w:rsidR="001614AC" w:rsidRDefault="001614AC"/>
        </w:tc>
        <w:tc>
          <w:tcPr>
            <w:tcW w:w="1205"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1FB9CC31" w14:textId="77777777" w:rsidR="001614AC" w:rsidRDefault="004468F9">
            <w:pPr>
              <w:spacing w:before="55" w:after="30" w:line="288" w:lineRule="auto"/>
              <w:jc w:val="right"/>
            </w:pPr>
            <w:r>
              <w:rPr>
                <w:rFonts w:ascii="Arial" w:eastAsia="Arial" w:hAnsi="Arial" w:cs="Arial"/>
                <w:color w:val="000000"/>
                <w:sz w:val="18"/>
              </w:rPr>
              <w:t>1,405,674 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35DB3537" w14:textId="77777777" w:rsidR="001614AC" w:rsidRDefault="001614AC">
            <w:pPr>
              <w:spacing w:before="55" w:after="30" w:line="288" w:lineRule="auto"/>
              <w:jc w:val="right"/>
            </w:pPr>
          </w:p>
        </w:tc>
      </w:tr>
      <w:tr w:rsidR="001614AC" w14:paraId="09B8A4D0" w14:textId="77777777">
        <w:trPr>
          <w:cantSplit/>
        </w:trPr>
        <w:tc>
          <w:tcPr>
            <w:tcW w:w="7440" w:type="dxa"/>
            <w:tcBorders>
              <w:top w:val="single" w:sz="8" w:space="0" w:color="F4F4F4"/>
              <w:left w:val="nil"/>
              <w:bottom w:val="single" w:sz="8" w:space="0" w:color="F4F4F4"/>
              <w:right w:val="nil"/>
            </w:tcBorders>
            <w:tcMar>
              <w:top w:w="0" w:type="dxa"/>
              <w:left w:w="53" w:type="dxa"/>
              <w:bottom w:w="0" w:type="dxa"/>
              <w:right w:w="53" w:type="dxa"/>
            </w:tcMar>
            <w:vAlign w:val="bottom"/>
          </w:tcPr>
          <w:p w14:paraId="3B07BE49" w14:textId="77777777" w:rsidR="001614AC" w:rsidRDefault="004468F9">
            <w:pPr>
              <w:spacing w:before="55" w:after="30" w:line="288" w:lineRule="auto"/>
              <w:ind w:left="240"/>
              <w:rPr>
                <w:rFonts w:ascii="Arial" w:eastAsia="Arial" w:hAnsi="Arial" w:cs="Arial"/>
                <w:sz w:val="18"/>
              </w:rPr>
            </w:pPr>
            <w:r>
              <w:rPr>
                <w:rFonts w:ascii="Arial" w:eastAsia="Arial" w:hAnsi="Arial" w:cs="Arial"/>
                <w:sz w:val="18"/>
              </w:rPr>
              <w:t>FHLB advances (Note 12)</w:t>
            </w:r>
          </w:p>
        </w:tc>
        <w:tc>
          <w:tcPr>
            <w:tcW w:w="105" w:type="dxa"/>
            <w:tcBorders>
              <w:top w:val="nil"/>
              <w:left w:val="nil"/>
              <w:bottom w:val="nil"/>
              <w:right w:val="nil"/>
            </w:tcBorders>
            <w:tcMar>
              <w:top w:w="0" w:type="dxa"/>
              <w:left w:w="0" w:type="dxa"/>
              <w:bottom w:w="0" w:type="dxa"/>
              <w:right w:w="0" w:type="dxa"/>
            </w:tcMar>
            <w:vAlign w:val="bottom"/>
          </w:tcPr>
          <w:p w14:paraId="331BBDB4" w14:textId="77777777" w:rsidR="001614AC" w:rsidRDefault="001614AC"/>
        </w:tc>
        <w:tc>
          <w:tcPr>
            <w:tcW w:w="1205"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4A496B4C" w14:textId="77777777" w:rsidR="001614AC" w:rsidRDefault="004468F9">
            <w:pPr>
              <w:spacing w:before="55" w:after="30" w:line="288" w:lineRule="auto"/>
              <w:jc w:val="right"/>
            </w:pPr>
            <w:r>
              <w:rPr>
                <w:rFonts w:ascii="Arial" w:eastAsia="Arial" w:hAnsi="Arial" w:cs="Arial"/>
                <w:color w:val="000000"/>
                <w:sz w:val="18"/>
              </w:rPr>
              <w:t>153,983 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7DA61254" w14:textId="77777777" w:rsidR="001614AC" w:rsidRDefault="001614AC">
            <w:pPr>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671A2AE8" w14:textId="77777777" w:rsidR="001614AC" w:rsidRDefault="001614AC"/>
        </w:tc>
        <w:tc>
          <w:tcPr>
            <w:tcW w:w="1205"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71ECF300" w14:textId="77777777" w:rsidR="001614AC" w:rsidRDefault="004468F9">
            <w:pPr>
              <w:spacing w:before="55" w:after="30" w:line="288" w:lineRule="auto"/>
              <w:jc w:val="right"/>
            </w:pPr>
            <w:r>
              <w:rPr>
                <w:rFonts w:ascii="Arial" w:eastAsia="Arial" w:hAnsi="Arial" w:cs="Arial"/>
                <w:color w:val="000000"/>
                <w:sz w:val="18"/>
              </w:rPr>
              <w:t>176,483 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2A333658" w14:textId="77777777" w:rsidR="001614AC" w:rsidRDefault="001614AC">
            <w:pPr>
              <w:spacing w:before="55" w:after="30" w:line="288" w:lineRule="auto"/>
              <w:jc w:val="right"/>
            </w:pPr>
          </w:p>
        </w:tc>
      </w:tr>
      <w:tr w:rsidR="001614AC" w14:paraId="72360DB1" w14:textId="77777777">
        <w:trPr>
          <w:cantSplit/>
        </w:trPr>
        <w:tc>
          <w:tcPr>
            <w:tcW w:w="7440" w:type="dxa"/>
            <w:tcBorders>
              <w:top w:val="single" w:sz="8" w:space="0" w:color="F4F4F4"/>
              <w:left w:val="nil"/>
              <w:bottom w:val="single" w:sz="8" w:space="0" w:color="F4F4F4"/>
              <w:right w:val="nil"/>
            </w:tcBorders>
            <w:tcMar>
              <w:top w:w="0" w:type="dxa"/>
              <w:left w:w="53" w:type="dxa"/>
              <w:bottom w:w="0" w:type="dxa"/>
              <w:right w:w="53" w:type="dxa"/>
            </w:tcMar>
            <w:vAlign w:val="bottom"/>
          </w:tcPr>
          <w:p w14:paraId="0B97870C" w14:textId="77777777" w:rsidR="001614AC" w:rsidRDefault="004468F9">
            <w:pPr>
              <w:spacing w:before="55" w:after="30" w:line="288" w:lineRule="auto"/>
              <w:ind w:left="240"/>
            </w:pPr>
            <w:r>
              <w:rPr>
                <w:rFonts w:ascii="Arial" w:eastAsia="Arial" w:hAnsi="Arial" w:cs="Arial"/>
                <w:color w:val="000000"/>
                <w:sz w:val="18"/>
              </w:rPr>
              <w:t>Reinsurance funds withheld</w:t>
            </w:r>
          </w:p>
        </w:tc>
        <w:tc>
          <w:tcPr>
            <w:tcW w:w="105" w:type="dxa"/>
            <w:tcBorders>
              <w:top w:val="nil"/>
              <w:left w:val="nil"/>
              <w:bottom w:val="nil"/>
              <w:right w:val="nil"/>
            </w:tcBorders>
            <w:tcMar>
              <w:top w:w="0" w:type="dxa"/>
              <w:left w:w="0" w:type="dxa"/>
              <w:bottom w:w="0" w:type="dxa"/>
              <w:right w:w="0" w:type="dxa"/>
            </w:tcMar>
            <w:vAlign w:val="bottom"/>
          </w:tcPr>
          <w:p w14:paraId="4F2495C6" w14:textId="77777777" w:rsidR="001614AC" w:rsidRDefault="001614AC"/>
        </w:tc>
        <w:tc>
          <w:tcPr>
            <w:tcW w:w="1205"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4992B288" w14:textId="77777777" w:rsidR="001614AC" w:rsidRDefault="004468F9">
            <w:pPr>
              <w:spacing w:before="55" w:after="30" w:line="288" w:lineRule="auto"/>
              <w:jc w:val="right"/>
            </w:pPr>
            <w:r>
              <w:rPr>
                <w:rFonts w:ascii="Arial" w:eastAsia="Arial" w:hAnsi="Arial" w:cs="Arial"/>
                <w:color w:val="000000"/>
                <w:sz w:val="18"/>
              </w:rPr>
              <w:t>285,406 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1BD7F0F0" w14:textId="77777777" w:rsidR="001614AC" w:rsidRDefault="001614AC">
            <w:pPr>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4642DF62" w14:textId="77777777" w:rsidR="001614AC" w:rsidRDefault="001614AC"/>
        </w:tc>
        <w:tc>
          <w:tcPr>
            <w:tcW w:w="1205"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0E809549" w14:textId="77777777" w:rsidR="001614AC" w:rsidRDefault="004468F9">
            <w:pPr>
              <w:spacing w:before="55" w:after="30" w:line="288" w:lineRule="auto"/>
              <w:jc w:val="right"/>
            </w:pPr>
            <w:r>
              <w:rPr>
                <w:rFonts w:ascii="Arial" w:eastAsia="Arial" w:hAnsi="Arial" w:cs="Arial"/>
                <w:color w:val="000000"/>
                <w:sz w:val="18"/>
              </w:rPr>
              <w:t>278,555 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75EBCD76" w14:textId="77777777" w:rsidR="001614AC" w:rsidRDefault="001614AC">
            <w:pPr>
              <w:spacing w:before="55" w:after="30" w:line="288" w:lineRule="auto"/>
              <w:jc w:val="right"/>
            </w:pPr>
          </w:p>
        </w:tc>
      </w:tr>
      <w:tr w:rsidR="001614AC" w14:paraId="56939BFC" w14:textId="77777777">
        <w:trPr>
          <w:cantSplit/>
        </w:trPr>
        <w:tc>
          <w:tcPr>
            <w:tcW w:w="7440" w:type="dxa"/>
            <w:tcBorders>
              <w:top w:val="single" w:sz="8" w:space="0" w:color="F4F4F4"/>
              <w:left w:val="nil"/>
              <w:bottom w:val="single" w:sz="8" w:space="0" w:color="F4F4F4"/>
              <w:right w:val="nil"/>
            </w:tcBorders>
            <w:tcMar>
              <w:top w:w="0" w:type="dxa"/>
              <w:left w:w="53" w:type="dxa"/>
              <w:bottom w:w="0" w:type="dxa"/>
              <w:right w:w="53" w:type="dxa"/>
            </w:tcMar>
            <w:vAlign w:val="bottom"/>
          </w:tcPr>
          <w:p w14:paraId="1EB839D0" w14:textId="77777777" w:rsidR="001614AC" w:rsidRDefault="004468F9">
            <w:pPr>
              <w:spacing w:before="55" w:after="30" w:line="288" w:lineRule="auto"/>
              <w:ind w:left="240"/>
              <w:rPr>
                <w:rFonts w:ascii="Arial" w:eastAsia="Arial" w:hAnsi="Arial" w:cs="Arial"/>
                <w:sz w:val="18"/>
              </w:rPr>
            </w:pPr>
            <w:r>
              <w:rPr>
                <w:rFonts w:ascii="Arial" w:eastAsia="Arial" w:hAnsi="Arial" w:cs="Arial"/>
                <w:sz w:val="18"/>
              </w:rPr>
              <w:t>Net deferred tax liability (Note 10)</w:t>
            </w:r>
          </w:p>
        </w:tc>
        <w:tc>
          <w:tcPr>
            <w:tcW w:w="105" w:type="dxa"/>
            <w:tcBorders>
              <w:top w:val="nil"/>
              <w:left w:val="nil"/>
              <w:bottom w:val="nil"/>
              <w:right w:val="nil"/>
            </w:tcBorders>
            <w:tcMar>
              <w:top w:w="0" w:type="dxa"/>
              <w:left w:w="0" w:type="dxa"/>
              <w:bottom w:w="0" w:type="dxa"/>
              <w:right w:w="0" w:type="dxa"/>
            </w:tcMar>
            <w:vAlign w:val="bottom"/>
          </w:tcPr>
          <w:p w14:paraId="1C8E9371" w14:textId="77777777" w:rsidR="001614AC" w:rsidRDefault="001614AC"/>
        </w:tc>
        <w:tc>
          <w:tcPr>
            <w:tcW w:w="1205"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24BB1657" w14:textId="77777777" w:rsidR="001614AC" w:rsidRDefault="004468F9">
            <w:pPr>
              <w:spacing w:before="55" w:after="30" w:line="288" w:lineRule="auto"/>
              <w:jc w:val="right"/>
            </w:pPr>
            <w:r>
              <w:rPr>
                <w:rFonts w:ascii="Arial" w:eastAsia="Arial" w:hAnsi="Arial" w:cs="Arial"/>
                <w:color w:val="000000"/>
                <w:sz w:val="18"/>
              </w:rPr>
              <w:t>266,330 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3854DB9A" w14:textId="77777777" w:rsidR="001614AC" w:rsidRDefault="001614AC">
            <w:pPr>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2A796E2D" w14:textId="77777777" w:rsidR="001614AC" w:rsidRDefault="001614AC"/>
        </w:tc>
        <w:tc>
          <w:tcPr>
            <w:tcW w:w="1205"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0F8475EA" w14:textId="77777777" w:rsidR="001614AC" w:rsidRDefault="004468F9">
            <w:pPr>
              <w:spacing w:before="55" w:after="30" w:line="288" w:lineRule="auto"/>
              <w:jc w:val="right"/>
            </w:pPr>
            <w:r>
              <w:rPr>
                <w:rFonts w:ascii="Arial" w:eastAsia="Arial" w:hAnsi="Arial" w:cs="Arial"/>
                <w:color w:val="000000"/>
                <w:sz w:val="18"/>
              </w:rPr>
              <w:t>213,897 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67AC4302" w14:textId="77777777" w:rsidR="001614AC" w:rsidRDefault="001614AC">
            <w:pPr>
              <w:spacing w:before="55" w:after="30" w:line="288" w:lineRule="auto"/>
              <w:jc w:val="right"/>
            </w:pPr>
          </w:p>
        </w:tc>
      </w:tr>
      <w:tr w:rsidR="001614AC" w14:paraId="74E2C983" w14:textId="77777777">
        <w:trPr>
          <w:cantSplit/>
        </w:trPr>
        <w:tc>
          <w:tcPr>
            <w:tcW w:w="7440" w:type="dxa"/>
            <w:tcBorders>
              <w:top w:val="single" w:sz="8" w:space="0" w:color="F4F4F4"/>
              <w:left w:val="nil"/>
              <w:bottom w:val="nil"/>
              <w:right w:val="nil"/>
            </w:tcBorders>
            <w:tcMar>
              <w:top w:w="0" w:type="dxa"/>
              <w:left w:w="53" w:type="dxa"/>
              <w:bottom w:w="0" w:type="dxa"/>
              <w:right w:w="53" w:type="dxa"/>
            </w:tcMar>
            <w:vAlign w:val="bottom"/>
          </w:tcPr>
          <w:p w14:paraId="77D400D7" w14:textId="77777777" w:rsidR="001614AC" w:rsidRDefault="004468F9">
            <w:pPr>
              <w:spacing w:before="55" w:after="30" w:line="288" w:lineRule="auto"/>
              <w:ind w:left="240"/>
            </w:pPr>
            <w:r>
              <w:rPr>
                <w:rFonts w:ascii="Arial" w:eastAsia="Arial" w:hAnsi="Arial" w:cs="Arial"/>
                <w:color w:val="000000"/>
                <w:sz w:val="18"/>
              </w:rPr>
              <w:t>Other liabilities</w:t>
            </w:r>
          </w:p>
        </w:tc>
        <w:tc>
          <w:tcPr>
            <w:tcW w:w="105" w:type="dxa"/>
            <w:tcBorders>
              <w:top w:val="nil"/>
              <w:left w:val="nil"/>
              <w:bottom w:val="nil"/>
              <w:right w:val="nil"/>
            </w:tcBorders>
            <w:tcMar>
              <w:top w:w="0" w:type="dxa"/>
              <w:left w:w="0" w:type="dxa"/>
              <w:bottom w:w="0" w:type="dxa"/>
              <w:right w:w="0" w:type="dxa"/>
            </w:tcMar>
            <w:vAlign w:val="bottom"/>
          </w:tcPr>
          <w:p w14:paraId="1B312055" w14:textId="77777777" w:rsidR="001614AC" w:rsidRDefault="001614AC"/>
        </w:tc>
        <w:tc>
          <w:tcPr>
            <w:tcW w:w="1205" w:type="dxa"/>
            <w:gridSpan w:val="2"/>
            <w:tcBorders>
              <w:top w:val="single" w:sz="8" w:space="0" w:color="F4F4F4"/>
              <w:left w:val="nil"/>
              <w:bottom w:val="single" w:sz="8" w:space="0" w:color="C7C9C7"/>
              <w:right w:val="nil"/>
            </w:tcBorders>
            <w:tcMar>
              <w:top w:w="0" w:type="dxa"/>
              <w:left w:w="53" w:type="dxa"/>
              <w:bottom w:w="0" w:type="dxa"/>
              <w:right w:w="0" w:type="dxa"/>
            </w:tcMar>
            <w:vAlign w:val="bottom"/>
          </w:tcPr>
          <w:p w14:paraId="46B229D5" w14:textId="77777777" w:rsidR="001614AC" w:rsidRDefault="004468F9">
            <w:pPr>
              <w:spacing w:before="55" w:after="30" w:line="288" w:lineRule="auto"/>
              <w:jc w:val="right"/>
            </w:pPr>
            <w:r>
              <w:rPr>
                <w:rFonts w:ascii="Arial" w:eastAsia="Arial" w:hAnsi="Arial" w:cs="Arial"/>
                <w:color w:val="000000"/>
                <w:sz w:val="18"/>
              </w:rPr>
              <w:t>303,442 </w:t>
            </w:r>
          </w:p>
        </w:tc>
        <w:tc>
          <w:tcPr>
            <w:tcW w:w="100" w:type="dxa"/>
            <w:tcBorders>
              <w:top w:val="single" w:sz="8" w:space="0" w:color="F4F4F4"/>
              <w:left w:val="nil"/>
              <w:bottom w:val="single" w:sz="8" w:space="0" w:color="C7C9C7"/>
              <w:right w:val="nil"/>
            </w:tcBorders>
            <w:tcMar>
              <w:top w:w="0" w:type="dxa"/>
              <w:left w:w="0" w:type="dxa"/>
              <w:bottom w:w="0" w:type="dxa"/>
              <w:right w:w="15" w:type="dxa"/>
            </w:tcMar>
            <w:vAlign w:val="bottom"/>
          </w:tcPr>
          <w:p w14:paraId="3BFB98C3" w14:textId="77777777" w:rsidR="001614AC" w:rsidRDefault="001614AC">
            <w:pPr>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3E203626" w14:textId="77777777" w:rsidR="001614AC" w:rsidRDefault="001614AC"/>
        </w:tc>
        <w:tc>
          <w:tcPr>
            <w:tcW w:w="1205" w:type="dxa"/>
            <w:gridSpan w:val="2"/>
            <w:tcBorders>
              <w:top w:val="single" w:sz="8" w:space="0" w:color="F4F4F4"/>
              <w:left w:val="nil"/>
              <w:bottom w:val="single" w:sz="8" w:space="0" w:color="C7C9C7"/>
              <w:right w:val="nil"/>
            </w:tcBorders>
            <w:tcMar>
              <w:top w:w="0" w:type="dxa"/>
              <w:left w:w="53" w:type="dxa"/>
              <w:bottom w:w="0" w:type="dxa"/>
              <w:right w:w="0" w:type="dxa"/>
            </w:tcMar>
            <w:vAlign w:val="bottom"/>
          </w:tcPr>
          <w:p w14:paraId="74CA2A51" w14:textId="77777777" w:rsidR="001614AC" w:rsidRDefault="004468F9">
            <w:pPr>
              <w:spacing w:before="55" w:after="30" w:line="288" w:lineRule="auto"/>
              <w:jc w:val="right"/>
            </w:pPr>
            <w:r>
              <w:rPr>
                <w:rFonts w:ascii="Arial" w:eastAsia="Arial" w:hAnsi="Arial" w:cs="Arial"/>
                <w:color w:val="000000"/>
                <w:sz w:val="18"/>
              </w:rPr>
              <w:t>291,855 </w:t>
            </w:r>
          </w:p>
        </w:tc>
        <w:tc>
          <w:tcPr>
            <w:tcW w:w="100" w:type="dxa"/>
            <w:tcBorders>
              <w:top w:val="single" w:sz="8" w:space="0" w:color="F4F4F4"/>
              <w:left w:val="nil"/>
              <w:bottom w:val="single" w:sz="8" w:space="0" w:color="C7C9C7"/>
              <w:right w:val="nil"/>
            </w:tcBorders>
            <w:tcMar>
              <w:top w:w="0" w:type="dxa"/>
              <w:left w:w="0" w:type="dxa"/>
              <w:bottom w:w="0" w:type="dxa"/>
              <w:right w:w="15" w:type="dxa"/>
            </w:tcMar>
            <w:vAlign w:val="bottom"/>
          </w:tcPr>
          <w:p w14:paraId="0AC64F74" w14:textId="77777777" w:rsidR="001614AC" w:rsidRDefault="001614AC">
            <w:pPr>
              <w:spacing w:before="55" w:after="30" w:line="288" w:lineRule="auto"/>
              <w:jc w:val="right"/>
            </w:pPr>
          </w:p>
        </w:tc>
      </w:tr>
      <w:tr w:rsidR="001614AC" w14:paraId="52A43469" w14:textId="77777777">
        <w:trPr>
          <w:cantSplit/>
        </w:trPr>
        <w:tc>
          <w:tcPr>
            <w:tcW w:w="7440" w:type="dxa"/>
            <w:tcBorders>
              <w:top w:val="nil"/>
              <w:left w:val="nil"/>
              <w:bottom w:val="nil"/>
              <w:right w:val="nil"/>
            </w:tcBorders>
            <w:shd w:val="clear" w:color="auto" w:fill="F4F4F4"/>
            <w:tcMar>
              <w:top w:w="0" w:type="dxa"/>
              <w:left w:w="53" w:type="dxa"/>
              <w:bottom w:w="0" w:type="dxa"/>
              <w:right w:w="53" w:type="dxa"/>
            </w:tcMar>
            <w:vAlign w:val="bottom"/>
          </w:tcPr>
          <w:p w14:paraId="3B59A585" w14:textId="77777777" w:rsidR="001614AC" w:rsidRDefault="004468F9">
            <w:pPr>
              <w:spacing w:before="75" w:after="30" w:line="288" w:lineRule="auto"/>
              <w:ind w:left="240"/>
            </w:pPr>
            <w:r>
              <w:rPr>
                <w:rFonts w:ascii="Arial" w:eastAsia="Arial" w:hAnsi="Arial" w:cs="Arial"/>
                <w:color w:val="000000"/>
                <w:sz w:val="18"/>
              </w:rPr>
              <w:t xml:space="preserve">Total </w:t>
            </w:r>
            <w:r>
              <w:rPr>
                <w:rFonts w:ascii="Arial" w:eastAsia="Arial" w:hAnsi="Arial" w:cs="Arial"/>
                <w:color w:val="000000"/>
                <w:sz w:val="18"/>
              </w:rPr>
              <w:t>liabilities</w:t>
            </w:r>
          </w:p>
        </w:tc>
        <w:tc>
          <w:tcPr>
            <w:tcW w:w="105" w:type="dxa"/>
            <w:tcBorders>
              <w:top w:val="nil"/>
              <w:left w:val="nil"/>
              <w:bottom w:val="nil"/>
              <w:right w:val="nil"/>
            </w:tcBorders>
            <w:shd w:val="clear" w:color="auto" w:fill="F4F4F4"/>
            <w:tcMar>
              <w:top w:w="0" w:type="dxa"/>
              <w:left w:w="0" w:type="dxa"/>
              <w:bottom w:w="0" w:type="dxa"/>
              <w:right w:w="0" w:type="dxa"/>
            </w:tcMar>
            <w:vAlign w:val="bottom"/>
          </w:tcPr>
          <w:p w14:paraId="792FADC3" w14:textId="77777777" w:rsidR="001614AC" w:rsidRDefault="001614AC"/>
        </w:tc>
        <w:tc>
          <w:tcPr>
            <w:tcW w:w="1205" w:type="dxa"/>
            <w:gridSpan w:val="2"/>
            <w:tcBorders>
              <w:top w:val="single" w:sz="8" w:space="0" w:color="C7C9C7"/>
              <w:left w:val="nil"/>
              <w:bottom w:val="single" w:sz="8" w:space="0" w:color="C7C9C7"/>
              <w:right w:val="nil"/>
            </w:tcBorders>
            <w:shd w:val="clear" w:color="auto" w:fill="F4F4F4"/>
            <w:tcMar>
              <w:top w:w="0" w:type="dxa"/>
              <w:left w:w="53" w:type="dxa"/>
              <w:bottom w:w="0" w:type="dxa"/>
              <w:right w:w="0" w:type="dxa"/>
            </w:tcMar>
            <w:vAlign w:val="bottom"/>
          </w:tcPr>
          <w:p w14:paraId="352A18DD" w14:textId="77777777" w:rsidR="001614AC" w:rsidRDefault="004468F9">
            <w:pPr>
              <w:spacing w:before="55" w:after="30" w:line="288" w:lineRule="auto"/>
              <w:jc w:val="right"/>
            </w:pPr>
            <w:r>
              <w:rPr>
                <w:rFonts w:ascii="Arial" w:eastAsia="Arial" w:hAnsi="Arial" w:cs="Arial"/>
                <w:color w:val="000000"/>
                <w:sz w:val="18"/>
              </w:rPr>
              <w:t>3,675,235 </w:t>
            </w:r>
          </w:p>
        </w:tc>
        <w:tc>
          <w:tcPr>
            <w:tcW w:w="100" w:type="dxa"/>
            <w:tcBorders>
              <w:top w:val="single" w:sz="8" w:space="0" w:color="C7C9C7"/>
              <w:left w:val="nil"/>
              <w:bottom w:val="single" w:sz="8" w:space="0" w:color="C7C9C7"/>
              <w:right w:val="nil"/>
            </w:tcBorders>
            <w:shd w:val="clear" w:color="auto" w:fill="F4F4F4"/>
            <w:tcMar>
              <w:top w:w="0" w:type="dxa"/>
              <w:left w:w="0" w:type="dxa"/>
              <w:bottom w:w="0" w:type="dxa"/>
              <w:right w:w="15" w:type="dxa"/>
            </w:tcMar>
            <w:vAlign w:val="bottom"/>
          </w:tcPr>
          <w:p w14:paraId="2B08960D" w14:textId="77777777" w:rsidR="001614AC" w:rsidRDefault="001614AC">
            <w:pPr>
              <w:spacing w:before="55" w:after="30" w:line="288" w:lineRule="auto"/>
              <w:jc w:val="right"/>
            </w:pPr>
          </w:p>
        </w:tc>
        <w:tc>
          <w:tcPr>
            <w:tcW w:w="105" w:type="dxa"/>
            <w:tcBorders>
              <w:top w:val="nil"/>
              <w:left w:val="nil"/>
              <w:bottom w:val="nil"/>
              <w:right w:val="nil"/>
            </w:tcBorders>
            <w:shd w:val="clear" w:color="auto" w:fill="F4F4F4"/>
            <w:tcMar>
              <w:top w:w="0" w:type="dxa"/>
              <w:left w:w="0" w:type="dxa"/>
              <w:bottom w:w="0" w:type="dxa"/>
              <w:right w:w="0" w:type="dxa"/>
            </w:tcMar>
            <w:vAlign w:val="bottom"/>
          </w:tcPr>
          <w:p w14:paraId="03713A4E" w14:textId="77777777" w:rsidR="001614AC" w:rsidRDefault="001614AC"/>
        </w:tc>
        <w:tc>
          <w:tcPr>
            <w:tcW w:w="1205" w:type="dxa"/>
            <w:gridSpan w:val="2"/>
            <w:tcBorders>
              <w:top w:val="single" w:sz="8" w:space="0" w:color="C7C9C7"/>
              <w:left w:val="nil"/>
              <w:bottom w:val="single" w:sz="8" w:space="0" w:color="C7C9C7"/>
              <w:right w:val="nil"/>
            </w:tcBorders>
            <w:shd w:val="clear" w:color="auto" w:fill="F4F4F4"/>
            <w:tcMar>
              <w:top w:w="0" w:type="dxa"/>
              <w:left w:w="53" w:type="dxa"/>
              <w:bottom w:w="0" w:type="dxa"/>
              <w:right w:w="0" w:type="dxa"/>
            </w:tcMar>
            <w:vAlign w:val="bottom"/>
          </w:tcPr>
          <w:p w14:paraId="29D6840D" w14:textId="77777777" w:rsidR="001614AC" w:rsidRDefault="004468F9">
            <w:pPr>
              <w:spacing w:before="55" w:after="30" w:line="288" w:lineRule="auto"/>
              <w:jc w:val="right"/>
            </w:pPr>
            <w:r>
              <w:rPr>
                <w:rFonts w:ascii="Arial" w:eastAsia="Arial" w:hAnsi="Arial" w:cs="Arial"/>
                <w:color w:val="000000"/>
                <w:sz w:val="18"/>
              </w:rPr>
              <w:t>3,663,668 </w:t>
            </w:r>
          </w:p>
        </w:tc>
        <w:tc>
          <w:tcPr>
            <w:tcW w:w="100" w:type="dxa"/>
            <w:tcBorders>
              <w:top w:val="single" w:sz="8" w:space="0" w:color="C7C9C7"/>
              <w:left w:val="nil"/>
              <w:bottom w:val="single" w:sz="8" w:space="0" w:color="C7C9C7"/>
              <w:right w:val="nil"/>
            </w:tcBorders>
            <w:shd w:val="clear" w:color="auto" w:fill="F4F4F4"/>
            <w:tcMar>
              <w:top w:w="0" w:type="dxa"/>
              <w:left w:w="0" w:type="dxa"/>
              <w:bottom w:w="0" w:type="dxa"/>
              <w:right w:w="15" w:type="dxa"/>
            </w:tcMar>
            <w:vAlign w:val="bottom"/>
          </w:tcPr>
          <w:p w14:paraId="2594A5AA" w14:textId="77777777" w:rsidR="001614AC" w:rsidRDefault="001614AC">
            <w:pPr>
              <w:spacing w:before="55" w:after="30" w:line="288" w:lineRule="auto"/>
              <w:jc w:val="right"/>
            </w:pPr>
          </w:p>
        </w:tc>
      </w:tr>
      <w:tr w:rsidR="001614AC" w14:paraId="0ACED7FB" w14:textId="77777777">
        <w:trPr>
          <w:cantSplit/>
        </w:trPr>
        <w:tc>
          <w:tcPr>
            <w:tcW w:w="7440" w:type="dxa"/>
            <w:tcBorders>
              <w:top w:val="nil"/>
              <w:left w:val="nil"/>
              <w:bottom w:val="single" w:sz="8" w:space="0" w:color="F4F4F4"/>
              <w:right w:val="nil"/>
            </w:tcBorders>
            <w:tcMar>
              <w:top w:w="0" w:type="dxa"/>
              <w:left w:w="53" w:type="dxa"/>
              <w:bottom w:w="0" w:type="dxa"/>
              <w:right w:w="53" w:type="dxa"/>
            </w:tcMar>
            <w:vAlign w:val="bottom"/>
          </w:tcPr>
          <w:p w14:paraId="007B8F31" w14:textId="77777777" w:rsidR="001614AC" w:rsidRDefault="004468F9">
            <w:pPr>
              <w:spacing w:before="75" w:after="30" w:line="288" w:lineRule="auto"/>
              <w:rPr>
                <w:rFonts w:ascii="Arial" w:eastAsia="Arial" w:hAnsi="Arial" w:cs="Arial"/>
                <w:sz w:val="18"/>
              </w:rPr>
            </w:pPr>
            <w:r>
              <w:rPr>
                <w:rFonts w:ascii="Arial" w:eastAsia="Arial" w:hAnsi="Arial" w:cs="Arial"/>
                <w:sz w:val="18"/>
              </w:rPr>
              <w:t>Commitments and contingencies (Note 13)</w:t>
            </w:r>
          </w:p>
        </w:tc>
        <w:tc>
          <w:tcPr>
            <w:tcW w:w="105" w:type="dxa"/>
            <w:tcBorders>
              <w:top w:val="nil"/>
              <w:left w:val="nil"/>
              <w:bottom w:val="nil"/>
              <w:right w:val="nil"/>
            </w:tcBorders>
            <w:tcMar>
              <w:top w:w="0" w:type="dxa"/>
              <w:left w:w="0" w:type="dxa"/>
              <w:bottom w:w="0" w:type="dxa"/>
              <w:right w:w="0" w:type="dxa"/>
            </w:tcMar>
            <w:vAlign w:val="bottom"/>
          </w:tcPr>
          <w:p w14:paraId="1F31059F" w14:textId="77777777" w:rsidR="001614AC" w:rsidRDefault="001614AC"/>
        </w:tc>
        <w:tc>
          <w:tcPr>
            <w:tcW w:w="1305" w:type="dxa"/>
            <w:gridSpan w:val="3"/>
            <w:tcBorders>
              <w:top w:val="single" w:sz="8" w:space="0" w:color="C7C9C7"/>
              <w:left w:val="nil"/>
              <w:bottom w:val="single" w:sz="8" w:space="0" w:color="F4F4F4"/>
              <w:right w:val="nil"/>
            </w:tcBorders>
            <w:tcMar>
              <w:top w:w="0" w:type="dxa"/>
              <w:left w:w="0" w:type="dxa"/>
              <w:bottom w:w="0" w:type="dxa"/>
              <w:right w:w="0" w:type="dxa"/>
            </w:tcMar>
            <w:vAlign w:val="bottom"/>
          </w:tcPr>
          <w:p w14:paraId="36B16ECB" w14:textId="77777777" w:rsidR="001614AC" w:rsidRDefault="001614AC"/>
        </w:tc>
        <w:tc>
          <w:tcPr>
            <w:tcW w:w="105" w:type="dxa"/>
            <w:tcBorders>
              <w:top w:val="nil"/>
              <w:left w:val="nil"/>
              <w:bottom w:val="nil"/>
              <w:right w:val="nil"/>
            </w:tcBorders>
            <w:tcMar>
              <w:top w:w="0" w:type="dxa"/>
              <w:left w:w="0" w:type="dxa"/>
              <w:bottom w:w="0" w:type="dxa"/>
              <w:right w:w="0" w:type="dxa"/>
            </w:tcMar>
            <w:vAlign w:val="bottom"/>
          </w:tcPr>
          <w:p w14:paraId="4FF43268" w14:textId="77777777" w:rsidR="001614AC" w:rsidRDefault="001614AC"/>
        </w:tc>
        <w:tc>
          <w:tcPr>
            <w:tcW w:w="1305" w:type="dxa"/>
            <w:gridSpan w:val="3"/>
            <w:tcBorders>
              <w:top w:val="single" w:sz="8" w:space="0" w:color="C7C9C7"/>
              <w:left w:val="nil"/>
              <w:bottom w:val="single" w:sz="8" w:space="0" w:color="F4F4F4"/>
              <w:right w:val="nil"/>
            </w:tcBorders>
            <w:tcMar>
              <w:top w:w="0" w:type="dxa"/>
              <w:left w:w="0" w:type="dxa"/>
              <w:bottom w:w="0" w:type="dxa"/>
              <w:right w:w="0" w:type="dxa"/>
            </w:tcMar>
            <w:vAlign w:val="bottom"/>
          </w:tcPr>
          <w:p w14:paraId="663E9B0B" w14:textId="77777777" w:rsidR="001614AC" w:rsidRDefault="001614AC"/>
        </w:tc>
      </w:tr>
      <w:tr w:rsidR="001614AC" w14:paraId="6724ADFC" w14:textId="77777777">
        <w:trPr>
          <w:cantSplit/>
        </w:trPr>
        <w:tc>
          <w:tcPr>
            <w:tcW w:w="7440" w:type="dxa"/>
            <w:tcBorders>
              <w:top w:val="single" w:sz="8" w:space="0" w:color="F4F4F4"/>
              <w:left w:val="nil"/>
              <w:bottom w:val="single" w:sz="8" w:space="0" w:color="F4F4F4"/>
              <w:right w:val="nil"/>
            </w:tcBorders>
            <w:tcMar>
              <w:top w:w="0" w:type="dxa"/>
              <w:left w:w="53" w:type="dxa"/>
              <w:bottom w:w="0" w:type="dxa"/>
              <w:right w:w="53" w:type="dxa"/>
            </w:tcMar>
            <w:vAlign w:val="bottom"/>
          </w:tcPr>
          <w:p w14:paraId="3C4069A3" w14:textId="77777777" w:rsidR="001614AC" w:rsidRDefault="004468F9">
            <w:pPr>
              <w:spacing w:before="55" w:after="30" w:line="288" w:lineRule="auto"/>
            </w:pPr>
            <w:r>
              <w:rPr>
                <w:rFonts w:ascii="Arial" w:eastAsia="Arial" w:hAnsi="Arial" w:cs="Arial"/>
                <w:color w:val="000000"/>
                <w:sz w:val="18"/>
              </w:rPr>
              <w:t>Stockholders’ equity</w:t>
            </w:r>
          </w:p>
        </w:tc>
        <w:tc>
          <w:tcPr>
            <w:tcW w:w="105" w:type="dxa"/>
            <w:tcBorders>
              <w:top w:val="nil"/>
              <w:left w:val="nil"/>
              <w:bottom w:val="nil"/>
              <w:right w:val="nil"/>
            </w:tcBorders>
            <w:tcMar>
              <w:top w:w="0" w:type="dxa"/>
              <w:left w:w="0" w:type="dxa"/>
              <w:bottom w:w="0" w:type="dxa"/>
              <w:right w:w="0" w:type="dxa"/>
            </w:tcMar>
            <w:vAlign w:val="bottom"/>
          </w:tcPr>
          <w:p w14:paraId="0E216790" w14:textId="77777777" w:rsidR="001614AC" w:rsidRDefault="001614AC"/>
        </w:tc>
        <w:tc>
          <w:tcPr>
            <w:tcW w:w="1305" w:type="dxa"/>
            <w:gridSpan w:val="3"/>
            <w:tcBorders>
              <w:top w:val="single" w:sz="8" w:space="0" w:color="F4F4F4"/>
              <w:left w:val="nil"/>
              <w:bottom w:val="single" w:sz="8" w:space="0" w:color="F4F4F4"/>
              <w:right w:val="nil"/>
            </w:tcBorders>
            <w:tcMar>
              <w:top w:w="0" w:type="dxa"/>
              <w:left w:w="0" w:type="dxa"/>
              <w:bottom w:w="0" w:type="dxa"/>
              <w:right w:w="0" w:type="dxa"/>
            </w:tcMar>
            <w:vAlign w:val="bottom"/>
          </w:tcPr>
          <w:p w14:paraId="328EAE85" w14:textId="77777777" w:rsidR="001614AC" w:rsidRDefault="001614AC"/>
        </w:tc>
        <w:tc>
          <w:tcPr>
            <w:tcW w:w="105" w:type="dxa"/>
            <w:tcBorders>
              <w:top w:val="nil"/>
              <w:left w:val="nil"/>
              <w:bottom w:val="nil"/>
              <w:right w:val="nil"/>
            </w:tcBorders>
            <w:tcMar>
              <w:top w:w="0" w:type="dxa"/>
              <w:left w:w="0" w:type="dxa"/>
              <w:bottom w:w="0" w:type="dxa"/>
              <w:right w:w="0" w:type="dxa"/>
            </w:tcMar>
            <w:vAlign w:val="bottom"/>
          </w:tcPr>
          <w:p w14:paraId="26C9E86E" w14:textId="77777777" w:rsidR="001614AC" w:rsidRDefault="001614AC"/>
        </w:tc>
        <w:tc>
          <w:tcPr>
            <w:tcW w:w="1305" w:type="dxa"/>
            <w:gridSpan w:val="3"/>
            <w:tcBorders>
              <w:top w:val="single" w:sz="8" w:space="0" w:color="F4F4F4"/>
              <w:left w:val="nil"/>
              <w:bottom w:val="single" w:sz="8" w:space="0" w:color="F4F4F4"/>
              <w:right w:val="nil"/>
            </w:tcBorders>
            <w:tcMar>
              <w:top w:w="0" w:type="dxa"/>
              <w:left w:w="0" w:type="dxa"/>
              <w:bottom w:w="0" w:type="dxa"/>
              <w:right w:w="0" w:type="dxa"/>
            </w:tcMar>
            <w:vAlign w:val="bottom"/>
          </w:tcPr>
          <w:p w14:paraId="2AE67BB6" w14:textId="77777777" w:rsidR="001614AC" w:rsidRDefault="001614AC"/>
        </w:tc>
      </w:tr>
      <w:tr w:rsidR="001614AC" w14:paraId="329035F7" w14:textId="77777777">
        <w:trPr>
          <w:cantSplit/>
        </w:trPr>
        <w:tc>
          <w:tcPr>
            <w:tcW w:w="7440" w:type="dxa"/>
            <w:tcBorders>
              <w:top w:val="single" w:sz="8" w:space="0" w:color="F4F4F4"/>
              <w:left w:val="nil"/>
              <w:bottom w:val="single" w:sz="8" w:space="0" w:color="F4F4F4"/>
              <w:right w:val="nil"/>
            </w:tcBorders>
            <w:tcMar>
              <w:top w:w="0" w:type="dxa"/>
              <w:left w:w="53" w:type="dxa"/>
              <w:bottom w:w="0" w:type="dxa"/>
              <w:right w:w="53" w:type="dxa"/>
            </w:tcMar>
            <w:vAlign w:val="bottom"/>
          </w:tcPr>
          <w:p w14:paraId="05339795" w14:textId="77777777" w:rsidR="001614AC" w:rsidRDefault="004468F9">
            <w:pPr>
              <w:spacing w:before="55" w:after="30" w:line="288" w:lineRule="auto"/>
              <w:ind w:left="240"/>
              <w:rPr>
                <w:rFonts w:ascii="Arial" w:eastAsia="Arial" w:hAnsi="Arial" w:cs="Arial"/>
                <w:sz w:val="18"/>
              </w:rPr>
            </w:pPr>
            <w:r>
              <w:rPr>
                <w:rFonts w:ascii="Arial" w:eastAsia="Arial" w:hAnsi="Arial" w:cs="Arial"/>
                <w:sz w:val="18"/>
              </w:rPr>
              <w:lastRenderedPageBreak/>
              <w:t>Common stock: par value $0.001 per share; 485,000 shares authorized at June 30, 2021 and December 31, 2020; 207,250 and 210,130</w:t>
            </w:r>
            <w:r>
              <w:rPr>
                <w:rFonts w:ascii="Arial" w:eastAsia="Arial" w:hAnsi="Arial" w:cs="Arial"/>
                <w:sz w:val="18"/>
              </w:rPr>
              <w:t xml:space="preserve"> shares issued at June 30, 2021 and December 31, 2020, respectively; 188,290 and 191,606 shares outstanding at June 30, 2021 and December 31, 2020, respectively</w:t>
            </w:r>
          </w:p>
        </w:tc>
        <w:tc>
          <w:tcPr>
            <w:tcW w:w="105" w:type="dxa"/>
            <w:tcBorders>
              <w:top w:val="nil"/>
              <w:left w:val="nil"/>
              <w:bottom w:val="nil"/>
              <w:right w:val="nil"/>
            </w:tcBorders>
            <w:tcMar>
              <w:top w:w="0" w:type="dxa"/>
              <w:left w:w="0" w:type="dxa"/>
              <w:bottom w:w="0" w:type="dxa"/>
              <w:right w:w="0" w:type="dxa"/>
            </w:tcMar>
            <w:vAlign w:val="bottom"/>
          </w:tcPr>
          <w:p w14:paraId="274AEC59" w14:textId="77777777" w:rsidR="001614AC" w:rsidRDefault="001614AC"/>
        </w:tc>
        <w:tc>
          <w:tcPr>
            <w:tcW w:w="1205"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0059D52C" w14:textId="77777777" w:rsidR="001614AC" w:rsidRDefault="004468F9">
            <w:pPr>
              <w:spacing w:before="55" w:after="30" w:line="288" w:lineRule="auto"/>
              <w:jc w:val="right"/>
            </w:pPr>
            <w:r>
              <w:rPr>
                <w:rFonts w:ascii="Arial" w:eastAsia="Arial" w:hAnsi="Arial" w:cs="Arial"/>
                <w:color w:val="000000"/>
                <w:sz w:val="18"/>
              </w:rPr>
              <w:t>207 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1153AD5D" w14:textId="77777777" w:rsidR="001614AC" w:rsidRDefault="001614AC">
            <w:pPr>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522E7AFD" w14:textId="77777777" w:rsidR="001614AC" w:rsidRDefault="001614AC"/>
        </w:tc>
        <w:tc>
          <w:tcPr>
            <w:tcW w:w="1205"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5C311894" w14:textId="77777777" w:rsidR="001614AC" w:rsidRDefault="004468F9">
            <w:pPr>
              <w:spacing w:before="55" w:after="30" w:line="288" w:lineRule="auto"/>
              <w:jc w:val="right"/>
            </w:pPr>
            <w:r>
              <w:rPr>
                <w:rFonts w:ascii="Arial" w:eastAsia="Arial" w:hAnsi="Arial" w:cs="Arial"/>
                <w:color w:val="000000"/>
                <w:sz w:val="18"/>
              </w:rPr>
              <w:t>210 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6288BB8F" w14:textId="77777777" w:rsidR="001614AC" w:rsidRDefault="001614AC">
            <w:pPr>
              <w:spacing w:before="55" w:after="30" w:line="288" w:lineRule="auto"/>
              <w:jc w:val="right"/>
            </w:pPr>
          </w:p>
        </w:tc>
      </w:tr>
      <w:tr w:rsidR="001614AC" w14:paraId="5F33D78C" w14:textId="77777777">
        <w:trPr>
          <w:cantSplit/>
        </w:trPr>
        <w:tc>
          <w:tcPr>
            <w:tcW w:w="7440" w:type="dxa"/>
            <w:tcBorders>
              <w:top w:val="single" w:sz="8" w:space="0" w:color="F4F4F4"/>
              <w:left w:val="nil"/>
              <w:bottom w:val="single" w:sz="8" w:space="0" w:color="F4F4F4"/>
              <w:right w:val="nil"/>
            </w:tcBorders>
            <w:tcMar>
              <w:top w:w="0" w:type="dxa"/>
              <w:left w:w="53" w:type="dxa"/>
              <w:bottom w:w="0" w:type="dxa"/>
              <w:right w:w="53" w:type="dxa"/>
            </w:tcMar>
            <w:vAlign w:val="bottom"/>
          </w:tcPr>
          <w:p w14:paraId="6173167A" w14:textId="77777777" w:rsidR="001614AC" w:rsidRDefault="004468F9">
            <w:pPr>
              <w:spacing w:before="55" w:after="30" w:line="288" w:lineRule="auto"/>
              <w:ind w:left="240"/>
              <w:rPr>
                <w:rFonts w:ascii="Arial" w:eastAsia="Arial" w:hAnsi="Arial" w:cs="Arial"/>
                <w:sz w:val="18"/>
              </w:rPr>
            </w:pPr>
            <w:r>
              <w:rPr>
                <w:rFonts w:ascii="Arial" w:eastAsia="Arial" w:hAnsi="Arial" w:cs="Arial"/>
                <w:sz w:val="18"/>
              </w:rPr>
              <w:t xml:space="preserve">Treasury stock, at cost: 18,960 and 18,524 shares at June 30, 2021 and </w:t>
            </w:r>
            <w:r>
              <w:rPr>
                <w:rFonts w:ascii="Arial" w:eastAsia="Arial" w:hAnsi="Arial" w:cs="Arial"/>
                <w:sz w:val="18"/>
              </w:rPr>
              <w:t>December 31, 2020, respectively</w:t>
            </w:r>
          </w:p>
        </w:tc>
        <w:tc>
          <w:tcPr>
            <w:tcW w:w="105" w:type="dxa"/>
            <w:tcBorders>
              <w:top w:val="nil"/>
              <w:left w:val="nil"/>
              <w:bottom w:val="nil"/>
              <w:right w:val="nil"/>
            </w:tcBorders>
            <w:tcMar>
              <w:top w:w="0" w:type="dxa"/>
              <w:left w:w="0" w:type="dxa"/>
              <w:bottom w:w="0" w:type="dxa"/>
              <w:right w:w="0" w:type="dxa"/>
            </w:tcMar>
            <w:vAlign w:val="bottom"/>
          </w:tcPr>
          <w:p w14:paraId="173226AE" w14:textId="77777777" w:rsidR="001614AC" w:rsidRDefault="001614AC"/>
        </w:tc>
        <w:tc>
          <w:tcPr>
            <w:tcW w:w="1205"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7A02AB50" w14:textId="77777777" w:rsidR="001614AC" w:rsidRDefault="004468F9">
            <w:pPr>
              <w:spacing w:before="55" w:after="30" w:line="288" w:lineRule="auto"/>
              <w:jc w:val="right"/>
            </w:pPr>
            <w:r>
              <w:rPr>
                <w:rFonts w:ascii="Arial" w:eastAsia="Arial" w:hAnsi="Arial" w:cs="Arial"/>
                <w:color w:val="000000"/>
                <w:sz w:val="18"/>
              </w:rPr>
              <w:t>(920,225)</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53730E8D" w14:textId="77777777" w:rsidR="001614AC" w:rsidRDefault="001614AC">
            <w:pPr>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0002260C" w14:textId="77777777" w:rsidR="001614AC" w:rsidRDefault="001614AC"/>
        </w:tc>
        <w:tc>
          <w:tcPr>
            <w:tcW w:w="1205"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6D7A4045" w14:textId="77777777" w:rsidR="001614AC" w:rsidRDefault="004468F9">
            <w:pPr>
              <w:spacing w:before="55" w:after="30" w:line="288" w:lineRule="auto"/>
              <w:jc w:val="right"/>
            </w:pPr>
            <w:r>
              <w:rPr>
                <w:rFonts w:ascii="Arial" w:eastAsia="Arial" w:hAnsi="Arial" w:cs="Arial"/>
                <w:color w:val="000000"/>
                <w:sz w:val="18"/>
              </w:rPr>
              <w:t>(910,115)</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060093D4" w14:textId="77777777" w:rsidR="001614AC" w:rsidRDefault="001614AC">
            <w:pPr>
              <w:spacing w:before="55" w:after="30" w:line="288" w:lineRule="auto"/>
              <w:jc w:val="right"/>
            </w:pPr>
          </w:p>
        </w:tc>
      </w:tr>
      <w:tr w:rsidR="001614AC" w14:paraId="6F67E4ED" w14:textId="77777777">
        <w:trPr>
          <w:cantSplit/>
        </w:trPr>
        <w:tc>
          <w:tcPr>
            <w:tcW w:w="7440" w:type="dxa"/>
            <w:tcBorders>
              <w:top w:val="single" w:sz="8" w:space="0" w:color="F4F4F4"/>
              <w:left w:val="nil"/>
              <w:bottom w:val="single" w:sz="8" w:space="0" w:color="F4F4F4"/>
              <w:right w:val="nil"/>
            </w:tcBorders>
            <w:tcMar>
              <w:top w:w="0" w:type="dxa"/>
              <w:left w:w="53" w:type="dxa"/>
              <w:bottom w:w="0" w:type="dxa"/>
              <w:right w:w="53" w:type="dxa"/>
            </w:tcMar>
            <w:vAlign w:val="bottom"/>
          </w:tcPr>
          <w:p w14:paraId="62E10427" w14:textId="77777777" w:rsidR="001614AC" w:rsidRDefault="004468F9">
            <w:pPr>
              <w:spacing w:before="55" w:after="30" w:line="288" w:lineRule="auto"/>
              <w:ind w:left="240"/>
            </w:pPr>
            <w:r>
              <w:rPr>
                <w:rFonts w:ascii="Arial" w:eastAsia="Arial" w:hAnsi="Arial" w:cs="Arial"/>
                <w:color w:val="000000"/>
                <w:sz w:val="18"/>
              </w:rPr>
              <w:t>Additional paid-in capital</w:t>
            </w:r>
          </w:p>
        </w:tc>
        <w:tc>
          <w:tcPr>
            <w:tcW w:w="105" w:type="dxa"/>
            <w:tcBorders>
              <w:top w:val="nil"/>
              <w:left w:val="nil"/>
              <w:bottom w:val="nil"/>
              <w:right w:val="nil"/>
            </w:tcBorders>
            <w:tcMar>
              <w:top w:w="0" w:type="dxa"/>
              <w:left w:w="0" w:type="dxa"/>
              <w:bottom w:w="0" w:type="dxa"/>
              <w:right w:w="0" w:type="dxa"/>
            </w:tcMar>
            <w:vAlign w:val="bottom"/>
          </w:tcPr>
          <w:p w14:paraId="6D693464" w14:textId="77777777" w:rsidR="001614AC" w:rsidRDefault="001614AC"/>
        </w:tc>
        <w:tc>
          <w:tcPr>
            <w:tcW w:w="1205"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780BD391" w14:textId="77777777" w:rsidR="001614AC" w:rsidRDefault="004468F9">
            <w:pPr>
              <w:spacing w:before="55" w:after="30" w:line="288" w:lineRule="auto"/>
              <w:jc w:val="right"/>
            </w:pPr>
            <w:r>
              <w:rPr>
                <w:rFonts w:ascii="Arial" w:eastAsia="Arial" w:hAnsi="Arial" w:cs="Arial"/>
                <w:color w:val="000000"/>
                <w:sz w:val="18"/>
              </w:rPr>
              <w:t>2,161,857 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78C04999" w14:textId="77777777" w:rsidR="001614AC" w:rsidRDefault="001614AC">
            <w:pPr>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03D47064" w14:textId="77777777" w:rsidR="001614AC" w:rsidRDefault="001614AC"/>
        </w:tc>
        <w:tc>
          <w:tcPr>
            <w:tcW w:w="1205"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07E85EE9" w14:textId="77777777" w:rsidR="001614AC" w:rsidRDefault="004468F9">
            <w:pPr>
              <w:spacing w:before="55" w:after="30" w:line="288" w:lineRule="auto"/>
              <w:jc w:val="right"/>
            </w:pPr>
            <w:r>
              <w:rPr>
                <w:rFonts w:ascii="Arial" w:eastAsia="Arial" w:hAnsi="Arial" w:cs="Arial"/>
                <w:color w:val="000000"/>
                <w:sz w:val="18"/>
              </w:rPr>
              <w:t>2,245,897 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788DB50E" w14:textId="77777777" w:rsidR="001614AC" w:rsidRDefault="001614AC">
            <w:pPr>
              <w:spacing w:before="55" w:after="30" w:line="288" w:lineRule="auto"/>
              <w:jc w:val="right"/>
            </w:pPr>
          </w:p>
        </w:tc>
      </w:tr>
      <w:tr w:rsidR="001614AC" w14:paraId="10F67B9C" w14:textId="77777777">
        <w:trPr>
          <w:cantSplit/>
        </w:trPr>
        <w:tc>
          <w:tcPr>
            <w:tcW w:w="7440" w:type="dxa"/>
            <w:tcBorders>
              <w:top w:val="single" w:sz="8" w:space="0" w:color="F4F4F4"/>
              <w:left w:val="nil"/>
              <w:bottom w:val="single" w:sz="8" w:space="0" w:color="F4F4F4"/>
              <w:right w:val="nil"/>
            </w:tcBorders>
            <w:tcMar>
              <w:top w:w="0" w:type="dxa"/>
              <w:left w:w="53" w:type="dxa"/>
              <w:bottom w:w="0" w:type="dxa"/>
              <w:right w:w="53" w:type="dxa"/>
            </w:tcMar>
            <w:vAlign w:val="bottom"/>
          </w:tcPr>
          <w:p w14:paraId="7FC64843" w14:textId="77777777" w:rsidR="001614AC" w:rsidRDefault="004468F9">
            <w:pPr>
              <w:spacing w:before="55" w:after="30" w:line="288" w:lineRule="auto"/>
              <w:ind w:left="240"/>
            </w:pPr>
            <w:r>
              <w:rPr>
                <w:rFonts w:ascii="Arial" w:eastAsia="Arial" w:hAnsi="Arial" w:cs="Arial"/>
                <w:color w:val="000000"/>
                <w:sz w:val="18"/>
              </w:rPr>
              <w:t>Retained earnings</w:t>
            </w:r>
          </w:p>
        </w:tc>
        <w:tc>
          <w:tcPr>
            <w:tcW w:w="105" w:type="dxa"/>
            <w:tcBorders>
              <w:top w:val="nil"/>
              <w:left w:val="nil"/>
              <w:bottom w:val="nil"/>
              <w:right w:val="nil"/>
            </w:tcBorders>
            <w:tcMar>
              <w:top w:w="0" w:type="dxa"/>
              <w:left w:w="0" w:type="dxa"/>
              <w:bottom w:w="0" w:type="dxa"/>
              <w:right w:w="0" w:type="dxa"/>
            </w:tcMar>
            <w:vAlign w:val="bottom"/>
          </w:tcPr>
          <w:p w14:paraId="74CF2F64" w14:textId="77777777" w:rsidR="001614AC" w:rsidRDefault="001614AC"/>
        </w:tc>
        <w:tc>
          <w:tcPr>
            <w:tcW w:w="1205"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4B5A15AD" w14:textId="77777777" w:rsidR="001614AC" w:rsidRDefault="004468F9">
            <w:pPr>
              <w:spacing w:before="55" w:after="30" w:line="288" w:lineRule="auto"/>
              <w:jc w:val="right"/>
            </w:pPr>
            <w:r>
              <w:rPr>
                <w:rFonts w:ascii="Arial" w:eastAsia="Arial" w:hAnsi="Arial" w:cs="Arial"/>
                <w:color w:val="000000"/>
                <w:sz w:val="18"/>
              </w:rPr>
              <w:t>2,913,138 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59FE5B8C" w14:textId="77777777" w:rsidR="001614AC" w:rsidRDefault="001614AC">
            <w:pPr>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0E0AF190" w14:textId="77777777" w:rsidR="001614AC" w:rsidRDefault="001614AC"/>
        </w:tc>
        <w:tc>
          <w:tcPr>
            <w:tcW w:w="1205"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54E1E3C6" w14:textId="77777777" w:rsidR="001614AC" w:rsidRDefault="004468F9">
            <w:pPr>
              <w:spacing w:before="55" w:after="30" w:line="288" w:lineRule="auto"/>
              <w:jc w:val="right"/>
            </w:pPr>
            <w:r>
              <w:rPr>
                <w:rFonts w:ascii="Arial" w:eastAsia="Arial" w:hAnsi="Arial" w:cs="Arial"/>
                <w:color w:val="000000"/>
                <w:sz w:val="18"/>
              </w:rPr>
              <w:t>2,684,636 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78EC0130" w14:textId="77777777" w:rsidR="001614AC" w:rsidRDefault="001614AC">
            <w:pPr>
              <w:spacing w:before="55" w:after="30" w:line="288" w:lineRule="auto"/>
              <w:jc w:val="right"/>
            </w:pPr>
          </w:p>
        </w:tc>
      </w:tr>
      <w:tr w:rsidR="001614AC" w14:paraId="335C85D7" w14:textId="77777777">
        <w:trPr>
          <w:cantSplit/>
        </w:trPr>
        <w:tc>
          <w:tcPr>
            <w:tcW w:w="7440" w:type="dxa"/>
            <w:tcBorders>
              <w:top w:val="single" w:sz="8" w:space="0" w:color="F4F4F4"/>
              <w:left w:val="nil"/>
              <w:bottom w:val="nil"/>
              <w:right w:val="nil"/>
            </w:tcBorders>
            <w:tcMar>
              <w:top w:w="0" w:type="dxa"/>
              <w:left w:w="53" w:type="dxa"/>
              <w:bottom w:w="0" w:type="dxa"/>
              <w:right w:w="53" w:type="dxa"/>
            </w:tcMar>
            <w:vAlign w:val="bottom"/>
          </w:tcPr>
          <w:p w14:paraId="5AF0DC2C" w14:textId="77777777" w:rsidR="001614AC" w:rsidRDefault="004468F9">
            <w:pPr>
              <w:spacing w:before="55" w:after="30" w:line="288" w:lineRule="auto"/>
              <w:ind w:left="240"/>
              <w:rPr>
                <w:rFonts w:ascii="Arial" w:eastAsia="Arial" w:hAnsi="Arial" w:cs="Arial"/>
                <w:sz w:val="18"/>
              </w:rPr>
            </w:pPr>
            <w:r>
              <w:rPr>
                <w:rFonts w:ascii="Arial" w:eastAsia="Arial" w:hAnsi="Arial" w:cs="Arial"/>
                <w:sz w:val="18"/>
              </w:rPr>
              <w:t>Accumulated other comprehensive income (loss) (Note 15)</w:t>
            </w:r>
          </w:p>
        </w:tc>
        <w:tc>
          <w:tcPr>
            <w:tcW w:w="105" w:type="dxa"/>
            <w:tcBorders>
              <w:top w:val="nil"/>
              <w:left w:val="nil"/>
              <w:bottom w:val="nil"/>
              <w:right w:val="nil"/>
            </w:tcBorders>
            <w:tcMar>
              <w:top w:w="0" w:type="dxa"/>
              <w:left w:w="0" w:type="dxa"/>
              <w:bottom w:w="0" w:type="dxa"/>
              <w:right w:w="0" w:type="dxa"/>
            </w:tcMar>
            <w:vAlign w:val="bottom"/>
          </w:tcPr>
          <w:p w14:paraId="653B6F48" w14:textId="77777777" w:rsidR="001614AC" w:rsidRDefault="001614AC"/>
        </w:tc>
        <w:tc>
          <w:tcPr>
            <w:tcW w:w="1205" w:type="dxa"/>
            <w:gridSpan w:val="2"/>
            <w:tcBorders>
              <w:top w:val="single" w:sz="8" w:space="0" w:color="F4F4F4"/>
              <w:left w:val="nil"/>
              <w:bottom w:val="single" w:sz="8" w:space="0" w:color="C7C9C7"/>
              <w:right w:val="nil"/>
            </w:tcBorders>
            <w:tcMar>
              <w:top w:w="0" w:type="dxa"/>
              <w:left w:w="53" w:type="dxa"/>
              <w:bottom w:w="0" w:type="dxa"/>
              <w:right w:w="0" w:type="dxa"/>
            </w:tcMar>
            <w:vAlign w:val="bottom"/>
          </w:tcPr>
          <w:p w14:paraId="3428FB31" w14:textId="77777777" w:rsidR="001614AC" w:rsidRDefault="004468F9">
            <w:pPr>
              <w:spacing w:before="55" w:after="30" w:line="288" w:lineRule="auto"/>
              <w:jc w:val="right"/>
            </w:pPr>
            <w:r>
              <w:rPr>
                <w:rFonts w:ascii="Arial" w:eastAsia="Arial" w:hAnsi="Arial" w:cs="Arial"/>
                <w:color w:val="000000"/>
                <w:sz w:val="18"/>
              </w:rPr>
              <w:t>178,856 </w:t>
            </w:r>
          </w:p>
        </w:tc>
        <w:tc>
          <w:tcPr>
            <w:tcW w:w="100" w:type="dxa"/>
            <w:tcBorders>
              <w:top w:val="single" w:sz="8" w:space="0" w:color="F4F4F4"/>
              <w:left w:val="nil"/>
              <w:bottom w:val="single" w:sz="8" w:space="0" w:color="C7C9C7"/>
              <w:right w:val="nil"/>
            </w:tcBorders>
            <w:tcMar>
              <w:top w:w="0" w:type="dxa"/>
              <w:left w:w="0" w:type="dxa"/>
              <w:bottom w:w="0" w:type="dxa"/>
              <w:right w:w="15" w:type="dxa"/>
            </w:tcMar>
            <w:vAlign w:val="bottom"/>
          </w:tcPr>
          <w:p w14:paraId="23395F12" w14:textId="77777777" w:rsidR="001614AC" w:rsidRDefault="001614AC">
            <w:pPr>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6B00E7F7" w14:textId="77777777" w:rsidR="001614AC" w:rsidRDefault="001614AC"/>
        </w:tc>
        <w:tc>
          <w:tcPr>
            <w:tcW w:w="1205" w:type="dxa"/>
            <w:gridSpan w:val="2"/>
            <w:tcBorders>
              <w:top w:val="single" w:sz="8" w:space="0" w:color="F4F4F4"/>
              <w:left w:val="nil"/>
              <w:bottom w:val="single" w:sz="8" w:space="0" w:color="C7C9C7"/>
              <w:right w:val="nil"/>
            </w:tcBorders>
            <w:tcMar>
              <w:top w:w="0" w:type="dxa"/>
              <w:left w:w="53" w:type="dxa"/>
              <w:bottom w:w="0" w:type="dxa"/>
              <w:right w:w="0" w:type="dxa"/>
            </w:tcMar>
            <w:vAlign w:val="bottom"/>
          </w:tcPr>
          <w:p w14:paraId="1CCFD1F0" w14:textId="77777777" w:rsidR="001614AC" w:rsidRDefault="004468F9">
            <w:pPr>
              <w:spacing w:before="55" w:after="30" w:line="288" w:lineRule="auto"/>
              <w:jc w:val="right"/>
            </w:pPr>
            <w:r>
              <w:rPr>
                <w:rFonts w:ascii="Arial" w:eastAsia="Arial" w:hAnsi="Arial" w:cs="Arial"/>
                <w:color w:val="000000"/>
                <w:sz w:val="18"/>
              </w:rPr>
              <w:t>263,725 </w:t>
            </w:r>
          </w:p>
        </w:tc>
        <w:tc>
          <w:tcPr>
            <w:tcW w:w="100" w:type="dxa"/>
            <w:tcBorders>
              <w:top w:val="single" w:sz="8" w:space="0" w:color="F4F4F4"/>
              <w:left w:val="nil"/>
              <w:bottom w:val="single" w:sz="8" w:space="0" w:color="C7C9C7"/>
              <w:right w:val="nil"/>
            </w:tcBorders>
            <w:tcMar>
              <w:top w:w="0" w:type="dxa"/>
              <w:left w:w="0" w:type="dxa"/>
              <w:bottom w:w="0" w:type="dxa"/>
              <w:right w:w="15" w:type="dxa"/>
            </w:tcMar>
            <w:vAlign w:val="bottom"/>
          </w:tcPr>
          <w:p w14:paraId="6BB5AA8B" w14:textId="77777777" w:rsidR="001614AC" w:rsidRDefault="001614AC">
            <w:pPr>
              <w:spacing w:before="55" w:after="30" w:line="288" w:lineRule="auto"/>
              <w:jc w:val="right"/>
            </w:pPr>
          </w:p>
        </w:tc>
      </w:tr>
      <w:tr w:rsidR="001614AC" w14:paraId="1733E40A" w14:textId="77777777">
        <w:trPr>
          <w:cantSplit/>
        </w:trPr>
        <w:tc>
          <w:tcPr>
            <w:tcW w:w="7440" w:type="dxa"/>
            <w:tcBorders>
              <w:top w:val="nil"/>
              <w:left w:val="nil"/>
              <w:bottom w:val="single" w:sz="8" w:space="0" w:color="FFFFFF"/>
              <w:right w:val="nil"/>
            </w:tcBorders>
            <w:shd w:val="clear" w:color="auto" w:fill="F4F4F4"/>
            <w:tcMar>
              <w:top w:w="0" w:type="dxa"/>
              <w:left w:w="53" w:type="dxa"/>
              <w:bottom w:w="0" w:type="dxa"/>
              <w:right w:w="53" w:type="dxa"/>
            </w:tcMar>
            <w:vAlign w:val="bottom"/>
          </w:tcPr>
          <w:p w14:paraId="7F875FF2" w14:textId="77777777" w:rsidR="001614AC" w:rsidRDefault="004468F9">
            <w:pPr>
              <w:spacing w:before="75" w:after="30" w:line="288" w:lineRule="auto"/>
              <w:ind w:left="240"/>
            </w:pPr>
            <w:r>
              <w:rPr>
                <w:rFonts w:ascii="Arial" w:eastAsia="Arial" w:hAnsi="Arial" w:cs="Arial"/>
                <w:color w:val="000000"/>
                <w:sz w:val="18"/>
              </w:rPr>
              <w:t>Total stockholders’ equity</w:t>
            </w:r>
          </w:p>
        </w:tc>
        <w:tc>
          <w:tcPr>
            <w:tcW w:w="105" w:type="dxa"/>
            <w:tcBorders>
              <w:top w:val="nil"/>
              <w:left w:val="nil"/>
              <w:bottom w:val="single" w:sz="8" w:space="0" w:color="FFFFFF"/>
              <w:right w:val="nil"/>
            </w:tcBorders>
            <w:shd w:val="clear" w:color="auto" w:fill="F4F4F4"/>
            <w:tcMar>
              <w:top w:w="0" w:type="dxa"/>
              <w:left w:w="0" w:type="dxa"/>
              <w:bottom w:w="0" w:type="dxa"/>
              <w:right w:w="0" w:type="dxa"/>
            </w:tcMar>
            <w:vAlign w:val="bottom"/>
          </w:tcPr>
          <w:p w14:paraId="0778B4C3" w14:textId="77777777" w:rsidR="001614AC" w:rsidRDefault="001614AC"/>
        </w:tc>
        <w:tc>
          <w:tcPr>
            <w:tcW w:w="1205" w:type="dxa"/>
            <w:gridSpan w:val="2"/>
            <w:tcBorders>
              <w:top w:val="single" w:sz="8" w:space="0" w:color="C7C9C7"/>
              <w:left w:val="nil"/>
              <w:bottom w:val="single" w:sz="8" w:space="0" w:color="C7C9C7"/>
              <w:right w:val="nil"/>
            </w:tcBorders>
            <w:shd w:val="clear" w:color="auto" w:fill="F4F4F4"/>
            <w:tcMar>
              <w:top w:w="0" w:type="dxa"/>
              <w:left w:w="53" w:type="dxa"/>
              <w:bottom w:w="0" w:type="dxa"/>
              <w:right w:w="0" w:type="dxa"/>
            </w:tcMar>
            <w:vAlign w:val="bottom"/>
          </w:tcPr>
          <w:p w14:paraId="3CBB5B68" w14:textId="77777777" w:rsidR="001614AC" w:rsidRDefault="004468F9">
            <w:pPr>
              <w:spacing w:before="55" w:after="30" w:line="288" w:lineRule="auto"/>
              <w:jc w:val="right"/>
            </w:pPr>
            <w:r>
              <w:rPr>
                <w:rFonts w:ascii="Arial" w:eastAsia="Arial" w:hAnsi="Arial" w:cs="Arial"/>
                <w:color w:val="000000"/>
                <w:sz w:val="18"/>
              </w:rPr>
              <w:t>4,333,833 </w:t>
            </w:r>
          </w:p>
        </w:tc>
        <w:tc>
          <w:tcPr>
            <w:tcW w:w="100" w:type="dxa"/>
            <w:tcBorders>
              <w:top w:val="single" w:sz="8" w:space="0" w:color="C7C9C7"/>
              <w:left w:val="nil"/>
              <w:bottom w:val="single" w:sz="8" w:space="0" w:color="C7C9C7"/>
              <w:right w:val="nil"/>
            </w:tcBorders>
            <w:shd w:val="clear" w:color="auto" w:fill="F4F4F4"/>
            <w:tcMar>
              <w:top w:w="0" w:type="dxa"/>
              <w:left w:w="0" w:type="dxa"/>
              <w:bottom w:w="0" w:type="dxa"/>
              <w:right w:w="15" w:type="dxa"/>
            </w:tcMar>
            <w:vAlign w:val="bottom"/>
          </w:tcPr>
          <w:p w14:paraId="7AAE71F4" w14:textId="77777777" w:rsidR="001614AC" w:rsidRDefault="001614AC">
            <w:pPr>
              <w:spacing w:before="55" w:after="30" w:line="288" w:lineRule="auto"/>
              <w:jc w:val="right"/>
            </w:pPr>
          </w:p>
        </w:tc>
        <w:tc>
          <w:tcPr>
            <w:tcW w:w="105" w:type="dxa"/>
            <w:tcBorders>
              <w:top w:val="nil"/>
              <w:left w:val="nil"/>
              <w:bottom w:val="single" w:sz="8" w:space="0" w:color="FFFFFF"/>
              <w:right w:val="nil"/>
            </w:tcBorders>
            <w:shd w:val="clear" w:color="auto" w:fill="F4F4F4"/>
            <w:tcMar>
              <w:top w:w="0" w:type="dxa"/>
              <w:left w:w="0" w:type="dxa"/>
              <w:bottom w:w="0" w:type="dxa"/>
              <w:right w:w="0" w:type="dxa"/>
            </w:tcMar>
            <w:vAlign w:val="bottom"/>
          </w:tcPr>
          <w:p w14:paraId="1156A14B" w14:textId="77777777" w:rsidR="001614AC" w:rsidRDefault="001614AC"/>
        </w:tc>
        <w:tc>
          <w:tcPr>
            <w:tcW w:w="1205" w:type="dxa"/>
            <w:gridSpan w:val="2"/>
            <w:tcBorders>
              <w:top w:val="single" w:sz="8" w:space="0" w:color="C7C9C7"/>
              <w:left w:val="nil"/>
              <w:bottom w:val="single" w:sz="8" w:space="0" w:color="C7C9C7"/>
              <w:right w:val="nil"/>
            </w:tcBorders>
            <w:shd w:val="clear" w:color="auto" w:fill="F4F4F4"/>
            <w:tcMar>
              <w:top w:w="0" w:type="dxa"/>
              <w:left w:w="53" w:type="dxa"/>
              <w:bottom w:w="0" w:type="dxa"/>
              <w:right w:w="0" w:type="dxa"/>
            </w:tcMar>
            <w:vAlign w:val="bottom"/>
          </w:tcPr>
          <w:p w14:paraId="43767344" w14:textId="77777777" w:rsidR="001614AC" w:rsidRDefault="004468F9">
            <w:pPr>
              <w:spacing w:before="55" w:after="30" w:line="288" w:lineRule="auto"/>
              <w:jc w:val="right"/>
            </w:pPr>
            <w:r>
              <w:rPr>
                <w:rFonts w:ascii="Arial" w:eastAsia="Arial" w:hAnsi="Arial" w:cs="Arial"/>
                <w:color w:val="000000"/>
                <w:sz w:val="18"/>
              </w:rPr>
              <w:t>4,284,353 </w:t>
            </w:r>
          </w:p>
        </w:tc>
        <w:tc>
          <w:tcPr>
            <w:tcW w:w="100" w:type="dxa"/>
            <w:tcBorders>
              <w:top w:val="single" w:sz="8" w:space="0" w:color="C7C9C7"/>
              <w:left w:val="nil"/>
              <w:bottom w:val="single" w:sz="8" w:space="0" w:color="C7C9C7"/>
              <w:right w:val="nil"/>
            </w:tcBorders>
            <w:shd w:val="clear" w:color="auto" w:fill="F4F4F4"/>
            <w:tcMar>
              <w:top w:w="0" w:type="dxa"/>
              <w:left w:w="0" w:type="dxa"/>
              <w:bottom w:w="0" w:type="dxa"/>
              <w:right w:w="15" w:type="dxa"/>
            </w:tcMar>
            <w:vAlign w:val="bottom"/>
          </w:tcPr>
          <w:p w14:paraId="3230DA4F" w14:textId="77777777" w:rsidR="001614AC" w:rsidRDefault="001614AC">
            <w:pPr>
              <w:spacing w:before="55" w:after="30" w:line="288" w:lineRule="auto"/>
              <w:jc w:val="right"/>
            </w:pPr>
          </w:p>
        </w:tc>
      </w:tr>
      <w:tr w:rsidR="001614AC" w14:paraId="6628E4AC" w14:textId="77777777">
        <w:trPr>
          <w:cantSplit/>
        </w:trPr>
        <w:tc>
          <w:tcPr>
            <w:tcW w:w="7440" w:type="dxa"/>
            <w:tcBorders>
              <w:top w:val="single" w:sz="8" w:space="0" w:color="FFFFFF"/>
              <w:left w:val="nil"/>
              <w:bottom w:val="nil"/>
              <w:right w:val="nil"/>
            </w:tcBorders>
            <w:shd w:val="clear" w:color="auto" w:fill="F4F4F4"/>
            <w:tcMar>
              <w:top w:w="0" w:type="dxa"/>
              <w:left w:w="53" w:type="dxa"/>
              <w:bottom w:w="0" w:type="dxa"/>
              <w:right w:w="53" w:type="dxa"/>
            </w:tcMar>
            <w:vAlign w:val="bottom"/>
          </w:tcPr>
          <w:p w14:paraId="3CC01738" w14:textId="77777777" w:rsidR="001614AC" w:rsidRDefault="004468F9">
            <w:pPr>
              <w:spacing w:before="55" w:after="30" w:line="288" w:lineRule="auto"/>
            </w:pPr>
            <w:r>
              <w:rPr>
                <w:rFonts w:ascii="Arial" w:eastAsia="Arial" w:hAnsi="Arial" w:cs="Arial"/>
                <w:b/>
                <w:color w:val="000000"/>
                <w:sz w:val="18"/>
              </w:rPr>
              <w:t>Total liabilities and stockholders’ equity</w:t>
            </w:r>
          </w:p>
        </w:tc>
        <w:tc>
          <w:tcPr>
            <w:tcW w:w="105" w:type="dxa"/>
            <w:tcBorders>
              <w:top w:val="single" w:sz="8" w:space="0" w:color="FFFFFF"/>
              <w:left w:val="nil"/>
              <w:bottom w:val="nil"/>
              <w:right w:val="nil"/>
            </w:tcBorders>
            <w:shd w:val="clear" w:color="auto" w:fill="F4F4F4"/>
            <w:tcMar>
              <w:top w:w="0" w:type="dxa"/>
              <w:left w:w="0" w:type="dxa"/>
              <w:bottom w:w="0" w:type="dxa"/>
              <w:right w:w="0" w:type="dxa"/>
            </w:tcMar>
            <w:vAlign w:val="bottom"/>
          </w:tcPr>
          <w:p w14:paraId="3047930A" w14:textId="77777777" w:rsidR="001614AC" w:rsidRDefault="001614AC"/>
        </w:tc>
        <w:tc>
          <w:tcPr>
            <w:tcW w:w="160" w:type="dxa"/>
            <w:tcBorders>
              <w:top w:val="single" w:sz="8" w:space="0" w:color="C7C9C7"/>
              <w:left w:val="nil"/>
              <w:bottom w:val="double" w:sz="8" w:space="0" w:color="C7C9C7"/>
              <w:right w:val="nil"/>
            </w:tcBorders>
            <w:shd w:val="clear" w:color="auto" w:fill="F4F4F4"/>
            <w:tcMar>
              <w:top w:w="0" w:type="dxa"/>
              <w:left w:w="53" w:type="dxa"/>
              <w:bottom w:w="0" w:type="dxa"/>
              <w:right w:w="0" w:type="dxa"/>
            </w:tcMar>
            <w:vAlign w:val="bottom"/>
          </w:tcPr>
          <w:p w14:paraId="44E0BC5A" w14:textId="77777777" w:rsidR="001614AC" w:rsidRDefault="004468F9">
            <w:pPr>
              <w:spacing w:before="55" w:after="30" w:line="288" w:lineRule="auto"/>
            </w:pPr>
            <w:r>
              <w:rPr>
                <w:rFonts w:ascii="Arial" w:eastAsia="Arial" w:hAnsi="Arial" w:cs="Arial"/>
                <w:b/>
                <w:color w:val="000000"/>
                <w:sz w:val="18"/>
              </w:rPr>
              <w:t>$</w:t>
            </w:r>
          </w:p>
        </w:tc>
        <w:tc>
          <w:tcPr>
            <w:tcW w:w="1045" w:type="dxa"/>
            <w:tcBorders>
              <w:top w:val="single" w:sz="8" w:space="0" w:color="C7C9C7"/>
              <w:left w:val="nil"/>
              <w:bottom w:val="double" w:sz="8" w:space="0" w:color="C7C9C7"/>
              <w:right w:val="nil"/>
            </w:tcBorders>
            <w:shd w:val="clear" w:color="auto" w:fill="F4F4F4"/>
            <w:tcMar>
              <w:top w:w="0" w:type="dxa"/>
              <w:left w:w="0" w:type="dxa"/>
              <w:bottom w:w="0" w:type="dxa"/>
              <w:right w:w="0" w:type="dxa"/>
            </w:tcMar>
            <w:vAlign w:val="bottom"/>
          </w:tcPr>
          <w:p w14:paraId="7CA69ABD" w14:textId="77777777" w:rsidR="001614AC" w:rsidRDefault="004468F9">
            <w:pPr>
              <w:spacing w:before="55" w:after="30" w:line="288" w:lineRule="auto"/>
              <w:jc w:val="right"/>
            </w:pPr>
            <w:r>
              <w:rPr>
                <w:rFonts w:ascii="Arial" w:eastAsia="Arial" w:hAnsi="Arial" w:cs="Arial"/>
                <w:b/>
                <w:color w:val="000000"/>
                <w:sz w:val="18"/>
              </w:rPr>
              <w:t>8,009,068 </w:t>
            </w:r>
          </w:p>
        </w:tc>
        <w:tc>
          <w:tcPr>
            <w:tcW w:w="100" w:type="dxa"/>
            <w:tcBorders>
              <w:top w:val="single" w:sz="8" w:space="0" w:color="C7C9C7"/>
              <w:left w:val="nil"/>
              <w:bottom w:val="double" w:sz="8" w:space="0" w:color="C7C9C7"/>
              <w:right w:val="nil"/>
            </w:tcBorders>
            <w:shd w:val="clear" w:color="auto" w:fill="F4F4F4"/>
            <w:tcMar>
              <w:top w:w="0" w:type="dxa"/>
              <w:left w:w="0" w:type="dxa"/>
              <w:bottom w:w="0" w:type="dxa"/>
              <w:right w:w="15" w:type="dxa"/>
            </w:tcMar>
            <w:vAlign w:val="bottom"/>
          </w:tcPr>
          <w:p w14:paraId="1E8B40E5" w14:textId="77777777" w:rsidR="001614AC" w:rsidRDefault="001614AC">
            <w:pPr>
              <w:spacing w:before="55" w:after="30" w:line="288" w:lineRule="auto"/>
              <w:jc w:val="right"/>
            </w:pPr>
          </w:p>
        </w:tc>
        <w:tc>
          <w:tcPr>
            <w:tcW w:w="105" w:type="dxa"/>
            <w:tcBorders>
              <w:top w:val="single" w:sz="8" w:space="0" w:color="FFFFFF"/>
              <w:left w:val="nil"/>
              <w:bottom w:val="nil"/>
              <w:right w:val="nil"/>
            </w:tcBorders>
            <w:shd w:val="clear" w:color="auto" w:fill="F4F4F4"/>
            <w:tcMar>
              <w:top w:w="0" w:type="dxa"/>
              <w:left w:w="0" w:type="dxa"/>
              <w:bottom w:w="0" w:type="dxa"/>
              <w:right w:w="0" w:type="dxa"/>
            </w:tcMar>
            <w:vAlign w:val="bottom"/>
          </w:tcPr>
          <w:p w14:paraId="5F454AF6" w14:textId="77777777" w:rsidR="001614AC" w:rsidRDefault="001614AC"/>
        </w:tc>
        <w:tc>
          <w:tcPr>
            <w:tcW w:w="160" w:type="dxa"/>
            <w:tcBorders>
              <w:top w:val="single" w:sz="8" w:space="0" w:color="C7C9C7"/>
              <w:left w:val="nil"/>
              <w:bottom w:val="double" w:sz="8" w:space="0" w:color="C7C9C7"/>
              <w:right w:val="nil"/>
            </w:tcBorders>
            <w:shd w:val="clear" w:color="auto" w:fill="F4F4F4"/>
            <w:tcMar>
              <w:top w:w="0" w:type="dxa"/>
              <w:left w:w="53" w:type="dxa"/>
              <w:bottom w:w="0" w:type="dxa"/>
              <w:right w:w="0" w:type="dxa"/>
            </w:tcMar>
            <w:vAlign w:val="bottom"/>
          </w:tcPr>
          <w:p w14:paraId="00599AEF" w14:textId="77777777" w:rsidR="001614AC" w:rsidRDefault="004468F9">
            <w:pPr>
              <w:spacing w:before="55" w:after="30" w:line="288" w:lineRule="auto"/>
            </w:pPr>
            <w:r>
              <w:rPr>
                <w:rFonts w:ascii="Arial" w:eastAsia="Arial" w:hAnsi="Arial" w:cs="Arial"/>
                <w:b/>
                <w:color w:val="000000"/>
                <w:sz w:val="18"/>
              </w:rPr>
              <w:t>$</w:t>
            </w:r>
          </w:p>
        </w:tc>
        <w:tc>
          <w:tcPr>
            <w:tcW w:w="1045" w:type="dxa"/>
            <w:tcBorders>
              <w:top w:val="single" w:sz="8" w:space="0" w:color="C7C9C7"/>
              <w:left w:val="nil"/>
              <w:bottom w:val="double" w:sz="8" w:space="0" w:color="C7C9C7"/>
              <w:right w:val="nil"/>
            </w:tcBorders>
            <w:shd w:val="clear" w:color="auto" w:fill="F4F4F4"/>
            <w:tcMar>
              <w:top w:w="0" w:type="dxa"/>
              <w:left w:w="0" w:type="dxa"/>
              <w:bottom w:w="0" w:type="dxa"/>
              <w:right w:w="0" w:type="dxa"/>
            </w:tcMar>
            <w:vAlign w:val="bottom"/>
          </w:tcPr>
          <w:p w14:paraId="089974F4" w14:textId="77777777" w:rsidR="001614AC" w:rsidRDefault="004468F9">
            <w:pPr>
              <w:spacing w:before="55" w:after="30" w:line="288" w:lineRule="auto"/>
              <w:jc w:val="right"/>
            </w:pPr>
            <w:r>
              <w:rPr>
                <w:rFonts w:ascii="Arial" w:eastAsia="Arial" w:hAnsi="Arial" w:cs="Arial"/>
                <w:b/>
                <w:color w:val="000000"/>
                <w:sz w:val="18"/>
              </w:rPr>
              <w:t>7,948,021 </w:t>
            </w:r>
          </w:p>
        </w:tc>
        <w:tc>
          <w:tcPr>
            <w:tcW w:w="100" w:type="dxa"/>
            <w:tcBorders>
              <w:top w:val="single" w:sz="8" w:space="0" w:color="C7C9C7"/>
              <w:left w:val="nil"/>
              <w:bottom w:val="double" w:sz="8" w:space="0" w:color="C7C9C7"/>
              <w:right w:val="nil"/>
            </w:tcBorders>
            <w:shd w:val="clear" w:color="auto" w:fill="F4F4F4"/>
            <w:tcMar>
              <w:top w:w="0" w:type="dxa"/>
              <w:left w:w="0" w:type="dxa"/>
              <w:bottom w:w="0" w:type="dxa"/>
              <w:right w:w="15" w:type="dxa"/>
            </w:tcMar>
            <w:vAlign w:val="bottom"/>
          </w:tcPr>
          <w:p w14:paraId="02287BFA" w14:textId="77777777" w:rsidR="001614AC" w:rsidRDefault="001614AC">
            <w:pPr>
              <w:spacing w:before="55" w:after="30" w:line="288" w:lineRule="auto"/>
              <w:jc w:val="right"/>
            </w:pPr>
          </w:p>
        </w:tc>
      </w:tr>
    </w:tbl>
    <w:p w14:paraId="49D99AA4" w14:textId="77777777" w:rsidR="001614AC" w:rsidRDefault="001614AC">
      <w:pPr>
        <w:spacing w:line="288" w:lineRule="auto"/>
        <w:rPr>
          <w:rFonts w:ascii="Arial" w:eastAsia="Arial" w:hAnsi="Arial" w:cs="Arial"/>
          <w:b/>
          <w:sz w:val="18"/>
        </w:rPr>
      </w:pPr>
    </w:p>
    <w:p w14:paraId="3C0E6EB4" w14:textId="77777777" w:rsidR="001614AC" w:rsidRDefault="001614AC">
      <w:pPr>
        <w:spacing w:line="288" w:lineRule="auto"/>
        <w:rPr>
          <w:rFonts w:ascii="Arial" w:eastAsia="Arial" w:hAnsi="Arial" w:cs="Arial"/>
          <w:b/>
          <w:sz w:val="18"/>
        </w:rPr>
        <w:sectPr w:rsidR="001614AC">
          <w:headerReference w:type="default" r:id="rId16"/>
          <w:footerReference w:type="default" r:id="rId17"/>
          <w:pgSz w:w="12240" w:h="15840"/>
          <w:pgMar w:top="990" w:right="990" w:bottom="1260" w:left="990" w:header="270" w:footer="270" w:gutter="0"/>
          <w:cols w:space="708"/>
        </w:sectPr>
      </w:pPr>
    </w:p>
    <w:p w14:paraId="10B9C32A" w14:textId="77777777" w:rsidR="001614AC" w:rsidRDefault="004468F9">
      <w:pPr>
        <w:keepNext/>
        <w:spacing w:after="120" w:line="288" w:lineRule="auto"/>
        <w:rPr>
          <w:rFonts w:ascii="Arial" w:eastAsia="Arial" w:hAnsi="Arial" w:cs="Arial"/>
          <w:b/>
          <w:color w:val="4D6B80"/>
          <w:sz w:val="22"/>
        </w:rPr>
      </w:pPr>
      <w:bookmarkStart w:id="7" w:name="Section8"/>
      <w:bookmarkEnd w:id="7"/>
      <w:r>
        <w:rPr>
          <w:rFonts w:ascii="Arial" w:eastAsia="Arial" w:hAnsi="Arial" w:cs="Arial"/>
          <w:b/>
          <w:color w:val="4D6B80"/>
          <w:sz w:val="22"/>
        </w:rPr>
        <w:lastRenderedPageBreak/>
        <w:t>Radian</w:t>
      </w:r>
      <w:r>
        <w:rPr>
          <w:rFonts w:ascii="Arial" w:eastAsia="Arial" w:hAnsi="Arial" w:cs="Arial"/>
          <w:b/>
          <w:color w:val="4D6B80"/>
          <w:sz w:val="22"/>
        </w:rPr>
        <w:t xml:space="preserve"> Group Inc. and Subsidiaries</w:t>
      </w:r>
      <w:r>
        <w:rPr>
          <w:rFonts w:ascii="Arial" w:eastAsia="Arial" w:hAnsi="Arial" w:cs="Arial"/>
          <w:b/>
          <w:color w:val="4D6B80"/>
          <w:sz w:val="22"/>
        </w:rPr>
        <w:br/>
        <w:t>Condensed Consolidated Statements of Operations (Unaudited)</w:t>
      </w:r>
    </w:p>
    <w:tbl>
      <w:tblPr>
        <w:tblW w:w="102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54"/>
        <w:gridCol w:w="107"/>
        <w:gridCol w:w="163"/>
        <w:gridCol w:w="760"/>
        <w:gridCol w:w="102"/>
        <w:gridCol w:w="107"/>
        <w:gridCol w:w="163"/>
        <w:gridCol w:w="760"/>
        <w:gridCol w:w="102"/>
        <w:gridCol w:w="107"/>
        <w:gridCol w:w="163"/>
        <w:gridCol w:w="760"/>
        <w:gridCol w:w="102"/>
        <w:gridCol w:w="107"/>
        <w:gridCol w:w="163"/>
        <w:gridCol w:w="760"/>
        <w:gridCol w:w="102"/>
      </w:tblGrid>
      <w:tr w:rsidR="001614AC" w14:paraId="19CA64E9" w14:textId="77777777">
        <w:trPr>
          <w:cantSplit/>
        </w:trPr>
        <w:tc>
          <w:tcPr>
            <w:tcW w:w="5640" w:type="dxa"/>
            <w:tcBorders>
              <w:top w:val="nil"/>
              <w:left w:val="nil"/>
              <w:bottom w:val="single" w:sz="8" w:space="0" w:color="FFFFFF"/>
              <w:right w:val="nil"/>
            </w:tcBorders>
            <w:tcMar>
              <w:top w:w="0" w:type="dxa"/>
              <w:left w:w="0" w:type="dxa"/>
              <w:bottom w:w="0" w:type="dxa"/>
              <w:right w:w="0" w:type="dxa"/>
            </w:tcMar>
            <w:vAlign w:val="bottom"/>
          </w:tcPr>
          <w:p w14:paraId="4180D895" w14:textId="77777777" w:rsidR="001614AC" w:rsidRDefault="001614AC"/>
        </w:tc>
        <w:tc>
          <w:tcPr>
            <w:tcW w:w="105" w:type="dxa"/>
            <w:tcBorders>
              <w:top w:val="nil"/>
              <w:left w:val="nil"/>
              <w:bottom w:val="single" w:sz="8" w:space="0" w:color="FFFFFF"/>
              <w:right w:val="nil"/>
            </w:tcBorders>
            <w:tcMar>
              <w:top w:w="0" w:type="dxa"/>
              <w:left w:w="0" w:type="dxa"/>
              <w:bottom w:w="0" w:type="dxa"/>
              <w:right w:w="0" w:type="dxa"/>
            </w:tcMar>
            <w:vAlign w:val="bottom"/>
          </w:tcPr>
          <w:p w14:paraId="07019A0F" w14:textId="77777777" w:rsidR="001614AC" w:rsidRDefault="001614AC"/>
        </w:tc>
        <w:tc>
          <w:tcPr>
            <w:tcW w:w="2115" w:type="dxa"/>
            <w:gridSpan w:val="7"/>
            <w:tcBorders>
              <w:top w:val="nil"/>
              <w:left w:val="nil"/>
              <w:bottom w:val="nil"/>
              <w:right w:val="nil"/>
            </w:tcBorders>
            <w:shd w:val="clear" w:color="auto" w:fill="F4F4F4"/>
            <w:tcMar>
              <w:top w:w="0" w:type="dxa"/>
              <w:left w:w="53" w:type="dxa"/>
              <w:bottom w:w="0" w:type="dxa"/>
              <w:right w:w="53" w:type="dxa"/>
            </w:tcMar>
            <w:vAlign w:val="bottom"/>
          </w:tcPr>
          <w:p w14:paraId="637FE154" w14:textId="77777777" w:rsidR="001614AC" w:rsidRDefault="004468F9">
            <w:pPr>
              <w:spacing w:before="75" w:line="288" w:lineRule="auto"/>
              <w:jc w:val="center"/>
            </w:pPr>
            <w:r>
              <w:rPr>
                <w:rFonts w:ascii="Arial" w:eastAsia="Arial" w:hAnsi="Arial" w:cs="Arial"/>
                <w:b/>
                <w:color w:val="00BAB3"/>
                <w:sz w:val="18"/>
              </w:rPr>
              <w:t>Three Months Ended</w:t>
            </w:r>
          </w:p>
          <w:p w14:paraId="3BF42FFA" w14:textId="77777777" w:rsidR="001614AC" w:rsidRDefault="004468F9">
            <w:pPr>
              <w:spacing w:after="30" w:line="288" w:lineRule="auto"/>
              <w:jc w:val="center"/>
            </w:pPr>
            <w:r>
              <w:rPr>
                <w:rFonts w:ascii="Arial" w:eastAsia="Arial" w:hAnsi="Arial" w:cs="Arial"/>
                <w:b/>
                <w:color w:val="00BAB3"/>
                <w:sz w:val="18"/>
              </w:rPr>
              <w:t>June 30,</w:t>
            </w:r>
          </w:p>
        </w:tc>
        <w:tc>
          <w:tcPr>
            <w:tcW w:w="105" w:type="dxa"/>
            <w:tcBorders>
              <w:top w:val="nil"/>
              <w:left w:val="nil"/>
              <w:bottom w:val="single" w:sz="8" w:space="0" w:color="FFFFFF"/>
              <w:right w:val="nil"/>
            </w:tcBorders>
            <w:tcMar>
              <w:top w:w="0" w:type="dxa"/>
              <w:left w:w="0" w:type="dxa"/>
              <w:bottom w:w="0" w:type="dxa"/>
              <w:right w:w="0" w:type="dxa"/>
            </w:tcMar>
            <w:vAlign w:val="bottom"/>
          </w:tcPr>
          <w:p w14:paraId="21E16935" w14:textId="77777777" w:rsidR="001614AC" w:rsidRDefault="001614AC"/>
        </w:tc>
        <w:tc>
          <w:tcPr>
            <w:tcW w:w="2115" w:type="dxa"/>
            <w:gridSpan w:val="7"/>
            <w:tcBorders>
              <w:top w:val="nil"/>
              <w:left w:val="nil"/>
              <w:bottom w:val="nil"/>
              <w:right w:val="nil"/>
            </w:tcBorders>
            <w:shd w:val="clear" w:color="auto" w:fill="F4F4F4"/>
            <w:tcMar>
              <w:top w:w="0" w:type="dxa"/>
              <w:left w:w="53" w:type="dxa"/>
              <w:bottom w:w="0" w:type="dxa"/>
              <w:right w:w="53" w:type="dxa"/>
            </w:tcMar>
            <w:vAlign w:val="bottom"/>
          </w:tcPr>
          <w:p w14:paraId="5F8DD27F" w14:textId="77777777" w:rsidR="001614AC" w:rsidRDefault="004468F9">
            <w:pPr>
              <w:spacing w:before="75" w:line="288" w:lineRule="auto"/>
              <w:jc w:val="center"/>
            </w:pPr>
            <w:r>
              <w:rPr>
                <w:rFonts w:ascii="Arial" w:eastAsia="Arial" w:hAnsi="Arial" w:cs="Arial"/>
                <w:b/>
                <w:color w:val="00BAB3"/>
                <w:sz w:val="18"/>
              </w:rPr>
              <w:t>Six Months Ended</w:t>
            </w:r>
          </w:p>
          <w:p w14:paraId="5ED12D79" w14:textId="77777777" w:rsidR="001614AC" w:rsidRDefault="004468F9">
            <w:pPr>
              <w:spacing w:after="30" w:line="288" w:lineRule="auto"/>
              <w:jc w:val="center"/>
            </w:pPr>
            <w:r>
              <w:rPr>
                <w:rFonts w:ascii="Arial" w:eastAsia="Arial" w:hAnsi="Arial" w:cs="Arial"/>
                <w:b/>
                <w:color w:val="00BAB3"/>
                <w:sz w:val="18"/>
              </w:rPr>
              <w:t>June 30,</w:t>
            </w:r>
          </w:p>
        </w:tc>
      </w:tr>
      <w:tr w:rsidR="001614AC" w14:paraId="185D76D5" w14:textId="77777777">
        <w:trPr>
          <w:cantSplit/>
        </w:trPr>
        <w:tc>
          <w:tcPr>
            <w:tcW w:w="5640" w:type="dxa"/>
            <w:tcBorders>
              <w:top w:val="single" w:sz="8" w:space="0" w:color="FFFFFF"/>
              <w:left w:val="nil"/>
              <w:bottom w:val="single" w:sz="8" w:space="0" w:color="FFFFFF"/>
              <w:right w:val="nil"/>
            </w:tcBorders>
            <w:tcMar>
              <w:top w:w="0" w:type="dxa"/>
              <w:left w:w="53" w:type="dxa"/>
              <w:bottom w:w="0" w:type="dxa"/>
              <w:right w:w="53" w:type="dxa"/>
            </w:tcMar>
            <w:vAlign w:val="bottom"/>
          </w:tcPr>
          <w:p w14:paraId="048DEBFB" w14:textId="77777777" w:rsidR="001614AC" w:rsidRDefault="004468F9">
            <w:pPr>
              <w:spacing w:before="55" w:after="30" w:line="288" w:lineRule="auto"/>
            </w:pPr>
            <w:r>
              <w:rPr>
                <w:rFonts w:ascii="Arial" w:eastAsia="Arial" w:hAnsi="Arial" w:cs="Arial"/>
                <w:color w:val="8B8886"/>
                <w:sz w:val="16"/>
              </w:rPr>
              <w:t>(In thousands, except per-share amounts)</w:t>
            </w:r>
          </w:p>
        </w:tc>
        <w:tc>
          <w:tcPr>
            <w:tcW w:w="105" w:type="dxa"/>
            <w:tcBorders>
              <w:top w:val="single" w:sz="8" w:space="0" w:color="FFFFFF"/>
              <w:left w:val="nil"/>
              <w:bottom w:val="single" w:sz="8" w:space="0" w:color="FFFFFF"/>
              <w:right w:val="nil"/>
            </w:tcBorders>
            <w:tcMar>
              <w:top w:w="0" w:type="dxa"/>
              <w:left w:w="0" w:type="dxa"/>
              <w:bottom w:w="0" w:type="dxa"/>
              <w:right w:w="0" w:type="dxa"/>
            </w:tcMar>
            <w:vAlign w:val="bottom"/>
          </w:tcPr>
          <w:p w14:paraId="53A2AB8A" w14:textId="77777777" w:rsidR="001614AC" w:rsidRDefault="001614AC"/>
        </w:tc>
        <w:tc>
          <w:tcPr>
            <w:tcW w:w="1005" w:type="dxa"/>
            <w:gridSpan w:val="3"/>
            <w:tcBorders>
              <w:top w:val="single" w:sz="8" w:space="0" w:color="FFFFFF"/>
              <w:left w:val="nil"/>
              <w:bottom w:val="single" w:sz="8" w:space="0" w:color="FFFFFF"/>
              <w:right w:val="nil"/>
            </w:tcBorders>
            <w:shd w:val="clear" w:color="auto" w:fill="E6F8F8"/>
            <w:tcMar>
              <w:top w:w="0" w:type="dxa"/>
              <w:left w:w="53" w:type="dxa"/>
              <w:bottom w:w="0" w:type="dxa"/>
              <w:right w:w="53" w:type="dxa"/>
            </w:tcMar>
            <w:vAlign w:val="bottom"/>
          </w:tcPr>
          <w:p w14:paraId="229B9F2E" w14:textId="77777777" w:rsidR="001614AC" w:rsidRDefault="004468F9">
            <w:pPr>
              <w:spacing w:before="55" w:after="30" w:line="288" w:lineRule="auto"/>
              <w:jc w:val="center"/>
            </w:pPr>
            <w:r>
              <w:rPr>
                <w:rFonts w:ascii="Arial" w:eastAsia="Arial" w:hAnsi="Arial" w:cs="Arial"/>
                <w:b/>
                <w:color w:val="00BAB3"/>
                <w:sz w:val="18"/>
              </w:rPr>
              <w:t>2021</w:t>
            </w:r>
          </w:p>
        </w:tc>
        <w:tc>
          <w:tcPr>
            <w:tcW w:w="105" w:type="dxa"/>
            <w:tcBorders>
              <w:top w:val="single" w:sz="8" w:space="0" w:color="FFFFFF"/>
              <w:left w:val="nil"/>
              <w:bottom w:val="single" w:sz="8" w:space="0" w:color="FFFFFF"/>
              <w:right w:val="nil"/>
            </w:tcBorders>
            <w:tcMar>
              <w:top w:w="0" w:type="dxa"/>
              <w:left w:w="0" w:type="dxa"/>
              <w:bottom w:w="0" w:type="dxa"/>
              <w:right w:w="0" w:type="dxa"/>
            </w:tcMar>
            <w:vAlign w:val="bottom"/>
          </w:tcPr>
          <w:p w14:paraId="47367D94" w14:textId="77777777" w:rsidR="001614AC" w:rsidRDefault="001614AC"/>
        </w:tc>
        <w:tc>
          <w:tcPr>
            <w:tcW w:w="1005" w:type="dxa"/>
            <w:gridSpan w:val="3"/>
            <w:tcBorders>
              <w:top w:val="single" w:sz="8" w:space="0" w:color="FFFFFF"/>
              <w:left w:val="nil"/>
              <w:bottom w:val="single" w:sz="8" w:space="0" w:color="FFFFFF"/>
              <w:right w:val="nil"/>
            </w:tcBorders>
            <w:tcMar>
              <w:top w:w="0" w:type="dxa"/>
              <w:left w:w="53" w:type="dxa"/>
              <w:bottom w:w="0" w:type="dxa"/>
              <w:right w:w="53" w:type="dxa"/>
            </w:tcMar>
            <w:vAlign w:val="bottom"/>
          </w:tcPr>
          <w:p w14:paraId="107C76C1" w14:textId="77777777" w:rsidR="001614AC" w:rsidRDefault="004468F9">
            <w:pPr>
              <w:spacing w:before="55" w:after="30" w:line="288" w:lineRule="auto"/>
              <w:jc w:val="center"/>
            </w:pPr>
            <w:r>
              <w:rPr>
                <w:rFonts w:ascii="Arial" w:eastAsia="Arial" w:hAnsi="Arial" w:cs="Arial"/>
                <w:b/>
                <w:color w:val="00BAB3"/>
                <w:sz w:val="18"/>
              </w:rPr>
              <w:t>2020</w:t>
            </w:r>
          </w:p>
        </w:tc>
        <w:tc>
          <w:tcPr>
            <w:tcW w:w="105" w:type="dxa"/>
            <w:tcBorders>
              <w:top w:val="single" w:sz="8" w:space="0" w:color="FFFFFF"/>
              <w:left w:val="nil"/>
              <w:bottom w:val="single" w:sz="8" w:space="0" w:color="FFFFFF"/>
              <w:right w:val="nil"/>
            </w:tcBorders>
            <w:tcMar>
              <w:top w:w="0" w:type="dxa"/>
              <w:left w:w="0" w:type="dxa"/>
              <w:bottom w:w="0" w:type="dxa"/>
              <w:right w:w="0" w:type="dxa"/>
            </w:tcMar>
            <w:vAlign w:val="bottom"/>
          </w:tcPr>
          <w:p w14:paraId="11E47161" w14:textId="77777777" w:rsidR="001614AC" w:rsidRDefault="001614AC"/>
        </w:tc>
        <w:tc>
          <w:tcPr>
            <w:tcW w:w="1005" w:type="dxa"/>
            <w:gridSpan w:val="3"/>
            <w:tcBorders>
              <w:top w:val="single" w:sz="8" w:space="0" w:color="FFFFFF"/>
              <w:left w:val="nil"/>
              <w:bottom w:val="single" w:sz="8" w:space="0" w:color="FFFFFF"/>
              <w:right w:val="nil"/>
            </w:tcBorders>
            <w:shd w:val="clear" w:color="auto" w:fill="E6F8F8"/>
            <w:tcMar>
              <w:top w:w="0" w:type="dxa"/>
              <w:left w:w="53" w:type="dxa"/>
              <w:bottom w:w="0" w:type="dxa"/>
              <w:right w:w="53" w:type="dxa"/>
            </w:tcMar>
            <w:vAlign w:val="bottom"/>
          </w:tcPr>
          <w:p w14:paraId="03DE509D" w14:textId="77777777" w:rsidR="001614AC" w:rsidRDefault="004468F9">
            <w:pPr>
              <w:spacing w:before="55" w:after="30" w:line="288" w:lineRule="auto"/>
              <w:jc w:val="center"/>
            </w:pPr>
            <w:r>
              <w:rPr>
                <w:rFonts w:ascii="Arial" w:eastAsia="Arial" w:hAnsi="Arial" w:cs="Arial"/>
                <w:b/>
                <w:color w:val="00BAB3"/>
                <w:sz w:val="18"/>
              </w:rPr>
              <w:t>2021</w:t>
            </w:r>
          </w:p>
        </w:tc>
        <w:tc>
          <w:tcPr>
            <w:tcW w:w="105" w:type="dxa"/>
            <w:tcBorders>
              <w:top w:val="single" w:sz="8" w:space="0" w:color="FFFFFF"/>
              <w:left w:val="nil"/>
              <w:bottom w:val="single" w:sz="8" w:space="0" w:color="FFFFFF"/>
              <w:right w:val="nil"/>
            </w:tcBorders>
            <w:tcMar>
              <w:top w:w="0" w:type="dxa"/>
              <w:left w:w="0" w:type="dxa"/>
              <w:bottom w:w="0" w:type="dxa"/>
              <w:right w:w="0" w:type="dxa"/>
            </w:tcMar>
            <w:vAlign w:val="bottom"/>
          </w:tcPr>
          <w:p w14:paraId="02C73742" w14:textId="77777777" w:rsidR="001614AC" w:rsidRDefault="001614AC"/>
        </w:tc>
        <w:tc>
          <w:tcPr>
            <w:tcW w:w="1005" w:type="dxa"/>
            <w:gridSpan w:val="3"/>
            <w:tcBorders>
              <w:top w:val="single" w:sz="8" w:space="0" w:color="FFFFFF"/>
              <w:left w:val="nil"/>
              <w:bottom w:val="single" w:sz="8" w:space="0" w:color="FFFFFF"/>
              <w:right w:val="nil"/>
            </w:tcBorders>
            <w:tcMar>
              <w:top w:w="0" w:type="dxa"/>
              <w:left w:w="53" w:type="dxa"/>
              <w:bottom w:w="0" w:type="dxa"/>
              <w:right w:w="53" w:type="dxa"/>
            </w:tcMar>
            <w:vAlign w:val="bottom"/>
          </w:tcPr>
          <w:p w14:paraId="2F9F9680" w14:textId="77777777" w:rsidR="001614AC" w:rsidRDefault="004468F9">
            <w:pPr>
              <w:spacing w:before="55" w:after="30" w:line="288" w:lineRule="auto"/>
              <w:jc w:val="center"/>
            </w:pPr>
            <w:r>
              <w:rPr>
                <w:rFonts w:ascii="Arial" w:eastAsia="Arial" w:hAnsi="Arial" w:cs="Arial"/>
                <w:b/>
                <w:color w:val="00BAB3"/>
                <w:sz w:val="18"/>
              </w:rPr>
              <w:t>2020</w:t>
            </w:r>
          </w:p>
        </w:tc>
      </w:tr>
      <w:tr w:rsidR="001614AC" w14:paraId="643D3733" w14:textId="77777777">
        <w:trPr>
          <w:cantSplit/>
        </w:trPr>
        <w:tc>
          <w:tcPr>
            <w:tcW w:w="5640" w:type="dxa"/>
            <w:tcBorders>
              <w:top w:val="single" w:sz="8" w:space="0" w:color="FFFFFF"/>
              <w:left w:val="nil"/>
              <w:bottom w:val="single" w:sz="8" w:space="0" w:color="C7C9C7"/>
              <w:right w:val="nil"/>
            </w:tcBorders>
            <w:shd w:val="clear" w:color="auto" w:fill="F4F4F4"/>
            <w:tcMar>
              <w:top w:w="0" w:type="dxa"/>
              <w:left w:w="53" w:type="dxa"/>
              <w:bottom w:w="0" w:type="dxa"/>
              <w:right w:w="53" w:type="dxa"/>
            </w:tcMar>
            <w:vAlign w:val="bottom"/>
          </w:tcPr>
          <w:p w14:paraId="54A49B0D" w14:textId="77777777" w:rsidR="001614AC" w:rsidRDefault="004468F9">
            <w:pPr>
              <w:spacing w:before="55" w:after="30" w:line="288" w:lineRule="auto"/>
            </w:pPr>
            <w:r>
              <w:rPr>
                <w:rFonts w:ascii="Arial" w:eastAsia="Arial" w:hAnsi="Arial" w:cs="Arial"/>
                <w:b/>
                <w:color w:val="00BAB3"/>
                <w:sz w:val="20"/>
              </w:rPr>
              <w:t>Revenues</w:t>
            </w:r>
          </w:p>
        </w:tc>
        <w:tc>
          <w:tcPr>
            <w:tcW w:w="105" w:type="dxa"/>
            <w:tcBorders>
              <w:top w:val="single" w:sz="8" w:space="0" w:color="FFFFFF"/>
              <w:left w:val="nil"/>
              <w:bottom w:val="single" w:sz="8" w:space="0" w:color="C7C9C7"/>
              <w:right w:val="nil"/>
            </w:tcBorders>
            <w:shd w:val="clear" w:color="auto" w:fill="F4F4F4"/>
            <w:tcMar>
              <w:top w:w="0" w:type="dxa"/>
              <w:left w:w="0" w:type="dxa"/>
              <w:bottom w:w="0" w:type="dxa"/>
              <w:right w:w="0" w:type="dxa"/>
            </w:tcMar>
            <w:vAlign w:val="bottom"/>
          </w:tcPr>
          <w:p w14:paraId="49DD1B1D" w14:textId="77777777" w:rsidR="001614AC" w:rsidRDefault="001614AC"/>
        </w:tc>
        <w:tc>
          <w:tcPr>
            <w:tcW w:w="1005" w:type="dxa"/>
            <w:gridSpan w:val="3"/>
            <w:tcBorders>
              <w:top w:val="single" w:sz="8" w:space="0" w:color="FFFFFF"/>
              <w:left w:val="nil"/>
              <w:bottom w:val="single" w:sz="8" w:space="0" w:color="C7C9C7"/>
              <w:right w:val="nil"/>
            </w:tcBorders>
            <w:shd w:val="clear" w:color="auto" w:fill="F4F4F4"/>
            <w:tcMar>
              <w:top w:w="0" w:type="dxa"/>
              <w:left w:w="0" w:type="dxa"/>
              <w:bottom w:w="0" w:type="dxa"/>
              <w:right w:w="0" w:type="dxa"/>
            </w:tcMar>
            <w:vAlign w:val="bottom"/>
          </w:tcPr>
          <w:p w14:paraId="4265F5C3" w14:textId="77777777" w:rsidR="001614AC" w:rsidRDefault="001614AC"/>
        </w:tc>
        <w:tc>
          <w:tcPr>
            <w:tcW w:w="105" w:type="dxa"/>
            <w:tcBorders>
              <w:top w:val="single" w:sz="8" w:space="0" w:color="FFFFFF"/>
              <w:left w:val="nil"/>
              <w:bottom w:val="single" w:sz="8" w:space="0" w:color="C7C9C7"/>
              <w:right w:val="nil"/>
            </w:tcBorders>
            <w:shd w:val="clear" w:color="auto" w:fill="F4F4F4"/>
            <w:tcMar>
              <w:top w:w="0" w:type="dxa"/>
              <w:left w:w="0" w:type="dxa"/>
              <w:bottom w:w="0" w:type="dxa"/>
              <w:right w:w="0" w:type="dxa"/>
            </w:tcMar>
            <w:vAlign w:val="bottom"/>
          </w:tcPr>
          <w:p w14:paraId="5C920597" w14:textId="77777777" w:rsidR="001614AC" w:rsidRDefault="001614AC"/>
        </w:tc>
        <w:tc>
          <w:tcPr>
            <w:tcW w:w="1005" w:type="dxa"/>
            <w:gridSpan w:val="3"/>
            <w:tcBorders>
              <w:top w:val="single" w:sz="8" w:space="0" w:color="FFFFFF"/>
              <w:left w:val="nil"/>
              <w:bottom w:val="single" w:sz="8" w:space="0" w:color="C7C9C7"/>
              <w:right w:val="nil"/>
            </w:tcBorders>
            <w:shd w:val="clear" w:color="auto" w:fill="F4F4F4"/>
            <w:tcMar>
              <w:top w:w="0" w:type="dxa"/>
              <w:left w:w="0" w:type="dxa"/>
              <w:bottom w:w="0" w:type="dxa"/>
              <w:right w:w="0" w:type="dxa"/>
            </w:tcMar>
            <w:vAlign w:val="bottom"/>
          </w:tcPr>
          <w:p w14:paraId="68ED6432" w14:textId="77777777" w:rsidR="001614AC" w:rsidRDefault="001614AC"/>
        </w:tc>
        <w:tc>
          <w:tcPr>
            <w:tcW w:w="105" w:type="dxa"/>
            <w:tcBorders>
              <w:top w:val="single" w:sz="8" w:space="0" w:color="FFFFFF"/>
              <w:left w:val="nil"/>
              <w:bottom w:val="single" w:sz="8" w:space="0" w:color="C7C9C7"/>
              <w:right w:val="nil"/>
            </w:tcBorders>
            <w:shd w:val="clear" w:color="auto" w:fill="F4F4F4"/>
            <w:tcMar>
              <w:top w:w="0" w:type="dxa"/>
              <w:left w:w="0" w:type="dxa"/>
              <w:bottom w:w="0" w:type="dxa"/>
              <w:right w:w="0" w:type="dxa"/>
            </w:tcMar>
            <w:vAlign w:val="bottom"/>
          </w:tcPr>
          <w:p w14:paraId="7629B30B" w14:textId="77777777" w:rsidR="001614AC" w:rsidRDefault="001614AC"/>
        </w:tc>
        <w:tc>
          <w:tcPr>
            <w:tcW w:w="1005" w:type="dxa"/>
            <w:gridSpan w:val="3"/>
            <w:tcBorders>
              <w:top w:val="single" w:sz="8" w:space="0" w:color="FFFFFF"/>
              <w:left w:val="nil"/>
              <w:bottom w:val="single" w:sz="8" w:space="0" w:color="C7C9C7"/>
              <w:right w:val="nil"/>
            </w:tcBorders>
            <w:shd w:val="clear" w:color="auto" w:fill="F4F4F4"/>
            <w:tcMar>
              <w:top w:w="0" w:type="dxa"/>
              <w:left w:w="0" w:type="dxa"/>
              <w:bottom w:w="0" w:type="dxa"/>
              <w:right w:w="0" w:type="dxa"/>
            </w:tcMar>
            <w:vAlign w:val="bottom"/>
          </w:tcPr>
          <w:p w14:paraId="38C6A7E1" w14:textId="77777777" w:rsidR="001614AC" w:rsidRDefault="001614AC"/>
        </w:tc>
        <w:tc>
          <w:tcPr>
            <w:tcW w:w="105" w:type="dxa"/>
            <w:tcBorders>
              <w:top w:val="single" w:sz="8" w:space="0" w:color="FFFFFF"/>
              <w:left w:val="nil"/>
              <w:bottom w:val="single" w:sz="8" w:space="0" w:color="C7C9C7"/>
              <w:right w:val="nil"/>
            </w:tcBorders>
            <w:shd w:val="clear" w:color="auto" w:fill="F4F4F4"/>
            <w:tcMar>
              <w:top w:w="0" w:type="dxa"/>
              <w:left w:w="0" w:type="dxa"/>
              <w:bottom w:w="0" w:type="dxa"/>
              <w:right w:w="0" w:type="dxa"/>
            </w:tcMar>
            <w:vAlign w:val="bottom"/>
          </w:tcPr>
          <w:p w14:paraId="38233862" w14:textId="77777777" w:rsidR="001614AC" w:rsidRDefault="001614AC"/>
        </w:tc>
        <w:tc>
          <w:tcPr>
            <w:tcW w:w="1005" w:type="dxa"/>
            <w:gridSpan w:val="3"/>
            <w:tcBorders>
              <w:top w:val="single" w:sz="8" w:space="0" w:color="FFFFFF"/>
              <w:left w:val="nil"/>
              <w:bottom w:val="single" w:sz="8" w:space="0" w:color="C7C9C7"/>
              <w:right w:val="nil"/>
            </w:tcBorders>
            <w:shd w:val="clear" w:color="auto" w:fill="F4F4F4"/>
            <w:tcMar>
              <w:top w:w="0" w:type="dxa"/>
              <w:left w:w="0" w:type="dxa"/>
              <w:bottom w:w="0" w:type="dxa"/>
              <w:right w:w="0" w:type="dxa"/>
            </w:tcMar>
            <w:vAlign w:val="bottom"/>
          </w:tcPr>
          <w:p w14:paraId="3A36D2AE" w14:textId="77777777" w:rsidR="001614AC" w:rsidRDefault="001614AC"/>
        </w:tc>
      </w:tr>
      <w:tr w:rsidR="001614AC" w14:paraId="415D9E9D" w14:textId="77777777">
        <w:trPr>
          <w:cantSplit/>
        </w:trPr>
        <w:tc>
          <w:tcPr>
            <w:tcW w:w="5640" w:type="dxa"/>
            <w:tcBorders>
              <w:top w:val="single" w:sz="8" w:space="0" w:color="C7C9C7"/>
              <w:left w:val="nil"/>
              <w:bottom w:val="single" w:sz="8" w:space="0" w:color="F4F4F4"/>
              <w:right w:val="nil"/>
            </w:tcBorders>
            <w:tcMar>
              <w:top w:w="0" w:type="dxa"/>
              <w:left w:w="53" w:type="dxa"/>
              <w:bottom w:w="0" w:type="dxa"/>
              <w:right w:w="53" w:type="dxa"/>
            </w:tcMar>
            <w:vAlign w:val="bottom"/>
          </w:tcPr>
          <w:p w14:paraId="1B7B7F23" w14:textId="77777777" w:rsidR="001614AC" w:rsidRDefault="004468F9">
            <w:pPr>
              <w:spacing w:before="55" w:after="30" w:line="288" w:lineRule="auto"/>
              <w:rPr>
                <w:rFonts w:ascii="Arial" w:eastAsia="Arial" w:hAnsi="Arial" w:cs="Arial"/>
                <w:sz w:val="18"/>
              </w:rPr>
            </w:pPr>
            <w:r>
              <w:rPr>
                <w:rFonts w:ascii="Arial" w:eastAsia="Arial" w:hAnsi="Arial" w:cs="Arial"/>
                <w:sz w:val="18"/>
              </w:rPr>
              <w:t>Net premiums earned (Note 8)</w:t>
            </w:r>
          </w:p>
        </w:tc>
        <w:tc>
          <w:tcPr>
            <w:tcW w:w="105" w:type="dxa"/>
            <w:tcBorders>
              <w:top w:val="single" w:sz="8" w:space="0" w:color="C7C9C7"/>
              <w:left w:val="nil"/>
              <w:bottom w:val="nil"/>
              <w:right w:val="nil"/>
            </w:tcBorders>
            <w:tcMar>
              <w:top w:w="0" w:type="dxa"/>
              <w:left w:w="0" w:type="dxa"/>
              <w:bottom w:w="0" w:type="dxa"/>
              <w:right w:w="0" w:type="dxa"/>
            </w:tcMar>
            <w:vAlign w:val="bottom"/>
          </w:tcPr>
          <w:p w14:paraId="6BC932DC" w14:textId="77777777" w:rsidR="001614AC" w:rsidRDefault="001614AC"/>
        </w:tc>
        <w:tc>
          <w:tcPr>
            <w:tcW w:w="160" w:type="dxa"/>
            <w:tcBorders>
              <w:top w:val="single" w:sz="8" w:space="0" w:color="C7C9C7"/>
              <w:left w:val="nil"/>
              <w:bottom w:val="single" w:sz="8" w:space="0" w:color="F4F4F4"/>
              <w:right w:val="nil"/>
            </w:tcBorders>
            <w:tcMar>
              <w:top w:w="0" w:type="dxa"/>
              <w:left w:w="53" w:type="dxa"/>
              <w:bottom w:w="0" w:type="dxa"/>
              <w:right w:w="0" w:type="dxa"/>
            </w:tcMar>
            <w:vAlign w:val="bottom"/>
          </w:tcPr>
          <w:p w14:paraId="20B11743" w14:textId="77777777" w:rsidR="001614AC" w:rsidRDefault="004468F9">
            <w:pPr>
              <w:spacing w:before="55" w:after="30" w:line="288" w:lineRule="auto"/>
            </w:pPr>
            <w:r>
              <w:rPr>
                <w:rFonts w:ascii="Arial" w:eastAsia="Arial" w:hAnsi="Arial" w:cs="Arial"/>
                <w:color w:val="000000"/>
                <w:sz w:val="18"/>
              </w:rPr>
              <w:t>$</w:t>
            </w:r>
          </w:p>
        </w:tc>
        <w:tc>
          <w:tcPr>
            <w:tcW w:w="745" w:type="dxa"/>
            <w:tcBorders>
              <w:top w:val="single" w:sz="8" w:space="0" w:color="C7C9C7"/>
              <w:left w:val="nil"/>
              <w:bottom w:val="single" w:sz="8" w:space="0" w:color="F4F4F4"/>
              <w:right w:val="nil"/>
            </w:tcBorders>
            <w:tcMar>
              <w:top w:w="0" w:type="dxa"/>
              <w:left w:w="0" w:type="dxa"/>
              <w:bottom w:w="0" w:type="dxa"/>
              <w:right w:w="0" w:type="dxa"/>
            </w:tcMar>
            <w:vAlign w:val="bottom"/>
          </w:tcPr>
          <w:p w14:paraId="44D62A33" w14:textId="77777777" w:rsidR="001614AC" w:rsidRDefault="004468F9">
            <w:pPr>
              <w:spacing w:before="55" w:after="30" w:line="288" w:lineRule="auto"/>
              <w:jc w:val="right"/>
            </w:pPr>
            <w:r>
              <w:rPr>
                <w:rFonts w:ascii="Arial" w:eastAsia="Arial" w:hAnsi="Arial" w:cs="Arial"/>
                <w:color w:val="000000"/>
                <w:sz w:val="18"/>
              </w:rPr>
              <w:t>254,756 </w:t>
            </w:r>
          </w:p>
        </w:tc>
        <w:tc>
          <w:tcPr>
            <w:tcW w:w="100" w:type="dxa"/>
            <w:tcBorders>
              <w:top w:val="single" w:sz="8" w:space="0" w:color="C7C9C7"/>
              <w:left w:val="nil"/>
              <w:bottom w:val="single" w:sz="8" w:space="0" w:color="F4F4F4"/>
              <w:right w:val="nil"/>
            </w:tcBorders>
            <w:tcMar>
              <w:top w:w="0" w:type="dxa"/>
              <w:left w:w="0" w:type="dxa"/>
              <w:bottom w:w="0" w:type="dxa"/>
              <w:right w:w="15" w:type="dxa"/>
            </w:tcMar>
            <w:vAlign w:val="bottom"/>
          </w:tcPr>
          <w:p w14:paraId="671DBD98" w14:textId="77777777" w:rsidR="001614AC" w:rsidRDefault="001614AC">
            <w:pPr>
              <w:spacing w:before="55" w:after="30" w:line="288" w:lineRule="auto"/>
              <w:jc w:val="right"/>
            </w:pPr>
          </w:p>
        </w:tc>
        <w:tc>
          <w:tcPr>
            <w:tcW w:w="105" w:type="dxa"/>
            <w:tcBorders>
              <w:top w:val="single" w:sz="8" w:space="0" w:color="C7C9C7"/>
              <w:left w:val="nil"/>
              <w:bottom w:val="nil"/>
              <w:right w:val="nil"/>
            </w:tcBorders>
            <w:tcMar>
              <w:top w:w="0" w:type="dxa"/>
              <w:left w:w="0" w:type="dxa"/>
              <w:bottom w:w="0" w:type="dxa"/>
              <w:right w:w="0" w:type="dxa"/>
            </w:tcMar>
            <w:vAlign w:val="bottom"/>
          </w:tcPr>
          <w:p w14:paraId="7AFF4C9A" w14:textId="77777777" w:rsidR="001614AC" w:rsidRDefault="001614AC"/>
        </w:tc>
        <w:tc>
          <w:tcPr>
            <w:tcW w:w="160" w:type="dxa"/>
            <w:tcBorders>
              <w:top w:val="single" w:sz="8" w:space="0" w:color="C7C9C7"/>
              <w:left w:val="nil"/>
              <w:bottom w:val="single" w:sz="8" w:space="0" w:color="F4F4F4"/>
              <w:right w:val="nil"/>
            </w:tcBorders>
            <w:tcMar>
              <w:top w:w="0" w:type="dxa"/>
              <w:left w:w="53" w:type="dxa"/>
              <w:bottom w:w="0" w:type="dxa"/>
              <w:right w:w="0" w:type="dxa"/>
            </w:tcMar>
            <w:vAlign w:val="bottom"/>
          </w:tcPr>
          <w:p w14:paraId="2F2AAEBA" w14:textId="77777777" w:rsidR="001614AC" w:rsidRDefault="004468F9">
            <w:pPr>
              <w:spacing w:before="55" w:after="30" w:line="288" w:lineRule="auto"/>
            </w:pPr>
            <w:r>
              <w:rPr>
                <w:rFonts w:ascii="Arial" w:eastAsia="Arial" w:hAnsi="Arial" w:cs="Arial"/>
                <w:color w:val="000000"/>
                <w:sz w:val="18"/>
              </w:rPr>
              <w:t>$</w:t>
            </w:r>
          </w:p>
        </w:tc>
        <w:tc>
          <w:tcPr>
            <w:tcW w:w="745" w:type="dxa"/>
            <w:tcBorders>
              <w:top w:val="single" w:sz="8" w:space="0" w:color="C7C9C7"/>
              <w:left w:val="nil"/>
              <w:bottom w:val="single" w:sz="8" w:space="0" w:color="F4F4F4"/>
              <w:right w:val="nil"/>
            </w:tcBorders>
            <w:tcMar>
              <w:top w:w="0" w:type="dxa"/>
              <w:left w:w="0" w:type="dxa"/>
              <w:bottom w:w="0" w:type="dxa"/>
              <w:right w:w="0" w:type="dxa"/>
            </w:tcMar>
            <w:vAlign w:val="bottom"/>
          </w:tcPr>
          <w:p w14:paraId="137DD5F0" w14:textId="77777777" w:rsidR="001614AC" w:rsidRDefault="004468F9">
            <w:pPr>
              <w:spacing w:before="55" w:after="30" w:line="288" w:lineRule="auto"/>
              <w:jc w:val="right"/>
            </w:pPr>
            <w:r>
              <w:rPr>
                <w:rFonts w:ascii="Arial" w:eastAsia="Arial" w:hAnsi="Arial" w:cs="Arial"/>
                <w:color w:val="000000"/>
                <w:sz w:val="18"/>
              </w:rPr>
              <w:t>249,295 </w:t>
            </w:r>
          </w:p>
        </w:tc>
        <w:tc>
          <w:tcPr>
            <w:tcW w:w="100" w:type="dxa"/>
            <w:tcBorders>
              <w:top w:val="single" w:sz="8" w:space="0" w:color="C7C9C7"/>
              <w:left w:val="nil"/>
              <w:bottom w:val="single" w:sz="8" w:space="0" w:color="F4F4F4"/>
              <w:right w:val="nil"/>
            </w:tcBorders>
            <w:tcMar>
              <w:top w:w="0" w:type="dxa"/>
              <w:left w:w="0" w:type="dxa"/>
              <w:bottom w:w="0" w:type="dxa"/>
              <w:right w:w="15" w:type="dxa"/>
            </w:tcMar>
            <w:vAlign w:val="bottom"/>
          </w:tcPr>
          <w:p w14:paraId="5D850CC9" w14:textId="77777777" w:rsidR="001614AC" w:rsidRDefault="001614AC">
            <w:pPr>
              <w:spacing w:before="55" w:after="30" w:line="288" w:lineRule="auto"/>
              <w:jc w:val="right"/>
            </w:pPr>
          </w:p>
        </w:tc>
        <w:tc>
          <w:tcPr>
            <w:tcW w:w="105" w:type="dxa"/>
            <w:tcBorders>
              <w:top w:val="single" w:sz="8" w:space="0" w:color="C7C9C7"/>
              <w:left w:val="nil"/>
              <w:bottom w:val="nil"/>
              <w:right w:val="nil"/>
            </w:tcBorders>
            <w:tcMar>
              <w:top w:w="0" w:type="dxa"/>
              <w:left w:w="0" w:type="dxa"/>
              <w:bottom w:w="0" w:type="dxa"/>
              <w:right w:w="0" w:type="dxa"/>
            </w:tcMar>
            <w:vAlign w:val="bottom"/>
          </w:tcPr>
          <w:p w14:paraId="5448687D" w14:textId="77777777" w:rsidR="001614AC" w:rsidRDefault="001614AC"/>
        </w:tc>
        <w:tc>
          <w:tcPr>
            <w:tcW w:w="160" w:type="dxa"/>
            <w:tcBorders>
              <w:top w:val="single" w:sz="8" w:space="0" w:color="C7C9C7"/>
              <w:left w:val="nil"/>
              <w:bottom w:val="single" w:sz="8" w:space="0" w:color="F4F4F4"/>
              <w:right w:val="nil"/>
            </w:tcBorders>
            <w:tcMar>
              <w:top w:w="0" w:type="dxa"/>
              <w:left w:w="53" w:type="dxa"/>
              <w:bottom w:w="0" w:type="dxa"/>
              <w:right w:w="0" w:type="dxa"/>
            </w:tcMar>
            <w:vAlign w:val="bottom"/>
          </w:tcPr>
          <w:p w14:paraId="78DD6BB5" w14:textId="77777777" w:rsidR="001614AC" w:rsidRDefault="004468F9">
            <w:pPr>
              <w:spacing w:before="55" w:after="30" w:line="288" w:lineRule="auto"/>
            </w:pPr>
            <w:r>
              <w:rPr>
                <w:rFonts w:ascii="Arial" w:eastAsia="Arial" w:hAnsi="Arial" w:cs="Arial"/>
                <w:color w:val="000000"/>
                <w:sz w:val="18"/>
              </w:rPr>
              <w:t>$</w:t>
            </w:r>
          </w:p>
        </w:tc>
        <w:tc>
          <w:tcPr>
            <w:tcW w:w="745" w:type="dxa"/>
            <w:tcBorders>
              <w:top w:val="single" w:sz="8" w:space="0" w:color="C7C9C7"/>
              <w:left w:val="nil"/>
              <w:bottom w:val="single" w:sz="8" w:space="0" w:color="F4F4F4"/>
              <w:right w:val="nil"/>
            </w:tcBorders>
            <w:tcMar>
              <w:top w:w="0" w:type="dxa"/>
              <w:left w:w="0" w:type="dxa"/>
              <w:bottom w:w="0" w:type="dxa"/>
              <w:right w:w="0" w:type="dxa"/>
            </w:tcMar>
            <w:vAlign w:val="bottom"/>
          </w:tcPr>
          <w:p w14:paraId="6179F8F6" w14:textId="77777777" w:rsidR="001614AC" w:rsidRDefault="004468F9">
            <w:pPr>
              <w:spacing w:before="55" w:after="30" w:line="288" w:lineRule="auto"/>
              <w:jc w:val="right"/>
            </w:pPr>
            <w:r>
              <w:rPr>
                <w:rFonts w:ascii="Arial" w:eastAsia="Arial" w:hAnsi="Arial" w:cs="Arial"/>
                <w:color w:val="000000"/>
                <w:sz w:val="18"/>
              </w:rPr>
              <w:t>526,628 </w:t>
            </w:r>
          </w:p>
        </w:tc>
        <w:tc>
          <w:tcPr>
            <w:tcW w:w="100" w:type="dxa"/>
            <w:tcBorders>
              <w:top w:val="single" w:sz="8" w:space="0" w:color="C7C9C7"/>
              <w:left w:val="nil"/>
              <w:bottom w:val="single" w:sz="8" w:space="0" w:color="F4F4F4"/>
              <w:right w:val="nil"/>
            </w:tcBorders>
            <w:tcMar>
              <w:top w:w="0" w:type="dxa"/>
              <w:left w:w="0" w:type="dxa"/>
              <w:bottom w:w="0" w:type="dxa"/>
              <w:right w:w="15" w:type="dxa"/>
            </w:tcMar>
            <w:vAlign w:val="bottom"/>
          </w:tcPr>
          <w:p w14:paraId="1F50D919" w14:textId="77777777" w:rsidR="001614AC" w:rsidRDefault="001614AC">
            <w:pPr>
              <w:spacing w:before="55" w:after="30" w:line="288" w:lineRule="auto"/>
              <w:jc w:val="right"/>
            </w:pPr>
          </w:p>
        </w:tc>
        <w:tc>
          <w:tcPr>
            <w:tcW w:w="105" w:type="dxa"/>
            <w:tcBorders>
              <w:top w:val="single" w:sz="8" w:space="0" w:color="C7C9C7"/>
              <w:left w:val="nil"/>
              <w:bottom w:val="nil"/>
              <w:right w:val="nil"/>
            </w:tcBorders>
            <w:tcMar>
              <w:top w:w="0" w:type="dxa"/>
              <w:left w:w="0" w:type="dxa"/>
              <w:bottom w:w="0" w:type="dxa"/>
              <w:right w:w="0" w:type="dxa"/>
            </w:tcMar>
            <w:vAlign w:val="bottom"/>
          </w:tcPr>
          <w:p w14:paraId="7BA564DA" w14:textId="77777777" w:rsidR="001614AC" w:rsidRDefault="001614AC"/>
        </w:tc>
        <w:tc>
          <w:tcPr>
            <w:tcW w:w="160" w:type="dxa"/>
            <w:tcBorders>
              <w:top w:val="single" w:sz="8" w:space="0" w:color="C7C9C7"/>
              <w:left w:val="nil"/>
              <w:bottom w:val="single" w:sz="8" w:space="0" w:color="F4F4F4"/>
              <w:right w:val="nil"/>
            </w:tcBorders>
            <w:tcMar>
              <w:top w:w="0" w:type="dxa"/>
              <w:left w:w="53" w:type="dxa"/>
              <w:bottom w:w="0" w:type="dxa"/>
              <w:right w:w="0" w:type="dxa"/>
            </w:tcMar>
            <w:vAlign w:val="bottom"/>
          </w:tcPr>
          <w:p w14:paraId="131AF80F" w14:textId="77777777" w:rsidR="001614AC" w:rsidRDefault="004468F9">
            <w:pPr>
              <w:spacing w:before="55" w:after="30" w:line="288" w:lineRule="auto"/>
            </w:pPr>
            <w:r>
              <w:rPr>
                <w:rFonts w:ascii="Arial" w:eastAsia="Arial" w:hAnsi="Arial" w:cs="Arial"/>
                <w:color w:val="000000"/>
                <w:sz w:val="18"/>
              </w:rPr>
              <w:t>$</w:t>
            </w:r>
          </w:p>
        </w:tc>
        <w:tc>
          <w:tcPr>
            <w:tcW w:w="745" w:type="dxa"/>
            <w:tcBorders>
              <w:top w:val="single" w:sz="8" w:space="0" w:color="C7C9C7"/>
              <w:left w:val="nil"/>
              <w:bottom w:val="single" w:sz="8" w:space="0" w:color="F4F4F4"/>
              <w:right w:val="nil"/>
            </w:tcBorders>
            <w:tcMar>
              <w:top w:w="0" w:type="dxa"/>
              <w:left w:w="0" w:type="dxa"/>
              <w:bottom w:w="0" w:type="dxa"/>
              <w:right w:w="0" w:type="dxa"/>
            </w:tcMar>
            <w:vAlign w:val="bottom"/>
          </w:tcPr>
          <w:p w14:paraId="0CAB0A7B" w14:textId="77777777" w:rsidR="001614AC" w:rsidRDefault="004468F9">
            <w:pPr>
              <w:spacing w:before="55" w:after="30" w:line="288" w:lineRule="auto"/>
              <w:jc w:val="right"/>
            </w:pPr>
            <w:r>
              <w:rPr>
                <w:rFonts w:ascii="Arial" w:eastAsia="Arial" w:hAnsi="Arial" w:cs="Arial"/>
                <w:color w:val="000000"/>
                <w:sz w:val="18"/>
              </w:rPr>
              <w:t>526,710 </w:t>
            </w:r>
          </w:p>
        </w:tc>
        <w:tc>
          <w:tcPr>
            <w:tcW w:w="100" w:type="dxa"/>
            <w:tcBorders>
              <w:top w:val="single" w:sz="8" w:space="0" w:color="C7C9C7"/>
              <w:left w:val="nil"/>
              <w:bottom w:val="single" w:sz="8" w:space="0" w:color="F4F4F4"/>
              <w:right w:val="nil"/>
            </w:tcBorders>
            <w:tcMar>
              <w:top w:w="0" w:type="dxa"/>
              <w:left w:w="0" w:type="dxa"/>
              <w:bottom w:w="0" w:type="dxa"/>
              <w:right w:w="15" w:type="dxa"/>
            </w:tcMar>
            <w:vAlign w:val="bottom"/>
          </w:tcPr>
          <w:p w14:paraId="18BDB88C" w14:textId="77777777" w:rsidR="001614AC" w:rsidRDefault="001614AC">
            <w:pPr>
              <w:spacing w:before="55" w:after="30" w:line="288" w:lineRule="auto"/>
              <w:jc w:val="right"/>
            </w:pPr>
          </w:p>
        </w:tc>
      </w:tr>
      <w:tr w:rsidR="001614AC" w14:paraId="78228EF5" w14:textId="77777777">
        <w:trPr>
          <w:cantSplit/>
        </w:trPr>
        <w:tc>
          <w:tcPr>
            <w:tcW w:w="5640" w:type="dxa"/>
            <w:tcBorders>
              <w:top w:val="single" w:sz="8" w:space="0" w:color="F4F4F4"/>
              <w:left w:val="nil"/>
              <w:bottom w:val="single" w:sz="8" w:space="0" w:color="F4F4F4"/>
              <w:right w:val="nil"/>
            </w:tcBorders>
            <w:tcMar>
              <w:top w:w="0" w:type="dxa"/>
              <w:left w:w="53" w:type="dxa"/>
              <w:bottom w:w="0" w:type="dxa"/>
              <w:right w:w="53" w:type="dxa"/>
            </w:tcMar>
            <w:vAlign w:val="bottom"/>
          </w:tcPr>
          <w:p w14:paraId="3F9AB903" w14:textId="77777777" w:rsidR="001614AC" w:rsidRDefault="004468F9">
            <w:pPr>
              <w:spacing w:before="55" w:after="30" w:line="288" w:lineRule="auto"/>
              <w:rPr>
                <w:rFonts w:ascii="Arial" w:eastAsia="Arial" w:hAnsi="Arial" w:cs="Arial"/>
                <w:sz w:val="18"/>
              </w:rPr>
            </w:pPr>
            <w:r>
              <w:rPr>
                <w:rFonts w:ascii="Arial" w:eastAsia="Arial" w:hAnsi="Arial" w:cs="Arial"/>
                <w:sz w:val="18"/>
              </w:rPr>
              <w:t>Services revenue (Note 4)</w:t>
            </w:r>
          </w:p>
        </w:tc>
        <w:tc>
          <w:tcPr>
            <w:tcW w:w="105" w:type="dxa"/>
            <w:tcBorders>
              <w:top w:val="nil"/>
              <w:left w:val="nil"/>
              <w:bottom w:val="nil"/>
              <w:right w:val="nil"/>
            </w:tcBorders>
            <w:tcMar>
              <w:top w:w="0" w:type="dxa"/>
              <w:left w:w="0" w:type="dxa"/>
              <w:bottom w:w="0" w:type="dxa"/>
              <w:right w:w="0" w:type="dxa"/>
            </w:tcMar>
            <w:vAlign w:val="bottom"/>
          </w:tcPr>
          <w:p w14:paraId="2DB888F9" w14:textId="77777777" w:rsidR="001614AC" w:rsidRDefault="001614AC"/>
        </w:tc>
        <w:tc>
          <w:tcPr>
            <w:tcW w:w="905"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1B6B8CFB" w14:textId="77777777" w:rsidR="001614AC" w:rsidRDefault="004468F9">
            <w:pPr>
              <w:spacing w:before="55" w:after="30" w:line="288" w:lineRule="auto"/>
              <w:jc w:val="right"/>
            </w:pPr>
            <w:r>
              <w:rPr>
                <w:rFonts w:ascii="Arial" w:eastAsia="Arial" w:hAnsi="Arial" w:cs="Arial"/>
                <w:color w:val="000000"/>
                <w:sz w:val="18"/>
              </w:rPr>
              <w:t>29,464 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080C2878" w14:textId="77777777" w:rsidR="001614AC" w:rsidRDefault="001614AC">
            <w:pPr>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5579284F" w14:textId="77777777" w:rsidR="001614AC" w:rsidRDefault="001614AC"/>
        </w:tc>
        <w:tc>
          <w:tcPr>
            <w:tcW w:w="905"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240C38B1" w14:textId="77777777" w:rsidR="001614AC" w:rsidRDefault="004468F9">
            <w:pPr>
              <w:spacing w:before="55" w:after="30" w:line="288" w:lineRule="auto"/>
              <w:jc w:val="right"/>
            </w:pPr>
            <w:r>
              <w:rPr>
                <w:rFonts w:ascii="Arial" w:eastAsia="Arial" w:hAnsi="Arial" w:cs="Arial"/>
                <w:color w:val="000000"/>
                <w:sz w:val="18"/>
              </w:rPr>
              <w:t>28,075 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03E7978D" w14:textId="77777777" w:rsidR="001614AC" w:rsidRDefault="001614AC">
            <w:pPr>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66ADA701" w14:textId="77777777" w:rsidR="001614AC" w:rsidRDefault="001614AC"/>
        </w:tc>
        <w:tc>
          <w:tcPr>
            <w:tcW w:w="905"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2EECC6B4" w14:textId="77777777" w:rsidR="001614AC" w:rsidRDefault="004468F9">
            <w:pPr>
              <w:spacing w:before="55" w:after="30" w:line="288" w:lineRule="auto"/>
              <w:jc w:val="right"/>
            </w:pPr>
            <w:r>
              <w:rPr>
                <w:rFonts w:ascii="Arial" w:eastAsia="Arial" w:hAnsi="Arial" w:cs="Arial"/>
                <w:color w:val="000000"/>
                <w:sz w:val="18"/>
              </w:rPr>
              <w:t>52,359 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4C8FAC19" w14:textId="77777777" w:rsidR="001614AC" w:rsidRDefault="001614AC">
            <w:pPr>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3ECA2A93" w14:textId="77777777" w:rsidR="001614AC" w:rsidRDefault="001614AC"/>
        </w:tc>
        <w:tc>
          <w:tcPr>
            <w:tcW w:w="905"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6CD02E07" w14:textId="77777777" w:rsidR="001614AC" w:rsidRDefault="004468F9">
            <w:pPr>
              <w:spacing w:before="55" w:after="30" w:line="288" w:lineRule="auto"/>
              <w:jc w:val="right"/>
            </w:pPr>
            <w:r>
              <w:rPr>
                <w:rFonts w:ascii="Arial" w:eastAsia="Arial" w:hAnsi="Arial" w:cs="Arial"/>
                <w:color w:val="000000"/>
                <w:sz w:val="18"/>
              </w:rPr>
              <w:t>60,002 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0982C093" w14:textId="77777777" w:rsidR="001614AC" w:rsidRDefault="001614AC">
            <w:pPr>
              <w:spacing w:before="55" w:after="30" w:line="288" w:lineRule="auto"/>
              <w:jc w:val="right"/>
            </w:pPr>
          </w:p>
        </w:tc>
      </w:tr>
      <w:tr w:rsidR="001614AC" w14:paraId="2FF82B01" w14:textId="77777777">
        <w:trPr>
          <w:cantSplit/>
        </w:trPr>
        <w:tc>
          <w:tcPr>
            <w:tcW w:w="5640" w:type="dxa"/>
            <w:tcBorders>
              <w:top w:val="single" w:sz="8" w:space="0" w:color="F4F4F4"/>
              <w:left w:val="nil"/>
              <w:bottom w:val="single" w:sz="8" w:space="0" w:color="F4F4F4"/>
              <w:right w:val="nil"/>
            </w:tcBorders>
            <w:tcMar>
              <w:top w:w="0" w:type="dxa"/>
              <w:left w:w="53" w:type="dxa"/>
              <w:bottom w:w="0" w:type="dxa"/>
              <w:right w:w="53" w:type="dxa"/>
            </w:tcMar>
            <w:vAlign w:val="bottom"/>
          </w:tcPr>
          <w:p w14:paraId="60D338C0" w14:textId="77777777" w:rsidR="001614AC" w:rsidRDefault="004468F9">
            <w:pPr>
              <w:spacing w:before="55" w:after="30" w:line="288" w:lineRule="auto"/>
            </w:pPr>
            <w:r>
              <w:rPr>
                <w:rFonts w:ascii="Arial" w:eastAsia="Arial" w:hAnsi="Arial" w:cs="Arial"/>
                <w:color w:val="000000"/>
                <w:sz w:val="18"/>
              </w:rPr>
              <w:t>Net investment income</w:t>
            </w:r>
          </w:p>
        </w:tc>
        <w:tc>
          <w:tcPr>
            <w:tcW w:w="105" w:type="dxa"/>
            <w:tcBorders>
              <w:top w:val="nil"/>
              <w:left w:val="nil"/>
              <w:bottom w:val="nil"/>
              <w:right w:val="nil"/>
            </w:tcBorders>
            <w:tcMar>
              <w:top w:w="0" w:type="dxa"/>
              <w:left w:w="0" w:type="dxa"/>
              <w:bottom w:w="0" w:type="dxa"/>
              <w:right w:w="0" w:type="dxa"/>
            </w:tcMar>
            <w:vAlign w:val="bottom"/>
          </w:tcPr>
          <w:p w14:paraId="2234FF62" w14:textId="77777777" w:rsidR="001614AC" w:rsidRDefault="001614AC"/>
        </w:tc>
        <w:tc>
          <w:tcPr>
            <w:tcW w:w="905"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66362013" w14:textId="77777777" w:rsidR="001614AC" w:rsidRDefault="004468F9">
            <w:pPr>
              <w:spacing w:before="55" w:after="30" w:line="288" w:lineRule="auto"/>
              <w:jc w:val="right"/>
            </w:pPr>
            <w:r>
              <w:rPr>
                <w:rFonts w:ascii="Arial" w:eastAsia="Arial" w:hAnsi="Arial" w:cs="Arial"/>
                <w:color w:val="000000"/>
                <w:sz w:val="18"/>
              </w:rPr>
              <w:t>36,291 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45797210" w14:textId="77777777" w:rsidR="001614AC" w:rsidRDefault="001614AC">
            <w:pPr>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5F199EA3" w14:textId="77777777" w:rsidR="001614AC" w:rsidRDefault="001614AC"/>
        </w:tc>
        <w:tc>
          <w:tcPr>
            <w:tcW w:w="905"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74E7B059" w14:textId="77777777" w:rsidR="001614AC" w:rsidRDefault="004468F9">
            <w:pPr>
              <w:spacing w:before="55" w:after="30" w:line="288" w:lineRule="auto"/>
              <w:jc w:val="right"/>
            </w:pPr>
            <w:r>
              <w:rPr>
                <w:rFonts w:ascii="Arial" w:eastAsia="Arial" w:hAnsi="Arial" w:cs="Arial"/>
                <w:color w:val="000000"/>
                <w:sz w:val="18"/>
              </w:rPr>
              <w:t>38,723 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77653E10" w14:textId="77777777" w:rsidR="001614AC" w:rsidRDefault="001614AC">
            <w:pPr>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020AF636" w14:textId="77777777" w:rsidR="001614AC" w:rsidRDefault="001614AC"/>
        </w:tc>
        <w:tc>
          <w:tcPr>
            <w:tcW w:w="905"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7994159C" w14:textId="77777777" w:rsidR="001614AC" w:rsidRDefault="004468F9">
            <w:pPr>
              <w:spacing w:before="55" w:after="30" w:line="288" w:lineRule="auto"/>
              <w:jc w:val="right"/>
            </w:pPr>
            <w:r>
              <w:rPr>
                <w:rFonts w:ascii="Arial" w:eastAsia="Arial" w:hAnsi="Arial" w:cs="Arial"/>
                <w:color w:val="000000"/>
                <w:sz w:val="18"/>
              </w:rPr>
              <w:t>74,542 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410DF105" w14:textId="77777777" w:rsidR="001614AC" w:rsidRDefault="001614AC">
            <w:pPr>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4EE41439" w14:textId="77777777" w:rsidR="001614AC" w:rsidRDefault="001614AC"/>
        </w:tc>
        <w:tc>
          <w:tcPr>
            <w:tcW w:w="905"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1EE8AC85" w14:textId="77777777" w:rsidR="001614AC" w:rsidRDefault="004468F9">
            <w:pPr>
              <w:spacing w:before="55" w:after="30" w:line="288" w:lineRule="auto"/>
              <w:jc w:val="right"/>
            </w:pPr>
            <w:r>
              <w:rPr>
                <w:rFonts w:ascii="Arial" w:eastAsia="Arial" w:hAnsi="Arial" w:cs="Arial"/>
                <w:color w:val="000000"/>
                <w:sz w:val="18"/>
              </w:rPr>
              <w:t>79,667 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5F2F2DAD" w14:textId="77777777" w:rsidR="001614AC" w:rsidRDefault="001614AC">
            <w:pPr>
              <w:spacing w:before="55" w:after="30" w:line="288" w:lineRule="auto"/>
              <w:jc w:val="right"/>
            </w:pPr>
          </w:p>
        </w:tc>
      </w:tr>
      <w:tr w:rsidR="001614AC" w14:paraId="6E1B5661" w14:textId="77777777">
        <w:trPr>
          <w:cantSplit/>
        </w:trPr>
        <w:tc>
          <w:tcPr>
            <w:tcW w:w="5640" w:type="dxa"/>
            <w:tcBorders>
              <w:top w:val="single" w:sz="8" w:space="0" w:color="F4F4F4"/>
              <w:left w:val="nil"/>
              <w:bottom w:val="single" w:sz="8" w:space="0" w:color="F4F4F4"/>
              <w:right w:val="nil"/>
            </w:tcBorders>
            <w:tcMar>
              <w:top w:w="0" w:type="dxa"/>
              <w:left w:w="53" w:type="dxa"/>
              <w:bottom w:w="0" w:type="dxa"/>
              <w:right w:w="53" w:type="dxa"/>
            </w:tcMar>
            <w:vAlign w:val="bottom"/>
          </w:tcPr>
          <w:p w14:paraId="5E968114" w14:textId="77777777" w:rsidR="001614AC" w:rsidRDefault="004468F9">
            <w:pPr>
              <w:spacing w:before="55" w:after="30" w:line="288" w:lineRule="auto"/>
            </w:pPr>
            <w:r>
              <w:rPr>
                <w:rFonts w:ascii="Arial" w:eastAsia="Arial" w:hAnsi="Arial" w:cs="Arial"/>
                <w:color w:val="000000"/>
                <w:sz w:val="18"/>
              </w:rPr>
              <w:t>Net gains (losses) on investments and other financial instruments</w:t>
            </w:r>
          </w:p>
        </w:tc>
        <w:tc>
          <w:tcPr>
            <w:tcW w:w="105" w:type="dxa"/>
            <w:tcBorders>
              <w:top w:val="nil"/>
              <w:left w:val="nil"/>
              <w:bottom w:val="nil"/>
              <w:right w:val="nil"/>
            </w:tcBorders>
            <w:tcMar>
              <w:top w:w="0" w:type="dxa"/>
              <w:left w:w="0" w:type="dxa"/>
              <w:bottom w:w="0" w:type="dxa"/>
              <w:right w:w="0" w:type="dxa"/>
            </w:tcMar>
            <w:vAlign w:val="bottom"/>
          </w:tcPr>
          <w:p w14:paraId="4EE2D38D" w14:textId="77777777" w:rsidR="001614AC" w:rsidRDefault="001614AC"/>
        </w:tc>
        <w:tc>
          <w:tcPr>
            <w:tcW w:w="905"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6EDAA8A7" w14:textId="77777777" w:rsidR="001614AC" w:rsidRDefault="004468F9">
            <w:pPr>
              <w:spacing w:before="55" w:after="30" w:line="288" w:lineRule="auto"/>
              <w:jc w:val="right"/>
            </w:pPr>
            <w:r>
              <w:rPr>
                <w:rFonts w:ascii="Arial" w:eastAsia="Arial" w:hAnsi="Arial" w:cs="Arial"/>
                <w:color w:val="000000"/>
                <w:sz w:val="18"/>
              </w:rPr>
              <w:t>15,661 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5585061A" w14:textId="77777777" w:rsidR="001614AC" w:rsidRDefault="001614AC">
            <w:pPr>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6B4801F6" w14:textId="77777777" w:rsidR="001614AC" w:rsidRDefault="001614AC"/>
        </w:tc>
        <w:tc>
          <w:tcPr>
            <w:tcW w:w="905"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4480377F" w14:textId="77777777" w:rsidR="001614AC" w:rsidRDefault="004468F9">
            <w:pPr>
              <w:spacing w:before="55" w:after="30" w:line="288" w:lineRule="auto"/>
              <w:jc w:val="right"/>
            </w:pPr>
            <w:r>
              <w:rPr>
                <w:rFonts w:ascii="Arial" w:eastAsia="Arial" w:hAnsi="Arial" w:cs="Arial"/>
                <w:color w:val="000000"/>
                <w:sz w:val="18"/>
              </w:rPr>
              <w:t>47,276 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05DDEA2B" w14:textId="77777777" w:rsidR="001614AC" w:rsidRDefault="001614AC">
            <w:pPr>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2D6D1DBB" w14:textId="77777777" w:rsidR="001614AC" w:rsidRDefault="001614AC"/>
        </w:tc>
        <w:tc>
          <w:tcPr>
            <w:tcW w:w="905"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4E1A6BEB" w14:textId="77777777" w:rsidR="001614AC" w:rsidRDefault="004468F9">
            <w:pPr>
              <w:spacing w:before="55" w:after="30" w:line="288" w:lineRule="auto"/>
              <w:jc w:val="right"/>
            </w:pPr>
            <w:r>
              <w:rPr>
                <w:rFonts w:ascii="Arial" w:eastAsia="Arial" w:hAnsi="Arial" w:cs="Arial"/>
                <w:color w:val="000000"/>
                <w:sz w:val="18"/>
              </w:rPr>
              <w:t>10,480 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66AB002B" w14:textId="77777777" w:rsidR="001614AC" w:rsidRDefault="001614AC">
            <w:pPr>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49325DBE" w14:textId="77777777" w:rsidR="001614AC" w:rsidRDefault="001614AC"/>
        </w:tc>
        <w:tc>
          <w:tcPr>
            <w:tcW w:w="905"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2C431FFC" w14:textId="77777777" w:rsidR="001614AC" w:rsidRDefault="004468F9">
            <w:pPr>
              <w:spacing w:before="55" w:after="30" w:line="288" w:lineRule="auto"/>
              <w:jc w:val="right"/>
            </w:pPr>
            <w:r>
              <w:rPr>
                <w:rFonts w:ascii="Arial" w:eastAsia="Arial" w:hAnsi="Arial" w:cs="Arial"/>
                <w:color w:val="000000"/>
                <w:sz w:val="18"/>
              </w:rPr>
              <w:t>25,249 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262ED7D9" w14:textId="77777777" w:rsidR="001614AC" w:rsidRDefault="001614AC">
            <w:pPr>
              <w:spacing w:before="55" w:after="30" w:line="288" w:lineRule="auto"/>
              <w:jc w:val="right"/>
            </w:pPr>
          </w:p>
        </w:tc>
      </w:tr>
      <w:tr w:rsidR="001614AC" w14:paraId="4DD19551" w14:textId="77777777">
        <w:trPr>
          <w:cantSplit/>
        </w:trPr>
        <w:tc>
          <w:tcPr>
            <w:tcW w:w="5640" w:type="dxa"/>
            <w:tcBorders>
              <w:top w:val="single" w:sz="8" w:space="0" w:color="F4F4F4"/>
              <w:left w:val="nil"/>
              <w:bottom w:val="nil"/>
              <w:right w:val="nil"/>
            </w:tcBorders>
            <w:tcMar>
              <w:top w:w="0" w:type="dxa"/>
              <w:left w:w="53" w:type="dxa"/>
              <w:bottom w:w="0" w:type="dxa"/>
              <w:right w:w="53" w:type="dxa"/>
            </w:tcMar>
            <w:vAlign w:val="bottom"/>
          </w:tcPr>
          <w:p w14:paraId="29CDAA12" w14:textId="77777777" w:rsidR="001614AC" w:rsidRDefault="004468F9">
            <w:pPr>
              <w:spacing w:before="55" w:after="30" w:line="288" w:lineRule="auto"/>
            </w:pPr>
            <w:r>
              <w:rPr>
                <w:rFonts w:ascii="Arial" w:eastAsia="Arial" w:hAnsi="Arial" w:cs="Arial"/>
                <w:color w:val="000000"/>
                <w:sz w:val="18"/>
              </w:rPr>
              <w:t>Other income</w:t>
            </w:r>
          </w:p>
        </w:tc>
        <w:tc>
          <w:tcPr>
            <w:tcW w:w="105" w:type="dxa"/>
            <w:tcBorders>
              <w:top w:val="nil"/>
              <w:left w:val="nil"/>
              <w:bottom w:val="nil"/>
              <w:right w:val="nil"/>
            </w:tcBorders>
            <w:tcMar>
              <w:top w:w="0" w:type="dxa"/>
              <w:left w:w="0" w:type="dxa"/>
              <w:bottom w:w="0" w:type="dxa"/>
              <w:right w:w="0" w:type="dxa"/>
            </w:tcMar>
            <w:vAlign w:val="bottom"/>
          </w:tcPr>
          <w:p w14:paraId="52023E7E" w14:textId="77777777" w:rsidR="001614AC" w:rsidRDefault="001614AC"/>
        </w:tc>
        <w:tc>
          <w:tcPr>
            <w:tcW w:w="905" w:type="dxa"/>
            <w:gridSpan w:val="2"/>
            <w:tcBorders>
              <w:top w:val="single" w:sz="8" w:space="0" w:color="F4F4F4"/>
              <w:left w:val="nil"/>
              <w:bottom w:val="single" w:sz="8" w:space="0" w:color="C7C9C7"/>
              <w:right w:val="nil"/>
            </w:tcBorders>
            <w:tcMar>
              <w:top w:w="0" w:type="dxa"/>
              <w:left w:w="53" w:type="dxa"/>
              <w:bottom w:w="0" w:type="dxa"/>
              <w:right w:w="0" w:type="dxa"/>
            </w:tcMar>
            <w:vAlign w:val="bottom"/>
          </w:tcPr>
          <w:p w14:paraId="3B244C54" w14:textId="77777777" w:rsidR="001614AC" w:rsidRDefault="004468F9">
            <w:pPr>
              <w:spacing w:before="55" w:after="30" w:line="288" w:lineRule="auto"/>
              <w:jc w:val="right"/>
            </w:pPr>
            <w:r>
              <w:rPr>
                <w:rFonts w:ascii="Arial" w:eastAsia="Arial" w:hAnsi="Arial" w:cs="Arial"/>
                <w:color w:val="000000"/>
                <w:sz w:val="18"/>
              </w:rPr>
              <w:t>822 </w:t>
            </w:r>
          </w:p>
        </w:tc>
        <w:tc>
          <w:tcPr>
            <w:tcW w:w="100" w:type="dxa"/>
            <w:tcBorders>
              <w:top w:val="single" w:sz="8" w:space="0" w:color="F4F4F4"/>
              <w:left w:val="nil"/>
              <w:bottom w:val="single" w:sz="8" w:space="0" w:color="C7C9C7"/>
              <w:right w:val="nil"/>
            </w:tcBorders>
            <w:tcMar>
              <w:top w:w="0" w:type="dxa"/>
              <w:left w:w="0" w:type="dxa"/>
              <w:bottom w:w="0" w:type="dxa"/>
              <w:right w:w="15" w:type="dxa"/>
            </w:tcMar>
            <w:vAlign w:val="bottom"/>
          </w:tcPr>
          <w:p w14:paraId="7A910336" w14:textId="77777777" w:rsidR="001614AC" w:rsidRDefault="001614AC">
            <w:pPr>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28352083" w14:textId="77777777" w:rsidR="001614AC" w:rsidRDefault="001614AC"/>
        </w:tc>
        <w:tc>
          <w:tcPr>
            <w:tcW w:w="905" w:type="dxa"/>
            <w:gridSpan w:val="2"/>
            <w:tcBorders>
              <w:top w:val="single" w:sz="8" w:space="0" w:color="F4F4F4"/>
              <w:left w:val="nil"/>
              <w:bottom w:val="single" w:sz="8" w:space="0" w:color="C7C9C7"/>
              <w:right w:val="nil"/>
            </w:tcBorders>
            <w:tcMar>
              <w:top w:w="0" w:type="dxa"/>
              <w:left w:w="53" w:type="dxa"/>
              <w:bottom w:w="0" w:type="dxa"/>
              <w:right w:w="0" w:type="dxa"/>
            </w:tcMar>
            <w:vAlign w:val="bottom"/>
          </w:tcPr>
          <w:p w14:paraId="192CF8AA" w14:textId="77777777" w:rsidR="001614AC" w:rsidRDefault="004468F9">
            <w:pPr>
              <w:spacing w:before="55" w:after="30" w:line="288" w:lineRule="auto"/>
              <w:jc w:val="right"/>
            </w:pPr>
            <w:r>
              <w:rPr>
                <w:rFonts w:ascii="Arial" w:eastAsia="Arial" w:hAnsi="Arial" w:cs="Arial"/>
                <w:color w:val="000000"/>
                <w:sz w:val="18"/>
              </w:rPr>
              <w:t>1,072 </w:t>
            </w:r>
          </w:p>
        </w:tc>
        <w:tc>
          <w:tcPr>
            <w:tcW w:w="100" w:type="dxa"/>
            <w:tcBorders>
              <w:top w:val="single" w:sz="8" w:space="0" w:color="F4F4F4"/>
              <w:left w:val="nil"/>
              <w:bottom w:val="single" w:sz="8" w:space="0" w:color="C7C9C7"/>
              <w:right w:val="nil"/>
            </w:tcBorders>
            <w:tcMar>
              <w:top w:w="0" w:type="dxa"/>
              <w:left w:w="0" w:type="dxa"/>
              <w:bottom w:w="0" w:type="dxa"/>
              <w:right w:w="15" w:type="dxa"/>
            </w:tcMar>
            <w:vAlign w:val="bottom"/>
          </w:tcPr>
          <w:p w14:paraId="6D4C58A3" w14:textId="77777777" w:rsidR="001614AC" w:rsidRDefault="001614AC">
            <w:pPr>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24F15EFA" w14:textId="77777777" w:rsidR="001614AC" w:rsidRDefault="001614AC"/>
        </w:tc>
        <w:tc>
          <w:tcPr>
            <w:tcW w:w="905" w:type="dxa"/>
            <w:gridSpan w:val="2"/>
            <w:tcBorders>
              <w:top w:val="single" w:sz="8" w:space="0" w:color="F4F4F4"/>
              <w:left w:val="nil"/>
              <w:bottom w:val="single" w:sz="8" w:space="0" w:color="C7C9C7"/>
              <w:right w:val="nil"/>
            </w:tcBorders>
            <w:tcMar>
              <w:top w:w="0" w:type="dxa"/>
              <w:left w:w="53" w:type="dxa"/>
              <w:bottom w:w="0" w:type="dxa"/>
              <w:right w:w="0" w:type="dxa"/>
            </w:tcMar>
            <w:vAlign w:val="bottom"/>
          </w:tcPr>
          <w:p w14:paraId="5AD556BD" w14:textId="77777777" w:rsidR="001614AC" w:rsidRDefault="004468F9">
            <w:pPr>
              <w:spacing w:before="55" w:after="30" w:line="288" w:lineRule="auto"/>
              <w:jc w:val="right"/>
            </w:pPr>
            <w:r>
              <w:rPr>
                <w:rFonts w:ascii="Arial" w:eastAsia="Arial" w:hAnsi="Arial" w:cs="Arial"/>
                <w:color w:val="000000"/>
                <w:sz w:val="18"/>
              </w:rPr>
              <w:t>1,798 </w:t>
            </w:r>
          </w:p>
        </w:tc>
        <w:tc>
          <w:tcPr>
            <w:tcW w:w="100" w:type="dxa"/>
            <w:tcBorders>
              <w:top w:val="single" w:sz="8" w:space="0" w:color="F4F4F4"/>
              <w:left w:val="nil"/>
              <w:bottom w:val="single" w:sz="8" w:space="0" w:color="C7C9C7"/>
              <w:right w:val="nil"/>
            </w:tcBorders>
            <w:tcMar>
              <w:top w:w="0" w:type="dxa"/>
              <w:left w:w="0" w:type="dxa"/>
              <w:bottom w:w="0" w:type="dxa"/>
              <w:right w:w="15" w:type="dxa"/>
            </w:tcMar>
            <w:vAlign w:val="bottom"/>
          </w:tcPr>
          <w:p w14:paraId="456D7A29" w14:textId="77777777" w:rsidR="001614AC" w:rsidRDefault="001614AC">
            <w:pPr>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13F44725" w14:textId="77777777" w:rsidR="001614AC" w:rsidRDefault="001614AC"/>
        </w:tc>
        <w:tc>
          <w:tcPr>
            <w:tcW w:w="905" w:type="dxa"/>
            <w:gridSpan w:val="2"/>
            <w:tcBorders>
              <w:top w:val="single" w:sz="8" w:space="0" w:color="F4F4F4"/>
              <w:left w:val="nil"/>
              <w:bottom w:val="single" w:sz="8" w:space="0" w:color="C7C9C7"/>
              <w:right w:val="nil"/>
            </w:tcBorders>
            <w:tcMar>
              <w:top w:w="0" w:type="dxa"/>
              <w:left w:w="53" w:type="dxa"/>
              <w:bottom w:w="0" w:type="dxa"/>
              <w:right w:w="0" w:type="dxa"/>
            </w:tcMar>
            <w:vAlign w:val="bottom"/>
          </w:tcPr>
          <w:p w14:paraId="1D5A1E86" w14:textId="77777777" w:rsidR="001614AC" w:rsidRDefault="004468F9">
            <w:pPr>
              <w:spacing w:before="55" w:after="30" w:line="288" w:lineRule="auto"/>
              <w:jc w:val="right"/>
            </w:pPr>
            <w:r>
              <w:rPr>
                <w:rFonts w:ascii="Arial" w:eastAsia="Arial" w:hAnsi="Arial" w:cs="Arial"/>
                <w:color w:val="000000"/>
                <w:sz w:val="18"/>
              </w:rPr>
              <w:t>1,894 </w:t>
            </w:r>
          </w:p>
        </w:tc>
        <w:tc>
          <w:tcPr>
            <w:tcW w:w="100" w:type="dxa"/>
            <w:tcBorders>
              <w:top w:val="single" w:sz="8" w:space="0" w:color="F4F4F4"/>
              <w:left w:val="nil"/>
              <w:bottom w:val="single" w:sz="8" w:space="0" w:color="C7C9C7"/>
              <w:right w:val="nil"/>
            </w:tcBorders>
            <w:tcMar>
              <w:top w:w="0" w:type="dxa"/>
              <w:left w:w="0" w:type="dxa"/>
              <w:bottom w:w="0" w:type="dxa"/>
              <w:right w:w="15" w:type="dxa"/>
            </w:tcMar>
            <w:vAlign w:val="bottom"/>
          </w:tcPr>
          <w:p w14:paraId="2551CA7B" w14:textId="77777777" w:rsidR="001614AC" w:rsidRDefault="001614AC">
            <w:pPr>
              <w:spacing w:before="55" w:after="30" w:line="288" w:lineRule="auto"/>
              <w:jc w:val="right"/>
            </w:pPr>
          </w:p>
        </w:tc>
      </w:tr>
      <w:tr w:rsidR="001614AC" w14:paraId="01646942" w14:textId="77777777">
        <w:trPr>
          <w:cantSplit/>
        </w:trPr>
        <w:tc>
          <w:tcPr>
            <w:tcW w:w="5640" w:type="dxa"/>
            <w:tcBorders>
              <w:top w:val="nil"/>
              <w:left w:val="nil"/>
              <w:bottom w:val="nil"/>
              <w:right w:val="nil"/>
            </w:tcBorders>
            <w:shd w:val="clear" w:color="auto" w:fill="F4F4F4"/>
            <w:tcMar>
              <w:top w:w="0" w:type="dxa"/>
              <w:left w:w="53" w:type="dxa"/>
              <w:bottom w:w="0" w:type="dxa"/>
              <w:right w:w="53" w:type="dxa"/>
            </w:tcMar>
            <w:vAlign w:val="bottom"/>
          </w:tcPr>
          <w:p w14:paraId="7C5A2CF3" w14:textId="77777777" w:rsidR="001614AC" w:rsidRDefault="004468F9">
            <w:pPr>
              <w:spacing w:before="75" w:after="30" w:line="288" w:lineRule="auto"/>
            </w:pPr>
            <w:r>
              <w:rPr>
                <w:rFonts w:ascii="Arial" w:eastAsia="Arial" w:hAnsi="Arial" w:cs="Arial"/>
                <w:color w:val="000000"/>
                <w:sz w:val="18"/>
              </w:rPr>
              <w:t>Total revenues</w:t>
            </w:r>
          </w:p>
        </w:tc>
        <w:tc>
          <w:tcPr>
            <w:tcW w:w="105" w:type="dxa"/>
            <w:tcBorders>
              <w:top w:val="nil"/>
              <w:left w:val="nil"/>
              <w:bottom w:val="nil"/>
              <w:right w:val="nil"/>
            </w:tcBorders>
            <w:shd w:val="clear" w:color="auto" w:fill="F4F4F4"/>
            <w:tcMar>
              <w:top w:w="0" w:type="dxa"/>
              <w:left w:w="0" w:type="dxa"/>
              <w:bottom w:w="0" w:type="dxa"/>
              <w:right w:w="0" w:type="dxa"/>
            </w:tcMar>
            <w:vAlign w:val="bottom"/>
          </w:tcPr>
          <w:p w14:paraId="2A7B4F07" w14:textId="77777777" w:rsidR="001614AC" w:rsidRDefault="001614AC"/>
        </w:tc>
        <w:tc>
          <w:tcPr>
            <w:tcW w:w="905" w:type="dxa"/>
            <w:gridSpan w:val="2"/>
            <w:tcBorders>
              <w:top w:val="single" w:sz="8" w:space="0" w:color="C7C9C7"/>
              <w:left w:val="nil"/>
              <w:bottom w:val="single" w:sz="8" w:space="0" w:color="C7C9C7"/>
              <w:right w:val="nil"/>
            </w:tcBorders>
            <w:shd w:val="clear" w:color="auto" w:fill="F4F4F4"/>
            <w:tcMar>
              <w:top w:w="0" w:type="dxa"/>
              <w:left w:w="53" w:type="dxa"/>
              <w:bottom w:w="0" w:type="dxa"/>
              <w:right w:w="0" w:type="dxa"/>
            </w:tcMar>
            <w:vAlign w:val="bottom"/>
          </w:tcPr>
          <w:p w14:paraId="579396FC" w14:textId="77777777" w:rsidR="001614AC" w:rsidRDefault="004468F9">
            <w:pPr>
              <w:spacing w:before="55" w:after="30" w:line="288" w:lineRule="auto"/>
              <w:jc w:val="right"/>
            </w:pPr>
            <w:r>
              <w:rPr>
                <w:rFonts w:ascii="Arial" w:eastAsia="Arial" w:hAnsi="Arial" w:cs="Arial"/>
                <w:color w:val="000000"/>
                <w:sz w:val="18"/>
              </w:rPr>
              <w:t>336,994 </w:t>
            </w:r>
          </w:p>
        </w:tc>
        <w:tc>
          <w:tcPr>
            <w:tcW w:w="100" w:type="dxa"/>
            <w:tcBorders>
              <w:top w:val="single" w:sz="8" w:space="0" w:color="C7C9C7"/>
              <w:left w:val="nil"/>
              <w:bottom w:val="single" w:sz="8" w:space="0" w:color="C7C9C7"/>
              <w:right w:val="nil"/>
            </w:tcBorders>
            <w:shd w:val="clear" w:color="auto" w:fill="F4F4F4"/>
            <w:tcMar>
              <w:top w:w="0" w:type="dxa"/>
              <w:left w:w="0" w:type="dxa"/>
              <w:bottom w:w="0" w:type="dxa"/>
              <w:right w:w="15" w:type="dxa"/>
            </w:tcMar>
            <w:vAlign w:val="bottom"/>
          </w:tcPr>
          <w:p w14:paraId="54141A69" w14:textId="77777777" w:rsidR="001614AC" w:rsidRDefault="001614AC">
            <w:pPr>
              <w:spacing w:before="55" w:after="30" w:line="288" w:lineRule="auto"/>
              <w:jc w:val="right"/>
            </w:pPr>
          </w:p>
        </w:tc>
        <w:tc>
          <w:tcPr>
            <w:tcW w:w="105" w:type="dxa"/>
            <w:tcBorders>
              <w:top w:val="nil"/>
              <w:left w:val="nil"/>
              <w:bottom w:val="nil"/>
              <w:right w:val="nil"/>
            </w:tcBorders>
            <w:shd w:val="clear" w:color="auto" w:fill="F4F4F4"/>
            <w:tcMar>
              <w:top w:w="0" w:type="dxa"/>
              <w:left w:w="0" w:type="dxa"/>
              <w:bottom w:w="0" w:type="dxa"/>
              <w:right w:w="0" w:type="dxa"/>
            </w:tcMar>
            <w:vAlign w:val="bottom"/>
          </w:tcPr>
          <w:p w14:paraId="22461852" w14:textId="77777777" w:rsidR="001614AC" w:rsidRDefault="001614AC"/>
        </w:tc>
        <w:tc>
          <w:tcPr>
            <w:tcW w:w="905" w:type="dxa"/>
            <w:gridSpan w:val="2"/>
            <w:tcBorders>
              <w:top w:val="single" w:sz="8" w:space="0" w:color="C7C9C7"/>
              <w:left w:val="nil"/>
              <w:bottom w:val="single" w:sz="8" w:space="0" w:color="C7C9C7"/>
              <w:right w:val="nil"/>
            </w:tcBorders>
            <w:shd w:val="clear" w:color="auto" w:fill="F4F4F4"/>
            <w:tcMar>
              <w:top w:w="0" w:type="dxa"/>
              <w:left w:w="53" w:type="dxa"/>
              <w:bottom w:w="0" w:type="dxa"/>
              <w:right w:w="0" w:type="dxa"/>
            </w:tcMar>
            <w:vAlign w:val="bottom"/>
          </w:tcPr>
          <w:p w14:paraId="761FC406" w14:textId="77777777" w:rsidR="001614AC" w:rsidRDefault="004468F9">
            <w:pPr>
              <w:spacing w:before="55" w:after="30" w:line="288" w:lineRule="auto"/>
              <w:jc w:val="right"/>
            </w:pPr>
            <w:r>
              <w:rPr>
                <w:rFonts w:ascii="Arial" w:eastAsia="Arial" w:hAnsi="Arial" w:cs="Arial"/>
                <w:color w:val="000000"/>
                <w:sz w:val="18"/>
              </w:rPr>
              <w:t>364,441 </w:t>
            </w:r>
          </w:p>
        </w:tc>
        <w:tc>
          <w:tcPr>
            <w:tcW w:w="100" w:type="dxa"/>
            <w:tcBorders>
              <w:top w:val="single" w:sz="8" w:space="0" w:color="C7C9C7"/>
              <w:left w:val="nil"/>
              <w:bottom w:val="single" w:sz="8" w:space="0" w:color="C7C9C7"/>
              <w:right w:val="nil"/>
            </w:tcBorders>
            <w:shd w:val="clear" w:color="auto" w:fill="F4F4F4"/>
            <w:tcMar>
              <w:top w:w="0" w:type="dxa"/>
              <w:left w:w="0" w:type="dxa"/>
              <w:bottom w:w="0" w:type="dxa"/>
              <w:right w:w="15" w:type="dxa"/>
            </w:tcMar>
            <w:vAlign w:val="bottom"/>
          </w:tcPr>
          <w:p w14:paraId="3BB009E6" w14:textId="77777777" w:rsidR="001614AC" w:rsidRDefault="001614AC">
            <w:pPr>
              <w:spacing w:before="55" w:after="30" w:line="288" w:lineRule="auto"/>
              <w:jc w:val="right"/>
            </w:pPr>
          </w:p>
        </w:tc>
        <w:tc>
          <w:tcPr>
            <w:tcW w:w="105" w:type="dxa"/>
            <w:tcBorders>
              <w:top w:val="nil"/>
              <w:left w:val="nil"/>
              <w:bottom w:val="nil"/>
              <w:right w:val="nil"/>
            </w:tcBorders>
            <w:shd w:val="clear" w:color="auto" w:fill="F4F4F4"/>
            <w:tcMar>
              <w:top w:w="0" w:type="dxa"/>
              <w:left w:w="0" w:type="dxa"/>
              <w:bottom w:w="0" w:type="dxa"/>
              <w:right w:w="0" w:type="dxa"/>
            </w:tcMar>
            <w:vAlign w:val="bottom"/>
          </w:tcPr>
          <w:p w14:paraId="6B788FCC" w14:textId="77777777" w:rsidR="001614AC" w:rsidRDefault="001614AC"/>
        </w:tc>
        <w:tc>
          <w:tcPr>
            <w:tcW w:w="905" w:type="dxa"/>
            <w:gridSpan w:val="2"/>
            <w:tcBorders>
              <w:top w:val="single" w:sz="8" w:space="0" w:color="C7C9C7"/>
              <w:left w:val="nil"/>
              <w:bottom w:val="single" w:sz="8" w:space="0" w:color="C7C9C7"/>
              <w:right w:val="nil"/>
            </w:tcBorders>
            <w:shd w:val="clear" w:color="auto" w:fill="F4F4F4"/>
            <w:tcMar>
              <w:top w:w="0" w:type="dxa"/>
              <w:left w:w="53" w:type="dxa"/>
              <w:bottom w:w="0" w:type="dxa"/>
              <w:right w:w="0" w:type="dxa"/>
            </w:tcMar>
            <w:vAlign w:val="bottom"/>
          </w:tcPr>
          <w:p w14:paraId="0B317DBF" w14:textId="77777777" w:rsidR="001614AC" w:rsidRDefault="004468F9">
            <w:pPr>
              <w:spacing w:before="55" w:after="30" w:line="288" w:lineRule="auto"/>
              <w:jc w:val="right"/>
            </w:pPr>
            <w:r>
              <w:rPr>
                <w:rFonts w:ascii="Arial" w:eastAsia="Arial" w:hAnsi="Arial" w:cs="Arial"/>
                <w:color w:val="000000"/>
                <w:sz w:val="18"/>
              </w:rPr>
              <w:t>665,807 </w:t>
            </w:r>
          </w:p>
        </w:tc>
        <w:tc>
          <w:tcPr>
            <w:tcW w:w="100" w:type="dxa"/>
            <w:tcBorders>
              <w:top w:val="single" w:sz="8" w:space="0" w:color="C7C9C7"/>
              <w:left w:val="nil"/>
              <w:bottom w:val="single" w:sz="8" w:space="0" w:color="C7C9C7"/>
              <w:right w:val="nil"/>
            </w:tcBorders>
            <w:shd w:val="clear" w:color="auto" w:fill="F4F4F4"/>
            <w:tcMar>
              <w:top w:w="0" w:type="dxa"/>
              <w:left w:w="0" w:type="dxa"/>
              <w:bottom w:w="0" w:type="dxa"/>
              <w:right w:w="15" w:type="dxa"/>
            </w:tcMar>
            <w:vAlign w:val="bottom"/>
          </w:tcPr>
          <w:p w14:paraId="04B1CCF3" w14:textId="77777777" w:rsidR="001614AC" w:rsidRDefault="001614AC">
            <w:pPr>
              <w:spacing w:before="55" w:after="30" w:line="288" w:lineRule="auto"/>
              <w:jc w:val="right"/>
            </w:pPr>
          </w:p>
        </w:tc>
        <w:tc>
          <w:tcPr>
            <w:tcW w:w="105" w:type="dxa"/>
            <w:tcBorders>
              <w:top w:val="nil"/>
              <w:left w:val="nil"/>
              <w:bottom w:val="nil"/>
              <w:right w:val="nil"/>
            </w:tcBorders>
            <w:shd w:val="clear" w:color="auto" w:fill="F4F4F4"/>
            <w:tcMar>
              <w:top w:w="0" w:type="dxa"/>
              <w:left w:w="0" w:type="dxa"/>
              <w:bottom w:w="0" w:type="dxa"/>
              <w:right w:w="0" w:type="dxa"/>
            </w:tcMar>
            <w:vAlign w:val="bottom"/>
          </w:tcPr>
          <w:p w14:paraId="34104179" w14:textId="77777777" w:rsidR="001614AC" w:rsidRDefault="001614AC"/>
        </w:tc>
        <w:tc>
          <w:tcPr>
            <w:tcW w:w="905" w:type="dxa"/>
            <w:gridSpan w:val="2"/>
            <w:tcBorders>
              <w:top w:val="single" w:sz="8" w:space="0" w:color="C7C9C7"/>
              <w:left w:val="nil"/>
              <w:bottom w:val="single" w:sz="8" w:space="0" w:color="C7C9C7"/>
              <w:right w:val="nil"/>
            </w:tcBorders>
            <w:shd w:val="clear" w:color="auto" w:fill="F4F4F4"/>
            <w:tcMar>
              <w:top w:w="0" w:type="dxa"/>
              <w:left w:w="53" w:type="dxa"/>
              <w:bottom w:w="0" w:type="dxa"/>
              <w:right w:w="0" w:type="dxa"/>
            </w:tcMar>
            <w:vAlign w:val="bottom"/>
          </w:tcPr>
          <w:p w14:paraId="6EAC8576" w14:textId="77777777" w:rsidR="001614AC" w:rsidRDefault="004468F9">
            <w:pPr>
              <w:spacing w:before="55" w:after="30" w:line="288" w:lineRule="auto"/>
              <w:jc w:val="right"/>
            </w:pPr>
            <w:r>
              <w:rPr>
                <w:rFonts w:ascii="Arial" w:eastAsia="Arial" w:hAnsi="Arial" w:cs="Arial"/>
                <w:color w:val="000000"/>
                <w:sz w:val="18"/>
              </w:rPr>
              <w:t>693,522 </w:t>
            </w:r>
          </w:p>
        </w:tc>
        <w:tc>
          <w:tcPr>
            <w:tcW w:w="100" w:type="dxa"/>
            <w:tcBorders>
              <w:top w:val="single" w:sz="8" w:space="0" w:color="C7C9C7"/>
              <w:left w:val="nil"/>
              <w:bottom w:val="single" w:sz="8" w:space="0" w:color="C7C9C7"/>
              <w:right w:val="nil"/>
            </w:tcBorders>
            <w:shd w:val="clear" w:color="auto" w:fill="F4F4F4"/>
            <w:tcMar>
              <w:top w:w="0" w:type="dxa"/>
              <w:left w:w="0" w:type="dxa"/>
              <w:bottom w:w="0" w:type="dxa"/>
              <w:right w:w="15" w:type="dxa"/>
            </w:tcMar>
            <w:vAlign w:val="bottom"/>
          </w:tcPr>
          <w:p w14:paraId="6B88FD25" w14:textId="77777777" w:rsidR="001614AC" w:rsidRDefault="001614AC">
            <w:pPr>
              <w:spacing w:before="55" w:after="30" w:line="288" w:lineRule="auto"/>
              <w:jc w:val="right"/>
            </w:pPr>
          </w:p>
        </w:tc>
      </w:tr>
      <w:tr w:rsidR="001614AC" w14:paraId="279825CF" w14:textId="77777777">
        <w:trPr>
          <w:cantSplit/>
        </w:trPr>
        <w:tc>
          <w:tcPr>
            <w:tcW w:w="5640" w:type="dxa"/>
            <w:tcBorders>
              <w:top w:val="nil"/>
              <w:left w:val="nil"/>
              <w:bottom w:val="nil"/>
              <w:right w:val="nil"/>
            </w:tcBorders>
            <w:tcMar>
              <w:top w:w="0" w:type="dxa"/>
              <w:left w:w="53" w:type="dxa"/>
              <w:bottom w:w="0" w:type="dxa"/>
              <w:right w:w="53" w:type="dxa"/>
            </w:tcMar>
            <w:vAlign w:val="bottom"/>
          </w:tcPr>
          <w:p w14:paraId="0426C35A" w14:textId="77777777" w:rsidR="001614AC" w:rsidRDefault="004468F9">
            <w:pPr>
              <w:spacing w:before="75" w:after="30" w:line="288" w:lineRule="auto"/>
            </w:pPr>
            <w:r>
              <w:rPr>
                <w:rFonts w:ascii="Arial" w:eastAsia="Arial" w:hAnsi="Arial" w:cs="Arial"/>
                <w:color w:val="000000"/>
                <w:sz w:val="18"/>
              </w:rPr>
              <w:t xml:space="preserve"> </w:t>
            </w:r>
          </w:p>
        </w:tc>
        <w:tc>
          <w:tcPr>
            <w:tcW w:w="105" w:type="dxa"/>
            <w:tcBorders>
              <w:top w:val="nil"/>
              <w:left w:val="nil"/>
              <w:bottom w:val="nil"/>
              <w:right w:val="nil"/>
            </w:tcBorders>
            <w:tcMar>
              <w:top w:w="0" w:type="dxa"/>
              <w:left w:w="0" w:type="dxa"/>
              <w:bottom w:w="0" w:type="dxa"/>
              <w:right w:w="0" w:type="dxa"/>
            </w:tcMar>
            <w:vAlign w:val="bottom"/>
          </w:tcPr>
          <w:p w14:paraId="5E20F3EA" w14:textId="77777777" w:rsidR="001614AC" w:rsidRDefault="001614AC"/>
        </w:tc>
        <w:tc>
          <w:tcPr>
            <w:tcW w:w="1005" w:type="dxa"/>
            <w:gridSpan w:val="3"/>
            <w:tcBorders>
              <w:top w:val="single" w:sz="8" w:space="0" w:color="C7C9C7"/>
              <w:left w:val="nil"/>
              <w:bottom w:val="nil"/>
              <w:right w:val="nil"/>
            </w:tcBorders>
            <w:tcMar>
              <w:top w:w="0" w:type="dxa"/>
              <w:left w:w="0" w:type="dxa"/>
              <w:bottom w:w="0" w:type="dxa"/>
              <w:right w:w="0" w:type="dxa"/>
            </w:tcMar>
            <w:vAlign w:val="bottom"/>
          </w:tcPr>
          <w:p w14:paraId="313A4164" w14:textId="77777777" w:rsidR="001614AC" w:rsidRDefault="001614AC"/>
        </w:tc>
        <w:tc>
          <w:tcPr>
            <w:tcW w:w="105" w:type="dxa"/>
            <w:tcBorders>
              <w:top w:val="nil"/>
              <w:left w:val="nil"/>
              <w:bottom w:val="nil"/>
              <w:right w:val="nil"/>
            </w:tcBorders>
            <w:tcMar>
              <w:top w:w="0" w:type="dxa"/>
              <w:left w:w="0" w:type="dxa"/>
              <w:bottom w:w="0" w:type="dxa"/>
              <w:right w:w="0" w:type="dxa"/>
            </w:tcMar>
            <w:vAlign w:val="bottom"/>
          </w:tcPr>
          <w:p w14:paraId="22EB6AB4" w14:textId="77777777" w:rsidR="001614AC" w:rsidRDefault="001614AC"/>
        </w:tc>
        <w:tc>
          <w:tcPr>
            <w:tcW w:w="1005" w:type="dxa"/>
            <w:gridSpan w:val="3"/>
            <w:tcBorders>
              <w:top w:val="single" w:sz="8" w:space="0" w:color="C7C9C7"/>
              <w:left w:val="nil"/>
              <w:bottom w:val="nil"/>
              <w:right w:val="nil"/>
            </w:tcBorders>
            <w:tcMar>
              <w:top w:w="0" w:type="dxa"/>
              <w:left w:w="0" w:type="dxa"/>
              <w:bottom w:w="0" w:type="dxa"/>
              <w:right w:w="0" w:type="dxa"/>
            </w:tcMar>
            <w:vAlign w:val="bottom"/>
          </w:tcPr>
          <w:p w14:paraId="3C6938E8" w14:textId="77777777" w:rsidR="001614AC" w:rsidRDefault="001614AC"/>
        </w:tc>
        <w:tc>
          <w:tcPr>
            <w:tcW w:w="105" w:type="dxa"/>
            <w:tcBorders>
              <w:top w:val="nil"/>
              <w:left w:val="nil"/>
              <w:bottom w:val="nil"/>
              <w:right w:val="nil"/>
            </w:tcBorders>
            <w:tcMar>
              <w:top w:w="0" w:type="dxa"/>
              <w:left w:w="0" w:type="dxa"/>
              <w:bottom w:w="0" w:type="dxa"/>
              <w:right w:w="0" w:type="dxa"/>
            </w:tcMar>
            <w:vAlign w:val="bottom"/>
          </w:tcPr>
          <w:p w14:paraId="2BB8FAFE" w14:textId="77777777" w:rsidR="001614AC" w:rsidRDefault="001614AC"/>
        </w:tc>
        <w:tc>
          <w:tcPr>
            <w:tcW w:w="1005" w:type="dxa"/>
            <w:gridSpan w:val="3"/>
            <w:tcBorders>
              <w:top w:val="single" w:sz="8" w:space="0" w:color="C7C9C7"/>
              <w:left w:val="nil"/>
              <w:bottom w:val="nil"/>
              <w:right w:val="nil"/>
            </w:tcBorders>
            <w:tcMar>
              <w:top w:w="0" w:type="dxa"/>
              <w:left w:w="0" w:type="dxa"/>
              <w:bottom w:w="0" w:type="dxa"/>
              <w:right w:w="0" w:type="dxa"/>
            </w:tcMar>
            <w:vAlign w:val="bottom"/>
          </w:tcPr>
          <w:p w14:paraId="7281AC86" w14:textId="77777777" w:rsidR="001614AC" w:rsidRDefault="001614AC"/>
        </w:tc>
        <w:tc>
          <w:tcPr>
            <w:tcW w:w="105" w:type="dxa"/>
            <w:tcBorders>
              <w:top w:val="nil"/>
              <w:left w:val="nil"/>
              <w:bottom w:val="nil"/>
              <w:right w:val="nil"/>
            </w:tcBorders>
            <w:tcMar>
              <w:top w:w="0" w:type="dxa"/>
              <w:left w:w="0" w:type="dxa"/>
              <w:bottom w:w="0" w:type="dxa"/>
              <w:right w:w="0" w:type="dxa"/>
            </w:tcMar>
            <w:vAlign w:val="bottom"/>
          </w:tcPr>
          <w:p w14:paraId="73C4911B" w14:textId="77777777" w:rsidR="001614AC" w:rsidRDefault="001614AC"/>
        </w:tc>
        <w:tc>
          <w:tcPr>
            <w:tcW w:w="1005" w:type="dxa"/>
            <w:gridSpan w:val="3"/>
            <w:tcBorders>
              <w:top w:val="single" w:sz="8" w:space="0" w:color="C7C9C7"/>
              <w:left w:val="nil"/>
              <w:bottom w:val="nil"/>
              <w:right w:val="nil"/>
            </w:tcBorders>
            <w:tcMar>
              <w:top w:w="0" w:type="dxa"/>
              <w:left w:w="0" w:type="dxa"/>
              <w:bottom w:w="0" w:type="dxa"/>
              <w:right w:w="0" w:type="dxa"/>
            </w:tcMar>
            <w:vAlign w:val="bottom"/>
          </w:tcPr>
          <w:p w14:paraId="56FF9F89" w14:textId="77777777" w:rsidR="001614AC" w:rsidRDefault="001614AC"/>
        </w:tc>
      </w:tr>
      <w:tr w:rsidR="001614AC" w14:paraId="055220F6" w14:textId="77777777">
        <w:trPr>
          <w:cantSplit/>
        </w:trPr>
        <w:tc>
          <w:tcPr>
            <w:tcW w:w="5640" w:type="dxa"/>
            <w:tcBorders>
              <w:top w:val="nil"/>
              <w:left w:val="nil"/>
              <w:bottom w:val="single" w:sz="8" w:space="0" w:color="C7C9C7"/>
              <w:right w:val="nil"/>
            </w:tcBorders>
            <w:shd w:val="clear" w:color="auto" w:fill="F4F4F4"/>
            <w:tcMar>
              <w:top w:w="0" w:type="dxa"/>
              <w:left w:w="53" w:type="dxa"/>
              <w:bottom w:w="0" w:type="dxa"/>
              <w:right w:w="53" w:type="dxa"/>
            </w:tcMar>
            <w:vAlign w:val="bottom"/>
          </w:tcPr>
          <w:p w14:paraId="12EF4447" w14:textId="77777777" w:rsidR="001614AC" w:rsidRDefault="004468F9">
            <w:pPr>
              <w:spacing w:before="75" w:after="30" w:line="288" w:lineRule="auto"/>
            </w:pPr>
            <w:r>
              <w:rPr>
                <w:rFonts w:ascii="Arial" w:eastAsia="Arial" w:hAnsi="Arial" w:cs="Arial"/>
                <w:b/>
                <w:color w:val="00BAB3"/>
                <w:sz w:val="20"/>
              </w:rPr>
              <w:t>Expenses</w:t>
            </w:r>
          </w:p>
        </w:tc>
        <w:tc>
          <w:tcPr>
            <w:tcW w:w="105" w:type="dxa"/>
            <w:tcBorders>
              <w:top w:val="nil"/>
              <w:left w:val="nil"/>
              <w:bottom w:val="single" w:sz="8" w:space="0" w:color="C7C9C7"/>
              <w:right w:val="nil"/>
            </w:tcBorders>
            <w:shd w:val="clear" w:color="auto" w:fill="F4F4F4"/>
            <w:tcMar>
              <w:top w:w="0" w:type="dxa"/>
              <w:left w:w="0" w:type="dxa"/>
              <w:bottom w:w="0" w:type="dxa"/>
              <w:right w:w="0" w:type="dxa"/>
            </w:tcMar>
            <w:vAlign w:val="bottom"/>
          </w:tcPr>
          <w:p w14:paraId="001B159D" w14:textId="77777777" w:rsidR="001614AC" w:rsidRDefault="001614AC"/>
        </w:tc>
        <w:tc>
          <w:tcPr>
            <w:tcW w:w="1005" w:type="dxa"/>
            <w:gridSpan w:val="3"/>
            <w:tcBorders>
              <w:top w:val="nil"/>
              <w:left w:val="nil"/>
              <w:bottom w:val="single" w:sz="8" w:space="0" w:color="C7C9C7"/>
              <w:right w:val="nil"/>
            </w:tcBorders>
            <w:shd w:val="clear" w:color="auto" w:fill="F4F4F4"/>
            <w:tcMar>
              <w:top w:w="0" w:type="dxa"/>
              <w:left w:w="0" w:type="dxa"/>
              <w:bottom w:w="0" w:type="dxa"/>
              <w:right w:w="0" w:type="dxa"/>
            </w:tcMar>
            <w:vAlign w:val="bottom"/>
          </w:tcPr>
          <w:p w14:paraId="2A18D5E5" w14:textId="77777777" w:rsidR="001614AC" w:rsidRDefault="001614AC"/>
        </w:tc>
        <w:tc>
          <w:tcPr>
            <w:tcW w:w="105" w:type="dxa"/>
            <w:tcBorders>
              <w:top w:val="nil"/>
              <w:left w:val="nil"/>
              <w:bottom w:val="single" w:sz="8" w:space="0" w:color="C7C9C7"/>
              <w:right w:val="nil"/>
            </w:tcBorders>
            <w:shd w:val="clear" w:color="auto" w:fill="F4F4F4"/>
            <w:tcMar>
              <w:top w:w="0" w:type="dxa"/>
              <w:left w:w="0" w:type="dxa"/>
              <w:bottom w:w="0" w:type="dxa"/>
              <w:right w:w="0" w:type="dxa"/>
            </w:tcMar>
            <w:vAlign w:val="bottom"/>
          </w:tcPr>
          <w:p w14:paraId="15D26BF7" w14:textId="77777777" w:rsidR="001614AC" w:rsidRDefault="001614AC"/>
        </w:tc>
        <w:tc>
          <w:tcPr>
            <w:tcW w:w="1005" w:type="dxa"/>
            <w:gridSpan w:val="3"/>
            <w:tcBorders>
              <w:top w:val="nil"/>
              <w:left w:val="nil"/>
              <w:bottom w:val="single" w:sz="8" w:space="0" w:color="C7C9C7"/>
              <w:right w:val="nil"/>
            </w:tcBorders>
            <w:shd w:val="clear" w:color="auto" w:fill="F4F4F4"/>
            <w:tcMar>
              <w:top w:w="0" w:type="dxa"/>
              <w:left w:w="0" w:type="dxa"/>
              <w:bottom w:w="0" w:type="dxa"/>
              <w:right w:w="0" w:type="dxa"/>
            </w:tcMar>
            <w:vAlign w:val="bottom"/>
          </w:tcPr>
          <w:p w14:paraId="4484A651" w14:textId="77777777" w:rsidR="001614AC" w:rsidRDefault="001614AC"/>
        </w:tc>
        <w:tc>
          <w:tcPr>
            <w:tcW w:w="105" w:type="dxa"/>
            <w:tcBorders>
              <w:top w:val="nil"/>
              <w:left w:val="nil"/>
              <w:bottom w:val="single" w:sz="8" w:space="0" w:color="C7C9C7"/>
              <w:right w:val="nil"/>
            </w:tcBorders>
            <w:shd w:val="clear" w:color="auto" w:fill="F4F4F4"/>
            <w:tcMar>
              <w:top w:w="0" w:type="dxa"/>
              <w:left w:w="0" w:type="dxa"/>
              <w:bottom w:w="0" w:type="dxa"/>
              <w:right w:w="0" w:type="dxa"/>
            </w:tcMar>
            <w:vAlign w:val="bottom"/>
          </w:tcPr>
          <w:p w14:paraId="2FED451F" w14:textId="77777777" w:rsidR="001614AC" w:rsidRDefault="001614AC"/>
        </w:tc>
        <w:tc>
          <w:tcPr>
            <w:tcW w:w="1005" w:type="dxa"/>
            <w:gridSpan w:val="3"/>
            <w:tcBorders>
              <w:top w:val="nil"/>
              <w:left w:val="nil"/>
              <w:bottom w:val="single" w:sz="8" w:space="0" w:color="C7C9C7"/>
              <w:right w:val="nil"/>
            </w:tcBorders>
            <w:shd w:val="clear" w:color="auto" w:fill="F4F4F4"/>
            <w:tcMar>
              <w:top w:w="0" w:type="dxa"/>
              <w:left w:w="0" w:type="dxa"/>
              <w:bottom w:w="0" w:type="dxa"/>
              <w:right w:w="0" w:type="dxa"/>
            </w:tcMar>
            <w:vAlign w:val="bottom"/>
          </w:tcPr>
          <w:p w14:paraId="3C818BFB" w14:textId="77777777" w:rsidR="001614AC" w:rsidRDefault="001614AC"/>
        </w:tc>
        <w:tc>
          <w:tcPr>
            <w:tcW w:w="105" w:type="dxa"/>
            <w:tcBorders>
              <w:top w:val="nil"/>
              <w:left w:val="nil"/>
              <w:bottom w:val="single" w:sz="8" w:space="0" w:color="C7C9C7"/>
              <w:right w:val="nil"/>
            </w:tcBorders>
            <w:shd w:val="clear" w:color="auto" w:fill="F4F4F4"/>
            <w:tcMar>
              <w:top w:w="0" w:type="dxa"/>
              <w:left w:w="0" w:type="dxa"/>
              <w:bottom w:w="0" w:type="dxa"/>
              <w:right w:w="0" w:type="dxa"/>
            </w:tcMar>
            <w:vAlign w:val="bottom"/>
          </w:tcPr>
          <w:p w14:paraId="50E3EE3B" w14:textId="77777777" w:rsidR="001614AC" w:rsidRDefault="001614AC"/>
        </w:tc>
        <w:tc>
          <w:tcPr>
            <w:tcW w:w="1005" w:type="dxa"/>
            <w:gridSpan w:val="3"/>
            <w:tcBorders>
              <w:top w:val="nil"/>
              <w:left w:val="nil"/>
              <w:bottom w:val="single" w:sz="8" w:space="0" w:color="C7C9C7"/>
              <w:right w:val="nil"/>
            </w:tcBorders>
            <w:shd w:val="clear" w:color="auto" w:fill="F4F4F4"/>
            <w:tcMar>
              <w:top w:w="0" w:type="dxa"/>
              <w:left w:w="0" w:type="dxa"/>
              <w:bottom w:w="0" w:type="dxa"/>
              <w:right w:w="0" w:type="dxa"/>
            </w:tcMar>
            <w:vAlign w:val="bottom"/>
          </w:tcPr>
          <w:p w14:paraId="5337234D" w14:textId="77777777" w:rsidR="001614AC" w:rsidRDefault="001614AC"/>
        </w:tc>
      </w:tr>
      <w:tr w:rsidR="001614AC" w14:paraId="4CFB2B5B" w14:textId="77777777">
        <w:trPr>
          <w:cantSplit/>
        </w:trPr>
        <w:tc>
          <w:tcPr>
            <w:tcW w:w="5640" w:type="dxa"/>
            <w:tcBorders>
              <w:top w:val="single" w:sz="8" w:space="0" w:color="C7C9C7"/>
              <w:left w:val="nil"/>
              <w:bottom w:val="single" w:sz="8" w:space="0" w:color="F4F4F4"/>
              <w:right w:val="nil"/>
            </w:tcBorders>
            <w:tcMar>
              <w:top w:w="0" w:type="dxa"/>
              <w:left w:w="53" w:type="dxa"/>
              <w:bottom w:w="0" w:type="dxa"/>
              <w:right w:w="53" w:type="dxa"/>
            </w:tcMar>
            <w:vAlign w:val="bottom"/>
          </w:tcPr>
          <w:p w14:paraId="3AC724A1" w14:textId="77777777" w:rsidR="001614AC" w:rsidRDefault="004468F9">
            <w:pPr>
              <w:spacing w:before="55" w:after="30" w:line="288" w:lineRule="auto"/>
            </w:pPr>
            <w:r>
              <w:rPr>
                <w:rFonts w:ascii="Arial" w:eastAsia="Arial" w:hAnsi="Arial" w:cs="Arial"/>
                <w:color w:val="000000"/>
                <w:sz w:val="18"/>
              </w:rPr>
              <w:t>Provision for losses</w:t>
            </w:r>
          </w:p>
        </w:tc>
        <w:tc>
          <w:tcPr>
            <w:tcW w:w="105" w:type="dxa"/>
            <w:tcBorders>
              <w:top w:val="single" w:sz="8" w:space="0" w:color="C7C9C7"/>
              <w:left w:val="nil"/>
              <w:bottom w:val="nil"/>
              <w:right w:val="nil"/>
            </w:tcBorders>
            <w:tcMar>
              <w:top w:w="0" w:type="dxa"/>
              <w:left w:w="0" w:type="dxa"/>
              <w:bottom w:w="0" w:type="dxa"/>
              <w:right w:w="0" w:type="dxa"/>
            </w:tcMar>
            <w:vAlign w:val="bottom"/>
          </w:tcPr>
          <w:p w14:paraId="04D5153A" w14:textId="77777777" w:rsidR="001614AC" w:rsidRDefault="001614AC"/>
        </w:tc>
        <w:tc>
          <w:tcPr>
            <w:tcW w:w="905" w:type="dxa"/>
            <w:gridSpan w:val="2"/>
            <w:tcBorders>
              <w:top w:val="single" w:sz="8" w:space="0" w:color="C7C9C7"/>
              <w:left w:val="nil"/>
              <w:bottom w:val="single" w:sz="8" w:space="0" w:color="F4F4F4"/>
              <w:right w:val="nil"/>
            </w:tcBorders>
            <w:tcMar>
              <w:top w:w="0" w:type="dxa"/>
              <w:left w:w="53" w:type="dxa"/>
              <w:bottom w:w="0" w:type="dxa"/>
              <w:right w:w="0" w:type="dxa"/>
            </w:tcMar>
            <w:vAlign w:val="bottom"/>
          </w:tcPr>
          <w:p w14:paraId="7D9BF249" w14:textId="77777777" w:rsidR="001614AC" w:rsidRDefault="004468F9">
            <w:pPr>
              <w:spacing w:before="55" w:after="30" w:line="288" w:lineRule="auto"/>
              <w:jc w:val="right"/>
            </w:pPr>
            <w:r>
              <w:rPr>
                <w:rFonts w:ascii="Arial" w:eastAsia="Arial" w:hAnsi="Arial" w:cs="Arial"/>
                <w:color w:val="000000"/>
                <w:sz w:val="18"/>
              </w:rPr>
              <w:t>3,648 </w:t>
            </w:r>
          </w:p>
        </w:tc>
        <w:tc>
          <w:tcPr>
            <w:tcW w:w="100" w:type="dxa"/>
            <w:tcBorders>
              <w:top w:val="single" w:sz="8" w:space="0" w:color="C7C9C7"/>
              <w:left w:val="nil"/>
              <w:bottom w:val="single" w:sz="8" w:space="0" w:color="F4F4F4"/>
              <w:right w:val="nil"/>
            </w:tcBorders>
            <w:tcMar>
              <w:top w:w="0" w:type="dxa"/>
              <w:left w:w="0" w:type="dxa"/>
              <w:bottom w:w="0" w:type="dxa"/>
              <w:right w:w="15" w:type="dxa"/>
            </w:tcMar>
            <w:vAlign w:val="bottom"/>
          </w:tcPr>
          <w:p w14:paraId="62AADEC4" w14:textId="77777777" w:rsidR="001614AC" w:rsidRDefault="001614AC">
            <w:pPr>
              <w:spacing w:before="55" w:after="30" w:line="288" w:lineRule="auto"/>
              <w:jc w:val="right"/>
            </w:pPr>
          </w:p>
        </w:tc>
        <w:tc>
          <w:tcPr>
            <w:tcW w:w="105" w:type="dxa"/>
            <w:tcBorders>
              <w:top w:val="single" w:sz="8" w:space="0" w:color="C7C9C7"/>
              <w:left w:val="nil"/>
              <w:bottom w:val="nil"/>
              <w:right w:val="nil"/>
            </w:tcBorders>
            <w:tcMar>
              <w:top w:w="0" w:type="dxa"/>
              <w:left w:w="0" w:type="dxa"/>
              <w:bottom w:w="0" w:type="dxa"/>
              <w:right w:w="0" w:type="dxa"/>
            </w:tcMar>
            <w:vAlign w:val="bottom"/>
          </w:tcPr>
          <w:p w14:paraId="5030F5F8" w14:textId="77777777" w:rsidR="001614AC" w:rsidRDefault="001614AC"/>
        </w:tc>
        <w:tc>
          <w:tcPr>
            <w:tcW w:w="905" w:type="dxa"/>
            <w:gridSpan w:val="2"/>
            <w:tcBorders>
              <w:top w:val="single" w:sz="8" w:space="0" w:color="C7C9C7"/>
              <w:left w:val="nil"/>
              <w:bottom w:val="single" w:sz="8" w:space="0" w:color="F4F4F4"/>
              <w:right w:val="nil"/>
            </w:tcBorders>
            <w:tcMar>
              <w:top w:w="0" w:type="dxa"/>
              <w:left w:w="53" w:type="dxa"/>
              <w:bottom w:w="0" w:type="dxa"/>
              <w:right w:w="0" w:type="dxa"/>
            </w:tcMar>
            <w:vAlign w:val="bottom"/>
          </w:tcPr>
          <w:p w14:paraId="01591319" w14:textId="77777777" w:rsidR="001614AC" w:rsidRDefault="004468F9">
            <w:pPr>
              <w:spacing w:before="55" w:after="30" w:line="288" w:lineRule="auto"/>
              <w:jc w:val="right"/>
            </w:pPr>
            <w:r>
              <w:rPr>
                <w:rFonts w:ascii="Arial" w:eastAsia="Arial" w:hAnsi="Arial" w:cs="Arial"/>
                <w:color w:val="000000"/>
                <w:sz w:val="18"/>
              </w:rPr>
              <w:t>304,418 </w:t>
            </w:r>
          </w:p>
        </w:tc>
        <w:tc>
          <w:tcPr>
            <w:tcW w:w="100" w:type="dxa"/>
            <w:tcBorders>
              <w:top w:val="single" w:sz="8" w:space="0" w:color="C7C9C7"/>
              <w:left w:val="nil"/>
              <w:bottom w:val="single" w:sz="8" w:space="0" w:color="F4F4F4"/>
              <w:right w:val="nil"/>
            </w:tcBorders>
            <w:tcMar>
              <w:top w:w="0" w:type="dxa"/>
              <w:left w:w="0" w:type="dxa"/>
              <w:bottom w:w="0" w:type="dxa"/>
              <w:right w:w="15" w:type="dxa"/>
            </w:tcMar>
            <w:vAlign w:val="bottom"/>
          </w:tcPr>
          <w:p w14:paraId="513E5E0E" w14:textId="77777777" w:rsidR="001614AC" w:rsidRDefault="001614AC">
            <w:pPr>
              <w:spacing w:before="55" w:after="30" w:line="288" w:lineRule="auto"/>
              <w:jc w:val="right"/>
            </w:pPr>
          </w:p>
        </w:tc>
        <w:tc>
          <w:tcPr>
            <w:tcW w:w="105" w:type="dxa"/>
            <w:tcBorders>
              <w:top w:val="single" w:sz="8" w:space="0" w:color="C7C9C7"/>
              <w:left w:val="nil"/>
              <w:bottom w:val="nil"/>
              <w:right w:val="nil"/>
            </w:tcBorders>
            <w:tcMar>
              <w:top w:w="0" w:type="dxa"/>
              <w:left w:w="0" w:type="dxa"/>
              <w:bottom w:w="0" w:type="dxa"/>
              <w:right w:w="0" w:type="dxa"/>
            </w:tcMar>
            <w:vAlign w:val="bottom"/>
          </w:tcPr>
          <w:p w14:paraId="60AB0CDC" w14:textId="77777777" w:rsidR="001614AC" w:rsidRDefault="001614AC"/>
        </w:tc>
        <w:tc>
          <w:tcPr>
            <w:tcW w:w="905" w:type="dxa"/>
            <w:gridSpan w:val="2"/>
            <w:tcBorders>
              <w:top w:val="single" w:sz="8" w:space="0" w:color="C7C9C7"/>
              <w:left w:val="nil"/>
              <w:bottom w:val="single" w:sz="8" w:space="0" w:color="F4F4F4"/>
              <w:right w:val="nil"/>
            </w:tcBorders>
            <w:tcMar>
              <w:top w:w="0" w:type="dxa"/>
              <w:left w:w="53" w:type="dxa"/>
              <w:bottom w:w="0" w:type="dxa"/>
              <w:right w:w="0" w:type="dxa"/>
            </w:tcMar>
            <w:vAlign w:val="bottom"/>
          </w:tcPr>
          <w:p w14:paraId="1D194E0F" w14:textId="77777777" w:rsidR="001614AC" w:rsidRDefault="004468F9">
            <w:pPr>
              <w:spacing w:before="55" w:after="30" w:line="288" w:lineRule="auto"/>
              <w:jc w:val="right"/>
            </w:pPr>
            <w:r>
              <w:rPr>
                <w:rFonts w:ascii="Arial" w:eastAsia="Arial" w:hAnsi="Arial" w:cs="Arial"/>
                <w:color w:val="000000"/>
                <w:sz w:val="18"/>
              </w:rPr>
              <w:t>49,791 </w:t>
            </w:r>
          </w:p>
        </w:tc>
        <w:tc>
          <w:tcPr>
            <w:tcW w:w="100" w:type="dxa"/>
            <w:tcBorders>
              <w:top w:val="single" w:sz="8" w:space="0" w:color="C7C9C7"/>
              <w:left w:val="nil"/>
              <w:bottom w:val="single" w:sz="8" w:space="0" w:color="F4F4F4"/>
              <w:right w:val="nil"/>
            </w:tcBorders>
            <w:tcMar>
              <w:top w:w="0" w:type="dxa"/>
              <w:left w:w="0" w:type="dxa"/>
              <w:bottom w:w="0" w:type="dxa"/>
              <w:right w:w="15" w:type="dxa"/>
            </w:tcMar>
            <w:vAlign w:val="bottom"/>
          </w:tcPr>
          <w:p w14:paraId="6ED44BC5" w14:textId="77777777" w:rsidR="001614AC" w:rsidRDefault="001614AC">
            <w:pPr>
              <w:spacing w:before="55" w:after="30" w:line="288" w:lineRule="auto"/>
              <w:jc w:val="right"/>
            </w:pPr>
          </w:p>
        </w:tc>
        <w:tc>
          <w:tcPr>
            <w:tcW w:w="105" w:type="dxa"/>
            <w:tcBorders>
              <w:top w:val="single" w:sz="8" w:space="0" w:color="C7C9C7"/>
              <w:left w:val="nil"/>
              <w:bottom w:val="nil"/>
              <w:right w:val="nil"/>
            </w:tcBorders>
            <w:tcMar>
              <w:top w:w="0" w:type="dxa"/>
              <w:left w:w="0" w:type="dxa"/>
              <w:bottom w:w="0" w:type="dxa"/>
              <w:right w:w="0" w:type="dxa"/>
            </w:tcMar>
            <w:vAlign w:val="bottom"/>
          </w:tcPr>
          <w:p w14:paraId="616BB8DA" w14:textId="77777777" w:rsidR="001614AC" w:rsidRDefault="001614AC"/>
        </w:tc>
        <w:tc>
          <w:tcPr>
            <w:tcW w:w="905" w:type="dxa"/>
            <w:gridSpan w:val="2"/>
            <w:tcBorders>
              <w:top w:val="single" w:sz="8" w:space="0" w:color="C7C9C7"/>
              <w:left w:val="nil"/>
              <w:bottom w:val="single" w:sz="8" w:space="0" w:color="F4F4F4"/>
              <w:right w:val="nil"/>
            </w:tcBorders>
            <w:tcMar>
              <w:top w:w="0" w:type="dxa"/>
              <w:left w:w="53" w:type="dxa"/>
              <w:bottom w:w="0" w:type="dxa"/>
              <w:right w:w="0" w:type="dxa"/>
            </w:tcMar>
            <w:vAlign w:val="bottom"/>
          </w:tcPr>
          <w:p w14:paraId="7C9F7FCC" w14:textId="77777777" w:rsidR="001614AC" w:rsidRDefault="004468F9">
            <w:pPr>
              <w:spacing w:before="55" w:after="30" w:line="288" w:lineRule="auto"/>
              <w:jc w:val="right"/>
            </w:pPr>
            <w:r>
              <w:rPr>
                <w:rFonts w:ascii="Arial" w:eastAsia="Arial" w:hAnsi="Arial" w:cs="Arial"/>
                <w:color w:val="000000"/>
                <w:sz w:val="18"/>
              </w:rPr>
              <w:t>340,369 </w:t>
            </w:r>
          </w:p>
        </w:tc>
        <w:tc>
          <w:tcPr>
            <w:tcW w:w="100" w:type="dxa"/>
            <w:tcBorders>
              <w:top w:val="single" w:sz="8" w:space="0" w:color="C7C9C7"/>
              <w:left w:val="nil"/>
              <w:bottom w:val="single" w:sz="8" w:space="0" w:color="F4F4F4"/>
              <w:right w:val="nil"/>
            </w:tcBorders>
            <w:tcMar>
              <w:top w:w="0" w:type="dxa"/>
              <w:left w:w="0" w:type="dxa"/>
              <w:bottom w:w="0" w:type="dxa"/>
              <w:right w:w="15" w:type="dxa"/>
            </w:tcMar>
            <w:vAlign w:val="bottom"/>
          </w:tcPr>
          <w:p w14:paraId="0DF6B7F0" w14:textId="77777777" w:rsidR="001614AC" w:rsidRDefault="001614AC">
            <w:pPr>
              <w:spacing w:before="55" w:after="30" w:line="288" w:lineRule="auto"/>
              <w:jc w:val="right"/>
            </w:pPr>
          </w:p>
        </w:tc>
      </w:tr>
      <w:tr w:rsidR="001614AC" w14:paraId="78CEBF1A" w14:textId="77777777">
        <w:trPr>
          <w:cantSplit/>
        </w:trPr>
        <w:tc>
          <w:tcPr>
            <w:tcW w:w="5640" w:type="dxa"/>
            <w:tcBorders>
              <w:top w:val="single" w:sz="8" w:space="0" w:color="F4F4F4"/>
              <w:left w:val="nil"/>
              <w:bottom w:val="single" w:sz="8" w:space="0" w:color="F4F4F4"/>
              <w:right w:val="nil"/>
            </w:tcBorders>
            <w:tcMar>
              <w:top w:w="0" w:type="dxa"/>
              <w:left w:w="53" w:type="dxa"/>
              <w:bottom w:w="0" w:type="dxa"/>
              <w:right w:w="53" w:type="dxa"/>
            </w:tcMar>
            <w:vAlign w:val="bottom"/>
          </w:tcPr>
          <w:p w14:paraId="5ABB3299" w14:textId="77777777" w:rsidR="001614AC" w:rsidRDefault="004468F9">
            <w:pPr>
              <w:spacing w:before="55" w:after="30" w:line="288" w:lineRule="auto"/>
            </w:pPr>
            <w:r>
              <w:rPr>
                <w:rFonts w:ascii="Arial" w:eastAsia="Arial" w:hAnsi="Arial" w:cs="Arial"/>
                <w:color w:val="000000"/>
                <w:sz w:val="18"/>
              </w:rPr>
              <w:t>Policy acquisition costs</w:t>
            </w:r>
          </w:p>
        </w:tc>
        <w:tc>
          <w:tcPr>
            <w:tcW w:w="105" w:type="dxa"/>
            <w:tcBorders>
              <w:top w:val="nil"/>
              <w:left w:val="nil"/>
              <w:bottom w:val="nil"/>
              <w:right w:val="nil"/>
            </w:tcBorders>
            <w:tcMar>
              <w:top w:w="0" w:type="dxa"/>
              <w:left w:w="0" w:type="dxa"/>
              <w:bottom w:w="0" w:type="dxa"/>
              <w:right w:w="0" w:type="dxa"/>
            </w:tcMar>
            <w:vAlign w:val="bottom"/>
          </w:tcPr>
          <w:p w14:paraId="5A91110A" w14:textId="77777777" w:rsidR="001614AC" w:rsidRDefault="001614AC"/>
        </w:tc>
        <w:tc>
          <w:tcPr>
            <w:tcW w:w="905"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0A479756" w14:textId="77777777" w:rsidR="001614AC" w:rsidRDefault="004468F9">
            <w:pPr>
              <w:spacing w:before="55" w:after="30" w:line="288" w:lineRule="auto"/>
              <w:jc w:val="right"/>
            </w:pPr>
            <w:r>
              <w:rPr>
                <w:rFonts w:ascii="Arial" w:eastAsia="Arial" w:hAnsi="Arial" w:cs="Arial"/>
                <w:color w:val="000000"/>
                <w:sz w:val="18"/>
              </w:rPr>
              <w:t>4,838 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77856487" w14:textId="77777777" w:rsidR="001614AC" w:rsidRDefault="001614AC">
            <w:pPr>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536E8847" w14:textId="77777777" w:rsidR="001614AC" w:rsidRDefault="001614AC"/>
        </w:tc>
        <w:tc>
          <w:tcPr>
            <w:tcW w:w="905"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526EE1BC" w14:textId="77777777" w:rsidR="001614AC" w:rsidRDefault="004468F9">
            <w:pPr>
              <w:spacing w:before="55" w:after="30" w:line="288" w:lineRule="auto"/>
              <w:jc w:val="right"/>
            </w:pPr>
            <w:r>
              <w:rPr>
                <w:rFonts w:ascii="Arial" w:eastAsia="Arial" w:hAnsi="Arial" w:cs="Arial"/>
                <w:color w:val="000000"/>
                <w:sz w:val="18"/>
              </w:rPr>
              <w:t>6,015 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02D6D041" w14:textId="77777777" w:rsidR="001614AC" w:rsidRDefault="001614AC">
            <w:pPr>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05FFF0C2" w14:textId="77777777" w:rsidR="001614AC" w:rsidRDefault="001614AC"/>
        </w:tc>
        <w:tc>
          <w:tcPr>
            <w:tcW w:w="905"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46C3FD39" w14:textId="77777777" w:rsidR="001614AC" w:rsidRDefault="004468F9">
            <w:pPr>
              <w:spacing w:before="55" w:after="30" w:line="288" w:lineRule="auto"/>
              <w:jc w:val="right"/>
            </w:pPr>
            <w:r>
              <w:rPr>
                <w:rFonts w:ascii="Arial" w:eastAsia="Arial" w:hAnsi="Arial" w:cs="Arial"/>
                <w:color w:val="000000"/>
                <w:sz w:val="18"/>
              </w:rPr>
              <w:t>13,834 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67D64DC2" w14:textId="77777777" w:rsidR="001614AC" w:rsidRDefault="001614AC">
            <w:pPr>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23720922" w14:textId="77777777" w:rsidR="001614AC" w:rsidRDefault="001614AC"/>
        </w:tc>
        <w:tc>
          <w:tcPr>
            <w:tcW w:w="905"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68D52847" w14:textId="77777777" w:rsidR="001614AC" w:rsidRDefault="004468F9">
            <w:pPr>
              <w:spacing w:before="55" w:after="30" w:line="288" w:lineRule="auto"/>
              <w:jc w:val="right"/>
            </w:pPr>
            <w:r>
              <w:rPr>
                <w:rFonts w:ascii="Arial" w:eastAsia="Arial" w:hAnsi="Arial" w:cs="Arial"/>
                <w:color w:val="000000"/>
                <w:sz w:val="18"/>
              </w:rPr>
              <w:t>13,428 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54771E35" w14:textId="77777777" w:rsidR="001614AC" w:rsidRDefault="001614AC">
            <w:pPr>
              <w:spacing w:before="55" w:after="30" w:line="288" w:lineRule="auto"/>
              <w:jc w:val="right"/>
            </w:pPr>
          </w:p>
        </w:tc>
      </w:tr>
      <w:tr w:rsidR="001614AC" w14:paraId="541DA0CD" w14:textId="77777777">
        <w:trPr>
          <w:cantSplit/>
        </w:trPr>
        <w:tc>
          <w:tcPr>
            <w:tcW w:w="5640" w:type="dxa"/>
            <w:tcBorders>
              <w:top w:val="single" w:sz="8" w:space="0" w:color="F4F4F4"/>
              <w:left w:val="nil"/>
              <w:bottom w:val="single" w:sz="8" w:space="0" w:color="F4F4F4"/>
              <w:right w:val="nil"/>
            </w:tcBorders>
            <w:tcMar>
              <w:top w:w="0" w:type="dxa"/>
              <w:left w:w="53" w:type="dxa"/>
              <w:bottom w:w="0" w:type="dxa"/>
              <w:right w:w="53" w:type="dxa"/>
            </w:tcMar>
            <w:vAlign w:val="bottom"/>
          </w:tcPr>
          <w:p w14:paraId="2E863F35" w14:textId="77777777" w:rsidR="001614AC" w:rsidRDefault="004468F9">
            <w:pPr>
              <w:spacing w:before="55" w:after="30" w:line="288" w:lineRule="auto"/>
            </w:pPr>
            <w:r>
              <w:rPr>
                <w:rFonts w:ascii="Arial" w:eastAsia="Arial" w:hAnsi="Arial" w:cs="Arial"/>
                <w:color w:val="000000"/>
                <w:sz w:val="18"/>
              </w:rPr>
              <w:t>Cost of services</w:t>
            </w:r>
          </w:p>
        </w:tc>
        <w:tc>
          <w:tcPr>
            <w:tcW w:w="105" w:type="dxa"/>
            <w:tcBorders>
              <w:top w:val="nil"/>
              <w:left w:val="nil"/>
              <w:bottom w:val="nil"/>
              <w:right w:val="nil"/>
            </w:tcBorders>
            <w:tcMar>
              <w:top w:w="0" w:type="dxa"/>
              <w:left w:w="0" w:type="dxa"/>
              <w:bottom w:w="0" w:type="dxa"/>
              <w:right w:w="0" w:type="dxa"/>
            </w:tcMar>
            <w:vAlign w:val="bottom"/>
          </w:tcPr>
          <w:p w14:paraId="6F33AA58" w14:textId="77777777" w:rsidR="001614AC" w:rsidRDefault="001614AC"/>
        </w:tc>
        <w:tc>
          <w:tcPr>
            <w:tcW w:w="905"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2C1AE6DC" w14:textId="77777777" w:rsidR="001614AC" w:rsidRDefault="004468F9">
            <w:pPr>
              <w:spacing w:before="55" w:after="30" w:line="288" w:lineRule="auto"/>
              <w:jc w:val="right"/>
            </w:pPr>
            <w:r>
              <w:rPr>
                <w:rFonts w:ascii="Arial" w:eastAsia="Arial" w:hAnsi="Arial" w:cs="Arial"/>
                <w:color w:val="000000"/>
                <w:sz w:val="18"/>
              </w:rPr>
              <w:t>24,615 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1F174730" w14:textId="77777777" w:rsidR="001614AC" w:rsidRDefault="001614AC">
            <w:pPr>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5B12B7EE" w14:textId="77777777" w:rsidR="001614AC" w:rsidRDefault="001614AC"/>
        </w:tc>
        <w:tc>
          <w:tcPr>
            <w:tcW w:w="905"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782707D7" w14:textId="77777777" w:rsidR="001614AC" w:rsidRDefault="004468F9">
            <w:pPr>
              <w:spacing w:before="55" w:after="30" w:line="288" w:lineRule="auto"/>
              <w:jc w:val="right"/>
            </w:pPr>
            <w:r>
              <w:rPr>
                <w:rFonts w:ascii="Arial" w:eastAsia="Arial" w:hAnsi="Arial" w:cs="Arial"/>
                <w:color w:val="000000"/>
                <w:sz w:val="18"/>
              </w:rPr>
              <w:t>17,972 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0C64AFE8" w14:textId="77777777" w:rsidR="001614AC" w:rsidRDefault="001614AC">
            <w:pPr>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0DBD00DF" w14:textId="77777777" w:rsidR="001614AC" w:rsidRDefault="001614AC"/>
        </w:tc>
        <w:tc>
          <w:tcPr>
            <w:tcW w:w="905"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26D71739" w14:textId="77777777" w:rsidR="001614AC" w:rsidRDefault="004468F9">
            <w:pPr>
              <w:spacing w:before="55" w:after="30" w:line="288" w:lineRule="auto"/>
              <w:jc w:val="right"/>
            </w:pPr>
            <w:r>
              <w:rPr>
                <w:rFonts w:ascii="Arial" w:eastAsia="Arial" w:hAnsi="Arial" w:cs="Arial"/>
                <w:color w:val="000000"/>
                <w:sz w:val="18"/>
              </w:rPr>
              <w:t>44,861 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24A29FA1" w14:textId="77777777" w:rsidR="001614AC" w:rsidRDefault="001614AC">
            <w:pPr>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0DD2A6A1" w14:textId="77777777" w:rsidR="001614AC" w:rsidRDefault="001614AC"/>
        </w:tc>
        <w:tc>
          <w:tcPr>
            <w:tcW w:w="905"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654F185F" w14:textId="77777777" w:rsidR="001614AC" w:rsidRDefault="004468F9">
            <w:pPr>
              <w:spacing w:before="55" w:after="30" w:line="288" w:lineRule="auto"/>
              <w:jc w:val="right"/>
            </w:pPr>
            <w:r>
              <w:rPr>
                <w:rFonts w:ascii="Arial" w:eastAsia="Arial" w:hAnsi="Arial" w:cs="Arial"/>
                <w:color w:val="000000"/>
                <w:sz w:val="18"/>
              </w:rPr>
              <w:t>40,113 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2666E2F5" w14:textId="77777777" w:rsidR="001614AC" w:rsidRDefault="001614AC">
            <w:pPr>
              <w:spacing w:before="55" w:after="30" w:line="288" w:lineRule="auto"/>
              <w:jc w:val="right"/>
            </w:pPr>
          </w:p>
        </w:tc>
      </w:tr>
      <w:tr w:rsidR="001614AC" w14:paraId="67BBDF1C" w14:textId="77777777">
        <w:trPr>
          <w:cantSplit/>
        </w:trPr>
        <w:tc>
          <w:tcPr>
            <w:tcW w:w="5640" w:type="dxa"/>
            <w:tcBorders>
              <w:top w:val="single" w:sz="8" w:space="0" w:color="F4F4F4"/>
              <w:left w:val="nil"/>
              <w:bottom w:val="single" w:sz="8" w:space="0" w:color="F4F4F4"/>
              <w:right w:val="nil"/>
            </w:tcBorders>
            <w:tcMar>
              <w:top w:w="0" w:type="dxa"/>
              <w:left w:w="53" w:type="dxa"/>
              <w:bottom w:w="0" w:type="dxa"/>
              <w:right w:w="53" w:type="dxa"/>
            </w:tcMar>
            <w:vAlign w:val="bottom"/>
          </w:tcPr>
          <w:p w14:paraId="0FAEC379" w14:textId="77777777" w:rsidR="001614AC" w:rsidRDefault="004468F9">
            <w:pPr>
              <w:spacing w:before="55" w:after="30" w:line="288" w:lineRule="auto"/>
            </w:pPr>
            <w:r>
              <w:rPr>
                <w:rFonts w:ascii="Arial" w:eastAsia="Arial" w:hAnsi="Arial" w:cs="Arial"/>
                <w:color w:val="000000"/>
                <w:sz w:val="18"/>
              </w:rPr>
              <w:t>Other operating expenses</w:t>
            </w:r>
          </w:p>
        </w:tc>
        <w:tc>
          <w:tcPr>
            <w:tcW w:w="105" w:type="dxa"/>
            <w:tcBorders>
              <w:top w:val="nil"/>
              <w:left w:val="nil"/>
              <w:bottom w:val="nil"/>
              <w:right w:val="nil"/>
            </w:tcBorders>
            <w:tcMar>
              <w:top w:w="0" w:type="dxa"/>
              <w:left w:w="0" w:type="dxa"/>
              <w:bottom w:w="0" w:type="dxa"/>
              <w:right w:w="0" w:type="dxa"/>
            </w:tcMar>
            <w:vAlign w:val="bottom"/>
          </w:tcPr>
          <w:p w14:paraId="3E8DBB1E" w14:textId="77777777" w:rsidR="001614AC" w:rsidRDefault="001614AC"/>
        </w:tc>
        <w:tc>
          <w:tcPr>
            <w:tcW w:w="905"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5E5056A6" w14:textId="77777777" w:rsidR="001614AC" w:rsidRDefault="004468F9">
            <w:pPr>
              <w:spacing w:before="55" w:after="30" w:line="288" w:lineRule="auto"/>
              <w:jc w:val="right"/>
            </w:pPr>
            <w:r>
              <w:rPr>
                <w:rFonts w:ascii="Arial" w:eastAsia="Arial" w:hAnsi="Arial" w:cs="Arial"/>
                <w:color w:val="000000"/>
                <w:sz w:val="18"/>
              </w:rPr>
              <w:t>86,469 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4B18F599" w14:textId="77777777" w:rsidR="001614AC" w:rsidRDefault="001614AC">
            <w:pPr>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1792B983" w14:textId="77777777" w:rsidR="001614AC" w:rsidRDefault="001614AC"/>
        </w:tc>
        <w:tc>
          <w:tcPr>
            <w:tcW w:w="905"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72E3A2A4" w14:textId="77777777" w:rsidR="001614AC" w:rsidRDefault="004468F9">
            <w:pPr>
              <w:spacing w:before="55" w:after="30" w:line="288" w:lineRule="auto"/>
              <w:jc w:val="right"/>
            </w:pPr>
            <w:r>
              <w:rPr>
                <w:rFonts w:ascii="Arial" w:eastAsia="Arial" w:hAnsi="Arial" w:cs="Arial"/>
                <w:color w:val="000000"/>
                <w:sz w:val="18"/>
              </w:rPr>
              <w:t>60,582 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21E3556E" w14:textId="77777777" w:rsidR="001614AC" w:rsidRDefault="001614AC">
            <w:pPr>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29512D83" w14:textId="77777777" w:rsidR="001614AC" w:rsidRDefault="001614AC"/>
        </w:tc>
        <w:tc>
          <w:tcPr>
            <w:tcW w:w="905"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2A4BB82F" w14:textId="77777777" w:rsidR="001614AC" w:rsidRDefault="004468F9">
            <w:pPr>
              <w:spacing w:before="55" w:after="30" w:line="288" w:lineRule="auto"/>
              <w:jc w:val="right"/>
            </w:pPr>
            <w:r>
              <w:rPr>
                <w:rFonts w:ascii="Arial" w:eastAsia="Arial" w:hAnsi="Arial" w:cs="Arial"/>
                <w:color w:val="000000"/>
                <w:sz w:val="18"/>
              </w:rPr>
              <w:t>156,731 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35E5A264" w14:textId="77777777" w:rsidR="001614AC" w:rsidRDefault="001614AC">
            <w:pPr>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45939C76" w14:textId="77777777" w:rsidR="001614AC" w:rsidRDefault="001614AC"/>
        </w:tc>
        <w:tc>
          <w:tcPr>
            <w:tcW w:w="905"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4AE6354E" w14:textId="77777777" w:rsidR="001614AC" w:rsidRDefault="004468F9">
            <w:pPr>
              <w:spacing w:before="55" w:after="30" w:line="288" w:lineRule="auto"/>
              <w:jc w:val="right"/>
            </w:pPr>
            <w:r>
              <w:rPr>
                <w:rFonts w:ascii="Arial" w:eastAsia="Arial" w:hAnsi="Arial" w:cs="Arial"/>
                <w:color w:val="000000"/>
                <w:sz w:val="18"/>
              </w:rPr>
              <w:t>129,692 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7C97D463" w14:textId="77777777" w:rsidR="001614AC" w:rsidRDefault="001614AC">
            <w:pPr>
              <w:spacing w:before="55" w:after="30" w:line="288" w:lineRule="auto"/>
              <w:jc w:val="right"/>
            </w:pPr>
          </w:p>
        </w:tc>
      </w:tr>
      <w:tr w:rsidR="001614AC" w14:paraId="71F0C465" w14:textId="77777777">
        <w:trPr>
          <w:cantSplit/>
        </w:trPr>
        <w:tc>
          <w:tcPr>
            <w:tcW w:w="5640" w:type="dxa"/>
            <w:tcBorders>
              <w:top w:val="single" w:sz="8" w:space="0" w:color="F4F4F4"/>
              <w:left w:val="nil"/>
              <w:bottom w:val="single" w:sz="8" w:space="0" w:color="F4F4F4"/>
              <w:right w:val="nil"/>
            </w:tcBorders>
            <w:tcMar>
              <w:top w:w="0" w:type="dxa"/>
              <w:left w:w="53" w:type="dxa"/>
              <w:bottom w:w="0" w:type="dxa"/>
              <w:right w:w="53" w:type="dxa"/>
            </w:tcMar>
            <w:vAlign w:val="bottom"/>
          </w:tcPr>
          <w:p w14:paraId="2D6B2CD5" w14:textId="77777777" w:rsidR="001614AC" w:rsidRDefault="004468F9">
            <w:pPr>
              <w:spacing w:before="55" w:after="30" w:line="288" w:lineRule="auto"/>
            </w:pPr>
            <w:r>
              <w:rPr>
                <w:rFonts w:ascii="Arial" w:eastAsia="Arial" w:hAnsi="Arial" w:cs="Arial"/>
                <w:color w:val="000000"/>
                <w:sz w:val="18"/>
              </w:rPr>
              <w:t>Interest expense</w:t>
            </w:r>
          </w:p>
        </w:tc>
        <w:tc>
          <w:tcPr>
            <w:tcW w:w="105" w:type="dxa"/>
            <w:tcBorders>
              <w:top w:val="nil"/>
              <w:left w:val="nil"/>
              <w:bottom w:val="nil"/>
              <w:right w:val="nil"/>
            </w:tcBorders>
            <w:tcMar>
              <w:top w:w="0" w:type="dxa"/>
              <w:left w:w="0" w:type="dxa"/>
              <w:bottom w:w="0" w:type="dxa"/>
              <w:right w:w="0" w:type="dxa"/>
            </w:tcMar>
            <w:vAlign w:val="bottom"/>
          </w:tcPr>
          <w:p w14:paraId="03A3C44B" w14:textId="77777777" w:rsidR="001614AC" w:rsidRDefault="001614AC"/>
        </w:tc>
        <w:tc>
          <w:tcPr>
            <w:tcW w:w="905"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3CAE2DB7" w14:textId="77777777" w:rsidR="001614AC" w:rsidRDefault="004468F9">
            <w:pPr>
              <w:spacing w:before="55" w:after="30" w:line="288" w:lineRule="auto"/>
              <w:jc w:val="right"/>
            </w:pPr>
            <w:r>
              <w:rPr>
                <w:rFonts w:ascii="Arial" w:eastAsia="Arial" w:hAnsi="Arial" w:cs="Arial"/>
                <w:color w:val="000000"/>
                <w:sz w:val="18"/>
              </w:rPr>
              <w:t>21,065 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011C8F5D" w14:textId="77777777" w:rsidR="001614AC" w:rsidRDefault="001614AC">
            <w:pPr>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3FB49A02" w14:textId="77777777" w:rsidR="001614AC" w:rsidRDefault="001614AC"/>
        </w:tc>
        <w:tc>
          <w:tcPr>
            <w:tcW w:w="905"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0E85138D" w14:textId="77777777" w:rsidR="001614AC" w:rsidRDefault="004468F9">
            <w:pPr>
              <w:spacing w:before="55" w:after="30" w:line="288" w:lineRule="auto"/>
              <w:jc w:val="right"/>
            </w:pPr>
            <w:r>
              <w:rPr>
                <w:rFonts w:ascii="Arial" w:eastAsia="Arial" w:hAnsi="Arial" w:cs="Arial"/>
                <w:color w:val="000000"/>
                <w:sz w:val="18"/>
              </w:rPr>
              <w:t>16,699 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224BB87B" w14:textId="77777777" w:rsidR="001614AC" w:rsidRDefault="001614AC">
            <w:pPr>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4DF0F942" w14:textId="77777777" w:rsidR="001614AC" w:rsidRDefault="001614AC"/>
        </w:tc>
        <w:tc>
          <w:tcPr>
            <w:tcW w:w="905"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30974A1F" w14:textId="77777777" w:rsidR="001614AC" w:rsidRDefault="004468F9">
            <w:pPr>
              <w:spacing w:before="55" w:after="30" w:line="288" w:lineRule="auto"/>
              <w:jc w:val="right"/>
            </w:pPr>
            <w:r>
              <w:rPr>
                <w:rFonts w:ascii="Arial" w:eastAsia="Arial" w:hAnsi="Arial" w:cs="Arial"/>
                <w:color w:val="000000"/>
                <w:sz w:val="18"/>
              </w:rPr>
              <w:t>42,180 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37034561" w14:textId="77777777" w:rsidR="001614AC" w:rsidRDefault="001614AC">
            <w:pPr>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138963F9" w14:textId="77777777" w:rsidR="001614AC" w:rsidRDefault="001614AC"/>
        </w:tc>
        <w:tc>
          <w:tcPr>
            <w:tcW w:w="905"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18CCF0BF" w14:textId="77777777" w:rsidR="001614AC" w:rsidRDefault="004468F9">
            <w:pPr>
              <w:spacing w:before="55" w:after="30" w:line="288" w:lineRule="auto"/>
              <w:jc w:val="right"/>
            </w:pPr>
            <w:r>
              <w:rPr>
                <w:rFonts w:ascii="Arial" w:eastAsia="Arial" w:hAnsi="Arial" w:cs="Arial"/>
                <w:color w:val="000000"/>
                <w:sz w:val="18"/>
              </w:rPr>
              <w:t>28,893 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093C8617" w14:textId="77777777" w:rsidR="001614AC" w:rsidRDefault="001614AC">
            <w:pPr>
              <w:spacing w:before="55" w:after="30" w:line="288" w:lineRule="auto"/>
              <w:jc w:val="right"/>
            </w:pPr>
          </w:p>
        </w:tc>
      </w:tr>
      <w:tr w:rsidR="001614AC" w14:paraId="104B019B" w14:textId="77777777">
        <w:trPr>
          <w:cantSplit/>
        </w:trPr>
        <w:tc>
          <w:tcPr>
            <w:tcW w:w="5640" w:type="dxa"/>
            <w:tcBorders>
              <w:top w:val="single" w:sz="8" w:space="0" w:color="F4F4F4"/>
              <w:left w:val="nil"/>
              <w:bottom w:val="nil"/>
              <w:right w:val="nil"/>
            </w:tcBorders>
            <w:tcMar>
              <w:top w:w="0" w:type="dxa"/>
              <w:left w:w="53" w:type="dxa"/>
              <w:bottom w:w="0" w:type="dxa"/>
              <w:right w:w="53" w:type="dxa"/>
            </w:tcMar>
            <w:vAlign w:val="bottom"/>
          </w:tcPr>
          <w:p w14:paraId="3CAB3EB1" w14:textId="77777777" w:rsidR="001614AC" w:rsidRDefault="004468F9">
            <w:pPr>
              <w:spacing w:before="55" w:after="30" w:line="288" w:lineRule="auto"/>
            </w:pPr>
            <w:r>
              <w:rPr>
                <w:rFonts w:ascii="Arial" w:eastAsia="Arial" w:hAnsi="Arial" w:cs="Arial"/>
                <w:color w:val="000000"/>
                <w:sz w:val="18"/>
              </w:rPr>
              <w:t>Amortization and impairment of other acquired intangible assets</w:t>
            </w:r>
          </w:p>
        </w:tc>
        <w:tc>
          <w:tcPr>
            <w:tcW w:w="105" w:type="dxa"/>
            <w:tcBorders>
              <w:top w:val="nil"/>
              <w:left w:val="nil"/>
              <w:bottom w:val="nil"/>
              <w:right w:val="nil"/>
            </w:tcBorders>
            <w:tcMar>
              <w:top w:w="0" w:type="dxa"/>
              <w:left w:w="0" w:type="dxa"/>
              <w:bottom w:w="0" w:type="dxa"/>
              <w:right w:w="0" w:type="dxa"/>
            </w:tcMar>
            <w:vAlign w:val="bottom"/>
          </w:tcPr>
          <w:p w14:paraId="1090EAA4" w14:textId="77777777" w:rsidR="001614AC" w:rsidRDefault="001614AC"/>
        </w:tc>
        <w:tc>
          <w:tcPr>
            <w:tcW w:w="905" w:type="dxa"/>
            <w:gridSpan w:val="2"/>
            <w:tcBorders>
              <w:top w:val="single" w:sz="8" w:space="0" w:color="F4F4F4"/>
              <w:left w:val="nil"/>
              <w:bottom w:val="single" w:sz="8" w:space="0" w:color="C7C9C7"/>
              <w:right w:val="nil"/>
            </w:tcBorders>
            <w:tcMar>
              <w:top w:w="0" w:type="dxa"/>
              <w:left w:w="53" w:type="dxa"/>
              <w:bottom w:w="0" w:type="dxa"/>
              <w:right w:w="0" w:type="dxa"/>
            </w:tcMar>
            <w:vAlign w:val="bottom"/>
          </w:tcPr>
          <w:p w14:paraId="22863CFE" w14:textId="77777777" w:rsidR="001614AC" w:rsidRDefault="004468F9">
            <w:pPr>
              <w:spacing w:before="55" w:after="30" w:line="288" w:lineRule="auto"/>
              <w:jc w:val="right"/>
            </w:pPr>
            <w:r>
              <w:rPr>
                <w:rFonts w:ascii="Arial" w:eastAsia="Arial" w:hAnsi="Arial" w:cs="Arial"/>
                <w:color w:val="000000"/>
                <w:sz w:val="18"/>
              </w:rPr>
              <w:t>863 </w:t>
            </w:r>
          </w:p>
        </w:tc>
        <w:tc>
          <w:tcPr>
            <w:tcW w:w="100" w:type="dxa"/>
            <w:tcBorders>
              <w:top w:val="single" w:sz="8" w:space="0" w:color="F4F4F4"/>
              <w:left w:val="nil"/>
              <w:bottom w:val="single" w:sz="8" w:space="0" w:color="C7C9C7"/>
              <w:right w:val="nil"/>
            </w:tcBorders>
            <w:tcMar>
              <w:top w:w="0" w:type="dxa"/>
              <w:left w:w="0" w:type="dxa"/>
              <w:bottom w:w="0" w:type="dxa"/>
              <w:right w:w="15" w:type="dxa"/>
            </w:tcMar>
            <w:vAlign w:val="bottom"/>
          </w:tcPr>
          <w:p w14:paraId="12DEA495" w14:textId="77777777" w:rsidR="001614AC" w:rsidRDefault="001614AC">
            <w:pPr>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025CA679" w14:textId="77777777" w:rsidR="001614AC" w:rsidRDefault="001614AC"/>
        </w:tc>
        <w:tc>
          <w:tcPr>
            <w:tcW w:w="905" w:type="dxa"/>
            <w:gridSpan w:val="2"/>
            <w:tcBorders>
              <w:top w:val="single" w:sz="8" w:space="0" w:color="F4F4F4"/>
              <w:left w:val="nil"/>
              <w:bottom w:val="single" w:sz="8" w:space="0" w:color="C7C9C7"/>
              <w:right w:val="nil"/>
            </w:tcBorders>
            <w:tcMar>
              <w:top w:w="0" w:type="dxa"/>
              <w:left w:w="53" w:type="dxa"/>
              <w:bottom w:w="0" w:type="dxa"/>
              <w:right w:w="0" w:type="dxa"/>
            </w:tcMar>
            <w:vAlign w:val="bottom"/>
          </w:tcPr>
          <w:p w14:paraId="376B283B" w14:textId="77777777" w:rsidR="001614AC" w:rsidRDefault="004468F9">
            <w:pPr>
              <w:spacing w:before="55" w:after="30" w:line="288" w:lineRule="auto"/>
              <w:jc w:val="right"/>
            </w:pPr>
            <w:r>
              <w:rPr>
                <w:rFonts w:ascii="Arial" w:eastAsia="Arial" w:hAnsi="Arial" w:cs="Arial"/>
                <w:color w:val="000000"/>
                <w:sz w:val="18"/>
              </w:rPr>
              <w:t>979 </w:t>
            </w:r>
          </w:p>
        </w:tc>
        <w:tc>
          <w:tcPr>
            <w:tcW w:w="100" w:type="dxa"/>
            <w:tcBorders>
              <w:top w:val="single" w:sz="8" w:space="0" w:color="F4F4F4"/>
              <w:left w:val="nil"/>
              <w:bottom w:val="single" w:sz="8" w:space="0" w:color="C7C9C7"/>
              <w:right w:val="nil"/>
            </w:tcBorders>
            <w:tcMar>
              <w:top w:w="0" w:type="dxa"/>
              <w:left w:w="0" w:type="dxa"/>
              <w:bottom w:w="0" w:type="dxa"/>
              <w:right w:w="15" w:type="dxa"/>
            </w:tcMar>
            <w:vAlign w:val="bottom"/>
          </w:tcPr>
          <w:p w14:paraId="24F322B9" w14:textId="77777777" w:rsidR="001614AC" w:rsidRDefault="001614AC">
            <w:pPr>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1E87E209" w14:textId="77777777" w:rsidR="001614AC" w:rsidRDefault="001614AC"/>
        </w:tc>
        <w:tc>
          <w:tcPr>
            <w:tcW w:w="905" w:type="dxa"/>
            <w:gridSpan w:val="2"/>
            <w:tcBorders>
              <w:top w:val="single" w:sz="8" w:space="0" w:color="F4F4F4"/>
              <w:left w:val="nil"/>
              <w:bottom w:val="single" w:sz="8" w:space="0" w:color="C7C9C7"/>
              <w:right w:val="nil"/>
            </w:tcBorders>
            <w:tcMar>
              <w:top w:w="0" w:type="dxa"/>
              <w:left w:w="53" w:type="dxa"/>
              <w:bottom w:w="0" w:type="dxa"/>
              <w:right w:w="0" w:type="dxa"/>
            </w:tcMar>
            <w:vAlign w:val="bottom"/>
          </w:tcPr>
          <w:p w14:paraId="5DF72A0A" w14:textId="77777777" w:rsidR="001614AC" w:rsidRDefault="004468F9">
            <w:pPr>
              <w:spacing w:before="55" w:after="30" w:line="288" w:lineRule="auto"/>
              <w:jc w:val="right"/>
            </w:pPr>
            <w:r>
              <w:rPr>
                <w:rFonts w:ascii="Arial" w:eastAsia="Arial" w:hAnsi="Arial" w:cs="Arial"/>
                <w:color w:val="000000"/>
                <w:sz w:val="18"/>
              </w:rPr>
              <w:t>1,725 </w:t>
            </w:r>
          </w:p>
        </w:tc>
        <w:tc>
          <w:tcPr>
            <w:tcW w:w="100" w:type="dxa"/>
            <w:tcBorders>
              <w:top w:val="single" w:sz="8" w:space="0" w:color="F4F4F4"/>
              <w:left w:val="nil"/>
              <w:bottom w:val="single" w:sz="8" w:space="0" w:color="C7C9C7"/>
              <w:right w:val="nil"/>
            </w:tcBorders>
            <w:tcMar>
              <w:top w:w="0" w:type="dxa"/>
              <w:left w:w="0" w:type="dxa"/>
              <w:bottom w:w="0" w:type="dxa"/>
              <w:right w:w="15" w:type="dxa"/>
            </w:tcMar>
            <w:vAlign w:val="bottom"/>
          </w:tcPr>
          <w:p w14:paraId="6E14B95E" w14:textId="77777777" w:rsidR="001614AC" w:rsidRDefault="001614AC">
            <w:pPr>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2C182F08" w14:textId="77777777" w:rsidR="001614AC" w:rsidRDefault="001614AC"/>
        </w:tc>
        <w:tc>
          <w:tcPr>
            <w:tcW w:w="905" w:type="dxa"/>
            <w:gridSpan w:val="2"/>
            <w:tcBorders>
              <w:top w:val="single" w:sz="8" w:space="0" w:color="F4F4F4"/>
              <w:left w:val="nil"/>
              <w:bottom w:val="single" w:sz="8" w:space="0" w:color="C7C9C7"/>
              <w:right w:val="nil"/>
            </w:tcBorders>
            <w:tcMar>
              <w:top w:w="0" w:type="dxa"/>
              <w:left w:w="53" w:type="dxa"/>
              <w:bottom w:w="0" w:type="dxa"/>
              <w:right w:w="0" w:type="dxa"/>
            </w:tcMar>
            <w:vAlign w:val="bottom"/>
          </w:tcPr>
          <w:p w14:paraId="36D0FE54" w14:textId="77777777" w:rsidR="001614AC" w:rsidRDefault="004468F9">
            <w:pPr>
              <w:spacing w:before="55" w:after="30" w:line="288" w:lineRule="auto"/>
              <w:jc w:val="right"/>
            </w:pPr>
            <w:r>
              <w:rPr>
                <w:rFonts w:ascii="Arial" w:eastAsia="Arial" w:hAnsi="Arial" w:cs="Arial"/>
                <w:color w:val="000000"/>
                <w:sz w:val="18"/>
              </w:rPr>
              <w:t>1,958 </w:t>
            </w:r>
          </w:p>
        </w:tc>
        <w:tc>
          <w:tcPr>
            <w:tcW w:w="100" w:type="dxa"/>
            <w:tcBorders>
              <w:top w:val="single" w:sz="8" w:space="0" w:color="F4F4F4"/>
              <w:left w:val="nil"/>
              <w:bottom w:val="single" w:sz="8" w:space="0" w:color="C7C9C7"/>
              <w:right w:val="nil"/>
            </w:tcBorders>
            <w:tcMar>
              <w:top w:w="0" w:type="dxa"/>
              <w:left w:w="0" w:type="dxa"/>
              <w:bottom w:w="0" w:type="dxa"/>
              <w:right w:w="15" w:type="dxa"/>
            </w:tcMar>
            <w:vAlign w:val="bottom"/>
          </w:tcPr>
          <w:p w14:paraId="0AB9ADBE" w14:textId="77777777" w:rsidR="001614AC" w:rsidRDefault="001614AC">
            <w:pPr>
              <w:spacing w:before="55" w:after="30" w:line="288" w:lineRule="auto"/>
              <w:jc w:val="right"/>
            </w:pPr>
          </w:p>
        </w:tc>
      </w:tr>
      <w:tr w:rsidR="001614AC" w14:paraId="78E5338E" w14:textId="77777777">
        <w:trPr>
          <w:cantSplit/>
        </w:trPr>
        <w:tc>
          <w:tcPr>
            <w:tcW w:w="5640" w:type="dxa"/>
            <w:tcBorders>
              <w:top w:val="nil"/>
              <w:left w:val="nil"/>
              <w:bottom w:val="nil"/>
              <w:right w:val="nil"/>
            </w:tcBorders>
            <w:shd w:val="clear" w:color="auto" w:fill="F4F4F4"/>
            <w:tcMar>
              <w:top w:w="0" w:type="dxa"/>
              <w:left w:w="53" w:type="dxa"/>
              <w:bottom w:w="0" w:type="dxa"/>
              <w:right w:w="53" w:type="dxa"/>
            </w:tcMar>
            <w:vAlign w:val="bottom"/>
          </w:tcPr>
          <w:p w14:paraId="288957E6" w14:textId="77777777" w:rsidR="001614AC" w:rsidRDefault="004468F9">
            <w:pPr>
              <w:spacing w:before="75" w:after="30" w:line="288" w:lineRule="auto"/>
            </w:pPr>
            <w:r>
              <w:rPr>
                <w:rFonts w:ascii="Arial" w:eastAsia="Arial" w:hAnsi="Arial" w:cs="Arial"/>
                <w:color w:val="000000"/>
                <w:sz w:val="18"/>
              </w:rPr>
              <w:t>Total expenses</w:t>
            </w:r>
          </w:p>
        </w:tc>
        <w:tc>
          <w:tcPr>
            <w:tcW w:w="105" w:type="dxa"/>
            <w:tcBorders>
              <w:top w:val="nil"/>
              <w:left w:val="nil"/>
              <w:bottom w:val="nil"/>
              <w:right w:val="nil"/>
            </w:tcBorders>
            <w:shd w:val="clear" w:color="auto" w:fill="F4F4F4"/>
            <w:tcMar>
              <w:top w:w="0" w:type="dxa"/>
              <w:left w:w="0" w:type="dxa"/>
              <w:bottom w:w="0" w:type="dxa"/>
              <w:right w:w="0" w:type="dxa"/>
            </w:tcMar>
            <w:vAlign w:val="bottom"/>
          </w:tcPr>
          <w:p w14:paraId="37FDDC0F" w14:textId="77777777" w:rsidR="001614AC" w:rsidRDefault="001614AC"/>
        </w:tc>
        <w:tc>
          <w:tcPr>
            <w:tcW w:w="905" w:type="dxa"/>
            <w:gridSpan w:val="2"/>
            <w:tcBorders>
              <w:top w:val="single" w:sz="8" w:space="0" w:color="C7C9C7"/>
              <w:left w:val="nil"/>
              <w:bottom w:val="single" w:sz="8" w:space="0" w:color="C7C9C7"/>
              <w:right w:val="nil"/>
            </w:tcBorders>
            <w:shd w:val="clear" w:color="auto" w:fill="F4F4F4"/>
            <w:tcMar>
              <w:top w:w="0" w:type="dxa"/>
              <w:left w:w="53" w:type="dxa"/>
              <w:bottom w:w="0" w:type="dxa"/>
              <w:right w:w="0" w:type="dxa"/>
            </w:tcMar>
            <w:vAlign w:val="bottom"/>
          </w:tcPr>
          <w:p w14:paraId="20F00C8F" w14:textId="77777777" w:rsidR="001614AC" w:rsidRDefault="004468F9">
            <w:pPr>
              <w:spacing w:before="55" w:after="30" w:line="288" w:lineRule="auto"/>
              <w:jc w:val="right"/>
            </w:pPr>
            <w:r>
              <w:rPr>
                <w:rFonts w:ascii="Arial" w:eastAsia="Arial" w:hAnsi="Arial" w:cs="Arial"/>
                <w:color w:val="000000"/>
                <w:sz w:val="18"/>
              </w:rPr>
              <w:t>141,498 </w:t>
            </w:r>
          </w:p>
        </w:tc>
        <w:tc>
          <w:tcPr>
            <w:tcW w:w="100" w:type="dxa"/>
            <w:tcBorders>
              <w:top w:val="single" w:sz="8" w:space="0" w:color="C7C9C7"/>
              <w:left w:val="nil"/>
              <w:bottom w:val="single" w:sz="8" w:space="0" w:color="C7C9C7"/>
              <w:right w:val="nil"/>
            </w:tcBorders>
            <w:shd w:val="clear" w:color="auto" w:fill="F4F4F4"/>
            <w:tcMar>
              <w:top w:w="0" w:type="dxa"/>
              <w:left w:w="0" w:type="dxa"/>
              <w:bottom w:w="0" w:type="dxa"/>
              <w:right w:w="15" w:type="dxa"/>
            </w:tcMar>
            <w:vAlign w:val="bottom"/>
          </w:tcPr>
          <w:p w14:paraId="341E8D03" w14:textId="77777777" w:rsidR="001614AC" w:rsidRDefault="001614AC">
            <w:pPr>
              <w:spacing w:before="55" w:after="30" w:line="288" w:lineRule="auto"/>
              <w:jc w:val="right"/>
            </w:pPr>
          </w:p>
        </w:tc>
        <w:tc>
          <w:tcPr>
            <w:tcW w:w="105" w:type="dxa"/>
            <w:tcBorders>
              <w:top w:val="nil"/>
              <w:left w:val="nil"/>
              <w:bottom w:val="nil"/>
              <w:right w:val="nil"/>
            </w:tcBorders>
            <w:shd w:val="clear" w:color="auto" w:fill="F4F4F4"/>
            <w:tcMar>
              <w:top w:w="0" w:type="dxa"/>
              <w:left w:w="0" w:type="dxa"/>
              <w:bottom w:w="0" w:type="dxa"/>
              <w:right w:w="0" w:type="dxa"/>
            </w:tcMar>
            <w:vAlign w:val="bottom"/>
          </w:tcPr>
          <w:p w14:paraId="1314755F" w14:textId="77777777" w:rsidR="001614AC" w:rsidRDefault="001614AC"/>
        </w:tc>
        <w:tc>
          <w:tcPr>
            <w:tcW w:w="905" w:type="dxa"/>
            <w:gridSpan w:val="2"/>
            <w:tcBorders>
              <w:top w:val="single" w:sz="8" w:space="0" w:color="C7C9C7"/>
              <w:left w:val="nil"/>
              <w:bottom w:val="single" w:sz="8" w:space="0" w:color="C7C9C7"/>
              <w:right w:val="nil"/>
            </w:tcBorders>
            <w:shd w:val="clear" w:color="auto" w:fill="F4F4F4"/>
            <w:tcMar>
              <w:top w:w="0" w:type="dxa"/>
              <w:left w:w="53" w:type="dxa"/>
              <w:bottom w:w="0" w:type="dxa"/>
              <w:right w:w="0" w:type="dxa"/>
            </w:tcMar>
            <w:vAlign w:val="bottom"/>
          </w:tcPr>
          <w:p w14:paraId="12E789B8" w14:textId="77777777" w:rsidR="001614AC" w:rsidRDefault="004468F9">
            <w:pPr>
              <w:spacing w:before="55" w:after="30" w:line="288" w:lineRule="auto"/>
              <w:jc w:val="right"/>
            </w:pPr>
            <w:r>
              <w:rPr>
                <w:rFonts w:ascii="Arial" w:eastAsia="Arial" w:hAnsi="Arial" w:cs="Arial"/>
                <w:color w:val="000000"/>
                <w:sz w:val="18"/>
              </w:rPr>
              <w:t>406,665 </w:t>
            </w:r>
          </w:p>
        </w:tc>
        <w:tc>
          <w:tcPr>
            <w:tcW w:w="100" w:type="dxa"/>
            <w:tcBorders>
              <w:top w:val="single" w:sz="8" w:space="0" w:color="C7C9C7"/>
              <w:left w:val="nil"/>
              <w:bottom w:val="single" w:sz="8" w:space="0" w:color="C7C9C7"/>
              <w:right w:val="nil"/>
            </w:tcBorders>
            <w:shd w:val="clear" w:color="auto" w:fill="F4F4F4"/>
            <w:tcMar>
              <w:top w:w="0" w:type="dxa"/>
              <w:left w:w="0" w:type="dxa"/>
              <w:bottom w:w="0" w:type="dxa"/>
              <w:right w:w="15" w:type="dxa"/>
            </w:tcMar>
            <w:vAlign w:val="bottom"/>
          </w:tcPr>
          <w:p w14:paraId="579B00E7" w14:textId="77777777" w:rsidR="001614AC" w:rsidRDefault="001614AC">
            <w:pPr>
              <w:spacing w:before="55" w:after="30" w:line="288" w:lineRule="auto"/>
              <w:jc w:val="right"/>
            </w:pPr>
          </w:p>
        </w:tc>
        <w:tc>
          <w:tcPr>
            <w:tcW w:w="105" w:type="dxa"/>
            <w:tcBorders>
              <w:top w:val="nil"/>
              <w:left w:val="nil"/>
              <w:bottom w:val="nil"/>
              <w:right w:val="nil"/>
            </w:tcBorders>
            <w:shd w:val="clear" w:color="auto" w:fill="F4F4F4"/>
            <w:tcMar>
              <w:top w:w="0" w:type="dxa"/>
              <w:left w:w="0" w:type="dxa"/>
              <w:bottom w:w="0" w:type="dxa"/>
              <w:right w:w="0" w:type="dxa"/>
            </w:tcMar>
            <w:vAlign w:val="bottom"/>
          </w:tcPr>
          <w:p w14:paraId="707E8C6F" w14:textId="77777777" w:rsidR="001614AC" w:rsidRDefault="001614AC"/>
        </w:tc>
        <w:tc>
          <w:tcPr>
            <w:tcW w:w="905" w:type="dxa"/>
            <w:gridSpan w:val="2"/>
            <w:tcBorders>
              <w:top w:val="single" w:sz="8" w:space="0" w:color="C7C9C7"/>
              <w:left w:val="nil"/>
              <w:bottom w:val="single" w:sz="8" w:space="0" w:color="C7C9C7"/>
              <w:right w:val="nil"/>
            </w:tcBorders>
            <w:shd w:val="clear" w:color="auto" w:fill="F4F4F4"/>
            <w:tcMar>
              <w:top w:w="0" w:type="dxa"/>
              <w:left w:w="53" w:type="dxa"/>
              <w:bottom w:w="0" w:type="dxa"/>
              <w:right w:w="0" w:type="dxa"/>
            </w:tcMar>
            <w:vAlign w:val="bottom"/>
          </w:tcPr>
          <w:p w14:paraId="41DE7B74" w14:textId="77777777" w:rsidR="001614AC" w:rsidRDefault="004468F9">
            <w:pPr>
              <w:spacing w:before="55" w:after="30" w:line="288" w:lineRule="auto"/>
              <w:jc w:val="right"/>
            </w:pPr>
            <w:r>
              <w:rPr>
                <w:rFonts w:ascii="Arial" w:eastAsia="Arial" w:hAnsi="Arial" w:cs="Arial"/>
                <w:color w:val="000000"/>
                <w:sz w:val="18"/>
              </w:rPr>
              <w:t>309,122 </w:t>
            </w:r>
          </w:p>
        </w:tc>
        <w:tc>
          <w:tcPr>
            <w:tcW w:w="100" w:type="dxa"/>
            <w:tcBorders>
              <w:top w:val="single" w:sz="8" w:space="0" w:color="C7C9C7"/>
              <w:left w:val="nil"/>
              <w:bottom w:val="single" w:sz="8" w:space="0" w:color="C7C9C7"/>
              <w:right w:val="nil"/>
            </w:tcBorders>
            <w:shd w:val="clear" w:color="auto" w:fill="F4F4F4"/>
            <w:tcMar>
              <w:top w:w="0" w:type="dxa"/>
              <w:left w:w="0" w:type="dxa"/>
              <w:bottom w:w="0" w:type="dxa"/>
              <w:right w:w="15" w:type="dxa"/>
            </w:tcMar>
            <w:vAlign w:val="bottom"/>
          </w:tcPr>
          <w:p w14:paraId="0F32F82C" w14:textId="77777777" w:rsidR="001614AC" w:rsidRDefault="001614AC">
            <w:pPr>
              <w:spacing w:before="55" w:after="30" w:line="288" w:lineRule="auto"/>
              <w:jc w:val="right"/>
            </w:pPr>
          </w:p>
        </w:tc>
        <w:tc>
          <w:tcPr>
            <w:tcW w:w="105" w:type="dxa"/>
            <w:tcBorders>
              <w:top w:val="nil"/>
              <w:left w:val="nil"/>
              <w:bottom w:val="nil"/>
              <w:right w:val="nil"/>
            </w:tcBorders>
            <w:shd w:val="clear" w:color="auto" w:fill="F4F4F4"/>
            <w:tcMar>
              <w:top w:w="0" w:type="dxa"/>
              <w:left w:w="0" w:type="dxa"/>
              <w:bottom w:w="0" w:type="dxa"/>
              <w:right w:w="0" w:type="dxa"/>
            </w:tcMar>
            <w:vAlign w:val="bottom"/>
          </w:tcPr>
          <w:p w14:paraId="31675A18" w14:textId="77777777" w:rsidR="001614AC" w:rsidRDefault="001614AC"/>
        </w:tc>
        <w:tc>
          <w:tcPr>
            <w:tcW w:w="905" w:type="dxa"/>
            <w:gridSpan w:val="2"/>
            <w:tcBorders>
              <w:top w:val="single" w:sz="8" w:space="0" w:color="C7C9C7"/>
              <w:left w:val="nil"/>
              <w:bottom w:val="single" w:sz="8" w:space="0" w:color="C7C9C7"/>
              <w:right w:val="nil"/>
            </w:tcBorders>
            <w:shd w:val="clear" w:color="auto" w:fill="F4F4F4"/>
            <w:tcMar>
              <w:top w:w="0" w:type="dxa"/>
              <w:left w:w="53" w:type="dxa"/>
              <w:bottom w:w="0" w:type="dxa"/>
              <w:right w:w="0" w:type="dxa"/>
            </w:tcMar>
            <w:vAlign w:val="bottom"/>
          </w:tcPr>
          <w:p w14:paraId="64F827B4" w14:textId="77777777" w:rsidR="001614AC" w:rsidRDefault="004468F9">
            <w:pPr>
              <w:spacing w:before="55" w:after="30" w:line="288" w:lineRule="auto"/>
              <w:jc w:val="right"/>
            </w:pPr>
            <w:r>
              <w:rPr>
                <w:rFonts w:ascii="Arial" w:eastAsia="Arial" w:hAnsi="Arial" w:cs="Arial"/>
                <w:color w:val="000000"/>
                <w:sz w:val="18"/>
              </w:rPr>
              <w:t>554,453 </w:t>
            </w:r>
          </w:p>
        </w:tc>
        <w:tc>
          <w:tcPr>
            <w:tcW w:w="100" w:type="dxa"/>
            <w:tcBorders>
              <w:top w:val="single" w:sz="8" w:space="0" w:color="C7C9C7"/>
              <w:left w:val="nil"/>
              <w:bottom w:val="single" w:sz="8" w:space="0" w:color="C7C9C7"/>
              <w:right w:val="nil"/>
            </w:tcBorders>
            <w:shd w:val="clear" w:color="auto" w:fill="F4F4F4"/>
            <w:tcMar>
              <w:top w:w="0" w:type="dxa"/>
              <w:left w:w="0" w:type="dxa"/>
              <w:bottom w:w="0" w:type="dxa"/>
              <w:right w:w="15" w:type="dxa"/>
            </w:tcMar>
            <w:vAlign w:val="bottom"/>
          </w:tcPr>
          <w:p w14:paraId="1F180E31" w14:textId="77777777" w:rsidR="001614AC" w:rsidRDefault="001614AC">
            <w:pPr>
              <w:spacing w:before="55" w:after="30" w:line="288" w:lineRule="auto"/>
              <w:jc w:val="right"/>
            </w:pPr>
          </w:p>
        </w:tc>
      </w:tr>
      <w:tr w:rsidR="001614AC" w14:paraId="0206F70E" w14:textId="77777777">
        <w:trPr>
          <w:cantSplit/>
        </w:trPr>
        <w:tc>
          <w:tcPr>
            <w:tcW w:w="5640" w:type="dxa"/>
            <w:tcBorders>
              <w:top w:val="nil"/>
              <w:left w:val="nil"/>
              <w:bottom w:val="single" w:sz="8" w:space="0" w:color="F4F4F4"/>
              <w:right w:val="nil"/>
            </w:tcBorders>
            <w:tcMar>
              <w:top w:w="0" w:type="dxa"/>
              <w:left w:w="0" w:type="dxa"/>
              <w:bottom w:w="0" w:type="dxa"/>
              <w:right w:w="0" w:type="dxa"/>
            </w:tcMar>
            <w:vAlign w:val="bottom"/>
          </w:tcPr>
          <w:p w14:paraId="0BF7D2EA" w14:textId="77777777" w:rsidR="001614AC" w:rsidRDefault="001614AC"/>
        </w:tc>
        <w:tc>
          <w:tcPr>
            <w:tcW w:w="105" w:type="dxa"/>
            <w:tcBorders>
              <w:top w:val="nil"/>
              <w:left w:val="nil"/>
              <w:bottom w:val="nil"/>
              <w:right w:val="nil"/>
            </w:tcBorders>
            <w:tcMar>
              <w:top w:w="0" w:type="dxa"/>
              <w:left w:w="0" w:type="dxa"/>
              <w:bottom w:w="0" w:type="dxa"/>
              <w:right w:w="0" w:type="dxa"/>
            </w:tcMar>
            <w:vAlign w:val="bottom"/>
          </w:tcPr>
          <w:p w14:paraId="3D630618" w14:textId="77777777" w:rsidR="001614AC" w:rsidRDefault="001614AC"/>
        </w:tc>
        <w:tc>
          <w:tcPr>
            <w:tcW w:w="1005" w:type="dxa"/>
            <w:gridSpan w:val="3"/>
            <w:tcBorders>
              <w:top w:val="single" w:sz="8" w:space="0" w:color="C7C9C7"/>
              <w:left w:val="nil"/>
              <w:bottom w:val="single" w:sz="8" w:space="0" w:color="F4F4F4"/>
              <w:right w:val="nil"/>
            </w:tcBorders>
            <w:tcMar>
              <w:top w:w="0" w:type="dxa"/>
              <w:left w:w="0" w:type="dxa"/>
              <w:bottom w:w="0" w:type="dxa"/>
              <w:right w:w="0" w:type="dxa"/>
            </w:tcMar>
            <w:vAlign w:val="bottom"/>
          </w:tcPr>
          <w:p w14:paraId="1AED8B35" w14:textId="77777777" w:rsidR="001614AC" w:rsidRDefault="001614AC"/>
        </w:tc>
        <w:tc>
          <w:tcPr>
            <w:tcW w:w="105" w:type="dxa"/>
            <w:tcBorders>
              <w:top w:val="nil"/>
              <w:left w:val="nil"/>
              <w:bottom w:val="nil"/>
              <w:right w:val="nil"/>
            </w:tcBorders>
            <w:tcMar>
              <w:top w:w="0" w:type="dxa"/>
              <w:left w:w="0" w:type="dxa"/>
              <w:bottom w:w="0" w:type="dxa"/>
              <w:right w:w="0" w:type="dxa"/>
            </w:tcMar>
            <w:vAlign w:val="bottom"/>
          </w:tcPr>
          <w:p w14:paraId="2602247B" w14:textId="77777777" w:rsidR="001614AC" w:rsidRDefault="001614AC"/>
        </w:tc>
        <w:tc>
          <w:tcPr>
            <w:tcW w:w="1005" w:type="dxa"/>
            <w:gridSpan w:val="3"/>
            <w:tcBorders>
              <w:top w:val="single" w:sz="8" w:space="0" w:color="C7C9C7"/>
              <w:left w:val="nil"/>
              <w:bottom w:val="single" w:sz="8" w:space="0" w:color="F4F4F4"/>
              <w:right w:val="nil"/>
            </w:tcBorders>
            <w:tcMar>
              <w:top w:w="0" w:type="dxa"/>
              <w:left w:w="0" w:type="dxa"/>
              <w:bottom w:w="0" w:type="dxa"/>
              <w:right w:w="0" w:type="dxa"/>
            </w:tcMar>
            <w:vAlign w:val="bottom"/>
          </w:tcPr>
          <w:p w14:paraId="3B3E4D50" w14:textId="77777777" w:rsidR="001614AC" w:rsidRDefault="001614AC"/>
        </w:tc>
        <w:tc>
          <w:tcPr>
            <w:tcW w:w="105" w:type="dxa"/>
            <w:tcBorders>
              <w:top w:val="nil"/>
              <w:left w:val="nil"/>
              <w:bottom w:val="nil"/>
              <w:right w:val="nil"/>
            </w:tcBorders>
            <w:tcMar>
              <w:top w:w="0" w:type="dxa"/>
              <w:left w:w="0" w:type="dxa"/>
              <w:bottom w:w="0" w:type="dxa"/>
              <w:right w:w="0" w:type="dxa"/>
            </w:tcMar>
            <w:vAlign w:val="bottom"/>
          </w:tcPr>
          <w:p w14:paraId="6028CC9A" w14:textId="77777777" w:rsidR="001614AC" w:rsidRDefault="001614AC"/>
        </w:tc>
        <w:tc>
          <w:tcPr>
            <w:tcW w:w="1005" w:type="dxa"/>
            <w:gridSpan w:val="3"/>
            <w:tcBorders>
              <w:top w:val="single" w:sz="8" w:space="0" w:color="C7C9C7"/>
              <w:left w:val="nil"/>
              <w:bottom w:val="single" w:sz="8" w:space="0" w:color="F4F4F4"/>
              <w:right w:val="nil"/>
            </w:tcBorders>
            <w:tcMar>
              <w:top w:w="0" w:type="dxa"/>
              <w:left w:w="0" w:type="dxa"/>
              <w:bottom w:w="0" w:type="dxa"/>
              <w:right w:w="0" w:type="dxa"/>
            </w:tcMar>
            <w:vAlign w:val="bottom"/>
          </w:tcPr>
          <w:p w14:paraId="183E2848" w14:textId="77777777" w:rsidR="001614AC" w:rsidRDefault="001614AC"/>
        </w:tc>
        <w:tc>
          <w:tcPr>
            <w:tcW w:w="105" w:type="dxa"/>
            <w:tcBorders>
              <w:top w:val="nil"/>
              <w:left w:val="nil"/>
              <w:bottom w:val="nil"/>
              <w:right w:val="nil"/>
            </w:tcBorders>
            <w:tcMar>
              <w:top w:w="0" w:type="dxa"/>
              <w:left w:w="0" w:type="dxa"/>
              <w:bottom w:w="0" w:type="dxa"/>
              <w:right w:w="0" w:type="dxa"/>
            </w:tcMar>
            <w:vAlign w:val="bottom"/>
          </w:tcPr>
          <w:p w14:paraId="239C210F" w14:textId="77777777" w:rsidR="001614AC" w:rsidRDefault="001614AC"/>
        </w:tc>
        <w:tc>
          <w:tcPr>
            <w:tcW w:w="1005" w:type="dxa"/>
            <w:gridSpan w:val="3"/>
            <w:tcBorders>
              <w:top w:val="single" w:sz="8" w:space="0" w:color="C7C9C7"/>
              <w:left w:val="nil"/>
              <w:bottom w:val="single" w:sz="8" w:space="0" w:color="F4F4F4"/>
              <w:right w:val="nil"/>
            </w:tcBorders>
            <w:tcMar>
              <w:top w:w="0" w:type="dxa"/>
              <w:left w:w="0" w:type="dxa"/>
              <w:bottom w:w="0" w:type="dxa"/>
              <w:right w:w="0" w:type="dxa"/>
            </w:tcMar>
            <w:vAlign w:val="bottom"/>
          </w:tcPr>
          <w:p w14:paraId="37ACFA31" w14:textId="77777777" w:rsidR="001614AC" w:rsidRDefault="001614AC"/>
        </w:tc>
      </w:tr>
      <w:tr w:rsidR="001614AC" w14:paraId="7D738B9C" w14:textId="77777777">
        <w:trPr>
          <w:cantSplit/>
        </w:trPr>
        <w:tc>
          <w:tcPr>
            <w:tcW w:w="5640" w:type="dxa"/>
            <w:tcBorders>
              <w:top w:val="single" w:sz="8" w:space="0" w:color="F4F4F4"/>
              <w:left w:val="nil"/>
              <w:bottom w:val="single" w:sz="8" w:space="0" w:color="F4F4F4"/>
              <w:right w:val="nil"/>
            </w:tcBorders>
            <w:tcMar>
              <w:top w:w="0" w:type="dxa"/>
              <w:left w:w="53" w:type="dxa"/>
              <w:bottom w:w="0" w:type="dxa"/>
              <w:right w:w="53" w:type="dxa"/>
            </w:tcMar>
            <w:vAlign w:val="bottom"/>
          </w:tcPr>
          <w:p w14:paraId="604091FA" w14:textId="77777777" w:rsidR="001614AC" w:rsidRDefault="004468F9">
            <w:pPr>
              <w:spacing w:before="55" w:after="30" w:line="288" w:lineRule="auto"/>
            </w:pPr>
            <w:r>
              <w:rPr>
                <w:rFonts w:ascii="Arial" w:eastAsia="Arial" w:hAnsi="Arial" w:cs="Arial"/>
                <w:color w:val="000000"/>
                <w:sz w:val="18"/>
              </w:rPr>
              <w:t>Pretax income (loss)</w:t>
            </w:r>
          </w:p>
        </w:tc>
        <w:tc>
          <w:tcPr>
            <w:tcW w:w="105" w:type="dxa"/>
            <w:tcBorders>
              <w:top w:val="nil"/>
              <w:left w:val="nil"/>
              <w:bottom w:val="nil"/>
              <w:right w:val="nil"/>
            </w:tcBorders>
            <w:tcMar>
              <w:top w:w="0" w:type="dxa"/>
              <w:left w:w="0" w:type="dxa"/>
              <w:bottom w:w="0" w:type="dxa"/>
              <w:right w:w="0" w:type="dxa"/>
            </w:tcMar>
            <w:vAlign w:val="bottom"/>
          </w:tcPr>
          <w:p w14:paraId="282CFF03" w14:textId="77777777" w:rsidR="001614AC" w:rsidRDefault="001614AC"/>
        </w:tc>
        <w:tc>
          <w:tcPr>
            <w:tcW w:w="905"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613FE2BD" w14:textId="77777777" w:rsidR="001614AC" w:rsidRDefault="004468F9">
            <w:pPr>
              <w:spacing w:before="55" w:after="30" w:line="288" w:lineRule="auto"/>
              <w:jc w:val="right"/>
            </w:pPr>
            <w:r>
              <w:rPr>
                <w:rFonts w:ascii="Arial" w:eastAsia="Arial" w:hAnsi="Arial" w:cs="Arial"/>
                <w:color w:val="000000"/>
                <w:sz w:val="18"/>
              </w:rPr>
              <w:t>195,496 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6AEA65E4" w14:textId="77777777" w:rsidR="001614AC" w:rsidRDefault="001614AC">
            <w:pPr>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3D53D7FC" w14:textId="77777777" w:rsidR="001614AC" w:rsidRDefault="001614AC"/>
        </w:tc>
        <w:tc>
          <w:tcPr>
            <w:tcW w:w="905"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5491B7A3" w14:textId="77777777" w:rsidR="001614AC" w:rsidRDefault="004468F9">
            <w:pPr>
              <w:spacing w:before="55" w:after="30" w:line="288" w:lineRule="auto"/>
              <w:jc w:val="right"/>
            </w:pPr>
            <w:r>
              <w:rPr>
                <w:rFonts w:ascii="Arial" w:eastAsia="Arial" w:hAnsi="Arial" w:cs="Arial"/>
                <w:color w:val="000000"/>
                <w:sz w:val="18"/>
              </w:rPr>
              <w:t>(42,224)</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753EC0ED" w14:textId="77777777" w:rsidR="001614AC" w:rsidRDefault="001614AC">
            <w:pPr>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037C46B4" w14:textId="77777777" w:rsidR="001614AC" w:rsidRDefault="001614AC"/>
        </w:tc>
        <w:tc>
          <w:tcPr>
            <w:tcW w:w="905"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51B10B95" w14:textId="77777777" w:rsidR="001614AC" w:rsidRDefault="004468F9">
            <w:pPr>
              <w:spacing w:before="55" w:after="30" w:line="288" w:lineRule="auto"/>
              <w:jc w:val="right"/>
            </w:pPr>
            <w:r>
              <w:rPr>
                <w:rFonts w:ascii="Arial" w:eastAsia="Arial" w:hAnsi="Arial" w:cs="Arial"/>
                <w:color w:val="000000"/>
                <w:sz w:val="18"/>
              </w:rPr>
              <w:t>356,685 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101622B5" w14:textId="77777777" w:rsidR="001614AC" w:rsidRDefault="001614AC">
            <w:pPr>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3C3E297C" w14:textId="77777777" w:rsidR="001614AC" w:rsidRDefault="001614AC"/>
        </w:tc>
        <w:tc>
          <w:tcPr>
            <w:tcW w:w="905"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37CA4893" w14:textId="77777777" w:rsidR="001614AC" w:rsidRDefault="004468F9">
            <w:pPr>
              <w:spacing w:before="55" w:after="30" w:line="288" w:lineRule="auto"/>
              <w:jc w:val="right"/>
            </w:pPr>
            <w:r>
              <w:rPr>
                <w:rFonts w:ascii="Arial" w:eastAsia="Arial" w:hAnsi="Arial" w:cs="Arial"/>
                <w:color w:val="000000"/>
                <w:sz w:val="18"/>
              </w:rPr>
              <w:t>139,069 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664EF0AA" w14:textId="77777777" w:rsidR="001614AC" w:rsidRDefault="001614AC">
            <w:pPr>
              <w:spacing w:before="55" w:after="30" w:line="288" w:lineRule="auto"/>
              <w:jc w:val="right"/>
            </w:pPr>
          </w:p>
        </w:tc>
      </w:tr>
      <w:tr w:rsidR="001614AC" w14:paraId="065C64DF" w14:textId="77777777">
        <w:trPr>
          <w:cantSplit/>
        </w:trPr>
        <w:tc>
          <w:tcPr>
            <w:tcW w:w="5640" w:type="dxa"/>
            <w:tcBorders>
              <w:top w:val="single" w:sz="8" w:space="0" w:color="F4F4F4"/>
              <w:left w:val="nil"/>
              <w:bottom w:val="nil"/>
              <w:right w:val="nil"/>
            </w:tcBorders>
            <w:tcMar>
              <w:top w:w="0" w:type="dxa"/>
              <w:left w:w="53" w:type="dxa"/>
              <w:bottom w:w="0" w:type="dxa"/>
              <w:right w:w="53" w:type="dxa"/>
            </w:tcMar>
            <w:vAlign w:val="bottom"/>
          </w:tcPr>
          <w:p w14:paraId="54BFE86A" w14:textId="77777777" w:rsidR="001614AC" w:rsidRDefault="004468F9">
            <w:pPr>
              <w:spacing w:before="55" w:after="30" w:line="288" w:lineRule="auto"/>
            </w:pPr>
            <w:r>
              <w:rPr>
                <w:rFonts w:ascii="Arial" w:eastAsia="Arial" w:hAnsi="Arial" w:cs="Arial"/>
                <w:color w:val="000000"/>
                <w:sz w:val="18"/>
              </w:rPr>
              <w:t>Income tax provision (benefit)</w:t>
            </w:r>
          </w:p>
        </w:tc>
        <w:tc>
          <w:tcPr>
            <w:tcW w:w="105" w:type="dxa"/>
            <w:tcBorders>
              <w:top w:val="nil"/>
              <w:left w:val="nil"/>
              <w:bottom w:val="nil"/>
              <w:right w:val="nil"/>
            </w:tcBorders>
            <w:tcMar>
              <w:top w:w="0" w:type="dxa"/>
              <w:left w:w="0" w:type="dxa"/>
              <w:bottom w:w="0" w:type="dxa"/>
              <w:right w:w="0" w:type="dxa"/>
            </w:tcMar>
            <w:vAlign w:val="bottom"/>
          </w:tcPr>
          <w:p w14:paraId="61441760" w14:textId="77777777" w:rsidR="001614AC" w:rsidRDefault="001614AC"/>
        </w:tc>
        <w:tc>
          <w:tcPr>
            <w:tcW w:w="905" w:type="dxa"/>
            <w:gridSpan w:val="2"/>
            <w:tcBorders>
              <w:top w:val="single" w:sz="8" w:space="0" w:color="F4F4F4"/>
              <w:left w:val="nil"/>
              <w:bottom w:val="single" w:sz="8" w:space="0" w:color="C7C9C7"/>
              <w:right w:val="nil"/>
            </w:tcBorders>
            <w:tcMar>
              <w:top w:w="0" w:type="dxa"/>
              <w:left w:w="53" w:type="dxa"/>
              <w:bottom w:w="0" w:type="dxa"/>
              <w:right w:w="0" w:type="dxa"/>
            </w:tcMar>
            <w:vAlign w:val="bottom"/>
          </w:tcPr>
          <w:p w14:paraId="0C41BB29" w14:textId="77777777" w:rsidR="001614AC" w:rsidRDefault="004468F9">
            <w:pPr>
              <w:spacing w:before="55" w:after="30" w:line="288" w:lineRule="auto"/>
              <w:jc w:val="right"/>
            </w:pPr>
            <w:r>
              <w:rPr>
                <w:rFonts w:ascii="Arial" w:eastAsia="Arial" w:hAnsi="Arial" w:cs="Arial"/>
                <w:color w:val="000000"/>
                <w:sz w:val="18"/>
              </w:rPr>
              <w:t>40,290 </w:t>
            </w:r>
          </w:p>
        </w:tc>
        <w:tc>
          <w:tcPr>
            <w:tcW w:w="100" w:type="dxa"/>
            <w:tcBorders>
              <w:top w:val="single" w:sz="8" w:space="0" w:color="F4F4F4"/>
              <w:left w:val="nil"/>
              <w:bottom w:val="single" w:sz="8" w:space="0" w:color="C7C9C7"/>
              <w:right w:val="nil"/>
            </w:tcBorders>
            <w:tcMar>
              <w:top w:w="0" w:type="dxa"/>
              <w:left w:w="0" w:type="dxa"/>
              <w:bottom w:w="0" w:type="dxa"/>
              <w:right w:w="15" w:type="dxa"/>
            </w:tcMar>
            <w:vAlign w:val="bottom"/>
          </w:tcPr>
          <w:p w14:paraId="50B5BBFB" w14:textId="77777777" w:rsidR="001614AC" w:rsidRDefault="001614AC">
            <w:pPr>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66F96CD7" w14:textId="77777777" w:rsidR="001614AC" w:rsidRDefault="001614AC"/>
        </w:tc>
        <w:tc>
          <w:tcPr>
            <w:tcW w:w="905" w:type="dxa"/>
            <w:gridSpan w:val="2"/>
            <w:tcBorders>
              <w:top w:val="single" w:sz="8" w:space="0" w:color="F4F4F4"/>
              <w:left w:val="nil"/>
              <w:bottom w:val="single" w:sz="8" w:space="0" w:color="C7C9C7"/>
              <w:right w:val="nil"/>
            </w:tcBorders>
            <w:tcMar>
              <w:top w:w="0" w:type="dxa"/>
              <w:left w:w="53" w:type="dxa"/>
              <w:bottom w:w="0" w:type="dxa"/>
              <w:right w:w="0" w:type="dxa"/>
            </w:tcMar>
            <w:vAlign w:val="bottom"/>
          </w:tcPr>
          <w:p w14:paraId="09D15A16" w14:textId="77777777" w:rsidR="001614AC" w:rsidRDefault="004468F9">
            <w:pPr>
              <w:spacing w:before="55" w:after="30" w:line="288" w:lineRule="auto"/>
              <w:jc w:val="right"/>
            </w:pPr>
            <w:r>
              <w:rPr>
                <w:rFonts w:ascii="Arial" w:eastAsia="Arial" w:hAnsi="Arial" w:cs="Arial"/>
                <w:color w:val="000000"/>
                <w:sz w:val="18"/>
              </w:rPr>
              <w:t>(12,273)</w:t>
            </w:r>
          </w:p>
        </w:tc>
        <w:tc>
          <w:tcPr>
            <w:tcW w:w="100" w:type="dxa"/>
            <w:tcBorders>
              <w:top w:val="single" w:sz="8" w:space="0" w:color="F4F4F4"/>
              <w:left w:val="nil"/>
              <w:bottom w:val="single" w:sz="8" w:space="0" w:color="C7C9C7"/>
              <w:right w:val="nil"/>
            </w:tcBorders>
            <w:tcMar>
              <w:top w:w="0" w:type="dxa"/>
              <w:left w:w="0" w:type="dxa"/>
              <w:bottom w:w="0" w:type="dxa"/>
              <w:right w:w="15" w:type="dxa"/>
            </w:tcMar>
            <w:vAlign w:val="bottom"/>
          </w:tcPr>
          <w:p w14:paraId="3F79B9A3" w14:textId="77777777" w:rsidR="001614AC" w:rsidRDefault="001614AC">
            <w:pPr>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3BD36C2B" w14:textId="77777777" w:rsidR="001614AC" w:rsidRDefault="001614AC"/>
        </w:tc>
        <w:tc>
          <w:tcPr>
            <w:tcW w:w="905" w:type="dxa"/>
            <w:gridSpan w:val="2"/>
            <w:tcBorders>
              <w:top w:val="single" w:sz="8" w:space="0" w:color="F4F4F4"/>
              <w:left w:val="nil"/>
              <w:bottom w:val="single" w:sz="8" w:space="0" w:color="C7C9C7"/>
              <w:right w:val="nil"/>
            </w:tcBorders>
            <w:tcMar>
              <w:top w:w="0" w:type="dxa"/>
              <w:left w:w="53" w:type="dxa"/>
              <w:bottom w:w="0" w:type="dxa"/>
              <w:right w:w="0" w:type="dxa"/>
            </w:tcMar>
            <w:vAlign w:val="bottom"/>
          </w:tcPr>
          <w:p w14:paraId="38E9922D" w14:textId="77777777" w:rsidR="001614AC" w:rsidRDefault="004468F9">
            <w:pPr>
              <w:spacing w:before="55" w:after="30" w:line="288" w:lineRule="auto"/>
              <w:jc w:val="right"/>
            </w:pPr>
            <w:r>
              <w:rPr>
                <w:rFonts w:ascii="Arial" w:eastAsia="Arial" w:hAnsi="Arial" w:cs="Arial"/>
                <w:color w:val="000000"/>
                <w:sz w:val="18"/>
              </w:rPr>
              <w:t>75,871 </w:t>
            </w:r>
          </w:p>
        </w:tc>
        <w:tc>
          <w:tcPr>
            <w:tcW w:w="100" w:type="dxa"/>
            <w:tcBorders>
              <w:top w:val="single" w:sz="8" w:space="0" w:color="F4F4F4"/>
              <w:left w:val="nil"/>
              <w:bottom w:val="single" w:sz="8" w:space="0" w:color="C7C9C7"/>
              <w:right w:val="nil"/>
            </w:tcBorders>
            <w:tcMar>
              <w:top w:w="0" w:type="dxa"/>
              <w:left w:w="0" w:type="dxa"/>
              <w:bottom w:w="0" w:type="dxa"/>
              <w:right w:w="15" w:type="dxa"/>
            </w:tcMar>
            <w:vAlign w:val="bottom"/>
          </w:tcPr>
          <w:p w14:paraId="7399990B" w14:textId="77777777" w:rsidR="001614AC" w:rsidRDefault="001614AC">
            <w:pPr>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66912CE3" w14:textId="77777777" w:rsidR="001614AC" w:rsidRDefault="001614AC"/>
        </w:tc>
        <w:tc>
          <w:tcPr>
            <w:tcW w:w="905" w:type="dxa"/>
            <w:gridSpan w:val="2"/>
            <w:tcBorders>
              <w:top w:val="single" w:sz="8" w:space="0" w:color="F4F4F4"/>
              <w:left w:val="nil"/>
              <w:bottom w:val="single" w:sz="8" w:space="0" w:color="C7C9C7"/>
              <w:right w:val="nil"/>
            </w:tcBorders>
            <w:tcMar>
              <w:top w:w="0" w:type="dxa"/>
              <w:left w:w="53" w:type="dxa"/>
              <w:bottom w:w="0" w:type="dxa"/>
              <w:right w:w="0" w:type="dxa"/>
            </w:tcMar>
            <w:vAlign w:val="bottom"/>
          </w:tcPr>
          <w:p w14:paraId="6A73DDE6" w14:textId="77777777" w:rsidR="001614AC" w:rsidRDefault="004468F9">
            <w:pPr>
              <w:spacing w:before="55" w:after="30" w:line="288" w:lineRule="auto"/>
              <w:jc w:val="right"/>
            </w:pPr>
            <w:r>
              <w:rPr>
                <w:rFonts w:ascii="Arial" w:eastAsia="Arial" w:hAnsi="Arial" w:cs="Arial"/>
                <w:color w:val="000000"/>
                <w:sz w:val="18"/>
              </w:rPr>
              <w:t>28,559 </w:t>
            </w:r>
          </w:p>
        </w:tc>
        <w:tc>
          <w:tcPr>
            <w:tcW w:w="100" w:type="dxa"/>
            <w:tcBorders>
              <w:top w:val="single" w:sz="8" w:space="0" w:color="F4F4F4"/>
              <w:left w:val="nil"/>
              <w:bottom w:val="single" w:sz="8" w:space="0" w:color="C7C9C7"/>
              <w:right w:val="nil"/>
            </w:tcBorders>
            <w:tcMar>
              <w:top w:w="0" w:type="dxa"/>
              <w:left w:w="0" w:type="dxa"/>
              <w:bottom w:w="0" w:type="dxa"/>
              <w:right w:w="15" w:type="dxa"/>
            </w:tcMar>
            <w:vAlign w:val="bottom"/>
          </w:tcPr>
          <w:p w14:paraId="7A14ADCC" w14:textId="77777777" w:rsidR="001614AC" w:rsidRDefault="001614AC">
            <w:pPr>
              <w:spacing w:before="55" w:after="30" w:line="288" w:lineRule="auto"/>
              <w:jc w:val="right"/>
            </w:pPr>
          </w:p>
        </w:tc>
      </w:tr>
      <w:tr w:rsidR="001614AC" w14:paraId="6C055DA1" w14:textId="77777777">
        <w:trPr>
          <w:cantSplit/>
        </w:trPr>
        <w:tc>
          <w:tcPr>
            <w:tcW w:w="5640" w:type="dxa"/>
            <w:tcBorders>
              <w:top w:val="nil"/>
              <w:left w:val="nil"/>
              <w:bottom w:val="nil"/>
              <w:right w:val="nil"/>
            </w:tcBorders>
            <w:shd w:val="clear" w:color="auto" w:fill="F4F4F4"/>
            <w:tcMar>
              <w:top w:w="0" w:type="dxa"/>
              <w:left w:w="53" w:type="dxa"/>
              <w:bottom w:w="0" w:type="dxa"/>
              <w:right w:w="53" w:type="dxa"/>
            </w:tcMar>
            <w:vAlign w:val="bottom"/>
          </w:tcPr>
          <w:p w14:paraId="219678EF" w14:textId="77777777" w:rsidR="001614AC" w:rsidRDefault="004468F9">
            <w:pPr>
              <w:spacing w:before="75" w:after="30" w:line="288" w:lineRule="auto"/>
            </w:pPr>
            <w:r>
              <w:rPr>
                <w:rFonts w:ascii="Arial" w:eastAsia="Arial" w:hAnsi="Arial" w:cs="Arial"/>
                <w:color w:val="000000"/>
                <w:sz w:val="18"/>
              </w:rPr>
              <w:t>Net income (loss)</w:t>
            </w:r>
          </w:p>
        </w:tc>
        <w:tc>
          <w:tcPr>
            <w:tcW w:w="105" w:type="dxa"/>
            <w:tcBorders>
              <w:top w:val="nil"/>
              <w:left w:val="nil"/>
              <w:bottom w:val="nil"/>
              <w:right w:val="nil"/>
            </w:tcBorders>
            <w:shd w:val="clear" w:color="auto" w:fill="F4F4F4"/>
            <w:tcMar>
              <w:top w:w="0" w:type="dxa"/>
              <w:left w:w="0" w:type="dxa"/>
              <w:bottom w:w="0" w:type="dxa"/>
              <w:right w:w="0" w:type="dxa"/>
            </w:tcMar>
            <w:vAlign w:val="bottom"/>
          </w:tcPr>
          <w:p w14:paraId="24AA2BF6" w14:textId="77777777" w:rsidR="001614AC" w:rsidRDefault="001614AC"/>
        </w:tc>
        <w:tc>
          <w:tcPr>
            <w:tcW w:w="160" w:type="dxa"/>
            <w:tcBorders>
              <w:top w:val="single" w:sz="8" w:space="0" w:color="C7C9C7"/>
              <w:left w:val="nil"/>
              <w:bottom w:val="double" w:sz="8" w:space="0" w:color="C7C9C7"/>
              <w:right w:val="nil"/>
            </w:tcBorders>
            <w:shd w:val="clear" w:color="auto" w:fill="F4F4F4"/>
            <w:tcMar>
              <w:top w:w="0" w:type="dxa"/>
              <w:left w:w="53" w:type="dxa"/>
              <w:bottom w:w="0" w:type="dxa"/>
              <w:right w:w="0" w:type="dxa"/>
            </w:tcMar>
            <w:vAlign w:val="bottom"/>
          </w:tcPr>
          <w:p w14:paraId="2F654C9E" w14:textId="77777777" w:rsidR="001614AC" w:rsidRDefault="004468F9">
            <w:pPr>
              <w:spacing w:before="55" w:after="30" w:line="288" w:lineRule="auto"/>
            </w:pPr>
            <w:r>
              <w:rPr>
                <w:rFonts w:ascii="Arial" w:eastAsia="Arial" w:hAnsi="Arial" w:cs="Arial"/>
                <w:color w:val="000000"/>
                <w:sz w:val="18"/>
              </w:rPr>
              <w:t>$</w:t>
            </w:r>
          </w:p>
        </w:tc>
        <w:tc>
          <w:tcPr>
            <w:tcW w:w="745" w:type="dxa"/>
            <w:tcBorders>
              <w:top w:val="single" w:sz="8" w:space="0" w:color="C7C9C7"/>
              <w:left w:val="nil"/>
              <w:bottom w:val="double" w:sz="8" w:space="0" w:color="C7C9C7"/>
              <w:right w:val="nil"/>
            </w:tcBorders>
            <w:shd w:val="clear" w:color="auto" w:fill="F4F4F4"/>
            <w:tcMar>
              <w:top w:w="0" w:type="dxa"/>
              <w:left w:w="0" w:type="dxa"/>
              <w:bottom w:w="0" w:type="dxa"/>
              <w:right w:w="0" w:type="dxa"/>
            </w:tcMar>
            <w:vAlign w:val="bottom"/>
          </w:tcPr>
          <w:p w14:paraId="5C39117A" w14:textId="77777777" w:rsidR="001614AC" w:rsidRDefault="004468F9">
            <w:pPr>
              <w:spacing w:before="55" w:after="30" w:line="288" w:lineRule="auto"/>
              <w:jc w:val="right"/>
            </w:pPr>
            <w:r>
              <w:rPr>
                <w:rFonts w:ascii="Arial" w:eastAsia="Arial" w:hAnsi="Arial" w:cs="Arial"/>
                <w:color w:val="000000"/>
                <w:sz w:val="18"/>
              </w:rPr>
              <w:t>155,206 </w:t>
            </w:r>
          </w:p>
        </w:tc>
        <w:tc>
          <w:tcPr>
            <w:tcW w:w="100" w:type="dxa"/>
            <w:tcBorders>
              <w:top w:val="single" w:sz="8" w:space="0" w:color="C7C9C7"/>
              <w:left w:val="nil"/>
              <w:bottom w:val="double" w:sz="8" w:space="0" w:color="C7C9C7"/>
              <w:right w:val="nil"/>
            </w:tcBorders>
            <w:shd w:val="clear" w:color="auto" w:fill="F4F4F4"/>
            <w:tcMar>
              <w:top w:w="0" w:type="dxa"/>
              <w:left w:w="0" w:type="dxa"/>
              <w:bottom w:w="0" w:type="dxa"/>
              <w:right w:w="15" w:type="dxa"/>
            </w:tcMar>
            <w:vAlign w:val="bottom"/>
          </w:tcPr>
          <w:p w14:paraId="14606B7C" w14:textId="77777777" w:rsidR="001614AC" w:rsidRDefault="001614AC">
            <w:pPr>
              <w:spacing w:before="55" w:after="30" w:line="288" w:lineRule="auto"/>
              <w:jc w:val="right"/>
            </w:pPr>
          </w:p>
        </w:tc>
        <w:tc>
          <w:tcPr>
            <w:tcW w:w="105" w:type="dxa"/>
            <w:tcBorders>
              <w:top w:val="nil"/>
              <w:left w:val="nil"/>
              <w:bottom w:val="nil"/>
              <w:right w:val="nil"/>
            </w:tcBorders>
            <w:shd w:val="clear" w:color="auto" w:fill="F4F4F4"/>
            <w:tcMar>
              <w:top w:w="0" w:type="dxa"/>
              <w:left w:w="0" w:type="dxa"/>
              <w:bottom w:w="0" w:type="dxa"/>
              <w:right w:w="0" w:type="dxa"/>
            </w:tcMar>
            <w:vAlign w:val="bottom"/>
          </w:tcPr>
          <w:p w14:paraId="520838AE" w14:textId="77777777" w:rsidR="001614AC" w:rsidRDefault="001614AC"/>
        </w:tc>
        <w:tc>
          <w:tcPr>
            <w:tcW w:w="160" w:type="dxa"/>
            <w:tcBorders>
              <w:top w:val="single" w:sz="8" w:space="0" w:color="C7C9C7"/>
              <w:left w:val="nil"/>
              <w:bottom w:val="double" w:sz="8" w:space="0" w:color="C7C9C7"/>
              <w:right w:val="nil"/>
            </w:tcBorders>
            <w:shd w:val="clear" w:color="auto" w:fill="F4F4F4"/>
            <w:tcMar>
              <w:top w:w="0" w:type="dxa"/>
              <w:left w:w="53" w:type="dxa"/>
              <w:bottom w:w="0" w:type="dxa"/>
              <w:right w:w="0" w:type="dxa"/>
            </w:tcMar>
            <w:vAlign w:val="bottom"/>
          </w:tcPr>
          <w:p w14:paraId="207353BD" w14:textId="77777777" w:rsidR="001614AC" w:rsidRDefault="004468F9">
            <w:pPr>
              <w:spacing w:before="55" w:after="30" w:line="288" w:lineRule="auto"/>
            </w:pPr>
            <w:r>
              <w:rPr>
                <w:rFonts w:ascii="Arial" w:eastAsia="Arial" w:hAnsi="Arial" w:cs="Arial"/>
                <w:color w:val="000000"/>
                <w:sz w:val="18"/>
              </w:rPr>
              <w:t>$</w:t>
            </w:r>
          </w:p>
        </w:tc>
        <w:tc>
          <w:tcPr>
            <w:tcW w:w="745" w:type="dxa"/>
            <w:tcBorders>
              <w:top w:val="single" w:sz="8" w:space="0" w:color="C7C9C7"/>
              <w:left w:val="nil"/>
              <w:bottom w:val="double" w:sz="8" w:space="0" w:color="C7C9C7"/>
              <w:right w:val="nil"/>
            </w:tcBorders>
            <w:shd w:val="clear" w:color="auto" w:fill="F4F4F4"/>
            <w:tcMar>
              <w:top w:w="0" w:type="dxa"/>
              <w:left w:w="0" w:type="dxa"/>
              <w:bottom w:w="0" w:type="dxa"/>
              <w:right w:w="0" w:type="dxa"/>
            </w:tcMar>
            <w:vAlign w:val="bottom"/>
          </w:tcPr>
          <w:p w14:paraId="03603C0D" w14:textId="77777777" w:rsidR="001614AC" w:rsidRDefault="004468F9">
            <w:pPr>
              <w:spacing w:before="55" w:after="30" w:line="288" w:lineRule="auto"/>
              <w:jc w:val="right"/>
            </w:pPr>
            <w:r>
              <w:rPr>
                <w:rFonts w:ascii="Arial" w:eastAsia="Arial" w:hAnsi="Arial" w:cs="Arial"/>
                <w:color w:val="000000"/>
                <w:sz w:val="18"/>
              </w:rPr>
              <w:t>(29,951)</w:t>
            </w:r>
          </w:p>
        </w:tc>
        <w:tc>
          <w:tcPr>
            <w:tcW w:w="100" w:type="dxa"/>
            <w:tcBorders>
              <w:top w:val="single" w:sz="8" w:space="0" w:color="C7C9C7"/>
              <w:left w:val="nil"/>
              <w:bottom w:val="double" w:sz="8" w:space="0" w:color="C7C9C7"/>
              <w:right w:val="nil"/>
            </w:tcBorders>
            <w:shd w:val="clear" w:color="auto" w:fill="F4F4F4"/>
            <w:tcMar>
              <w:top w:w="0" w:type="dxa"/>
              <w:left w:w="0" w:type="dxa"/>
              <w:bottom w:w="0" w:type="dxa"/>
              <w:right w:w="15" w:type="dxa"/>
            </w:tcMar>
            <w:vAlign w:val="bottom"/>
          </w:tcPr>
          <w:p w14:paraId="1DEC6FA7" w14:textId="77777777" w:rsidR="001614AC" w:rsidRDefault="001614AC">
            <w:pPr>
              <w:spacing w:before="55" w:after="30" w:line="288" w:lineRule="auto"/>
              <w:jc w:val="right"/>
            </w:pPr>
          </w:p>
        </w:tc>
        <w:tc>
          <w:tcPr>
            <w:tcW w:w="105" w:type="dxa"/>
            <w:tcBorders>
              <w:top w:val="nil"/>
              <w:left w:val="nil"/>
              <w:bottom w:val="nil"/>
              <w:right w:val="nil"/>
            </w:tcBorders>
            <w:shd w:val="clear" w:color="auto" w:fill="F4F4F4"/>
            <w:tcMar>
              <w:top w:w="0" w:type="dxa"/>
              <w:left w:w="0" w:type="dxa"/>
              <w:bottom w:w="0" w:type="dxa"/>
              <w:right w:w="0" w:type="dxa"/>
            </w:tcMar>
            <w:vAlign w:val="bottom"/>
          </w:tcPr>
          <w:p w14:paraId="12842499" w14:textId="77777777" w:rsidR="001614AC" w:rsidRDefault="001614AC"/>
        </w:tc>
        <w:tc>
          <w:tcPr>
            <w:tcW w:w="160" w:type="dxa"/>
            <w:tcBorders>
              <w:top w:val="single" w:sz="8" w:space="0" w:color="C7C9C7"/>
              <w:left w:val="nil"/>
              <w:bottom w:val="double" w:sz="8" w:space="0" w:color="C7C9C7"/>
              <w:right w:val="nil"/>
            </w:tcBorders>
            <w:shd w:val="clear" w:color="auto" w:fill="F4F4F4"/>
            <w:tcMar>
              <w:top w:w="0" w:type="dxa"/>
              <w:left w:w="53" w:type="dxa"/>
              <w:bottom w:w="0" w:type="dxa"/>
              <w:right w:w="0" w:type="dxa"/>
            </w:tcMar>
            <w:vAlign w:val="bottom"/>
          </w:tcPr>
          <w:p w14:paraId="727CCDA2" w14:textId="77777777" w:rsidR="001614AC" w:rsidRDefault="004468F9">
            <w:pPr>
              <w:spacing w:before="55" w:after="30" w:line="288" w:lineRule="auto"/>
            </w:pPr>
            <w:r>
              <w:rPr>
                <w:rFonts w:ascii="Arial" w:eastAsia="Arial" w:hAnsi="Arial" w:cs="Arial"/>
                <w:color w:val="000000"/>
                <w:sz w:val="18"/>
              </w:rPr>
              <w:t>$</w:t>
            </w:r>
          </w:p>
        </w:tc>
        <w:tc>
          <w:tcPr>
            <w:tcW w:w="745" w:type="dxa"/>
            <w:tcBorders>
              <w:top w:val="single" w:sz="8" w:space="0" w:color="C7C9C7"/>
              <w:left w:val="nil"/>
              <w:bottom w:val="double" w:sz="8" w:space="0" w:color="C7C9C7"/>
              <w:right w:val="nil"/>
            </w:tcBorders>
            <w:shd w:val="clear" w:color="auto" w:fill="F4F4F4"/>
            <w:tcMar>
              <w:top w:w="0" w:type="dxa"/>
              <w:left w:w="0" w:type="dxa"/>
              <w:bottom w:w="0" w:type="dxa"/>
              <w:right w:w="0" w:type="dxa"/>
            </w:tcMar>
            <w:vAlign w:val="bottom"/>
          </w:tcPr>
          <w:p w14:paraId="38E9A7B4" w14:textId="77777777" w:rsidR="001614AC" w:rsidRDefault="004468F9">
            <w:pPr>
              <w:spacing w:before="55" w:after="30" w:line="288" w:lineRule="auto"/>
              <w:jc w:val="right"/>
            </w:pPr>
            <w:r>
              <w:rPr>
                <w:rFonts w:ascii="Arial" w:eastAsia="Arial" w:hAnsi="Arial" w:cs="Arial"/>
                <w:color w:val="000000"/>
                <w:sz w:val="18"/>
              </w:rPr>
              <w:t>280,814 </w:t>
            </w:r>
          </w:p>
        </w:tc>
        <w:tc>
          <w:tcPr>
            <w:tcW w:w="100" w:type="dxa"/>
            <w:tcBorders>
              <w:top w:val="single" w:sz="8" w:space="0" w:color="C7C9C7"/>
              <w:left w:val="nil"/>
              <w:bottom w:val="double" w:sz="8" w:space="0" w:color="C7C9C7"/>
              <w:right w:val="nil"/>
            </w:tcBorders>
            <w:shd w:val="clear" w:color="auto" w:fill="F4F4F4"/>
            <w:tcMar>
              <w:top w:w="0" w:type="dxa"/>
              <w:left w:w="0" w:type="dxa"/>
              <w:bottom w:w="0" w:type="dxa"/>
              <w:right w:w="15" w:type="dxa"/>
            </w:tcMar>
            <w:vAlign w:val="bottom"/>
          </w:tcPr>
          <w:p w14:paraId="76D374EF" w14:textId="77777777" w:rsidR="001614AC" w:rsidRDefault="001614AC">
            <w:pPr>
              <w:spacing w:before="55" w:after="30" w:line="288" w:lineRule="auto"/>
              <w:jc w:val="right"/>
            </w:pPr>
          </w:p>
        </w:tc>
        <w:tc>
          <w:tcPr>
            <w:tcW w:w="105" w:type="dxa"/>
            <w:tcBorders>
              <w:top w:val="nil"/>
              <w:left w:val="nil"/>
              <w:bottom w:val="nil"/>
              <w:right w:val="nil"/>
            </w:tcBorders>
            <w:shd w:val="clear" w:color="auto" w:fill="F4F4F4"/>
            <w:tcMar>
              <w:top w:w="0" w:type="dxa"/>
              <w:left w:w="0" w:type="dxa"/>
              <w:bottom w:w="0" w:type="dxa"/>
              <w:right w:w="0" w:type="dxa"/>
            </w:tcMar>
            <w:vAlign w:val="bottom"/>
          </w:tcPr>
          <w:p w14:paraId="2939FF25" w14:textId="77777777" w:rsidR="001614AC" w:rsidRDefault="001614AC"/>
        </w:tc>
        <w:tc>
          <w:tcPr>
            <w:tcW w:w="160" w:type="dxa"/>
            <w:tcBorders>
              <w:top w:val="single" w:sz="8" w:space="0" w:color="C7C9C7"/>
              <w:left w:val="nil"/>
              <w:bottom w:val="double" w:sz="8" w:space="0" w:color="C7C9C7"/>
              <w:right w:val="nil"/>
            </w:tcBorders>
            <w:shd w:val="clear" w:color="auto" w:fill="F4F4F4"/>
            <w:tcMar>
              <w:top w:w="0" w:type="dxa"/>
              <w:left w:w="53" w:type="dxa"/>
              <w:bottom w:w="0" w:type="dxa"/>
              <w:right w:w="0" w:type="dxa"/>
            </w:tcMar>
            <w:vAlign w:val="bottom"/>
          </w:tcPr>
          <w:p w14:paraId="30FDEDE8" w14:textId="77777777" w:rsidR="001614AC" w:rsidRDefault="004468F9">
            <w:pPr>
              <w:spacing w:before="55" w:after="30" w:line="288" w:lineRule="auto"/>
            </w:pPr>
            <w:r>
              <w:rPr>
                <w:rFonts w:ascii="Arial" w:eastAsia="Arial" w:hAnsi="Arial" w:cs="Arial"/>
                <w:color w:val="000000"/>
                <w:sz w:val="18"/>
              </w:rPr>
              <w:t>$</w:t>
            </w:r>
          </w:p>
        </w:tc>
        <w:tc>
          <w:tcPr>
            <w:tcW w:w="745" w:type="dxa"/>
            <w:tcBorders>
              <w:top w:val="single" w:sz="8" w:space="0" w:color="C7C9C7"/>
              <w:left w:val="nil"/>
              <w:bottom w:val="double" w:sz="8" w:space="0" w:color="C7C9C7"/>
              <w:right w:val="nil"/>
            </w:tcBorders>
            <w:shd w:val="clear" w:color="auto" w:fill="F4F4F4"/>
            <w:tcMar>
              <w:top w:w="0" w:type="dxa"/>
              <w:left w:w="0" w:type="dxa"/>
              <w:bottom w:w="0" w:type="dxa"/>
              <w:right w:w="0" w:type="dxa"/>
            </w:tcMar>
            <w:vAlign w:val="bottom"/>
          </w:tcPr>
          <w:p w14:paraId="189CB15B" w14:textId="77777777" w:rsidR="001614AC" w:rsidRDefault="004468F9">
            <w:pPr>
              <w:spacing w:before="55" w:after="30" w:line="288" w:lineRule="auto"/>
              <w:jc w:val="right"/>
            </w:pPr>
            <w:r>
              <w:rPr>
                <w:rFonts w:ascii="Arial" w:eastAsia="Arial" w:hAnsi="Arial" w:cs="Arial"/>
                <w:color w:val="000000"/>
                <w:sz w:val="18"/>
              </w:rPr>
              <w:t>110,510 </w:t>
            </w:r>
          </w:p>
        </w:tc>
        <w:tc>
          <w:tcPr>
            <w:tcW w:w="100" w:type="dxa"/>
            <w:tcBorders>
              <w:top w:val="single" w:sz="8" w:space="0" w:color="C7C9C7"/>
              <w:left w:val="nil"/>
              <w:bottom w:val="double" w:sz="8" w:space="0" w:color="C7C9C7"/>
              <w:right w:val="nil"/>
            </w:tcBorders>
            <w:shd w:val="clear" w:color="auto" w:fill="F4F4F4"/>
            <w:tcMar>
              <w:top w:w="0" w:type="dxa"/>
              <w:left w:w="0" w:type="dxa"/>
              <w:bottom w:w="0" w:type="dxa"/>
              <w:right w:w="15" w:type="dxa"/>
            </w:tcMar>
            <w:vAlign w:val="bottom"/>
          </w:tcPr>
          <w:p w14:paraId="4E4C9BE4" w14:textId="77777777" w:rsidR="001614AC" w:rsidRDefault="001614AC">
            <w:pPr>
              <w:spacing w:before="55" w:after="30" w:line="288" w:lineRule="auto"/>
              <w:jc w:val="right"/>
            </w:pPr>
          </w:p>
        </w:tc>
      </w:tr>
      <w:tr w:rsidR="001614AC" w14:paraId="19D01097" w14:textId="77777777">
        <w:trPr>
          <w:cantSplit/>
        </w:trPr>
        <w:tc>
          <w:tcPr>
            <w:tcW w:w="5640" w:type="dxa"/>
            <w:tcBorders>
              <w:top w:val="nil"/>
              <w:left w:val="nil"/>
              <w:bottom w:val="nil"/>
              <w:right w:val="nil"/>
            </w:tcBorders>
            <w:tcMar>
              <w:top w:w="0" w:type="dxa"/>
              <w:left w:w="53" w:type="dxa"/>
              <w:bottom w:w="0" w:type="dxa"/>
              <w:right w:w="53" w:type="dxa"/>
            </w:tcMar>
            <w:vAlign w:val="bottom"/>
          </w:tcPr>
          <w:p w14:paraId="24E5E798" w14:textId="77777777" w:rsidR="001614AC" w:rsidRDefault="004468F9">
            <w:pPr>
              <w:spacing w:before="75" w:after="30" w:line="288" w:lineRule="auto"/>
            </w:pPr>
            <w:r>
              <w:rPr>
                <w:rFonts w:ascii="Arial" w:eastAsia="Arial" w:hAnsi="Arial" w:cs="Arial"/>
                <w:color w:val="000000"/>
                <w:sz w:val="18"/>
              </w:rPr>
              <w:t xml:space="preserve"> </w:t>
            </w:r>
          </w:p>
        </w:tc>
        <w:tc>
          <w:tcPr>
            <w:tcW w:w="105" w:type="dxa"/>
            <w:tcBorders>
              <w:top w:val="nil"/>
              <w:left w:val="nil"/>
              <w:bottom w:val="nil"/>
              <w:right w:val="nil"/>
            </w:tcBorders>
            <w:tcMar>
              <w:top w:w="0" w:type="dxa"/>
              <w:left w:w="0" w:type="dxa"/>
              <w:bottom w:w="0" w:type="dxa"/>
              <w:right w:w="0" w:type="dxa"/>
            </w:tcMar>
            <w:vAlign w:val="bottom"/>
          </w:tcPr>
          <w:p w14:paraId="22F280AC" w14:textId="77777777" w:rsidR="001614AC" w:rsidRDefault="001614AC"/>
        </w:tc>
        <w:tc>
          <w:tcPr>
            <w:tcW w:w="1005" w:type="dxa"/>
            <w:gridSpan w:val="3"/>
            <w:tcBorders>
              <w:top w:val="double" w:sz="8" w:space="0" w:color="C7C9C7"/>
              <w:left w:val="nil"/>
              <w:bottom w:val="nil"/>
              <w:right w:val="nil"/>
            </w:tcBorders>
            <w:tcMar>
              <w:top w:w="0" w:type="dxa"/>
              <w:left w:w="0" w:type="dxa"/>
              <w:bottom w:w="0" w:type="dxa"/>
              <w:right w:w="0" w:type="dxa"/>
            </w:tcMar>
            <w:vAlign w:val="bottom"/>
          </w:tcPr>
          <w:p w14:paraId="4C3F00C7" w14:textId="77777777" w:rsidR="001614AC" w:rsidRDefault="001614AC"/>
        </w:tc>
        <w:tc>
          <w:tcPr>
            <w:tcW w:w="105" w:type="dxa"/>
            <w:tcBorders>
              <w:top w:val="nil"/>
              <w:left w:val="nil"/>
              <w:bottom w:val="nil"/>
              <w:right w:val="nil"/>
            </w:tcBorders>
            <w:tcMar>
              <w:top w:w="0" w:type="dxa"/>
              <w:left w:w="0" w:type="dxa"/>
              <w:bottom w:w="0" w:type="dxa"/>
              <w:right w:w="0" w:type="dxa"/>
            </w:tcMar>
            <w:vAlign w:val="bottom"/>
          </w:tcPr>
          <w:p w14:paraId="280DB846" w14:textId="77777777" w:rsidR="001614AC" w:rsidRDefault="001614AC"/>
        </w:tc>
        <w:tc>
          <w:tcPr>
            <w:tcW w:w="1005" w:type="dxa"/>
            <w:gridSpan w:val="3"/>
            <w:tcBorders>
              <w:top w:val="double" w:sz="8" w:space="0" w:color="C7C9C7"/>
              <w:left w:val="nil"/>
              <w:bottom w:val="nil"/>
              <w:right w:val="nil"/>
            </w:tcBorders>
            <w:tcMar>
              <w:top w:w="0" w:type="dxa"/>
              <w:left w:w="0" w:type="dxa"/>
              <w:bottom w:w="0" w:type="dxa"/>
              <w:right w:w="0" w:type="dxa"/>
            </w:tcMar>
            <w:vAlign w:val="bottom"/>
          </w:tcPr>
          <w:p w14:paraId="31631113" w14:textId="77777777" w:rsidR="001614AC" w:rsidRDefault="001614AC"/>
        </w:tc>
        <w:tc>
          <w:tcPr>
            <w:tcW w:w="105" w:type="dxa"/>
            <w:tcBorders>
              <w:top w:val="nil"/>
              <w:left w:val="nil"/>
              <w:bottom w:val="nil"/>
              <w:right w:val="nil"/>
            </w:tcBorders>
            <w:tcMar>
              <w:top w:w="0" w:type="dxa"/>
              <w:left w:w="0" w:type="dxa"/>
              <w:bottom w:w="0" w:type="dxa"/>
              <w:right w:w="0" w:type="dxa"/>
            </w:tcMar>
            <w:vAlign w:val="bottom"/>
          </w:tcPr>
          <w:p w14:paraId="4092CFDB" w14:textId="77777777" w:rsidR="001614AC" w:rsidRDefault="001614AC"/>
        </w:tc>
        <w:tc>
          <w:tcPr>
            <w:tcW w:w="1005" w:type="dxa"/>
            <w:gridSpan w:val="3"/>
            <w:tcBorders>
              <w:top w:val="double" w:sz="8" w:space="0" w:color="C7C9C7"/>
              <w:left w:val="nil"/>
              <w:bottom w:val="nil"/>
              <w:right w:val="nil"/>
            </w:tcBorders>
            <w:tcMar>
              <w:top w:w="0" w:type="dxa"/>
              <w:left w:w="0" w:type="dxa"/>
              <w:bottom w:w="0" w:type="dxa"/>
              <w:right w:w="0" w:type="dxa"/>
            </w:tcMar>
            <w:vAlign w:val="bottom"/>
          </w:tcPr>
          <w:p w14:paraId="5B3CE91C" w14:textId="77777777" w:rsidR="001614AC" w:rsidRDefault="001614AC"/>
        </w:tc>
        <w:tc>
          <w:tcPr>
            <w:tcW w:w="105" w:type="dxa"/>
            <w:tcBorders>
              <w:top w:val="nil"/>
              <w:left w:val="nil"/>
              <w:bottom w:val="nil"/>
              <w:right w:val="nil"/>
            </w:tcBorders>
            <w:tcMar>
              <w:top w:w="0" w:type="dxa"/>
              <w:left w:w="0" w:type="dxa"/>
              <w:bottom w:w="0" w:type="dxa"/>
              <w:right w:w="0" w:type="dxa"/>
            </w:tcMar>
            <w:vAlign w:val="bottom"/>
          </w:tcPr>
          <w:p w14:paraId="4AC7CE3C" w14:textId="77777777" w:rsidR="001614AC" w:rsidRDefault="001614AC"/>
        </w:tc>
        <w:tc>
          <w:tcPr>
            <w:tcW w:w="1005" w:type="dxa"/>
            <w:gridSpan w:val="3"/>
            <w:tcBorders>
              <w:top w:val="double" w:sz="8" w:space="0" w:color="C7C9C7"/>
              <w:left w:val="nil"/>
              <w:bottom w:val="nil"/>
              <w:right w:val="nil"/>
            </w:tcBorders>
            <w:tcMar>
              <w:top w:w="0" w:type="dxa"/>
              <w:left w:w="0" w:type="dxa"/>
              <w:bottom w:w="0" w:type="dxa"/>
              <w:right w:w="0" w:type="dxa"/>
            </w:tcMar>
            <w:vAlign w:val="bottom"/>
          </w:tcPr>
          <w:p w14:paraId="6E3F9F52" w14:textId="77777777" w:rsidR="001614AC" w:rsidRDefault="001614AC"/>
        </w:tc>
      </w:tr>
      <w:tr w:rsidR="001614AC" w14:paraId="3C32D631" w14:textId="77777777">
        <w:trPr>
          <w:cantSplit/>
        </w:trPr>
        <w:tc>
          <w:tcPr>
            <w:tcW w:w="5640" w:type="dxa"/>
            <w:tcBorders>
              <w:top w:val="nil"/>
              <w:left w:val="nil"/>
              <w:bottom w:val="single" w:sz="8" w:space="0" w:color="C7C9C7"/>
              <w:right w:val="nil"/>
            </w:tcBorders>
            <w:shd w:val="clear" w:color="auto" w:fill="F4F4F4"/>
            <w:tcMar>
              <w:top w:w="0" w:type="dxa"/>
              <w:left w:w="53" w:type="dxa"/>
              <w:bottom w:w="0" w:type="dxa"/>
              <w:right w:w="53" w:type="dxa"/>
            </w:tcMar>
            <w:vAlign w:val="bottom"/>
          </w:tcPr>
          <w:p w14:paraId="5E1937D0" w14:textId="77777777" w:rsidR="001614AC" w:rsidRDefault="004468F9">
            <w:pPr>
              <w:spacing w:before="75" w:after="30" w:line="288" w:lineRule="auto"/>
            </w:pPr>
            <w:r>
              <w:rPr>
                <w:rFonts w:ascii="Arial" w:eastAsia="Arial" w:hAnsi="Arial" w:cs="Arial"/>
                <w:b/>
                <w:color w:val="00BAB3"/>
                <w:sz w:val="20"/>
              </w:rPr>
              <w:t>Net Income (Loss) Per Share</w:t>
            </w:r>
          </w:p>
        </w:tc>
        <w:tc>
          <w:tcPr>
            <w:tcW w:w="105" w:type="dxa"/>
            <w:tcBorders>
              <w:top w:val="nil"/>
              <w:left w:val="nil"/>
              <w:bottom w:val="single" w:sz="8" w:space="0" w:color="C7C9C7"/>
              <w:right w:val="nil"/>
            </w:tcBorders>
            <w:shd w:val="clear" w:color="auto" w:fill="F4F4F4"/>
            <w:tcMar>
              <w:top w:w="0" w:type="dxa"/>
              <w:left w:w="0" w:type="dxa"/>
              <w:bottom w:w="0" w:type="dxa"/>
              <w:right w:w="0" w:type="dxa"/>
            </w:tcMar>
            <w:vAlign w:val="bottom"/>
          </w:tcPr>
          <w:p w14:paraId="087F00EE" w14:textId="77777777" w:rsidR="001614AC" w:rsidRDefault="001614AC"/>
        </w:tc>
        <w:tc>
          <w:tcPr>
            <w:tcW w:w="1005" w:type="dxa"/>
            <w:gridSpan w:val="3"/>
            <w:tcBorders>
              <w:top w:val="nil"/>
              <w:left w:val="nil"/>
              <w:bottom w:val="single" w:sz="8" w:space="0" w:color="C7C9C7"/>
              <w:right w:val="nil"/>
            </w:tcBorders>
            <w:shd w:val="clear" w:color="auto" w:fill="F4F4F4"/>
            <w:tcMar>
              <w:top w:w="0" w:type="dxa"/>
              <w:left w:w="0" w:type="dxa"/>
              <w:bottom w:w="0" w:type="dxa"/>
              <w:right w:w="0" w:type="dxa"/>
            </w:tcMar>
            <w:vAlign w:val="bottom"/>
          </w:tcPr>
          <w:p w14:paraId="0B536030" w14:textId="77777777" w:rsidR="001614AC" w:rsidRDefault="001614AC"/>
        </w:tc>
        <w:tc>
          <w:tcPr>
            <w:tcW w:w="105" w:type="dxa"/>
            <w:tcBorders>
              <w:top w:val="nil"/>
              <w:left w:val="nil"/>
              <w:bottom w:val="single" w:sz="8" w:space="0" w:color="C7C9C7"/>
              <w:right w:val="nil"/>
            </w:tcBorders>
            <w:shd w:val="clear" w:color="auto" w:fill="F4F4F4"/>
            <w:tcMar>
              <w:top w:w="0" w:type="dxa"/>
              <w:left w:w="0" w:type="dxa"/>
              <w:bottom w:w="0" w:type="dxa"/>
              <w:right w:w="0" w:type="dxa"/>
            </w:tcMar>
            <w:vAlign w:val="bottom"/>
          </w:tcPr>
          <w:p w14:paraId="189DCDFB" w14:textId="77777777" w:rsidR="001614AC" w:rsidRDefault="001614AC"/>
        </w:tc>
        <w:tc>
          <w:tcPr>
            <w:tcW w:w="1005" w:type="dxa"/>
            <w:gridSpan w:val="3"/>
            <w:tcBorders>
              <w:top w:val="nil"/>
              <w:left w:val="nil"/>
              <w:bottom w:val="single" w:sz="8" w:space="0" w:color="C7C9C7"/>
              <w:right w:val="nil"/>
            </w:tcBorders>
            <w:shd w:val="clear" w:color="auto" w:fill="F4F4F4"/>
            <w:tcMar>
              <w:top w:w="0" w:type="dxa"/>
              <w:left w:w="0" w:type="dxa"/>
              <w:bottom w:w="0" w:type="dxa"/>
              <w:right w:w="0" w:type="dxa"/>
            </w:tcMar>
            <w:vAlign w:val="bottom"/>
          </w:tcPr>
          <w:p w14:paraId="78F3E707" w14:textId="77777777" w:rsidR="001614AC" w:rsidRDefault="001614AC"/>
        </w:tc>
        <w:tc>
          <w:tcPr>
            <w:tcW w:w="105" w:type="dxa"/>
            <w:tcBorders>
              <w:top w:val="nil"/>
              <w:left w:val="nil"/>
              <w:bottom w:val="single" w:sz="8" w:space="0" w:color="C7C9C7"/>
              <w:right w:val="nil"/>
            </w:tcBorders>
            <w:shd w:val="clear" w:color="auto" w:fill="F4F4F4"/>
            <w:tcMar>
              <w:top w:w="0" w:type="dxa"/>
              <w:left w:w="0" w:type="dxa"/>
              <w:bottom w:w="0" w:type="dxa"/>
              <w:right w:w="0" w:type="dxa"/>
            </w:tcMar>
            <w:vAlign w:val="bottom"/>
          </w:tcPr>
          <w:p w14:paraId="3FF2F75F" w14:textId="77777777" w:rsidR="001614AC" w:rsidRDefault="001614AC"/>
        </w:tc>
        <w:tc>
          <w:tcPr>
            <w:tcW w:w="1005" w:type="dxa"/>
            <w:gridSpan w:val="3"/>
            <w:tcBorders>
              <w:top w:val="nil"/>
              <w:left w:val="nil"/>
              <w:bottom w:val="single" w:sz="8" w:space="0" w:color="C7C9C7"/>
              <w:right w:val="nil"/>
            </w:tcBorders>
            <w:shd w:val="clear" w:color="auto" w:fill="F4F4F4"/>
            <w:tcMar>
              <w:top w:w="0" w:type="dxa"/>
              <w:left w:w="0" w:type="dxa"/>
              <w:bottom w:w="0" w:type="dxa"/>
              <w:right w:w="0" w:type="dxa"/>
            </w:tcMar>
            <w:vAlign w:val="bottom"/>
          </w:tcPr>
          <w:p w14:paraId="6708CCDA" w14:textId="77777777" w:rsidR="001614AC" w:rsidRDefault="001614AC"/>
        </w:tc>
        <w:tc>
          <w:tcPr>
            <w:tcW w:w="105" w:type="dxa"/>
            <w:tcBorders>
              <w:top w:val="nil"/>
              <w:left w:val="nil"/>
              <w:bottom w:val="single" w:sz="8" w:space="0" w:color="C7C9C7"/>
              <w:right w:val="nil"/>
            </w:tcBorders>
            <w:shd w:val="clear" w:color="auto" w:fill="F4F4F4"/>
            <w:tcMar>
              <w:top w:w="0" w:type="dxa"/>
              <w:left w:w="0" w:type="dxa"/>
              <w:bottom w:w="0" w:type="dxa"/>
              <w:right w:w="0" w:type="dxa"/>
            </w:tcMar>
            <w:vAlign w:val="bottom"/>
          </w:tcPr>
          <w:p w14:paraId="57A7C320" w14:textId="77777777" w:rsidR="001614AC" w:rsidRDefault="001614AC"/>
        </w:tc>
        <w:tc>
          <w:tcPr>
            <w:tcW w:w="1005" w:type="dxa"/>
            <w:gridSpan w:val="3"/>
            <w:tcBorders>
              <w:top w:val="nil"/>
              <w:left w:val="nil"/>
              <w:bottom w:val="single" w:sz="8" w:space="0" w:color="C7C9C7"/>
              <w:right w:val="nil"/>
            </w:tcBorders>
            <w:shd w:val="clear" w:color="auto" w:fill="F4F4F4"/>
            <w:tcMar>
              <w:top w:w="0" w:type="dxa"/>
              <w:left w:w="0" w:type="dxa"/>
              <w:bottom w:w="0" w:type="dxa"/>
              <w:right w:w="0" w:type="dxa"/>
            </w:tcMar>
            <w:vAlign w:val="bottom"/>
          </w:tcPr>
          <w:p w14:paraId="59F58D19" w14:textId="77777777" w:rsidR="001614AC" w:rsidRDefault="001614AC"/>
        </w:tc>
      </w:tr>
      <w:tr w:rsidR="001614AC" w14:paraId="4D97C7AD" w14:textId="77777777">
        <w:trPr>
          <w:cantSplit/>
        </w:trPr>
        <w:tc>
          <w:tcPr>
            <w:tcW w:w="5640" w:type="dxa"/>
            <w:tcBorders>
              <w:top w:val="single" w:sz="8" w:space="0" w:color="C7C9C7"/>
              <w:left w:val="nil"/>
              <w:bottom w:val="single" w:sz="8" w:space="0" w:color="F4F4F4"/>
              <w:right w:val="nil"/>
            </w:tcBorders>
            <w:tcMar>
              <w:top w:w="0" w:type="dxa"/>
              <w:left w:w="53" w:type="dxa"/>
              <w:bottom w:w="0" w:type="dxa"/>
              <w:right w:w="53" w:type="dxa"/>
            </w:tcMar>
            <w:vAlign w:val="bottom"/>
          </w:tcPr>
          <w:p w14:paraId="054FF50A" w14:textId="77777777" w:rsidR="001614AC" w:rsidRDefault="004468F9">
            <w:pPr>
              <w:spacing w:before="55" w:after="30" w:line="288" w:lineRule="auto"/>
            </w:pPr>
            <w:r>
              <w:rPr>
                <w:rFonts w:ascii="Arial" w:eastAsia="Arial" w:hAnsi="Arial" w:cs="Arial"/>
                <w:color w:val="000000"/>
                <w:sz w:val="18"/>
              </w:rPr>
              <w:t>Basic</w:t>
            </w:r>
          </w:p>
        </w:tc>
        <w:tc>
          <w:tcPr>
            <w:tcW w:w="105" w:type="dxa"/>
            <w:tcBorders>
              <w:top w:val="single" w:sz="8" w:space="0" w:color="C7C9C7"/>
              <w:left w:val="nil"/>
              <w:bottom w:val="nil"/>
              <w:right w:val="nil"/>
            </w:tcBorders>
            <w:tcMar>
              <w:top w:w="0" w:type="dxa"/>
              <w:left w:w="0" w:type="dxa"/>
              <w:bottom w:w="0" w:type="dxa"/>
              <w:right w:w="0" w:type="dxa"/>
            </w:tcMar>
            <w:vAlign w:val="bottom"/>
          </w:tcPr>
          <w:p w14:paraId="67782EF0" w14:textId="77777777" w:rsidR="001614AC" w:rsidRDefault="001614AC"/>
        </w:tc>
        <w:tc>
          <w:tcPr>
            <w:tcW w:w="160" w:type="dxa"/>
            <w:tcBorders>
              <w:top w:val="single" w:sz="8" w:space="0" w:color="C7C9C7"/>
              <w:left w:val="nil"/>
              <w:bottom w:val="single" w:sz="8" w:space="0" w:color="F4F4F4"/>
              <w:right w:val="nil"/>
            </w:tcBorders>
            <w:tcMar>
              <w:top w:w="0" w:type="dxa"/>
              <w:left w:w="53" w:type="dxa"/>
              <w:bottom w:w="0" w:type="dxa"/>
              <w:right w:w="0" w:type="dxa"/>
            </w:tcMar>
            <w:vAlign w:val="bottom"/>
          </w:tcPr>
          <w:p w14:paraId="08AD90C5" w14:textId="77777777" w:rsidR="001614AC" w:rsidRDefault="004468F9">
            <w:pPr>
              <w:spacing w:before="55" w:after="30" w:line="288" w:lineRule="auto"/>
            </w:pPr>
            <w:r>
              <w:rPr>
                <w:rFonts w:ascii="Arial" w:eastAsia="Arial" w:hAnsi="Arial" w:cs="Arial"/>
                <w:color w:val="000000"/>
                <w:sz w:val="18"/>
              </w:rPr>
              <w:t>$</w:t>
            </w:r>
          </w:p>
        </w:tc>
        <w:tc>
          <w:tcPr>
            <w:tcW w:w="745" w:type="dxa"/>
            <w:tcBorders>
              <w:top w:val="single" w:sz="8" w:space="0" w:color="C7C9C7"/>
              <w:left w:val="nil"/>
              <w:bottom w:val="single" w:sz="8" w:space="0" w:color="F4F4F4"/>
              <w:right w:val="nil"/>
            </w:tcBorders>
            <w:tcMar>
              <w:top w:w="0" w:type="dxa"/>
              <w:left w:w="0" w:type="dxa"/>
              <w:bottom w:w="0" w:type="dxa"/>
              <w:right w:w="0" w:type="dxa"/>
            </w:tcMar>
            <w:vAlign w:val="bottom"/>
          </w:tcPr>
          <w:p w14:paraId="05979868" w14:textId="77777777" w:rsidR="001614AC" w:rsidRDefault="004468F9">
            <w:pPr>
              <w:spacing w:before="55" w:after="30" w:line="288" w:lineRule="auto"/>
              <w:jc w:val="right"/>
            </w:pPr>
            <w:r>
              <w:rPr>
                <w:rFonts w:ascii="Arial" w:eastAsia="Arial" w:hAnsi="Arial" w:cs="Arial"/>
                <w:color w:val="000000"/>
                <w:sz w:val="18"/>
              </w:rPr>
              <w:t>0.80 </w:t>
            </w:r>
          </w:p>
        </w:tc>
        <w:tc>
          <w:tcPr>
            <w:tcW w:w="100" w:type="dxa"/>
            <w:tcBorders>
              <w:top w:val="single" w:sz="8" w:space="0" w:color="C7C9C7"/>
              <w:left w:val="nil"/>
              <w:bottom w:val="single" w:sz="8" w:space="0" w:color="F4F4F4"/>
              <w:right w:val="nil"/>
            </w:tcBorders>
            <w:tcMar>
              <w:top w:w="0" w:type="dxa"/>
              <w:left w:w="0" w:type="dxa"/>
              <w:bottom w:w="0" w:type="dxa"/>
              <w:right w:w="15" w:type="dxa"/>
            </w:tcMar>
            <w:vAlign w:val="bottom"/>
          </w:tcPr>
          <w:p w14:paraId="23BE8228" w14:textId="77777777" w:rsidR="001614AC" w:rsidRDefault="001614AC">
            <w:pPr>
              <w:spacing w:before="55" w:after="30" w:line="288" w:lineRule="auto"/>
              <w:jc w:val="right"/>
            </w:pPr>
          </w:p>
        </w:tc>
        <w:tc>
          <w:tcPr>
            <w:tcW w:w="105" w:type="dxa"/>
            <w:tcBorders>
              <w:top w:val="single" w:sz="8" w:space="0" w:color="C7C9C7"/>
              <w:left w:val="nil"/>
              <w:bottom w:val="nil"/>
              <w:right w:val="nil"/>
            </w:tcBorders>
            <w:tcMar>
              <w:top w:w="0" w:type="dxa"/>
              <w:left w:w="0" w:type="dxa"/>
              <w:bottom w:w="0" w:type="dxa"/>
              <w:right w:w="0" w:type="dxa"/>
            </w:tcMar>
            <w:vAlign w:val="bottom"/>
          </w:tcPr>
          <w:p w14:paraId="5E941118" w14:textId="77777777" w:rsidR="001614AC" w:rsidRDefault="001614AC"/>
        </w:tc>
        <w:tc>
          <w:tcPr>
            <w:tcW w:w="160" w:type="dxa"/>
            <w:tcBorders>
              <w:top w:val="single" w:sz="8" w:space="0" w:color="C7C9C7"/>
              <w:left w:val="nil"/>
              <w:bottom w:val="single" w:sz="8" w:space="0" w:color="F4F4F4"/>
              <w:right w:val="nil"/>
            </w:tcBorders>
            <w:tcMar>
              <w:top w:w="0" w:type="dxa"/>
              <w:left w:w="53" w:type="dxa"/>
              <w:bottom w:w="0" w:type="dxa"/>
              <w:right w:w="0" w:type="dxa"/>
            </w:tcMar>
            <w:vAlign w:val="bottom"/>
          </w:tcPr>
          <w:p w14:paraId="7160BA61" w14:textId="77777777" w:rsidR="001614AC" w:rsidRDefault="004468F9">
            <w:pPr>
              <w:spacing w:before="55" w:after="30" w:line="288" w:lineRule="auto"/>
            </w:pPr>
            <w:r>
              <w:rPr>
                <w:rFonts w:ascii="Arial" w:eastAsia="Arial" w:hAnsi="Arial" w:cs="Arial"/>
                <w:color w:val="000000"/>
                <w:sz w:val="18"/>
              </w:rPr>
              <w:t>$</w:t>
            </w:r>
          </w:p>
        </w:tc>
        <w:tc>
          <w:tcPr>
            <w:tcW w:w="745" w:type="dxa"/>
            <w:tcBorders>
              <w:top w:val="single" w:sz="8" w:space="0" w:color="C7C9C7"/>
              <w:left w:val="nil"/>
              <w:bottom w:val="single" w:sz="8" w:space="0" w:color="F4F4F4"/>
              <w:right w:val="nil"/>
            </w:tcBorders>
            <w:tcMar>
              <w:top w:w="0" w:type="dxa"/>
              <w:left w:w="0" w:type="dxa"/>
              <w:bottom w:w="0" w:type="dxa"/>
              <w:right w:w="0" w:type="dxa"/>
            </w:tcMar>
            <w:vAlign w:val="bottom"/>
          </w:tcPr>
          <w:p w14:paraId="26DB1453" w14:textId="77777777" w:rsidR="001614AC" w:rsidRDefault="004468F9">
            <w:pPr>
              <w:spacing w:before="55" w:after="30" w:line="288" w:lineRule="auto"/>
              <w:jc w:val="right"/>
            </w:pPr>
            <w:r>
              <w:rPr>
                <w:rFonts w:ascii="Arial" w:eastAsia="Arial" w:hAnsi="Arial" w:cs="Arial"/>
                <w:color w:val="000000"/>
                <w:sz w:val="18"/>
              </w:rPr>
              <w:t>(0.15)</w:t>
            </w:r>
          </w:p>
        </w:tc>
        <w:tc>
          <w:tcPr>
            <w:tcW w:w="100" w:type="dxa"/>
            <w:tcBorders>
              <w:top w:val="single" w:sz="8" w:space="0" w:color="C7C9C7"/>
              <w:left w:val="nil"/>
              <w:bottom w:val="single" w:sz="8" w:space="0" w:color="F4F4F4"/>
              <w:right w:val="nil"/>
            </w:tcBorders>
            <w:tcMar>
              <w:top w:w="0" w:type="dxa"/>
              <w:left w:w="0" w:type="dxa"/>
              <w:bottom w:w="0" w:type="dxa"/>
              <w:right w:w="15" w:type="dxa"/>
            </w:tcMar>
            <w:vAlign w:val="bottom"/>
          </w:tcPr>
          <w:p w14:paraId="3DA77C02" w14:textId="77777777" w:rsidR="001614AC" w:rsidRDefault="001614AC">
            <w:pPr>
              <w:spacing w:before="55" w:after="30" w:line="288" w:lineRule="auto"/>
              <w:jc w:val="right"/>
            </w:pPr>
          </w:p>
        </w:tc>
        <w:tc>
          <w:tcPr>
            <w:tcW w:w="105" w:type="dxa"/>
            <w:tcBorders>
              <w:top w:val="single" w:sz="8" w:space="0" w:color="C7C9C7"/>
              <w:left w:val="nil"/>
              <w:bottom w:val="nil"/>
              <w:right w:val="nil"/>
            </w:tcBorders>
            <w:tcMar>
              <w:top w:w="0" w:type="dxa"/>
              <w:left w:w="0" w:type="dxa"/>
              <w:bottom w:w="0" w:type="dxa"/>
              <w:right w:w="0" w:type="dxa"/>
            </w:tcMar>
            <w:vAlign w:val="bottom"/>
          </w:tcPr>
          <w:p w14:paraId="5D4D39FB" w14:textId="77777777" w:rsidR="001614AC" w:rsidRDefault="001614AC"/>
        </w:tc>
        <w:tc>
          <w:tcPr>
            <w:tcW w:w="160" w:type="dxa"/>
            <w:tcBorders>
              <w:top w:val="single" w:sz="8" w:space="0" w:color="C7C9C7"/>
              <w:left w:val="nil"/>
              <w:bottom w:val="single" w:sz="8" w:space="0" w:color="F4F4F4"/>
              <w:right w:val="nil"/>
            </w:tcBorders>
            <w:tcMar>
              <w:top w:w="0" w:type="dxa"/>
              <w:left w:w="53" w:type="dxa"/>
              <w:bottom w:w="0" w:type="dxa"/>
              <w:right w:w="0" w:type="dxa"/>
            </w:tcMar>
            <w:vAlign w:val="bottom"/>
          </w:tcPr>
          <w:p w14:paraId="76B6498B" w14:textId="77777777" w:rsidR="001614AC" w:rsidRDefault="004468F9">
            <w:pPr>
              <w:spacing w:before="55" w:after="30" w:line="288" w:lineRule="auto"/>
            </w:pPr>
            <w:r>
              <w:rPr>
                <w:rFonts w:ascii="Arial" w:eastAsia="Arial" w:hAnsi="Arial" w:cs="Arial"/>
                <w:color w:val="000000"/>
                <w:sz w:val="18"/>
              </w:rPr>
              <w:t>$</w:t>
            </w:r>
          </w:p>
        </w:tc>
        <w:tc>
          <w:tcPr>
            <w:tcW w:w="745" w:type="dxa"/>
            <w:tcBorders>
              <w:top w:val="single" w:sz="8" w:space="0" w:color="C7C9C7"/>
              <w:left w:val="nil"/>
              <w:bottom w:val="single" w:sz="8" w:space="0" w:color="F4F4F4"/>
              <w:right w:val="nil"/>
            </w:tcBorders>
            <w:tcMar>
              <w:top w:w="0" w:type="dxa"/>
              <w:left w:w="0" w:type="dxa"/>
              <w:bottom w:w="0" w:type="dxa"/>
              <w:right w:w="0" w:type="dxa"/>
            </w:tcMar>
            <w:vAlign w:val="bottom"/>
          </w:tcPr>
          <w:p w14:paraId="4A3040E6" w14:textId="77777777" w:rsidR="001614AC" w:rsidRDefault="004468F9">
            <w:pPr>
              <w:spacing w:before="55" w:after="30" w:line="288" w:lineRule="auto"/>
              <w:jc w:val="right"/>
            </w:pPr>
            <w:r>
              <w:rPr>
                <w:rFonts w:ascii="Arial" w:eastAsia="Arial" w:hAnsi="Arial" w:cs="Arial"/>
                <w:color w:val="000000"/>
                <w:sz w:val="18"/>
              </w:rPr>
              <w:t>1.45 </w:t>
            </w:r>
          </w:p>
        </w:tc>
        <w:tc>
          <w:tcPr>
            <w:tcW w:w="100" w:type="dxa"/>
            <w:tcBorders>
              <w:top w:val="single" w:sz="8" w:space="0" w:color="C7C9C7"/>
              <w:left w:val="nil"/>
              <w:bottom w:val="single" w:sz="8" w:space="0" w:color="F4F4F4"/>
              <w:right w:val="nil"/>
            </w:tcBorders>
            <w:tcMar>
              <w:top w:w="0" w:type="dxa"/>
              <w:left w:w="0" w:type="dxa"/>
              <w:bottom w:w="0" w:type="dxa"/>
              <w:right w:w="15" w:type="dxa"/>
            </w:tcMar>
            <w:vAlign w:val="bottom"/>
          </w:tcPr>
          <w:p w14:paraId="38368482" w14:textId="77777777" w:rsidR="001614AC" w:rsidRDefault="001614AC">
            <w:pPr>
              <w:spacing w:before="55" w:after="30" w:line="288" w:lineRule="auto"/>
              <w:jc w:val="right"/>
            </w:pPr>
          </w:p>
        </w:tc>
        <w:tc>
          <w:tcPr>
            <w:tcW w:w="105" w:type="dxa"/>
            <w:tcBorders>
              <w:top w:val="single" w:sz="8" w:space="0" w:color="C7C9C7"/>
              <w:left w:val="nil"/>
              <w:bottom w:val="nil"/>
              <w:right w:val="nil"/>
            </w:tcBorders>
            <w:tcMar>
              <w:top w:w="0" w:type="dxa"/>
              <w:left w:w="0" w:type="dxa"/>
              <w:bottom w:w="0" w:type="dxa"/>
              <w:right w:w="0" w:type="dxa"/>
            </w:tcMar>
            <w:vAlign w:val="bottom"/>
          </w:tcPr>
          <w:p w14:paraId="1E86379C" w14:textId="77777777" w:rsidR="001614AC" w:rsidRDefault="001614AC"/>
        </w:tc>
        <w:tc>
          <w:tcPr>
            <w:tcW w:w="160" w:type="dxa"/>
            <w:tcBorders>
              <w:top w:val="single" w:sz="8" w:space="0" w:color="C7C9C7"/>
              <w:left w:val="nil"/>
              <w:bottom w:val="single" w:sz="8" w:space="0" w:color="F4F4F4"/>
              <w:right w:val="nil"/>
            </w:tcBorders>
            <w:tcMar>
              <w:top w:w="0" w:type="dxa"/>
              <w:left w:w="53" w:type="dxa"/>
              <w:bottom w:w="0" w:type="dxa"/>
              <w:right w:w="0" w:type="dxa"/>
            </w:tcMar>
            <w:vAlign w:val="bottom"/>
          </w:tcPr>
          <w:p w14:paraId="1E1020FC" w14:textId="77777777" w:rsidR="001614AC" w:rsidRDefault="004468F9">
            <w:pPr>
              <w:spacing w:before="55" w:after="30" w:line="288" w:lineRule="auto"/>
            </w:pPr>
            <w:r>
              <w:rPr>
                <w:rFonts w:ascii="Arial" w:eastAsia="Arial" w:hAnsi="Arial" w:cs="Arial"/>
                <w:color w:val="000000"/>
                <w:sz w:val="18"/>
              </w:rPr>
              <w:t>$</w:t>
            </w:r>
          </w:p>
        </w:tc>
        <w:tc>
          <w:tcPr>
            <w:tcW w:w="745" w:type="dxa"/>
            <w:tcBorders>
              <w:top w:val="single" w:sz="8" w:space="0" w:color="C7C9C7"/>
              <w:left w:val="nil"/>
              <w:bottom w:val="single" w:sz="8" w:space="0" w:color="F4F4F4"/>
              <w:right w:val="nil"/>
            </w:tcBorders>
            <w:tcMar>
              <w:top w:w="0" w:type="dxa"/>
              <w:left w:w="0" w:type="dxa"/>
              <w:bottom w:w="0" w:type="dxa"/>
              <w:right w:w="0" w:type="dxa"/>
            </w:tcMar>
            <w:vAlign w:val="bottom"/>
          </w:tcPr>
          <w:p w14:paraId="6BCE17B2" w14:textId="77777777" w:rsidR="001614AC" w:rsidRDefault="004468F9">
            <w:pPr>
              <w:spacing w:before="55" w:after="30" w:line="288" w:lineRule="auto"/>
              <w:jc w:val="right"/>
            </w:pPr>
            <w:r>
              <w:rPr>
                <w:rFonts w:ascii="Arial" w:eastAsia="Arial" w:hAnsi="Arial" w:cs="Arial"/>
                <w:color w:val="000000"/>
                <w:sz w:val="18"/>
              </w:rPr>
              <w:t>0.56 </w:t>
            </w:r>
          </w:p>
        </w:tc>
        <w:tc>
          <w:tcPr>
            <w:tcW w:w="100" w:type="dxa"/>
            <w:tcBorders>
              <w:top w:val="single" w:sz="8" w:space="0" w:color="C7C9C7"/>
              <w:left w:val="nil"/>
              <w:bottom w:val="single" w:sz="8" w:space="0" w:color="F4F4F4"/>
              <w:right w:val="nil"/>
            </w:tcBorders>
            <w:tcMar>
              <w:top w:w="0" w:type="dxa"/>
              <w:left w:w="0" w:type="dxa"/>
              <w:bottom w:w="0" w:type="dxa"/>
              <w:right w:w="15" w:type="dxa"/>
            </w:tcMar>
            <w:vAlign w:val="bottom"/>
          </w:tcPr>
          <w:p w14:paraId="5C6FF1B0" w14:textId="77777777" w:rsidR="001614AC" w:rsidRDefault="001614AC">
            <w:pPr>
              <w:spacing w:before="55" w:after="30" w:line="288" w:lineRule="auto"/>
              <w:jc w:val="right"/>
            </w:pPr>
          </w:p>
        </w:tc>
      </w:tr>
      <w:tr w:rsidR="001614AC" w14:paraId="5E7851E1" w14:textId="77777777">
        <w:trPr>
          <w:cantSplit/>
        </w:trPr>
        <w:tc>
          <w:tcPr>
            <w:tcW w:w="5640" w:type="dxa"/>
            <w:tcBorders>
              <w:top w:val="single" w:sz="8" w:space="0" w:color="F4F4F4"/>
              <w:left w:val="nil"/>
              <w:bottom w:val="single" w:sz="8" w:space="0" w:color="F4F4F4"/>
              <w:right w:val="nil"/>
            </w:tcBorders>
            <w:tcMar>
              <w:top w:w="0" w:type="dxa"/>
              <w:left w:w="53" w:type="dxa"/>
              <w:bottom w:w="0" w:type="dxa"/>
              <w:right w:w="53" w:type="dxa"/>
            </w:tcMar>
            <w:vAlign w:val="bottom"/>
          </w:tcPr>
          <w:p w14:paraId="52D41069" w14:textId="77777777" w:rsidR="001614AC" w:rsidRDefault="004468F9">
            <w:pPr>
              <w:spacing w:before="55" w:after="30" w:line="288" w:lineRule="auto"/>
            </w:pPr>
            <w:r>
              <w:rPr>
                <w:rFonts w:ascii="Arial" w:eastAsia="Arial" w:hAnsi="Arial" w:cs="Arial"/>
                <w:color w:val="000000"/>
                <w:sz w:val="18"/>
              </w:rPr>
              <w:t>Diluted</w:t>
            </w:r>
          </w:p>
        </w:tc>
        <w:tc>
          <w:tcPr>
            <w:tcW w:w="105" w:type="dxa"/>
            <w:tcBorders>
              <w:top w:val="nil"/>
              <w:left w:val="nil"/>
              <w:bottom w:val="nil"/>
              <w:right w:val="nil"/>
            </w:tcBorders>
            <w:tcMar>
              <w:top w:w="0" w:type="dxa"/>
              <w:left w:w="0" w:type="dxa"/>
              <w:bottom w:w="0" w:type="dxa"/>
              <w:right w:w="0" w:type="dxa"/>
            </w:tcMar>
            <w:vAlign w:val="bottom"/>
          </w:tcPr>
          <w:p w14:paraId="2C8680CF" w14:textId="77777777" w:rsidR="001614AC" w:rsidRDefault="001614AC"/>
        </w:tc>
        <w:tc>
          <w:tcPr>
            <w:tcW w:w="160" w:type="dxa"/>
            <w:tcBorders>
              <w:top w:val="single" w:sz="8" w:space="0" w:color="F4F4F4"/>
              <w:left w:val="nil"/>
              <w:bottom w:val="single" w:sz="8" w:space="0" w:color="F4F4F4"/>
              <w:right w:val="nil"/>
            </w:tcBorders>
            <w:tcMar>
              <w:top w:w="0" w:type="dxa"/>
              <w:left w:w="53" w:type="dxa"/>
              <w:bottom w:w="0" w:type="dxa"/>
              <w:right w:w="0" w:type="dxa"/>
            </w:tcMar>
            <w:vAlign w:val="bottom"/>
          </w:tcPr>
          <w:p w14:paraId="3F0857EC" w14:textId="77777777" w:rsidR="001614AC" w:rsidRDefault="004468F9">
            <w:pPr>
              <w:spacing w:before="55" w:after="30" w:line="288" w:lineRule="auto"/>
            </w:pPr>
            <w:r>
              <w:rPr>
                <w:rFonts w:ascii="Arial" w:eastAsia="Arial" w:hAnsi="Arial" w:cs="Arial"/>
                <w:color w:val="000000"/>
                <w:sz w:val="18"/>
              </w:rPr>
              <w:t>$</w:t>
            </w:r>
          </w:p>
        </w:tc>
        <w:tc>
          <w:tcPr>
            <w:tcW w:w="745" w:type="dxa"/>
            <w:tcBorders>
              <w:top w:val="single" w:sz="8" w:space="0" w:color="F4F4F4"/>
              <w:left w:val="nil"/>
              <w:bottom w:val="single" w:sz="8" w:space="0" w:color="F4F4F4"/>
              <w:right w:val="nil"/>
            </w:tcBorders>
            <w:tcMar>
              <w:top w:w="0" w:type="dxa"/>
              <w:left w:w="0" w:type="dxa"/>
              <w:bottom w:w="0" w:type="dxa"/>
              <w:right w:w="0" w:type="dxa"/>
            </w:tcMar>
            <w:vAlign w:val="bottom"/>
          </w:tcPr>
          <w:p w14:paraId="3E21C097" w14:textId="77777777" w:rsidR="001614AC" w:rsidRDefault="004468F9">
            <w:pPr>
              <w:spacing w:before="55" w:after="30" w:line="288" w:lineRule="auto"/>
              <w:jc w:val="right"/>
            </w:pPr>
            <w:r>
              <w:rPr>
                <w:rFonts w:ascii="Arial" w:eastAsia="Arial" w:hAnsi="Arial" w:cs="Arial"/>
                <w:color w:val="000000"/>
                <w:sz w:val="18"/>
              </w:rPr>
              <w:t>0.80 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2FE6421D" w14:textId="77777777" w:rsidR="001614AC" w:rsidRDefault="001614AC">
            <w:pPr>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2F832389" w14:textId="77777777" w:rsidR="001614AC" w:rsidRDefault="001614AC"/>
        </w:tc>
        <w:tc>
          <w:tcPr>
            <w:tcW w:w="160" w:type="dxa"/>
            <w:tcBorders>
              <w:top w:val="single" w:sz="8" w:space="0" w:color="F4F4F4"/>
              <w:left w:val="nil"/>
              <w:bottom w:val="single" w:sz="8" w:space="0" w:color="F4F4F4"/>
              <w:right w:val="nil"/>
            </w:tcBorders>
            <w:tcMar>
              <w:top w:w="0" w:type="dxa"/>
              <w:left w:w="53" w:type="dxa"/>
              <w:bottom w:w="0" w:type="dxa"/>
              <w:right w:w="0" w:type="dxa"/>
            </w:tcMar>
            <w:vAlign w:val="bottom"/>
          </w:tcPr>
          <w:p w14:paraId="54F6FFCE" w14:textId="77777777" w:rsidR="001614AC" w:rsidRDefault="004468F9">
            <w:pPr>
              <w:spacing w:before="55" w:after="30" w:line="288" w:lineRule="auto"/>
            </w:pPr>
            <w:r>
              <w:rPr>
                <w:rFonts w:ascii="Arial" w:eastAsia="Arial" w:hAnsi="Arial" w:cs="Arial"/>
                <w:color w:val="000000"/>
                <w:sz w:val="18"/>
              </w:rPr>
              <w:t>$</w:t>
            </w:r>
          </w:p>
        </w:tc>
        <w:tc>
          <w:tcPr>
            <w:tcW w:w="745" w:type="dxa"/>
            <w:tcBorders>
              <w:top w:val="single" w:sz="8" w:space="0" w:color="F4F4F4"/>
              <w:left w:val="nil"/>
              <w:bottom w:val="single" w:sz="8" w:space="0" w:color="F4F4F4"/>
              <w:right w:val="nil"/>
            </w:tcBorders>
            <w:tcMar>
              <w:top w:w="0" w:type="dxa"/>
              <w:left w:w="0" w:type="dxa"/>
              <w:bottom w:w="0" w:type="dxa"/>
              <w:right w:w="0" w:type="dxa"/>
            </w:tcMar>
            <w:vAlign w:val="bottom"/>
          </w:tcPr>
          <w:p w14:paraId="22C07527" w14:textId="77777777" w:rsidR="001614AC" w:rsidRDefault="004468F9">
            <w:pPr>
              <w:spacing w:before="55" w:after="30" w:line="288" w:lineRule="auto"/>
              <w:jc w:val="right"/>
            </w:pPr>
            <w:r>
              <w:rPr>
                <w:rFonts w:ascii="Arial" w:eastAsia="Arial" w:hAnsi="Arial" w:cs="Arial"/>
                <w:color w:val="000000"/>
                <w:sz w:val="18"/>
              </w:rPr>
              <w:t>(0.15)</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4C5B218C" w14:textId="77777777" w:rsidR="001614AC" w:rsidRDefault="001614AC">
            <w:pPr>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5F22E388" w14:textId="77777777" w:rsidR="001614AC" w:rsidRDefault="001614AC"/>
        </w:tc>
        <w:tc>
          <w:tcPr>
            <w:tcW w:w="160" w:type="dxa"/>
            <w:tcBorders>
              <w:top w:val="single" w:sz="8" w:space="0" w:color="F4F4F4"/>
              <w:left w:val="nil"/>
              <w:bottom w:val="single" w:sz="8" w:space="0" w:color="F4F4F4"/>
              <w:right w:val="nil"/>
            </w:tcBorders>
            <w:tcMar>
              <w:top w:w="0" w:type="dxa"/>
              <w:left w:w="53" w:type="dxa"/>
              <w:bottom w:w="0" w:type="dxa"/>
              <w:right w:w="0" w:type="dxa"/>
            </w:tcMar>
            <w:vAlign w:val="bottom"/>
          </w:tcPr>
          <w:p w14:paraId="587FB2EB" w14:textId="77777777" w:rsidR="001614AC" w:rsidRDefault="004468F9">
            <w:pPr>
              <w:spacing w:before="55" w:after="30" w:line="288" w:lineRule="auto"/>
            </w:pPr>
            <w:r>
              <w:rPr>
                <w:rFonts w:ascii="Arial" w:eastAsia="Arial" w:hAnsi="Arial" w:cs="Arial"/>
                <w:color w:val="000000"/>
                <w:sz w:val="18"/>
              </w:rPr>
              <w:t>$</w:t>
            </w:r>
          </w:p>
        </w:tc>
        <w:tc>
          <w:tcPr>
            <w:tcW w:w="745" w:type="dxa"/>
            <w:tcBorders>
              <w:top w:val="single" w:sz="8" w:space="0" w:color="F4F4F4"/>
              <w:left w:val="nil"/>
              <w:bottom w:val="single" w:sz="8" w:space="0" w:color="F4F4F4"/>
              <w:right w:val="nil"/>
            </w:tcBorders>
            <w:tcMar>
              <w:top w:w="0" w:type="dxa"/>
              <w:left w:w="0" w:type="dxa"/>
              <w:bottom w:w="0" w:type="dxa"/>
              <w:right w:w="0" w:type="dxa"/>
            </w:tcMar>
            <w:vAlign w:val="bottom"/>
          </w:tcPr>
          <w:p w14:paraId="35FFCB65" w14:textId="77777777" w:rsidR="001614AC" w:rsidRDefault="004468F9">
            <w:pPr>
              <w:spacing w:before="55" w:after="30" w:line="288" w:lineRule="auto"/>
              <w:jc w:val="right"/>
            </w:pPr>
            <w:r>
              <w:rPr>
                <w:rFonts w:ascii="Arial" w:eastAsia="Arial" w:hAnsi="Arial" w:cs="Arial"/>
                <w:color w:val="000000"/>
                <w:sz w:val="18"/>
              </w:rPr>
              <w:t>1.44 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312ABC5B" w14:textId="77777777" w:rsidR="001614AC" w:rsidRDefault="001614AC">
            <w:pPr>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4F88C0A8" w14:textId="77777777" w:rsidR="001614AC" w:rsidRDefault="001614AC"/>
        </w:tc>
        <w:tc>
          <w:tcPr>
            <w:tcW w:w="160" w:type="dxa"/>
            <w:tcBorders>
              <w:top w:val="single" w:sz="8" w:space="0" w:color="F4F4F4"/>
              <w:left w:val="nil"/>
              <w:bottom w:val="single" w:sz="8" w:space="0" w:color="F4F4F4"/>
              <w:right w:val="nil"/>
            </w:tcBorders>
            <w:tcMar>
              <w:top w:w="0" w:type="dxa"/>
              <w:left w:w="53" w:type="dxa"/>
              <w:bottom w:w="0" w:type="dxa"/>
              <w:right w:w="0" w:type="dxa"/>
            </w:tcMar>
            <w:vAlign w:val="bottom"/>
          </w:tcPr>
          <w:p w14:paraId="4C53BF74" w14:textId="77777777" w:rsidR="001614AC" w:rsidRDefault="004468F9">
            <w:pPr>
              <w:spacing w:before="55" w:after="30" w:line="288" w:lineRule="auto"/>
            </w:pPr>
            <w:r>
              <w:rPr>
                <w:rFonts w:ascii="Arial" w:eastAsia="Arial" w:hAnsi="Arial" w:cs="Arial"/>
                <w:color w:val="000000"/>
                <w:sz w:val="18"/>
              </w:rPr>
              <w:t>$</w:t>
            </w:r>
          </w:p>
        </w:tc>
        <w:tc>
          <w:tcPr>
            <w:tcW w:w="745" w:type="dxa"/>
            <w:tcBorders>
              <w:top w:val="single" w:sz="8" w:space="0" w:color="F4F4F4"/>
              <w:left w:val="nil"/>
              <w:bottom w:val="single" w:sz="8" w:space="0" w:color="F4F4F4"/>
              <w:right w:val="nil"/>
            </w:tcBorders>
            <w:tcMar>
              <w:top w:w="0" w:type="dxa"/>
              <w:left w:w="0" w:type="dxa"/>
              <w:bottom w:w="0" w:type="dxa"/>
              <w:right w:w="0" w:type="dxa"/>
            </w:tcMar>
            <w:vAlign w:val="bottom"/>
          </w:tcPr>
          <w:p w14:paraId="43E4977D" w14:textId="77777777" w:rsidR="001614AC" w:rsidRDefault="004468F9">
            <w:pPr>
              <w:spacing w:before="55" w:after="30" w:line="288" w:lineRule="auto"/>
              <w:jc w:val="right"/>
            </w:pPr>
            <w:r>
              <w:rPr>
                <w:rFonts w:ascii="Arial" w:eastAsia="Arial" w:hAnsi="Arial" w:cs="Arial"/>
                <w:color w:val="000000"/>
                <w:sz w:val="18"/>
              </w:rPr>
              <w:t>0.56 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339461CA" w14:textId="77777777" w:rsidR="001614AC" w:rsidRDefault="001614AC">
            <w:pPr>
              <w:spacing w:before="55" w:after="30" w:line="288" w:lineRule="auto"/>
              <w:jc w:val="right"/>
            </w:pPr>
          </w:p>
        </w:tc>
      </w:tr>
      <w:tr w:rsidR="001614AC" w14:paraId="3AB53E5E" w14:textId="77777777">
        <w:trPr>
          <w:cantSplit/>
        </w:trPr>
        <w:tc>
          <w:tcPr>
            <w:tcW w:w="5640" w:type="dxa"/>
            <w:tcBorders>
              <w:top w:val="single" w:sz="8" w:space="0" w:color="F4F4F4"/>
              <w:left w:val="nil"/>
              <w:bottom w:val="single" w:sz="8" w:space="0" w:color="F4F4F4"/>
              <w:right w:val="nil"/>
            </w:tcBorders>
            <w:tcMar>
              <w:top w:w="0" w:type="dxa"/>
              <w:left w:w="0" w:type="dxa"/>
              <w:bottom w:w="0" w:type="dxa"/>
              <w:right w:w="0" w:type="dxa"/>
            </w:tcMar>
            <w:vAlign w:val="bottom"/>
          </w:tcPr>
          <w:p w14:paraId="48EA1A3A" w14:textId="77777777" w:rsidR="001614AC" w:rsidRDefault="001614AC"/>
        </w:tc>
        <w:tc>
          <w:tcPr>
            <w:tcW w:w="105" w:type="dxa"/>
            <w:tcBorders>
              <w:top w:val="nil"/>
              <w:left w:val="nil"/>
              <w:bottom w:val="nil"/>
              <w:right w:val="nil"/>
            </w:tcBorders>
            <w:tcMar>
              <w:top w:w="0" w:type="dxa"/>
              <w:left w:w="0" w:type="dxa"/>
              <w:bottom w:w="0" w:type="dxa"/>
              <w:right w:w="0" w:type="dxa"/>
            </w:tcMar>
            <w:vAlign w:val="bottom"/>
          </w:tcPr>
          <w:p w14:paraId="57FCF5B7" w14:textId="77777777" w:rsidR="001614AC" w:rsidRDefault="001614AC"/>
        </w:tc>
        <w:tc>
          <w:tcPr>
            <w:tcW w:w="1005" w:type="dxa"/>
            <w:gridSpan w:val="3"/>
            <w:tcBorders>
              <w:top w:val="single" w:sz="8" w:space="0" w:color="F4F4F4"/>
              <w:left w:val="nil"/>
              <w:bottom w:val="single" w:sz="8" w:space="0" w:color="F4F4F4"/>
              <w:right w:val="nil"/>
            </w:tcBorders>
            <w:tcMar>
              <w:top w:w="0" w:type="dxa"/>
              <w:left w:w="0" w:type="dxa"/>
              <w:bottom w:w="0" w:type="dxa"/>
              <w:right w:w="0" w:type="dxa"/>
            </w:tcMar>
            <w:vAlign w:val="bottom"/>
          </w:tcPr>
          <w:p w14:paraId="1E6B54BC" w14:textId="77777777" w:rsidR="001614AC" w:rsidRDefault="001614AC"/>
        </w:tc>
        <w:tc>
          <w:tcPr>
            <w:tcW w:w="105" w:type="dxa"/>
            <w:tcBorders>
              <w:top w:val="nil"/>
              <w:left w:val="nil"/>
              <w:bottom w:val="nil"/>
              <w:right w:val="nil"/>
            </w:tcBorders>
            <w:tcMar>
              <w:top w:w="0" w:type="dxa"/>
              <w:left w:w="0" w:type="dxa"/>
              <w:bottom w:w="0" w:type="dxa"/>
              <w:right w:w="0" w:type="dxa"/>
            </w:tcMar>
            <w:vAlign w:val="bottom"/>
          </w:tcPr>
          <w:p w14:paraId="169E6F50" w14:textId="77777777" w:rsidR="001614AC" w:rsidRDefault="001614AC"/>
        </w:tc>
        <w:tc>
          <w:tcPr>
            <w:tcW w:w="1005" w:type="dxa"/>
            <w:gridSpan w:val="3"/>
            <w:tcBorders>
              <w:top w:val="single" w:sz="8" w:space="0" w:color="F4F4F4"/>
              <w:left w:val="nil"/>
              <w:bottom w:val="single" w:sz="8" w:space="0" w:color="F4F4F4"/>
              <w:right w:val="nil"/>
            </w:tcBorders>
            <w:tcMar>
              <w:top w:w="0" w:type="dxa"/>
              <w:left w:w="0" w:type="dxa"/>
              <w:bottom w:w="0" w:type="dxa"/>
              <w:right w:w="0" w:type="dxa"/>
            </w:tcMar>
            <w:vAlign w:val="bottom"/>
          </w:tcPr>
          <w:p w14:paraId="572120AF" w14:textId="77777777" w:rsidR="001614AC" w:rsidRDefault="001614AC"/>
        </w:tc>
        <w:tc>
          <w:tcPr>
            <w:tcW w:w="105" w:type="dxa"/>
            <w:tcBorders>
              <w:top w:val="nil"/>
              <w:left w:val="nil"/>
              <w:bottom w:val="nil"/>
              <w:right w:val="nil"/>
            </w:tcBorders>
            <w:tcMar>
              <w:top w:w="0" w:type="dxa"/>
              <w:left w:w="0" w:type="dxa"/>
              <w:bottom w:w="0" w:type="dxa"/>
              <w:right w:w="0" w:type="dxa"/>
            </w:tcMar>
            <w:vAlign w:val="bottom"/>
          </w:tcPr>
          <w:p w14:paraId="2CEFC480" w14:textId="77777777" w:rsidR="001614AC" w:rsidRDefault="001614AC"/>
        </w:tc>
        <w:tc>
          <w:tcPr>
            <w:tcW w:w="1005" w:type="dxa"/>
            <w:gridSpan w:val="3"/>
            <w:tcBorders>
              <w:top w:val="single" w:sz="8" w:space="0" w:color="F4F4F4"/>
              <w:left w:val="nil"/>
              <w:bottom w:val="single" w:sz="8" w:space="0" w:color="F4F4F4"/>
              <w:right w:val="nil"/>
            </w:tcBorders>
            <w:tcMar>
              <w:top w:w="0" w:type="dxa"/>
              <w:left w:w="0" w:type="dxa"/>
              <w:bottom w:w="0" w:type="dxa"/>
              <w:right w:w="0" w:type="dxa"/>
            </w:tcMar>
            <w:vAlign w:val="bottom"/>
          </w:tcPr>
          <w:p w14:paraId="05521DB2" w14:textId="77777777" w:rsidR="001614AC" w:rsidRDefault="001614AC"/>
        </w:tc>
        <w:tc>
          <w:tcPr>
            <w:tcW w:w="105" w:type="dxa"/>
            <w:tcBorders>
              <w:top w:val="nil"/>
              <w:left w:val="nil"/>
              <w:bottom w:val="nil"/>
              <w:right w:val="nil"/>
            </w:tcBorders>
            <w:tcMar>
              <w:top w:w="0" w:type="dxa"/>
              <w:left w:w="0" w:type="dxa"/>
              <w:bottom w:w="0" w:type="dxa"/>
              <w:right w:w="0" w:type="dxa"/>
            </w:tcMar>
            <w:vAlign w:val="bottom"/>
          </w:tcPr>
          <w:p w14:paraId="3A49FC2C" w14:textId="77777777" w:rsidR="001614AC" w:rsidRDefault="001614AC"/>
        </w:tc>
        <w:tc>
          <w:tcPr>
            <w:tcW w:w="1005" w:type="dxa"/>
            <w:gridSpan w:val="3"/>
            <w:tcBorders>
              <w:top w:val="single" w:sz="8" w:space="0" w:color="F4F4F4"/>
              <w:left w:val="nil"/>
              <w:bottom w:val="single" w:sz="8" w:space="0" w:color="F4F4F4"/>
              <w:right w:val="nil"/>
            </w:tcBorders>
            <w:tcMar>
              <w:top w:w="0" w:type="dxa"/>
              <w:left w:w="0" w:type="dxa"/>
              <w:bottom w:w="0" w:type="dxa"/>
              <w:right w:w="0" w:type="dxa"/>
            </w:tcMar>
            <w:vAlign w:val="bottom"/>
          </w:tcPr>
          <w:p w14:paraId="435BFAE7" w14:textId="77777777" w:rsidR="001614AC" w:rsidRDefault="001614AC"/>
        </w:tc>
      </w:tr>
      <w:tr w:rsidR="001614AC" w14:paraId="219079F8" w14:textId="77777777">
        <w:trPr>
          <w:cantSplit/>
        </w:trPr>
        <w:tc>
          <w:tcPr>
            <w:tcW w:w="5640" w:type="dxa"/>
            <w:tcBorders>
              <w:top w:val="single" w:sz="8" w:space="0" w:color="F4F4F4"/>
              <w:left w:val="nil"/>
              <w:bottom w:val="single" w:sz="8" w:space="0" w:color="F4F4F4"/>
              <w:right w:val="nil"/>
            </w:tcBorders>
            <w:tcMar>
              <w:top w:w="0" w:type="dxa"/>
              <w:left w:w="53" w:type="dxa"/>
              <w:bottom w:w="0" w:type="dxa"/>
              <w:right w:w="53" w:type="dxa"/>
            </w:tcMar>
            <w:vAlign w:val="bottom"/>
          </w:tcPr>
          <w:p w14:paraId="56267CCE" w14:textId="77777777" w:rsidR="001614AC" w:rsidRDefault="004468F9">
            <w:pPr>
              <w:spacing w:before="55" w:after="30" w:line="288" w:lineRule="auto"/>
            </w:pPr>
            <w:r>
              <w:rPr>
                <w:rFonts w:ascii="Arial" w:eastAsia="Arial" w:hAnsi="Arial" w:cs="Arial"/>
                <w:color w:val="000000"/>
                <w:sz w:val="18"/>
              </w:rPr>
              <w:t>Weighted-average number of common shares outstanding—basic</w:t>
            </w:r>
          </w:p>
        </w:tc>
        <w:tc>
          <w:tcPr>
            <w:tcW w:w="105" w:type="dxa"/>
            <w:tcBorders>
              <w:top w:val="nil"/>
              <w:left w:val="nil"/>
              <w:bottom w:val="nil"/>
              <w:right w:val="nil"/>
            </w:tcBorders>
            <w:tcMar>
              <w:top w:w="0" w:type="dxa"/>
              <w:left w:w="0" w:type="dxa"/>
              <w:bottom w:w="0" w:type="dxa"/>
              <w:right w:w="0" w:type="dxa"/>
            </w:tcMar>
            <w:vAlign w:val="bottom"/>
          </w:tcPr>
          <w:p w14:paraId="1D8ED0D1" w14:textId="77777777" w:rsidR="001614AC" w:rsidRDefault="001614AC"/>
        </w:tc>
        <w:tc>
          <w:tcPr>
            <w:tcW w:w="905"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0AED9D93" w14:textId="77777777" w:rsidR="001614AC" w:rsidRDefault="004468F9">
            <w:pPr>
              <w:spacing w:before="55" w:after="30" w:line="288" w:lineRule="auto"/>
              <w:jc w:val="right"/>
            </w:pPr>
            <w:r>
              <w:rPr>
                <w:rFonts w:ascii="Arial" w:eastAsia="Arial" w:hAnsi="Arial" w:cs="Arial"/>
                <w:color w:val="000000"/>
                <w:sz w:val="18"/>
              </w:rPr>
              <w:t>193,436 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58C2B3FE" w14:textId="77777777" w:rsidR="001614AC" w:rsidRDefault="001614AC">
            <w:pPr>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407FFBD4" w14:textId="77777777" w:rsidR="001614AC" w:rsidRDefault="001614AC"/>
        </w:tc>
        <w:tc>
          <w:tcPr>
            <w:tcW w:w="905"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08ECC4B8" w14:textId="77777777" w:rsidR="001614AC" w:rsidRDefault="004468F9">
            <w:pPr>
              <w:spacing w:before="55" w:after="30" w:line="288" w:lineRule="auto"/>
              <w:jc w:val="right"/>
            </w:pPr>
            <w:r>
              <w:rPr>
                <w:rFonts w:ascii="Arial" w:eastAsia="Arial" w:hAnsi="Arial" w:cs="Arial"/>
                <w:color w:val="000000"/>
                <w:sz w:val="18"/>
              </w:rPr>
              <w:t>193,299 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7E436C01" w14:textId="77777777" w:rsidR="001614AC" w:rsidRDefault="001614AC">
            <w:pPr>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7B936629" w14:textId="77777777" w:rsidR="001614AC" w:rsidRDefault="001614AC"/>
        </w:tc>
        <w:tc>
          <w:tcPr>
            <w:tcW w:w="905"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60C32037" w14:textId="77777777" w:rsidR="001614AC" w:rsidRDefault="004468F9">
            <w:pPr>
              <w:spacing w:before="55" w:after="30" w:line="288" w:lineRule="auto"/>
              <w:jc w:val="right"/>
            </w:pPr>
            <w:r>
              <w:rPr>
                <w:rFonts w:ascii="Arial" w:eastAsia="Arial" w:hAnsi="Arial" w:cs="Arial"/>
                <w:color w:val="000000"/>
                <w:sz w:val="18"/>
              </w:rPr>
              <w:t>193,692 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38B7B86B" w14:textId="77777777" w:rsidR="001614AC" w:rsidRDefault="001614AC">
            <w:pPr>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7B2AC3EC" w14:textId="77777777" w:rsidR="001614AC" w:rsidRDefault="001614AC"/>
        </w:tc>
        <w:tc>
          <w:tcPr>
            <w:tcW w:w="905"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32AB39E2" w14:textId="77777777" w:rsidR="001614AC" w:rsidRDefault="004468F9">
            <w:pPr>
              <w:spacing w:before="55" w:after="30" w:line="288" w:lineRule="auto"/>
              <w:jc w:val="right"/>
            </w:pPr>
            <w:r>
              <w:rPr>
                <w:rFonts w:ascii="Arial" w:eastAsia="Arial" w:hAnsi="Arial" w:cs="Arial"/>
                <w:color w:val="000000"/>
                <w:sz w:val="18"/>
              </w:rPr>
              <w:t>197,545 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6DD86465" w14:textId="77777777" w:rsidR="001614AC" w:rsidRDefault="001614AC">
            <w:pPr>
              <w:spacing w:before="55" w:after="30" w:line="288" w:lineRule="auto"/>
              <w:jc w:val="right"/>
            </w:pPr>
          </w:p>
        </w:tc>
      </w:tr>
      <w:tr w:rsidR="001614AC" w14:paraId="3392D0B7" w14:textId="77777777">
        <w:trPr>
          <w:cantSplit/>
        </w:trPr>
        <w:tc>
          <w:tcPr>
            <w:tcW w:w="5640" w:type="dxa"/>
            <w:tcBorders>
              <w:top w:val="single" w:sz="8" w:space="0" w:color="F4F4F4"/>
              <w:left w:val="nil"/>
              <w:bottom w:val="single" w:sz="8" w:space="0" w:color="F4F4F4"/>
              <w:right w:val="nil"/>
            </w:tcBorders>
            <w:tcMar>
              <w:top w:w="0" w:type="dxa"/>
              <w:left w:w="53" w:type="dxa"/>
              <w:bottom w:w="0" w:type="dxa"/>
              <w:right w:w="53" w:type="dxa"/>
            </w:tcMar>
            <w:vAlign w:val="bottom"/>
          </w:tcPr>
          <w:p w14:paraId="3EA3DB90" w14:textId="77777777" w:rsidR="001614AC" w:rsidRDefault="004468F9">
            <w:pPr>
              <w:spacing w:before="55" w:after="30" w:line="288" w:lineRule="auto"/>
            </w:pPr>
            <w:r>
              <w:rPr>
                <w:rFonts w:ascii="Arial" w:eastAsia="Arial" w:hAnsi="Arial" w:cs="Arial"/>
                <w:color w:val="000000"/>
                <w:sz w:val="18"/>
              </w:rPr>
              <w:t>Weighted-average number of common and common equivalent shares outstanding—diluted</w:t>
            </w:r>
          </w:p>
        </w:tc>
        <w:tc>
          <w:tcPr>
            <w:tcW w:w="105" w:type="dxa"/>
            <w:tcBorders>
              <w:top w:val="nil"/>
              <w:left w:val="nil"/>
              <w:bottom w:val="nil"/>
              <w:right w:val="nil"/>
            </w:tcBorders>
            <w:tcMar>
              <w:top w:w="0" w:type="dxa"/>
              <w:left w:w="0" w:type="dxa"/>
              <w:bottom w:w="0" w:type="dxa"/>
              <w:right w:w="0" w:type="dxa"/>
            </w:tcMar>
            <w:vAlign w:val="bottom"/>
          </w:tcPr>
          <w:p w14:paraId="2F2AED31" w14:textId="77777777" w:rsidR="001614AC" w:rsidRDefault="001614AC"/>
        </w:tc>
        <w:tc>
          <w:tcPr>
            <w:tcW w:w="905"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1CDA4E64" w14:textId="77777777" w:rsidR="001614AC" w:rsidRDefault="004468F9">
            <w:pPr>
              <w:spacing w:before="55" w:after="30" w:line="288" w:lineRule="auto"/>
              <w:jc w:val="right"/>
            </w:pPr>
            <w:r>
              <w:rPr>
                <w:rFonts w:ascii="Arial" w:eastAsia="Arial" w:hAnsi="Arial" w:cs="Arial"/>
                <w:color w:val="000000"/>
                <w:sz w:val="18"/>
              </w:rPr>
              <w:t>194,638 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7DFE00C8" w14:textId="77777777" w:rsidR="001614AC" w:rsidRDefault="001614AC">
            <w:pPr>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1470EA2D" w14:textId="77777777" w:rsidR="001614AC" w:rsidRDefault="001614AC"/>
        </w:tc>
        <w:tc>
          <w:tcPr>
            <w:tcW w:w="905"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4AD47B04" w14:textId="77777777" w:rsidR="001614AC" w:rsidRDefault="004468F9">
            <w:pPr>
              <w:spacing w:before="55" w:after="30" w:line="288" w:lineRule="auto"/>
              <w:jc w:val="right"/>
            </w:pPr>
            <w:r>
              <w:rPr>
                <w:rFonts w:ascii="Arial" w:eastAsia="Arial" w:hAnsi="Arial" w:cs="Arial"/>
                <w:color w:val="000000"/>
                <w:sz w:val="18"/>
              </w:rPr>
              <w:t>193,299 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54802AE8" w14:textId="77777777" w:rsidR="001614AC" w:rsidRDefault="001614AC">
            <w:pPr>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53FAFA0B" w14:textId="77777777" w:rsidR="001614AC" w:rsidRDefault="001614AC"/>
        </w:tc>
        <w:tc>
          <w:tcPr>
            <w:tcW w:w="905"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5E576A2F" w14:textId="77777777" w:rsidR="001614AC" w:rsidRDefault="004468F9">
            <w:pPr>
              <w:spacing w:before="55" w:after="30" w:line="288" w:lineRule="auto"/>
              <w:jc w:val="right"/>
            </w:pPr>
            <w:r>
              <w:rPr>
                <w:rFonts w:ascii="Arial" w:eastAsia="Arial" w:hAnsi="Arial" w:cs="Arial"/>
                <w:color w:val="000000"/>
                <w:sz w:val="18"/>
              </w:rPr>
              <w:t>194,986 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5A918662" w14:textId="77777777" w:rsidR="001614AC" w:rsidRDefault="001614AC">
            <w:pPr>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1BDD3A5E" w14:textId="77777777" w:rsidR="001614AC" w:rsidRDefault="001614AC"/>
        </w:tc>
        <w:tc>
          <w:tcPr>
            <w:tcW w:w="905"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1114D6AF" w14:textId="77777777" w:rsidR="001614AC" w:rsidRDefault="004468F9">
            <w:pPr>
              <w:spacing w:before="55" w:after="30" w:line="288" w:lineRule="auto"/>
              <w:jc w:val="right"/>
            </w:pPr>
            <w:r>
              <w:rPr>
                <w:rFonts w:ascii="Arial" w:eastAsia="Arial" w:hAnsi="Arial" w:cs="Arial"/>
                <w:color w:val="000000"/>
                <w:sz w:val="18"/>
              </w:rPr>
              <w:t>198,746 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677CA355" w14:textId="77777777" w:rsidR="001614AC" w:rsidRDefault="001614AC">
            <w:pPr>
              <w:spacing w:before="55" w:after="30" w:line="288" w:lineRule="auto"/>
              <w:jc w:val="right"/>
            </w:pPr>
          </w:p>
        </w:tc>
      </w:tr>
    </w:tbl>
    <w:p w14:paraId="225DD858" w14:textId="77777777" w:rsidR="001614AC" w:rsidRDefault="001614AC">
      <w:pPr>
        <w:spacing w:line="288" w:lineRule="auto"/>
        <w:rPr>
          <w:rFonts w:ascii="Arial" w:eastAsia="Arial" w:hAnsi="Arial" w:cs="Arial"/>
          <w:sz w:val="18"/>
        </w:rPr>
      </w:pPr>
    </w:p>
    <w:p w14:paraId="054175F9" w14:textId="77777777" w:rsidR="001614AC" w:rsidRDefault="001614AC">
      <w:pPr>
        <w:spacing w:line="288" w:lineRule="auto"/>
        <w:rPr>
          <w:rFonts w:ascii="Arial" w:eastAsia="Arial" w:hAnsi="Arial" w:cs="Arial"/>
          <w:sz w:val="18"/>
        </w:rPr>
        <w:sectPr w:rsidR="001614AC">
          <w:headerReference w:type="default" r:id="rId18"/>
          <w:footerReference w:type="default" r:id="rId19"/>
          <w:pgSz w:w="12240" w:h="15840"/>
          <w:pgMar w:top="990" w:right="1080" w:bottom="1260" w:left="1080" w:header="270" w:footer="270" w:gutter="0"/>
          <w:cols w:space="708"/>
        </w:sectPr>
      </w:pPr>
    </w:p>
    <w:p w14:paraId="3B57884E" w14:textId="77777777" w:rsidR="001614AC" w:rsidRDefault="004468F9">
      <w:pPr>
        <w:spacing w:after="120" w:line="288" w:lineRule="auto"/>
        <w:outlineLvl w:val="2"/>
        <w:rPr>
          <w:rFonts w:ascii="Arial" w:eastAsia="Arial" w:hAnsi="Arial" w:cs="Arial"/>
          <w:b/>
          <w:color w:val="4D6B80"/>
          <w:sz w:val="22"/>
        </w:rPr>
      </w:pPr>
      <w:bookmarkStart w:id="8" w:name="Section9"/>
      <w:bookmarkEnd w:id="8"/>
      <w:r>
        <w:rPr>
          <w:rFonts w:ascii="Arial" w:eastAsia="Arial" w:hAnsi="Arial" w:cs="Arial"/>
          <w:b/>
          <w:color w:val="4D6B80"/>
          <w:sz w:val="22"/>
        </w:rPr>
        <w:lastRenderedPageBreak/>
        <w:t>Radian Group Inc. and Subsidiaries</w:t>
      </w:r>
      <w:r>
        <w:rPr>
          <w:rFonts w:ascii="Arial" w:eastAsia="Arial" w:hAnsi="Arial" w:cs="Arial"/>
          <w:b/>
          <w:color w:val="4D6B80"/>
          <w:sz w:val="22"/>
        </w:rPr>
        <w:br/>
        <w:t>Condensed Consolidated Statements of Comprehensive Income (Loss) (Unaudited)</w:t>
      </w:r>
    </w:p>
    <w:tbl>
      <w:tblPr>
        <w:tblW w:w="102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54"/>
        <w:gridCol w:w="107"/>
        <w:gridCol w:w="163"/>
        <w:gridCol w:w="760"/>
        <w:gridCol w:w="102"/>
        <w:gridCol w:w="107"/>
        <w:gridCol w:w="163"/>
        <w:gridCol w:w="760"/>
        <w:gridCol w:w="102"/>
        <w:gridCol w:w="107"/>
        <w:gridCol w:w="163"/>
        <w:gridCol w:w="760"/>
        <w:gridCol w:w="102"/>
        <w:gridCol w:w="107"/>
        <w:gridCol w:w="163"/>
        <w:gridCol w:w="760"/>
        <w:gridCol w:w="102"/>
      </w:tblGrid>
      <w:tr w:rsidR="001614AC" w14:paraId="76F0D586" w14:textId="77777777">
        <w:trPr>
          <w:cantSplit/>
        </w:trPr>
        <w:tc>
          <w:tcPr>
            <w:tcW w:w="5640" w:type="dxa"/>
            <w:tcBorders>
              <w:top w:val="nil"/>
              <w:left w:val="nil"/>
              <w:bottom w:val="single" w:sz="8" w:space="0" w:color="FFFFFF"/>
              <w:right w:val="nil"/>
            </w:tcBorders>
            <w:tcMar>
              <w:top w:w="0" w:type="dxa"/>
              <w:left w:w="0" w:type="dxa"/>
              <w:bottom w:w="0" w:type="dxa"/>
              <w:right w:w="0" w:type="dxa"/>
            </w:tcMar>
            <w:vAlign w:val="bottom"/>
          </w:tcPr>
          <w:p w14:paraId="2814F0AE" w14:textId="77777777" w:rsidR="001614AC" w:rsidRDefault="001614AC"/>
        </w:tc>
        <w:tc>
          <w:tcPr>
            <w:tcW w:w="105" w:type="dxa"/>
            <w:tcBorders>
              <w:top w:val="nil"/>
              <w:left w:val="nil"/>
              <w:bottom w:val="single" w:sz="8" w:space="0" w:color="FFFFFF"/>
              <w:right w:val="nil"/>
            </w:tcBorders>
            <w:tcMar>
              <w:top w:w="0" w:type="dxa"/>
              <w:left w:w="0" w:type="dxa"/>
              <w:bottom w:w="0" w:type="dxa"/>
              <w:right w:w="0" w:type="dxa"/>
            </w:tcMar>
            <w:vAlign w:val="bottom"/>
          </w:tcPr>
          <w:p w14:paraId="4661FC9B" w14:textId="77777777" w:rsidR="001614AC" w:rsidRDefault="001614AC"/>
        </w:tc>
        <w:tc>
          <w:tcPr>
            <w:tcW w:w="2115" w:type="dxa"/>
            <w:gridSpan w:val="7"/>
            <w:tcBorders>
              <w:top w:val="nil"/>
              <w:left w:val="nil"/>
              <w:bottom w:val="single" w:sz="8" w:space="0" w:color="FFFFFF"/>
              <w:right w:val="nil"/>
            </w:tcBorders>
            <w:shd w:val="clear" w:color="auto" w:fill="F4F4F4"/>
            <w:tcMar>
              <w:top w:w="0" w:type="dxa"/>
              <w:left w:w="53" w:type="dxa"/>
              <w:bottom w:w="0" w:type="dxa"/>
              <w:right w:w="53" w:type="dxa"/>
            </w:tcMar>
            <w:vAlign w:val="bottom"/>
          </w:tcPr>
          <w:p w14:paraId="3824A565" w14:textId="77777777" w:rsidR="001614AC" w:rsidRDefault="004468F9">
            <w:pPr>
              <w:spacing w:before="75" w:line="288" w:lineRule="auto"/>
              <w:jc w:val="center"/>
            </w:pPr>
            <w:r>
              <w:rPr>
                <w:rFonts w:ascii="Arial" w:eastAsia="Arial" w:hAnsi="Arial" w:cs="Arial"/>
                <w:b/>
                <w:color w:val="00BAB3"/>
                <w:sz w:val="18"/>
              </w:rPr>
              <w:t>Three Months Ended</w:t>
            </w:r>
          </w:p>
          <w:p w14:paraId="70E9DA6C" w14:textId="77777777" w:rsidR="001614AC" w:rsidRDefault="004468F9">
            <w:pPr>
              <w:spacing w:after="30" w:line="288" w:lineRule="auto"/>
              <w:jc w:val="center"/>
            </w:pPr>
            <w:r>
              <w:rPr>
                <w:rFonts w:ascii="Arial" w:eastAsia="Arial" w:hAnsi="Arial" w:cs="Arial"/>
                <w:b/>
                <w:color w:val="00BAB3"/>
                <w:sz w:val="18"/>
              </w:rPr>
              <w:t>June 30,</w:t>
            </w:r>
          </w:p>
        </w:tc>
        <w:tc>
          <w:tcPr>
            <w:tcW w:w="105" w:type="dxa"/>
            <w:tcBorders>
              <w:top w:val="nil"/>
              <w:left w:val="nil"/>
              <w:bottom w:val="single" w:sz="8" w:space="0" w:color="FFFFFF"/>
              <w:right w:val="nil"/>
            </w:tcBorders>
            <w:tcMar>
              <w:top w:w="0" w:type="dxa"/>
              <w:left w:w="0" w:type="dxa"/>
              <w:bottom w:w="0" w:type="dxa"/>
              <w:right w:w="0" w:type="dxa"/>
            </w:tcMar>
            <w:vAlign w:val="bottom"/>
          </w:tcPr>
          <w:p w14:paraId="566D4D0E" w14:textId="77777777" w:rsidR="001614AC" w:rsidRDefault="001614AC"/>
        </w:tc>
        <w:tc>
          <w:tcPr>
            <w:tcW w:w="2115" w:type="dxa"/>
            <w:gridSpan w:val="7"/>
            <w:tcBorders>
              <w:top w:val="nil"/>
              <w:left w:val="nil"/>
              <w:bottom w:val="nil"/>
              <w:right w:val="nil"/>
            </w:tcBorders>
            <w:shd w:val="clear" w:color="auto" w:fill="F4F4F4"/>
            <w:tcMar>
              <w:top w:w="0" w:type="dxa"/>
              <w:left w:w="53" w:type="dxa"/>
              <w:bottom w:w="0" w:type="dxa"/>
              <w:right w:w="53" w:type="dxa"/>
            </w:tcMar>
            <w:vAlign w:val="bottom"/>
          </w:tcPr>
          <w:p w14:paraId="3A31FA9D" w14:textId="77777777" w:rsidR="001614AC" w:rsidRDefault="004468F9">
            <w:pPr>
              <w:spacing w:before="75" w:line="288" w:lineRule="auto"/>
              <w:jc w:val="center"/>
            </w:pPr>
            <w:r>
              <w:rPr>
                <w:rFonts w:ascii="Arial" w:eastAsia="Arial" w:hAnsi="Arial" w:cs="Arial"/>
                <w:b/>
                <w:color w:val="00BAB3"/>
                <w:sz w:val="18"/>
              </w:rPr>
              <w:t>Six Months Ended</w:t>
            </w:r>
          </w:p>
          <w:p w14:paraId="2A681B6C" w14:textId="77777777" w:rsidR="001614AC" w:rsidRDefault="004468F9">
            <w:pPr>
              <w:spacing w:after="30" w:line="288" w:lineRule="auto"/>
              <w:jc w:val="center"/>
            </w:pPr>
            <w:r>
              <w:rPr>
                <w:rFonts w:ascii="Arial" w:eastAsia="Arial" w:hAnsi="Arial" w:cs="Arial"/>
                <w:b/>
                <w:color w:val="00BAB3"/>
                <w:sz w:val="18"/>
              </w:rPr>
              <w:t>June 30,</w:t>
            </w:r>
          </w:p>
        </w:tc>
      </w:tr>
      <w:tr w:rsidR="001614AC" w14:paraId="6771F1EE" w14:textId="77777777">
        <w:trPr>
          <w:cantSplit/>
        </w:trPr>
        <w:tc>
          <w:tcPr>
            <w:tcW w:w="5640" w:type="dxa"/>
            <w:tcBorders>
              <w:top w:val="single" w:sz="8" w:space="0" w:color="FFFFFF"/>
              <w:left w:val="nil"/>
              <w:bottom w:val="single" w:sz="8" w:space="0" w:color="C7C9C7"/>
              <w:right w:val="nil"/>
            </w:tcBorders>
            <w:tcMar>
              <w:top w:w="0" w:type="dxa"/>
              <w:left w:w="53" w:type="dxa"/>
              <w:bottom w:w="0" w:type="dxa"/>
              <w:right w:w="53" w:type="dxa"/>
            </w:tcMar>
            <w:vAlign w:val="bottom"/>
          </w:tcPr>
          <w:p w14:paraId="103C66F9" w14:textId="77777777" w:rsidR="001614AC" w:rsidRDefault="004468F9">
            <w:pPr>
              <w:spacing w:before="55" w:after="30" w:line="288" w:lineRule="auto"/>
            </w:pPr>
            <w:r>
              <w:rPr>
                <w:rFonts w:ascii="Arial" w:eastAsia="Arial" w:hAnsi="Arial" w:cs="Arial"/>
                <w:color w:val="8B8886"/>
                <w:sz w:val="16"/>
              </w:rPr>
              <w:t>(In thousands)</w:t>
            </w:r>
          </w:p>
        </w:tc>
        <w:tc>
          <w:tcPr>
            <w:tcW w:w="105" w:type="dxa"/>
            <w:tcBorders>
              <w:top w:val="single" w:sz="8" w:space="0" w:color="FFFFFF"/>
              <w:left w:val="nil"/>
              <w:bottom w:val="single" w:sz="8" w:space="0" w:color="C7C9C7"/>
              <w:right w:val="nil"/>
            </w:tcBorders>
            <w:tcMar>
              <w:top w:w="0" w:type="dxa"/>
              <w:left w:w="0" w:type="dxa"/>
              <w:bottom w:w="0" w:type="dxa"/>
              <w:right w:w="0" w:type="dxa"/>
            </w:tcMar>
            <w:vAlign w:val="bottom"/>
          </w:tcPr>
          <w:p w14:paraId="78472A82" w14:textId="77777777" w:rsidR="001614AC" w:rsidRDefault="001614AC"/>
        </w:tc>
        <w:tc>
          <w:tcPr>
            <w:tcW w:w="1005" w:type="dxa"/>
            <w:gridSpan w:val="3"/>
            <w:tcBorders>
              <w:top w:val="nil"/>
              <w:left w:val="nil"/>
              <w:bottom w:val="single" w:sz="8" w:space="0" w:color="C7C9C7"/>
              <w:right w:val="nil"/>
            </w:tcBorders>
            <w:shd w:val="clear" w:color="auto" w:fill="E6F8F8"/>
            <w:tcMar>
              <w:top w:w="0" w:type="dxa"/>
              <w:left w:w="53" w:type="dxa"/>
              <w:bottom w:w="0" w:type="dxa"/>
              <w:right w:w="53" w:type="dxa"/>
            </w:tcMar>
            <w:vAlign w:val="bottom"/>
          </w:tcPr>
          <w:p w14:paraId="5D36A513" w14:textId="77777777" w:rsidR="001614AC" w:rsidRDefault="004468F9">
            <w:pPr>
              <w:spacing w:before="55" w:after="30" w:line="288" w:lineRule="auto"/>
              <w:jc w:val="center"/>
            </w:pPr>
            <w:r>
              <w:rPr>
                <w:rFonts w:ascii="Arial" w:eastAsia="Arial" w:hAnsi="Arial" w:cs="Arial"/>
                <w:b/>
                <w:color w:val="00BAB3"/>
                <w:sz w:val="18"/>
              </w:rPr>
              <w:t>2021</w:t>
            </w:r>
          </w:p>
        </w:tc>
        <w:tc>
          <w:tcPr>
            <w:tcW w:w="105" w:type="dxa"/>
            <w:tcBorders>
              <w:top w:val="single" w:sz="8" w:space="0" w:color="FFFFFF"/>
              <w:left w:val="nil"/>
              <w:bottom w:val="single" w:sz="8" w:space="0" w:color="C7C9C7"/>
              <w:right w:val="nil"/>
            </w:tcBorders>
            <w:tcMar>
              <w:top w:w="0" w:type="dxa"/>
              <w:left w:w="0" w:type="dxa"/>
              <w:bottom w:w="0" w:type="dxa"/>
              <w:right w:w="0" w:type="dxa"/>
            </w:tcMar>
            <w:vAlign w:val="bottom"/>
          </w:tcPr>
          <w:p w14:paraId="1467C0D1" w14:textId="77777777" w:rsidR="001614AC" w:rsidRDefault="001614AC"/>
        </w:tc>
        <w:tc>
          <w:tcPr>
            <w:tcW w:w="1005" w:type="dxa"/>
            <w:gridSpan w:val="3"/>
            <w:tcBorders>
              <w:top w:val="single" w:sz="8" w:space="0" w:color="FFFFFF"/>
              <w:left w:val="nil"/>
              <w:bottom w:val="single" w:sz="8" w:space="0" w:color="C7C9C7"/>
              <w:right w:val="nil"/>
            </w:tcBorders>
            <w:tcMar>
              <w:top w:w="0" w:type="dxa"/>
              <w:left w:w="53" w:type="dxa"/>
              <w:bottom w:w="0" w:type="dxa"/>
              <w:right w:w="53" w:type="dxa"/>
            </w:tcMar>
            <w:vAlign w:val="bottom"/>
          </w:tcPr>
          <w:p w14:paraId="6B5CCF84" w14:textId="77777777" w:rsidR="001614AC" w:rsidRDefault="004468F9">
            <w:pPr>
              <w:spacing w:before="55" w:after="30" w:line="288" w:lineRule="auto"/>
              <w:jc w:val="center"/>
            </w:pPr>
            <w:r>
              <w:rPr>
                <w:rFonts w:ascii="Arial" w:eastAsia="Arial" w:hAnsi="Arial" w:cs="Arial"/>
                <w:b/>
                <w:color w:val="00BAB3"/>
                <w:sz w:val="18"/>
              </w:rPr>
              <w:t>2020</w:t>
            </w:r>
          </w:p>
        </w:tc>
        <w:tc>
          <w:tcPr>
            <w:tcW w:w="105" w:type="dxa"/>
            <w:tcBorders>
              <w:top w:val="single" w:sz="8" w:space="0" w:color="FFFFFF"/>
              <w:left w:val="nil"/>
              <w:bottom w:val="single" w:sz="8" w:space="0" w:color="C7C9C7"/>
              <w:right w:val="nil"/>
            </w:tcBorders>
            <w:tcMar>
              <w:top w:w="0" w:type="dxa"/>
              <w:left w:w="0" w:type="dxa"/>
              <w:bottom w:w="0" w:type="dxa"/>
              <w:right w:w="0" w:type="dxa"/>
            </w:tcMar>
            <w:vAlign w:val="bottom"/>
          </w:tcPr>
          <w:p w14:paraId="6291E0A1" w14:textId="77777777" w:rsidR="001614AC" w:rsidRDefault="001614AC"/>
        </w:tc>
        <w:tc>
          <w:tcPr>
            <w:tcW w:w="1005" w:type="dxa"/>
            <w:gridSpan w:val="3"/>
            <w:tcBorders>
              <w:top w:val="single" w:sz="8" w:space="0" w:color="FFFFFF"/>
              <w:left w:val="nil"/>
              <w:bottom w:val="single" w:sz="8" w:space="0" w:color="C7C9C7"/>
              <w:right w:val="nil"/>
            </w:tcBorders>
            <w:shd w:val="clear" w:color="auto" w:fill="E6F8F8"/>
            <w:tcMar>
              <w:top w:w="0" w:type="dxa"/>
              <w:left w:w="53" w:type="dxa"/>
              <w:bottom w:w="0" w:type="dxa"/>
              <w:right w:w="53" w:type="dxa"/>
            </w:tcMar>
            <w:vAlign w:val="bottom"/>
          </w:tcPr>
          <w:p w14:paraId="11636D10" w14:textId="77777777" w:rsidR="001614AC" w:rsidRDefault="004468F9">
            <w:pPr>
              <w:spacing w:before="55" w:after="30" w:line="288" w:lineRule="auto"/>
              <w:jc w:val="center"/>
            </w:pPr>
            <w:r>
              <w:rPr>
                <w:rFonts w:ascii="Arial" w:eastAsia="Arial" w:hAnsi="Arial" w:cs="Arial"/>
                <w:b/>
                <w:color w:val="00BAB3"/>
                <w:sz w:val="18"/>
              </w:rPr>
              <w:t>2021</w:t>
            </w:r>
          </w:p>
        </w:tc>
        <w:tc>
          <w:tcPr>
            <w:tcW w:w="105" w:type="dxa"/>
            <w:tcBorders>
              <w:top w:val="single" w:sz="8" w:space="0" w:color="FFFFFF"/>
              <w:left w:val="nil"/>
              <w:bottom w:val="single" w:sz="8" w:space="0" w:color="C7C9C7"/>
              <w:right w:val="nil"/>
            </w:tcBorders>
            <w:tcMar>
              <w:top w:w="0" w:type="dxa"/>
              <w:left w:w="0" w:type="dxa"/>
              <w:bottom w:w="0" w:type="dxa"/>
              <w:right w:w="0" w:type="dxa"/>
            </w:tcMar>
            <w:vAlign w:val="bottom"/>
          </w:tcPr>
          <w:p w14:paraId="2E5BB9DB" w14:textId="77777777" w:rsidR="001614AC" w:rsidRDefault="001614AC"/>
        </w:tc>
        <w:tc>
          <w:tcPr>
            <w:tcW w:w="1005" w:type="dxa"/>
            <w:gridSpan w:val="3"/>
            <w:tcBorders>
              <w:top w:val="single" w:sz="8" w:space="0" w:color="FFFFFF"/>
              <w:left w:val="nil"/>
              <w:bottom w:val="single" w:sz="8" w:space="0" w:color="C7C9C7"/>
              <w:right w:val="nil"/>
            </w:tcBorders>
            <w:tcMar>
              <w:top w:w="0" w:type="dxa"/>
              <w:left w:w="53" w:type="dxa"/>
              <w:bottom w:w="0" w:type="dxa"/>
              <w:right w:w="53" w:type="dxa"/>
            </w:tcMar>
            <w:vAlign w:val="bottom"/>
          </w:tcPr>
          <w:p w14:paraId="0FF5E57F" w14:textId="77777777" w:rsidR="001614AC" w:rsidRDefault="004468F9">
            <w:pPr>
              <w:spacing w:before="55" w:after="30" w:line="288" w:lineRule="auto"/>
              <w:jc w:val="center"/>
            </w:pPr>
            <w:r>
              <w:rPr>
                <w:rFonts w:ascii="Arial" w:eastAsia="Arial" w:hAnsi="Arial" w:cs="Arial"/>
                <w:b/>
                <w:color w:val="00BAB3"/>
                <w:sz w:val="18"/>
              </w:rPr>
              <w:t>2020</w:t>
            </w:r>
          </w:p>
        </w:tc>
      </w:tr>
      <w:tr w:rsidR="001614AC" w14:paraId="1764B406" w14:textId="77777777">
        <w:trPr>
          <w:cantSplit/>
        </w:trPr>
        <w:tc>
          <w:tcPr>
            <w:tcW w:w="5640" w:type="dxa"/>
            <w:tcBorders>
              <w:top w:val="single" w:sz="8" w:space="0" w:color="C7C9C7"/>
              <w:left w:val="nil"/>
              <w:bottom w:val="single" w:sz="8" w:space="0" w:color="F4F4F4"/>
              <w:right w:val="nil"/>
            </w:tcBorders>
            <w:tcMar>
              <w:top w:w="0" w:type="dxa"/>
              <w:left w:w="53" w:type="dxa"/>
              <w:bottom w:w="0" w:type="dxa"/>
              <w:right w:w="53" w:type="dxa"/>
            </w:tcMar>
            <w:vAlign w:val="bottom"/>
          </w:tcPr>
          <w:p w14:paraId="195B2B87" w14:textId="77777777" w:rsidR="001614AC" w:rsidRDefault="004468F9">
            <w:pPr>
              <w:spacing w:before="55" w:after="30" w:line="288" w:lineRule="auto"/>
            </w:pPr>
            <w:r>
              <w:rPr>
                <w:rFonts w:ascii="Arial" w:eastAsia="Arial" w:hAnsi="Arial" w:cs="Arial"/>
                <w:color w:val="000000"/>
                <w:sz w:val="18"/>
              </w:rPr>
              <w:t>Net income (loss)</w:t>
            </w:r>
          </w:p>
        </w:tc>
        <w:tc>
          <w:tcPr>
            <w:tcW w:w="105" w:type="dxa"/>
            <w:tcBorders>
              <w:top w:val="single" w:sz="8" w:space="0" w:color="C7C9C7"/>
              <w:left w:val="nil"/>
              <w:bottom w:val="nil"/>
              <w:right w:val="nil"/>
            </w:tcBorders>
            <w:tcMar>
              <w:top w:w="0" w:type="dxa"/>
              <w:left w:w="0" w:type="dxa"/>
              <w:bottom w:w="0" w:type="dxa"/>
              <w:right w:w="0" w:type="dxa"/>
            </w:tcMar>
            <w:vAlign w:val="bottom"/>
          </w:tcPr>
          <w:p w14:paraId="59A19B61" w14:textId="77777777" w:rsidR="001614AC" w:rsidRDefault="001614AC"/>
        </w:tc>
        <w:tc>
          <w:tcPr>
            <w:tcW w:w="160" w:type="dxa"/>
            <w:tcBorders>
              <w:top w:val="single" w:sz="8" w:space="0" w:color="C7C9C7"/>
              <w:left w:val="nil"/>
              <w:bottom w:val="single" w:sz="8" w:space="0" w:color="C7C9C7"/>
              <w:right w:val="nil"/>
            </w:tcBorders>
            <w:tcMar>
              <w:top w:w="0" w:type="dxa"/>
              <w:left w:w="53" w:type="dxa"/>
              <w:bottom w:w="0" w:type="dxa"/>
              <w:right w:w="0" w:type="dxa"/>
            </w:tcMar>
            <w:vAlign w:val="bottom"/>
          </w:tcPr>
          <w:p w14:paraId="27D2C111" w14:textId="77777777" w:rsidR="001614AC" w:rsidRDefault="004468F9">
            <w:pPr>
              <w:spacing w:before="55" w:after="30" w:line="288" w:lineRule="auto"/>
            </w:pPr>
            <w:r>
              <w:rPr>
                <w:rFonts w:ascii="Arial" w:eastAsia="Arial" w:hAnsi="Arial" w:cs="Arial"/>
                <w:color w:val="000000"/>
                <w:sz w:val="18"/>
              </w:rPr>
              <w:t>$</w:t>
            </w:r>
          </w:p>
        </w:tc>
        <w:tc>
          <w:tcPr>
            <w:tcW w:w="745" w:type="dxa"/>
            <w:tcBorders>
              <w:top w:val="single" w:sz="8" w:space="0" w:color="C7C9C7"/>
              <w:left w:val="nil"/>
              <w:bottom w:val="single" w:sz="8" w:space="0" w:color="C7C9C7"/>
              <w:right w:val="nil"/>
            </w:tcBorders>
            <w:tcMar>
              <w:top w:w="0" w:type="dxa"/>
              <w:left w:w="0" w:type="dxa"/>
              <w:bottom w:w="0" w:type="dxa"/>
              <w:right w:w="0" w:type="dxa"/>
            </w:tcMar>
            <w:vAlign w:val="bottom"/>
          </w:tcPr>
          <w:p w14:paraId="5B456112" w14:textId="77777777" w:rsidR="001614AC" w:rsidRDefault="004468F9">
            <w:pPr>
              <w:spacing w:before="55" w:after="30" w:line="288" w:lineRule="auto"/>
              <w:jc w:val="right"/>
            </w:pPr>
            <w:r>
              <w:rPr>
                <w:rFonts w:ascii="Arial" w:eastAsia="Arial" w:hAnsi="Arial" w:cs="Arial"/>
                <w:color w:val="000000"/>
                <w:sz w:val="18"/>
              </w:rPr>
              <w:t>155,206 </w:t>
            </w:r>
          </w:p>
        </w:tc>
        <w:tc>
          <w:tcPr>
            <w:tcW w:w="100" w:type="dxa"/>
            <w:tcBorders>
              <w:top w:val="single" w:sz="8" w:space="0" w:color="C7C9C7"/>
              <w:left w:val="nil"/>
              <w:bottom w:val="single" w:sz="8" w:space="0" w:color="C7C9C7"/>
              <w:right w:val="nil"/>
            </w:tcBorders>
            <w:tcMar>
              <w:top w:w="0" w:type="dxa"/>
              <w:left w:w="0" w:type="dxa"/>
              <w:bottom w:w="0" w:type="dxa"/>
              <w:right w:w="15" w:type="dxa"/>
            </w:tcMar>
            <w:vAlign w:val="bottom"/>
          </w:tcPr>
          <w:p w14:paraId="0FA9DCB6" w14:textId="77777777" w:rsidR="001614AC" w:rsidRDefault="001614AC">
            <w:pPr>
              <w:spacing w:before="55" w:after="30" w:line="288" w:lineRule="auto"/>
              <w:jc w:val="right"/>
            </w:pPr>
          </w:p>
        </w:tc>
        <w:tc>
          <w:tcPr>
            <w:tcW w:w="105" w:type="dxa"/>
            <w:tcBorders>
              <w:top w:val="single" w:sz="8" w:space="0" w:color="C7C9C7"/>
              <w:left w:val="nil"/>
              <w:bottom w:val="nil"/>
              <w:right w:val="nil"/>
            </w:tcBorders>
            <w:tcMar>
              <w:top w:w="0" w:type="dxa"/>
              <w:left w:w="0" w:type="dxa"/>
              <w:bottom w:w="0" w:type="dxa"/>
              <w:right w:w="0" w:type="dxa"/>
            </w:tcMar>
            <w:vAlign w:val="bottom"/>
          </w:tcPr>
          <w:p w14:paraId="0284FE8C" w14:textId="77777777" w:rsidR="001614AC" w:rsidRDefault="001614AC"/>
        </w:tc>
        <w:tc>
          <w:tcPr>
            <w:tcW w:w="160" w:type="dxa"/>
            <w:tcBorders>
              <w:top w:val="single" w:sz="8" w:space="0" w:color="C7C9C7"/>
              <w:left w:val="nil"/>
              <w:bottom w:val="single" w:sz="8" w:space="0" w:color="C7C9C7"/>
              <w:right w:val="nil"/>
            </w:tcBorders>
            <w:tcMar>
              <w:top w:w="0" w:type="dxa"/>
              <w:left w:w="53" w:type="dxa"/>
              <w:bottom w:w="0" w:type="dxa"/>
              <w:right w:w="0" w:type="dxa"/>
            </w:tcMar>
            <w:vAlign w:val="bottom"/>
          </w:tcPr>
          <w:p w14:paraId="4325FED3" w14:textId="77777777" w:rsidR="001614AC" w:rsidRDefault="004468F9">
            <w:pPr>
              <w:spacing w:before="55" w:after="30" w:line="288" w:lineRule="auto"/>
            </w:pPr>
            <w:r>
              <w:rPr>
                <w:rFonts w:ascii="Arial" w:eastAsia="Arial" w:hAnsi="Arial" w:cs="Arial"/>
                <w:color w:val="000000"/>
                <w:sz w:val="18"/>
              </w:rPr>
              <w:t>$</w:t>
            </w:r>
          </w:p>
        </w:tc>
        <w:tc>
          <w:tcPr>
            <w:tcW w:w="745" w:type="dxa"/>
            <w:tcBorders>
              <w:top w:val="single" w:sz="8" w:space="0" w:color="C7C9C7"/>
              <w:left w:val="nil"/>
              <w:bottom w:val="single" w:sz="8" w:space="0" w:color="C7C9C7"/>
              <w:right w:val="nil"/>
            </w:tcBorders>
            <w:tcMar>
              <w:top w:w="0" w:type="dxa"/>
              <w:left w:w="0" w:type="dxa"/>
              <w:bottom w:w="0" w:type="dxa"/>
              <w:right w:w="0" w:type="dxa"/>
            </w:tcMar>
            <w:vAlign w:val="bottom"/>
          </w:tcPr>
          <w:p w14:paraId="23ADC6D0" w14:textId="77777777" w:rsidR="001614AC" w:rsidRDefault="004468F9">
            <w:pPr>
              <w:spacing w:before="55" w:after="30" w:line="288" w:lineRule="auto"/>
              <w:jc w:val="right"/>
            </w:pPr>
            <w:r>
              <w:rPr>
                <w:rFonts w:ascii="Arial" w:eastAsia="Arial" w:hAnsi="Arial" w:cs="Arial"/>
                <w:color w:val="000000"/>
                <w:sz w:val="18"/>
              </w:rPr>
              <w:t>(29,951)</w:t>
            </w:r>
          </w:p>
        </w:tc>
        <w:tc>
          <w:tcPr>
            <w:tcW w:w="100" w:type="dxa"/>
            <w:tcBorders>
              <w:top w:val="single" w:sz="8" w:space="0" w:color="C7C9C7"/>
              <w:left w:val="nil"/>
              <w:bottom w:val="single" w:sz="8" w:space="0" w:color="C7C9C7"/>
              <w:right w:val="nil"/>
            </w:tcBorders>
            <w:tcMar>
              <w:top w:w="0" w:type="dxa"/>
              <w:left w:w="0" w:type="dxa"/>
              <w:bottom w:w="0" w:type="dxa"/>
              <w:right w:w="15" w:type="dxa"/>
            </w:tcMar>
            <w:vAlign w:val="bottom"/>
          </w:tcPr>
          <w:p w14:paraId="5CB0E217" w14:textId="77777777" w:rsidR="001614AC" w:rsidRDefault="001614AC">
            <w:pPr>
              <w:spacing w:before="55" w:after="30" w:line="288" w:lineRule="auto"/>
              <w:jc w:val="right"/>
            </w:pPr>
          </w:p>
        </w:tc>
        <w:tc>
          <w:tcPr>
            <w:tcW w:w="105" w:type="dxa"/>
            <w:tcBorders>
              <w:top w:val="single" w:sz="8" w:space="0" w:color="C7C9C7"/>
              <w:left w:val="nil"/>
              <w:bottom w:val="nil"/>
              <w:right w:val="nil"/>
            </w:tcBorders>
            <w:tcMar>
              <w:top w:w="0" w:type="dxa"/>
              <w:left w:w="0" w:type="dxa"/>
              <w:bottom w:w="0" w:type="dxa"/>
              <w:right w:w="0" w:type="dxa"/>
            </w:tcMar>
            <w:vAlign w:val="bottom"/>
          </w:tcPr>
          <w:p w14:paraId="08DE85F8" w14:textId="77777777" w:rsidR="001614AC" w:rsidRDefault="001614AC"/>
        </w:tc>
        <w:tc>
          <w:tcPr>
            <w:tcW w:w="160" w:type="dxa"/>
            <w:tcBorders>
              <w:top w:val="single" w:sz="8" w:space="0" w:color="C7C9C7"/>
              <w:left w:val="nil"/>
              <w:bottom w:val="single" w:sz="8" w:space="0" w:color="C7C9C7"/>
              <w:right w:val="nil"/>
            </w:tcBorders>
            <w:tcMar>
              <w:top w:w="0" w:type="dxa"/>
              <w:left w:w="53" w:type="dxa"/>
              <w:bottom w:w="0" w:type="dxa"/>
              <w:right w:w="0" w:type="dxa"/>
            </w:tcMar>
            <w:vAlign w:val="bottom"/>
          </w:tcPr>
          <w:p w14:paraId="5BC62700" w14:textId="77777777" w:rsidR="001614AC" w:rsidRDefault="004468F9">
            <w:pPr>
              <w:spacing w:before="55" w:after="30" w:line="288" w:lineRule="auto"/>
            </w:pPr>
            <w:r>
              <w:rPr>
                <w:rFonts w:ascii="Arial" w:eastAsia="Arial" w:hAnsi="Arial" w:cs="Arial"/>
                <w:color w:val="000000"/>
                <w:sz w:val="18"/>
              </w:rPr>
              <w:t>$</w:t>
            </w:r>
          </w:p>
        </w:tc>
        <w:tc>
          <w:tcPr>
            <w:tcW w:w="745" w:type="dxa"/>
            <w:tcBorders>
              <w:top w:val="single" w:sz="8" w:space="0" w:color="C7C9C7"/>
              <w:left w:val="nil"/>
              <w:bottom w:val="single" w:sz="8" w:space="0" w:color="C7C9C7"/>
              <w:right w:val="nil"/>
            </w:tcBorders>
            <w:tcMar>
              <w:top w:w="0" w:type="dxa"/>
              <w:left w:w="0" w:type="dxa"/>
              <w:bottom w:w="0" w:type="dxa"/>
              <w:right w:w="0" w:type="dxa"/>
            </w:tcMar>
            <w:vAlign w:val="bottom"/>
          </w:tcPr>
          <w:p w14:paraId="5BD315C5" w14:textId="77777777" w:rsidR="001614AC" w:rsidRDefault="004468F9">
            <w:pPr>
              <w:spacing w:before="55" w:after="30" w:line="288" w:lineRule="auto"/>
              <w:jc w:val="right"/>
            </w:pPr>
            <w:r>
              <w:rPr>
                <w:rFonts w:ascii="Arial" w:eastAsia="Arial" w:hAnsi="Arial" w:cs="Arial"/>
                <w:color w:val="000000"/>
                <w:sz w:val="18"/>
              </w:rPr>
              <w:t>280,814 </w:t>
            </w:r>
          </w:p>
        </w:tc>
        <w:tc>
          <w:tcPr>
            <w:tcW w:w="100" w:type="dxa"/>
            <w:tcBorders>
              <w:top w:val="single" w:sz="8" w:space="0" w:color="C7C9C7"/>
              <w:left w:val="nil"/>
              <w:bottom w:val="single" w:sz="8" w:space="0" w:color="C7C9C7"/>
              <w:right w:val="nil"/>
            </w:tcBorders>
            <w:tcMar>
              <w:top w:w="0" w:type="dxa"/>
              <w:left w:w="0" w:type="dxa"/>
              <w:bottom w:w="0" w:type="dxa"/>
              <w:right w:w="15" w:type="dxa"/>
            </w:tcMar>
            <w:vAlign w:val="bottom"/>
          </w:tcPr>
          <w:p w14:paraId="4BF7208D" w14:textId="77777777" w:rsidR="001614AC" w:rsidRDefault="001614AC">
            <w:pPr>
              <w:spacing w:before="55" w:after="30" w:line="288" w:lineRule="auto"/>
              <w:jc w:val="right"/>
            </w:pPr>
          </w:p>
        </w:tc>
        <w:tc>
          <w:tcPr>
            <w:tcW w:w="105" w:type="dxa"/>
            <w:tcBorders>
              <w:top w:val="single" w:sz="8" w:space="0" w:color="C7C9C7"/>
              <w:left w:val="nil"/>
              <w:bottom w:val="nil"/>
              <w:right w:val="nil"/>
            </w:tcBorders>
            <w:tcMar>
              <w:top w:w="0" w:type="dxa"/>
              <w:left w:w="0" w:type="dxa"/>
              <w:bottom w:w="0" w:type="dxa"/>
              <w:right w:w="0" w:type="dxa"/>
            </w:tcMar>
            <w:vAlign w:val="bottom"/>
          </w:tcPr>
          <w:p w14:paraId="62A88FF8" w14:textId="77777777" w:rsidR="001614AC" w:rsidRDefault="001614AC"/>
        </w:tc>
        <w:tc>
          <w:tcPr>
            <w:tcW w:w="160" w:type="dxa"/>
            <w:tcBorders>
              <w:top w:val="single" w:sz="8" w:space="0" w:color="C7C9C7"/>
              <w:left w:val="nil"/>
              <w:bottom w:val="single" w:sz="8" w:space="0" w:color="C7C9C7"/>
              <w:right w:val="nil"/>
            </w:tcBorders>
            <w:tcMar>
              <w:top w:w="0" w:type="dxa"/>
              <w:left w:w="53" w:type="dxa"/>
              <w:bottom w:w="0" w:type="dxa"/>
              <w:right w:w="0" w:type="dxa"/>
            </w:tcMar>
            <w:vAlign w:val="bottom"/>
          </w:tcPr>
          <w:p w14:paraId="77A8199F" w14:textId="77777777" w:rsidR="001614AC" w:rsidRDefault="004468F9">
            <w:pPr>
              <w:spacing w:before="55" w:after="30" w:line="288" w:lineRule="auto"/>
            </w:pPr>
            <w:r>
              <w:rPr>
                <w:rFonts w:ascii="Arial" w:eastAsia="Arial" w:hAnsi="Arial" w:cs="Arial"/>
                <w:color w:val="000000"/>
                <w:sz w:val="18"/>
              </w:rPr>
              <w:t>$</w:t>
            </w:r>
          </w:p>
        </w:tc>
        <w:tc>
          <w:tcPr>
            <w:tcW w:w="745" w:type="dxa"/>
            <w:tcBorders>
              <w:top w:val="single" w:sz="8" w:space="0" w:color="C7C9C7"/>
              <w:left w:val="nil"/>
              <w:bottom w:val="single" w:sz="8" w:space="0" w:color="C7C9C7"/>
              <w:right w:val="nil"/>
            </w:tcBorders>
            <w:tcMar>
              <w:top w:w="0" w:type="dxa"/>
              <w:left w:w="0" w:type="dxa"/>
              <w:bottom w:w="0" w:type="dxa"/>
              <w:right w:w="0" w:type="dxa"/>
            </w:tcMar>
            <w:vAlign w:val="bottom"/>
          </w:tcPr>
          <w:p w14:paraId="06EBE49F" w14:textId="77777777" w:rsidR="001614AC" w:rsidRDefault="004468F9">
            <w:pPr>
              <w:spacing w:before="55" w:after="30" w:line="288" w:lineRule="auto"/>
              <w:jc w:val="right"/>
            </w:pPr>
            <w:r>
              <w:rPr>
                <w:rFonts w:ascii="Arial" w:eastAsia="Arial" w:hAnsi="Arial" w:cs="Arial"/>
                <w:color w:val="000000"/>
                <w:sz w:val="18"/>
              </w:rPr>
              <w:t>110,510 </w:t>
            </w:r>
          </w:p>
        </w:tc>
        <w:tc>
          <w:tcPr>
            <w:tcW w:w="100" w:type="dxa"/>
            <w:tcBorders>
              <w:top w:val="single" w:sz="8" w:space="0" w:color="C7C9C7"/>
              <w:left w:val="nil"/>
              <w:bottom w:val="single" w:sz="8" w:space="0" w:color="C7C9C7"/>
              <w:right w:val="nil"/>
            </w:tcBorders>
            <w:tcMar>
              <w:top w:w="0" w:type="dxa"/>
              <w:left w:w="0" w:type="dxa"/>
              <w:bottom w:w="0" w:type="dxa"/>
              <w:right w:w="15" w:type="dxa"/>
            </w:tcMar>
            <w:vAlign w:val="bottom"/>
          </w:tcPr>
          <w:p w14:paraId="22AE64FB" w14:textId="77777777" w:rsidR="001614AC" w:rsidRDefault="001614AC">
            <w:pPr>
              <w:spacing w:before="55" w:after="30" w:line="288" w:lineRule="auto"/>
              <w:jc w:val="right"/>
            </w:pPr>
          </w:p>
        </w:tc>
      </w:tr>
      <w:tr w:rsidR="001614AC" w14:paraId="4C4F1959" w14:textId="77777777">
        <w:trPr>
          <w:cantSplit/>
        </w:trPr>
        <w:tc>
          <w:tcPr>
            <w:tcW w:w="5640" w:type="dxa"/>
            <w:tcBorders>
              <w:top w:val="single" w:sz="8" w:space="0" w:color="F4F4F4"/>
              <w:left w:val="nil"/>
              <w:bottom w:val="single" w:sz="8" w:space="0" w:color="F4F4F4"/>
              <w:right w:val="nil"/>
            </w:tcBorders>
            <w:tcMar>
              <w:top w:w="0" w:type="dxa"/>
              <w:left w:w="53" w:type="dxa"/>
              <w:bottom w:w="0" w:type="dxa"/>
              <w:right w:w="53" w:type="dxa"/>
            </w:tcMar>
            <w:vAlign w:val="bottom"/>
          </w:tcPr>
          <w:p w14:paraId="0D5AFE8F" w14:textId="77777777" w:rsidR="001614AC" w:rsidRDefault="004468F9">
            <w:pPr>
              <w:spacing w:before="55" w:after="30" w:line="288" w:lineRule="auto"/>
              <w:rPr>
                <w:rFonts w:ascii="Arial" w:eastAsia="Arial" w:hAnsi="Arial" w:cs="Arial"/>
                <w:sz w:val="18"/>
              </w:rPr>
            </w:pPr>
            <w:r>
              <w:rPr>
                <w:rFonts w:ascii="Arial" w:eastAsia="Arial" w:hAnsi="Arial" w:cs="Arial"/>
                <w:sz w:val="18"/>
              </w:rPr>
              <w:t>Other comprehensive income (loss), net of tax (Note 15)</w:t>
            </w:r>
          </w:p>
        </w:tc>
        <w:tc>
          <w:tcPr>
            <w:tcW w:w="105" w:type="dxa"/>
            <w:tcBorders>
              <w:top w:val="nil"/>
              <w:left w:val="nil"/>
              <w:bottom w:val="nil"/>
              <w:right w:val="nil"/>
            </w:tcBorders>
            <w:tcMar>
              <w:top w:w="0" w:type="dxa"/>
              <w:left w:w="0" w:type="dxa"/>
              <w:bottom w:w="0" w:type="dxa"/>
              <w:right w:w="0" w:type="dxa"/>
            </w:tcMar>
            <w:vAlign w:val="bottom"/>
          </w:tcPr>
          <w:p w14:paraId="76E46626" w14:textId="77777777" w:rsidR="001614AC" w:rsidRDefault="001614AC"/>
        </w:tc>
        <w:tc>
          <w:tcPr>
            <w:tcW w:w="1005" w:type="dxa"/>
            <w:gridSpan w:val="3"/>
            <w:tcBorders>
              <w:top w:val="single" w:sz="8" w:space="0" w:color="C7C9C7"/>
              <w:left w:val="nil"/>
              <w:bottom w:val="single" w:sz="8" w:space="0" w:color="F4F4F4"/>
              <w:right w:val="nil"/>
            </w:tcBorders>
            <w:tcMar>
              <w:top w:w="0" w:type="dxa"/>
              <w:left w:w="0" w:type="dxa"/>
              <w:bottom w:w="0" w:type="dxa"/>
              <w:right w:w="0" w:type="dxa"/>
            </w:tcMar>
            <w:vAlign w:val="bottom"/>
          </w:tcPr>
          <w:p w14:paraId="332FB478" w14:textId="77777777" w:rsidR="001614AC" w:rsidRDefault="001614AC"/>
        </w:tc>
        <w:tc>
          <w:tcPr>
            <w:tcW w:w="105" w:type="dxa"/>
            <w:tcBorders>
              <w:top w:val="nil"/>
              <w:left w:val="nil"/>
              <w:bottom w:val="nil"/>
              <w:right w:val="nil"/>
            </w:tcBorders>
            <w:tcMar>
              <w:top w:w="0" w:type="dxa"/>
              <w:left w:w="0" w:type="dxa"/>
              <w:bottom w:w="0" w:type="dxa"/>
              <w:right w:w="0" w:type="dxa"/>
            </w:tcMar>
            <w:vAlign w:val="bottom"/>
          </w:tcPr>
          <w:p w14:paraId="482B3264" w14:textId="77777777" w:rsidR="001614AC" w:rsidRDefault="001614AC"/>
        </w:tc>
        <w:tc>
          <w:tcPr>
            <w:tcW w:w="1005" w:type="dxa"/>
            <w:gridSpan w:val="3"/>
            <w:tcBorders>
              <w:top w:val="single" w:sz="8" w:space="0" w:color="C7C9C7"/>
              <w:left w:val="nil"/>
              <w:bottom w:val="single" w:sz="8" w:space="0" w:color="F4F4F4"/>
              <w:right w:val="nil"/>
            </w:tcBorders>
            <w:tcMar>
              <w:top w:w="0" w:type="dxa"/>
              <w:left w:w="0" w:type="dxa"/>
              <w:bottom w:w="0" w:type="dxa"/>
              <w:right w:w="0" w:type="dxa"/>
            </w:tcMar>
            <w:vAlign w:val="bottom"/>
          </w:tcPr>
          <w:p w14:paraId="3C38F527" w14:textId="77777777" w:rsidR="001614AC" w:rsidRDefault="001614AC"/>
        </w:tc>
        <w:tc>
          <w:tcPr>
            <w:tcW w:w="105" w:type="dxa"/>
            <w:tcBorders>
              <w:top w:val="nil"/>
              <w:left w:val="nil"/>
              <w:bottom w:val="nil"/>
              <w:right w:val="nil"/>
            </w:tcBorders>
            <w:tcMar>
              <w:top w:w="0" w:type="dxa"/>
              <w:left w:w="0" w:type="dxa"/>
              <w:bottom w:w="0" w:type="dxa"/>
              <w:right w:w="0" w:type="dxa"/>
            </w:tcMar>
            <w:vAlign w:val="bottom"/>
          </w:tcPr>
          <w:p w14:paraId="7021B64D" w14:textId="77777777" w:rsidR="001614AC" w:rsidRDefault="001614AC"/>
        </w:tc>
        <w:tc>
          <w:tcPr>
            <w:tcW w:w="1005" w:type="dxa"/>
            <w:gridSpan w:val="3"/>
            <w:tcBorders>
              <w:top w:val="single" w:sz="8" w:space="0" w:color="C7C9C7"/>
              <w:left w:val="nil"/>
              <w:bottom w:val="single" w:sz="8" w:space="0" w:color="F4F4F4"/>
              <w:right w:val="nil"/>
            </w:tcBorders>
            <w:tcMar>
              <w:top w:w="0" w:type="dxa"/>
              <w:left w:w="0" w:type="dxa"/>
              <w:bottom w:w="0" w:type="dxa"/>
              <w:right w:w="0" w:type="dxa"/>
            </w:tcMar>
            <w:vAlign w:val="bottom"/>
          </w:tcPr>
          <w:p w14:paraId="585B9FB5" w14:textId="77777777" w:rsidR="001614AC" w:rsidRDefault="001614AC"/>
        </w:tc>
        <w:tc>
          <w:tcPr>
            <w:tcW w:w="105" w:type="dxa"/>
            <w:tcBorders>
              <w:top w:val="nil"/>
              <w:left w:val="nil"/>
              <w:bottom w:val="nil"/>
              <w:right w:val="nil"/>
            </w:tcBorders>
            <w:tcMar>
              <w:top w:w="0" w:type="dxa"/>
              <w:left w:w="0" w:type="dxa"/>
              <w:bottom w:w="0" w:type="dxa"/>
              <w:right w:w="0" w:type="dxa"/>
            </w:tcMar>
            <w:vAlign w:val="bottom"/>
          </w:tcPr>
          <w:p w14:paraId="4E0AC6C8" w14:textId="77777777" w:rsidR="001614AC" w:rsidRDefault="001614AC"/>
        </w:tc>
        <w:tc>
          <w:tcPr>
            <w:tcW w:w="1005" w:type="dxa"/>
            <w:gridSpan w:val="3"/>
            <w:tcBorders>
              <w:top w:val="single" w:sz="8" w:space="0" w:color="C7C9C7"/>
              <w:left w:val="nil"/>
              <w:bottom w:val="single" w:sz="8" w:space="0" w:color="F4F4F4"/>
              <w:right w:val="nil"/>
            </w:tcBorders>
            <w:tcMar>
              <w:top w:w="0" w:type="dxa"/>
              <w:left w:w="0" w:type="dxa"/>
              <w:bottom w:w="0" w:type="dxa"/>
              <w:right w:w="0" w:type="dxa"/>
            </w:tcMar>
            <w:vAlign w:val="bottom"/>
          </w:tcPr>
          <w:p w14:paraId="0E78D34E" w14:textId="77777777" w:rsidR="001614AC" w:rsidRDefault="001614AC"/>
        </w:tc>
      </w:tr>
      <w:tr w:rsidR="001614AC" w14:paraId="397C4B04" w14:textId="77777777">
        <w:trPr>
          <w:cantSplit/>
        </w:trPr>
        <w:tc>
          <w:tcPr>
            <w:tcW w:w="5640" w:type="dxa"/>
            <w:tcBorders>
              <w:top w:val="single" w:sz="8" w:space="0" w:color="F4F4F4"/>
              <w:left w:val="nil"/>
              <w:bottom w:val="single" w:sz="8" w:space="0" w:color="F4F4F4"/>
              <w:right w:val="nil"/>
            </w:tcBorders>
            <w:tcMar>
              <w:top w:w="0" w:type="dxa"/>
              <w:left w:w="53" w:type="dxa"/>
              <w:bottom w:w="0" w:type="dxa"/>
              <w:right w:w="53" w:type="dxa"/>
            </w:tcMar>
            <w:vAlign w:val="bottom"/>
          </w:tcPr>
          <w:p w14:paraId="118C4626" w14:textId="77777777" w:rsidR="001614AC" w:rsidRDefault="004468F9">
            <w:pPr>
              <w:spacing w:before="55" w:after="30" w:line="288" w:lineRule="auto"/>
              <w:ind w:left="240"/>
            </w:pPr>
            <w:r>
              <w:rPr>
                <w:rFonts w:ascii="Arial" w:eastAsia="Arial" w:hAnsi="Arial" w:cs="Arial"/>
                <w:color w:val="000000"/>
                <w:sz w:val="18"/>
              </w:rPr>
              <w:t>Unrealized holding gains (losses) on investments arising during the period for which an allowance for expected losses has not been recognized</w:t>
            </w:r>
          </w:p>
        </w:tc>
        <w:tc>
          <w:tcPr>
            <w:tcW w:w="105" w:type="dxa"/>
            <w:tcBorders>
              <w:top w:val="nil"/>
              <w:left w:val="nil"/>
              <w:bottom w:val="nil"/>
              <w:right w:val="nil"/>
            </w:tcBorders>
            <w:tcMar>
              <w:top w:w="0" w:type="dxa"/>
              <w:left w:w="0" w:type="dxa"/>
              <w:bottom w:w="0" w:type="dxa"/>
              <w:right w:w="0" w:type="dxa"/>
            </w:tcMar>
            <w:vAlign w:val="bottom"/>
          </w:tcPr>
          <w:p w14:paraId="4D6BD8F9" w14:textId="77777777" w:rsidR="001614AC" w:rsidRDefault="001614AC"/>
        </w:tc>
        <w:tc>
          <w:tcPr>
            <w:tcW w:w="905"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3D6FB900" w14:textId="77777777" w:rsidR="001614AC" w:rsidRDefault="004468F9">
            <w:pPr>
              <w:spacing w:before="55" w:after="30" w:line="288" w:lineRule="auto"/>
              <w:jc w:val="right"/>
            </w:pPr>
            <w:r>
              <w:rPr>
                <w:rFonts w:ascii="Arial" w:eastAsia="Arial" w:hAnsi="Arial" w:cs="Arial"/>
                <w:color w:val="000000"/>
                <w:sz w:val="18"/>
              </w:rPr>
              <w:t>64,477 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02190819" w14:textId="77777777" w:rsidR="001614AC" w:rsidRDefault="001614AC">
            <w:pPr>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15586B6B" w14:textId="77777777" w:rsidR="001614AC" w:rsidRDefault="001614AC"/>
        </w:tc>
        <w:tc>
          <w:tcPr>
            <w:tcW w:w="905"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7C1DB486" w14:textId="77777777" w:rsidR="001614AC" w:rsidRDefault="004468F9">
            <w:pPr>
              <w:spacing w:before="55" w:after="30" w:line="288" w:lineRule="auto"/>
              <w:jc w:val="right"/>
            </w:pPr>
            <w:r>
              <w:rPr>
                <w:rFonts w:ascii="Arial" w:eastAsia="Arial" w:hAnsi="Arial" w:cs="Arial"/>
                <w:color w:val="000000"/>
                <w:sz w:val="18"/>
              </w:rPr>
              <w:t>185,056 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1AA3628E" w14:textId="77777777" w:rsidR="001614AC" w:rsidRDefault="001614AC">
            <w:pPr>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0908AE64" w14:textId="77777777" w:rsidR="001614AC" w:rsidRDefault="001614AC"/>
        </w:tc>
        <w:tc>
          <w:tcPr>
            <w:tcW w:w="905"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2D16ECC6" w14:textId="77777777" w:rsidR="001614AC" w:rsidRDefault="004468F9">
            <w:pPr>
              <w:spacing w:before="55" w:after="30" w:line="288" w:lineRule="auto"/>
              <w:jc w:val="right"/>
            </w:pPr>
            <w:r>
              <w:rPr>
                <w:rFonts w:ascii="Arial" w:eastAsia="Arial" w:hAnsi="Arial" w:cs="Arial"/>
                <w:color w:val="000000"/>
                <w:sz w:val="18"/>
              </w:rPr>
              <w:t>(82,892)</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6386357B" w14:textId="77777777" w:rsidR="001614AC" w:rsidRDefault="001614AC">
            <w:pPr>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2EBE8973" w14:textId="77777777" w:rsidR="001614AC" w:rsidRDefault="001614AC"/>
        </w:tc>
        <w:tc>
          <w:tcPr>
            <w:tcW w:w="905"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5EABCB7B" w14:textId="77777777" w:rsidR="001614AC" w:rsidRDefault="004468F9">
            <w:pPr>
              <w:spacing w:before="55" w:after="30" w:line="288" w:lineRule="auto"/>
              <w:jc w:val="right"/>
            </w:pPr>
            <w:r>
              <w:rPr>
                <w:rFonts w:ascii="Arial" w:eastAsia="Arial" w:hAnsi="Arial" w:cs="Arial"/>
                <w:color w:val="000000"/>
                <w:sz w:val="18"/>
              </w:rPr>
              <w:t>112,763 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7FAA0B31" w14:textId="77777777" w:rsidR="001614AC" w:rsidRDefault="001614AC">
            <w:pPr>
              <w:spacing w:before="55" w:after="30" w:line="288" w:lineRule="auto"/>
              <w:jc w:val="right"/>
            </w:pPr>
          </w:p>
        </w:tc>
      </w:tr>
      <w:tr w:rsidR="001614AC" w14:paraId="1AA19A3C" w14:textId="77777777">
        <w:trPr>
          <w:cantSplit/>
        </w:trPr>
        <w:tc>
          <w:tcPr>
            <w:tcW w:w="5640" w:type="dxa"/>
            <w:tcBorders>
              <w:top w:val="single" w:sz="8" w:space="0" w:color="F4F4F4"/>
              <w:left w:val="nil"/>
              <w:bottom w:val="single" w:sz="8" w:space="0" w:color="F4F4F4"/>
              <w:right w:val="nil"/>
            </w:tcBorders>
            <w:tcMar>
              <w:top w:w="0" w:type="dxa"/>
              <w:left w:w="53" w:type="dxa"/>
              <w:bottom w:w="0" w:type="dxa"/>
              <w:right w:w="53" w:type="dxa"/>
            </w:tcMar>
            <w:vAlign w:val="bottom"/>
          </w:tcPr>
          <w:p w14:paraId="7056A7CD" w14:textId="77777777" w:rsidR="001614AC" w:rsidRDefault="004468F9">
            <w:pPr>
              <w:spacing w:before="55" w:after="30" w:line="288" w:lineRule="auto"/>
              <w:ind w:left="240"/>
            </w:pPr>
            <w:r>
              <w:rPr>
                <w:rFonts w:ascii="Arial" w:eastAsia="Arial" w:hAnsi="Arial" w:cs="Arial"/>
                <w:color w:val="000000"/>
                <w:sz w:val="18"/>
              </w:rPr>
              <w:t>Less: Reclassification adjustment for net gains (losses) on investments included in net income (loss)</w:t>
            </w:r>
          </w:p>
        </w:tc>
        <w:tc>
          <w:tcPr>
            <w:tcW w:w="105" w:type="dxa"/>
            <w:tcBorders>
              <w:top w:val="nil"/>
              <w:left w:val="nil"/>
              <w:bottom w:val="nil"/>
              <w:right w:val="nil"/>
            </w:tcBorders>
            <w:tcMar>
              <w:top w:w="0" w:type="dxa"/>
              <w:left w:w="0" w:type="dxa"/>
              <w:bottom w:w="0" w:type="dxa"/>
              <w:right w:w="0" w:type="dxa"/>
            </w:tcMar>
            <w:vAlign w:val="bottom"/>
          </w:tcPr>
          <w:p w14:paraId="47704B06" w14:textId="77777777" w:rsidR="001614AC" w:rsidRDefault="001614AC"/>
        </w:tc>
        <w:tc>
          <w:tcPr>
            <w:tcW w:w="1005" w:type="dxa"/>
            <w:gridSpan w:val="3"/>
            <w:tcBorders>
              <w:top w:val="single" w:sz="8" w:space="0" w:color="F4F4F4"/>
              <w:left w:val="nil"/>
              <w:bottom w:val="single" w:sz="8" w:space="0" w:color="F4F4F4"/>
              <w:right w:val="nil"/>
            </w:tcBorders>
            <w:tcMar>
              <w:top w:w="0" w:type="dxa"/>
              <w:left w:w="0" w:type="dxa"/>
              <w:bottom w:w="0" w:type="dxa"/>
              <w:right w:w="0" w:type="dxa"/>
            </w:tcMar>
            <w:vAlign w:val="bottom"/>
          </w:tcPr>
          <w:p w14:paraId="39FB0038" w14:textId="77777777" w:rsidR="001614AC" w:rsidRDefault="001614AC"/>
        </w:tc>
        <w:tc>
          <w:tcPr>
            <w:tcW w:w="105" w:type="dxa"/>
            <w:tcBorders>
              <w:top w:val="nil"/>
              <w:left w:val="nil"/>
              <w:bottom w:val="nil"/>
              <w:right w:val="nil"/>
            </w:tcBorders>
            <w:tcMar>
              <w:top w:w="0" w:type="dxa"/>
              <w:left w:w="0" w:type="dxa"/>
              <w:bottom w:w="0" w:type="dxa"/>
              <w:right w:w="0" w:type="dxa"/>
            </w:tcMar>
            <w:vAlign w:val="bottom"/>
          </w:tcPr>
          <w:p w14:paraId="6D44326B" w14:textId="77777777" w:rsidR="001614AC" w:rsidRDefault="001614AC"/>
        </w:tc>
        <w:tc>
          <w:tcPr>
            <w:tcW w:w="1005" w:type="dxa"/>
            <w:gridSpan w:val="3"/>
            <w:tcBorders>
              <w:top w:val="single" w:sz="8" w:space="0" w:color="F4F4F4"/>
              <w:left w:val="nil"/>
              <w:bottom w:val="single" w:sz="8" w:space="0" w:color="F4F4F4"/>
              <w:right w:val="nil"/>
            </w:tcBorders>
            <w:tcMar>
              <w:top w:w="0" w:type="dxa"/>
              <w:left w:w="0" w:type="dxa"/>
              <w:bottom w:w="0" w:type="dxa"/>
              <w:right w:w="0" w:type="dxa"/>
            </w:tcMar>
            <w:vAlign w:val="bottom"/>
          </w:tcPr>
          <w:p w14:paraId="6C4F170C" w14:textId="77777777" w:rsidR="001614AC" w:rsidRDefault="001614AC"/>
        </w:tc>
        <w:tc>
          <w:tcPr>
            <w:tcW w:w="105" w:type="dxa"/>
            <w:tcBorders>
              <w:top w:val="nil"/>
              <w:left w:val="nil"/>
              <w:bottom w:val="nil"/>
              <w:right w:val="nil"/>
            </w:tcBorders>
            <w:tcMar>
              <w:top w:w="0" w:type="dxa"/>
              <w:left w:w="0" w:type="dxa"/>
              <w:bottom w:w="0" w:type="dxa"/>
              <w:right w:w="0" w:type="dxa"/>
            </w:tcMar>
            <w:vAlign w:val="bottom"/>
          </w:tcPr>
          <w:p w14:paraId="31342205" w14:textId="77777777" w:rsidR="001614AC" w:rsidRDefault="001614AC"/>
        </w:tc>
        <w:tc>
          <w:tcPr>
            <w:tcW w:w="1005" w:type="dxa"/>
            <w:gridSpan w:val="3"/>
            <w:tcBorders>
              <w:top w:val="single" w:sz="8" w:space="0" w:color="F4F4F4"/>
              <w:left w:val="nil"/>
              <w:bottom w:val="single" w:sz="8" w:space="0" w:color="F4F4F4"/>
              <w:right w:val="nil"/>
            </w:tcBorders>
            <w:tcMar>
              <w:top w:w="0" w:type="dxa"/>
              <w:left w:w="0" w:type="dxa"/>
              <w:bottom w:w="0" w:type="dxa"/>
              <w:right w:w="0" w:type="dxa"/>
            </w:tcMar>
            <w:vAlign w:val="bottom"/>
          </w:tcPr>
          <w:p w14:paraId="3809DAA1" w14:textId="77777777" w:rsidR="001614AC" w:rsidRDefault="001614AC"/>
        </w:tc>
        <w:tc>
          <w:tcPr>
            <w:tcW w:w="105" w:type="dxa"/>
            <w:tcBorders>
              <w:top w:val="nil"/>
              <w:left w:val="nil"/>
              <w:bottom w:val="nil"/>
              <w:right w:val="nil"/>
            </w:tcBorders>
            <w:tcMar>
              <w:top w:w="0" w:type="dxa"/>
              <w:left w:w="0" w:type="dxa"/>
              <w:bottom w:w="0" w:type="dxa"/>
              <w:right w:w="0" w:type="dxa"/>
            </w:tcMar>
            <w:vAlign w:val="bottom"/>
          </w:tcPr>
          <w:p w14:paraId="6D1530E5" w14:textId="77777777" w:rsidR="001614AC" w:rsidRDefault="001614AC"/>
        </w:tc>
        <w:tc>
          <w:tcPr>
            <w:tcW w:w="1005" w:type="dxa"/>
            <w:gridSpan w:val="3"/>
            <w:tcBorders>
              <w:top w:val="single" w:sz="8" w:space="0" w:color="F4F4F4"/>
              <w:left w:val="nil"/>
              <w:bottom w:val="single" w:sz="8" w:space="0" w:color="F4F4F4"/>
              <w:right w:val="nil"/>
            </w:tcBorders>
            <w:tcMar>
              <w:top w:w="0" w:type="dxa"/>
              <w:left w:w="0" w:type="dxa"/>
              <w:bottom w:w="0" w:type="dxa"/>
              <w:right w:w="0" w:type="dxa"/>
            </w:tcMar>
            <w:vAlign w:val="bottom"/>
          </w:tcPr>
          <w:p w14:paraId="6101BC4C" w14:textId="77777777" w:rsidR="001614AC" w:rsidRDefault="001614AC"/>
        </w:tc>
      </w:tr>
      <w:tr w:rsidR="001614AC" w14:paraId="34E3A553" w14:textId="77777777">
        <w:trPr>
          <w:cantSplit/>
        </w:trPr>
        <w:tc>
          <w:tcPr>
            <w:tcW w:w="5640" w:type="dxa"/>
            <w:tcBorders>
              <w:top w:val="single" w:sz="8" w:space="0" w:color="F4F4F4"/>
              <w:left w:val="nil"/>
              <w:bottom w:val="single" w:sz="8" w:space="0" w:color="F4F4F4"/>
              <w:right w:val="nil"/>
            </w:tcBorders>
            <w:tcMar>
              <w:top w:w="0" w:type="dxa"/>
              <w:left w:w="53" w:type="dxa"/>
              <w:bottom w:w="0" w:type="dxa"/>
              <w:right w:w="53" w:type="dxa"/>
            </w:tcMar>
            <w:vAlign w:val="bottom"/>
          </w:tcPr>
          <w:p w14:paraId="44A6B57B" w14:textId="77777777" w:rsidR="001614AC" w:rsidRDefault="004468F9">
            <w:pPr>
              <w:spacing w:before="55" w:after="30" w:line="288" w:lineRule="auto"/>
              <w:ind w:left="480"/>
            </w:pPr>
            <w:r>
              <w:rPr>
                <w:rFonts w:ascii="Arial" w:eastAsia="Arial" w:hAnsi="Arial" w:cs="Arial"/>
                <w:color w:val="000000"/>
                <w:sz w:val="18"/>
              </w:rPr>
              <w:t xml:space="preserve">Net realized gains </w:t>
            </w:r>
            <w:r>
              <w:rPr>
                <w:rFonts w:ascii="Arial" w:eastAsia="Arial" w:hAnsi="Arial" w:cs="Arial"/>
                <w:color w:val="000000"/>
                <w:sz w:val="18"/>
              </w:rPr>
              <w:t>(losses) on disposals and non-credit related impairment losses</w:t>
            </w:r>
          </w:p>
        </w:tc>
        <w:tc>
          <w:tcPr>
            <w:tcW w:w="105" w:type="dxa"/>
            <w:tcBorders>
              <w:top w:val="nil"/>
              <w:left w:val="nil"/>
              <w:bottom w:val="nil"/>
              <w:right w:val="nil"/>
            </w:tcBorders>
            <w:tcMar>
              <w:top w:w="0" w:type="dxa"/>
              <w:left w:w="0" w:type="dxa"/>
              <w:bottom w:w="0" w:type="dxa"/>
              <w:right w:w="0" w:type="dxa"/>
            </w:tcMar>
            <w:vAlign w:val="bottom"/>
          </w:tcPr>
          <w:p w14:paraId="4A8D06AD" w14:textId="77777777" w:rsidR="001614AC" w:rsidRDefault="001614AC"/>
        </w:tc>
        <w:tc>
          <w:tcPr>
            <w:tcW w:w="905"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1F45F045" w14:textId="77777777" w:rsidR="001614AC" w:rsidRDefault="004468F9">
            <w:pPr>
              <w:spacing w:before="55" w:after="30" w:line="288" w:lineRule="auto"/>
              <w:jc w:val="right"/>
            </w:pPr>
            <w:r>
              <w:rPr>
                <w:rFonts w:ascii="Arial" w:eastAsia="Arial" w:hAnsi="Arial" w:cs="Arial"/>
                <w:color w:val="000000"/>
                <w:sz w:val="18"/>
              </w:rPr>
              <w:t>1,876 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591F3D3D" w14:textId="77777777" w:rsidR="001614AC" w:rsidRDefault="001614AC">
            <w:pPr>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1E7D3384" w14:textId="77777777" w:rsidR="001614AC" w:rsidRDefault="001614AC"/>
        </w:tc>
        <w:tc>
          <w:tcPr>
            <w:tcW w:w="905"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442E0713" w14:textId="77777777" w:rsidR="001614AC" w:rsidRDefault="004468F9">
            <w:pPr>
              <w:spacing w:before="55" w:after="30" w:line="288" w:lineRule="auto"/>
              <w:jc w:val="right"/>
            </w:pPr>
            <w:r>
              <w:rPr>
                <w:rFonts w:ascii="Arial" w:eastAsia="Arial" w:hAnsi="Arial" w:cs="Arial"/>
                <w:color w:val="000000"/>
                <w:sz w:val="18"/>
              </w:rPr>
              <w:t>4,894 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34D23F9E" w14:textId="77777777" w:rsidR="001614AC" w:rsidRDefault="001614AC">
            <w:pPr>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00DF5077" w14:textId="77777777" w:rsidR="001614AC" w:rsidRDefault="001614AC"/>
        </w:tc>
        <w:tc>
          <w:tcPr>
            <w:tcW w:w="905"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121EA453" w14:textId="77777777" w:rsidR="001614AC" w:rsidRDefault="004468F9">
            <w:pPr>
              <w:spacing w:before="55" w:after="30" w:line="288" w:lineRule="auto"/>
              <w:jc w:val="right"/>
            </w:pPr>
            <w:r>
              <w:rPr>
                <w:rFonts w:ascii="Arial" w:eastAsia="Arial" w:hAnsi="Arial" w:cs="Arial"/>
                <w:color w:val="000000"/>
                <w:sz w:val="18"/>
              </w:rPr>
              <w:t>1,252 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3C92B562" w14:textId="77777777" w:rsidR="001614AC" w:rsidRDefault="001614AC">
            <w:pPr>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63453C8A" w14:textId="77777777" w:rsidR="001614AC" w:rsidRDefault="001614AC"/>
        </w:tc>
        <w:tc>
          <w:tcPr>
            <w:tcW w:w="905"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72306AAC" w14:textId="77777777" w:rsidR="001614AC" w:rsidRDefault="004468F9">
            <w:pPr>
              <w:spacing w:before="55" w:after="30" w:line="288" w:lineRule="auto"/>
              <w:jc w:val="right"/>
            </w:pPr>
            <w:r>
              <w:rPr>
                <w:rFonts w:ascii="Arial" w:eastAsia="Arial" w:hAnsi="Arial" w:cs="Arial"/>
                <w:color w:val="000000"/>
                <w:sz w:val="18"/>
              </w:rPr>
              <w:t>13,288 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467941F1" w14:textId="77777777" w:rsidR="001614AC" w:rsidRDefault="001614AC">
            <w:pPr>
              <w:spacing w:before="55" w:after="30" w:line="288" w:lineRule="auto"/>
              <w:jc w:val="right"/>
            </w:pPr>
          </w:p>
        </w:tc>
      </w:tr>
      <w:tr w:rsidR="001614AC" w14:paraId="550FEAAF" w14:textId="77777777">
        <w:trPr>
          <w:cantSplit/>
        </w:trPr>
        <w:tc>
          <w:tcPr>
            <w:tcW w:w="5640" w:type="dxa"/>
            <w:tcBorders>
              <w:top w:val="single" w:sz="8" w:space="0" w:color="F4F4F4"/>
              <w:left w:val="nil"/>
              <w:bottom w:val="nil"/>
              <w:right w:val="nil"/>
            </w:tcBorders>
            <w:tcMar>
              <w:top w:w="0" w:type="dxa"/>
              <w:left w:w="53" w:type="dxa"/>
              <w:bottom w:w="0" w:type="dxa"/>
              <w:right w:w="53" w:type="dxa"/>
            </w:tcMar>
            <w:vAlign w:val="bottom"/>
          </w:tcPr>
          <w:p w14:paraId="1C4A34C6" w14:textId="77777777" w:rsidR="001614AC" w:rsidRDefault="004468F9">
            <w:pPr>
              <w:spacing w:before="55" w:after="30" w:line="288" w:lineRule="auto"/>
              <w:ind w:left="480"/>
            </w:pPr>
            <w:r>
              <w:rPr>
                <w:rFonts w:ascii="Arial" w:eastAsia="Arial" w:hAnsi="Arial" w:cs="Arial"/>
                <w:color w:val="000000"/>
                <w:sz w:val="18"/>
              </w:rPr>
              <w:t>Net decrease (increase) in expected cred</w:t>
            </w:r>
            <w:r>
              <w:rPr>
                <w:rFonts w:ascii="Arial" w:eastAsia="Arial" w:hAnsi="Arial" w:cs="Arial"/>
                <w:color w:val="000000"/>
                <w:sz w:val="18"/>
              </w:rPr>
              <w:t>it losses</w:t>
            </w:r>
          </w:p>
        </w:tc>
        <w:tc>
          <w:tcPr>
            <w:tcW w:w="105" w:type="dxa"/>
            <w:tcBorders>
              <w:top w:val="nil"/>
              <w:left w:val="nil"/>
              <w:bottom w:val="nil"/>
              <w:right w:val="nil"/>
            </w:tcBorders>
            <w:tcMar>
              <w:top w:w="0" w:type="dxa"/>
              <w:left w:w="0" w:type="dxa"/>
              <w:bottom w:w="0" w:type="dxa"/>
              <w:right w:w="0" w:type="dxa"/>
            </w:tcMar>
            <w:vAlign w:val="bottom"/>
          </w:tcPr>
          <w:p w14:paraId="65D75EAD" w14:textId="77777777" w:rsidR="001614AC" w:rsidRDefault="001614AC"/>
        </w:tc>
        <w:tc>
          <w:tcPr>
            <w:tcW w:w="905" w:type="dxa"/>
            <w:gridSpan w:val="2"/>
            <w:tcBorders>
              <w:top w:val="single" w:sz="8" w:space="0" w:color="F4F4F4"/>
              <w:left w:val="nil"/>
              <w:bottom w:val="nil"/>
              <w:right w:val="nil"/>
            </w:tcBorders>
            <w:tcMar>
              <w:top w:w="0" w:type="dxa"/>
              <w:left w:w="53" w:type="dxa"/>
              <w:bottom w:w="0" w:type="dxa"/>
              <w:right w:w="0" w:type="dxa"/>
            </w:tcMar>
            <w:vAlign w:val="bottom"/>
          </w:tcPr>
          <w:p w14:paraId="12580F62" w14:textId="77777777" w:rsidR="001614AC" w:rsidRDefault="004468F9">
            <w:pPr>
              <w:spacing w:before="55" w:after="30" w:line="288" w:lineRule="auto"/>
              <w:jc w:val="right"/>
            </w:pPr>
            <w:r>
              <w:rPr>
                <w:rFonts w:ascii="Arial" w:eastAsia="Arial" w:hAnsi="Arial" w:cs="Arial"/>
                <w:color w:val="000000"/>
                <w:sz w:val="18"/>
              </w:rPr>
              <w:t>480 </w:t>
            </w:r>
          </w:p>
        </w:tc>
        <w:tc>
          <w:tcPr>
            <w:tcW w:w="100" w:type="dxa"/>
            <w:tcBorders>
              <w:top w:val="single" w:sz="8" w:space="0" w:color="F4F4F4"/>
              <w:left w:val="nil"/>
              <w:bottom w:val="nil"/>
              <w:right w:val="nil"/>
            </w:tcBorders>
            <w:tcMar>
              <w:top w:w="0" w:type="dxa"/>
              <w:left w:w="0" w:type="dxa"/>
              <w:bottom w:w="0" w:type="dxa"/>
              <w:right w:w="15" w:type="dxa"/>
            </w:tcMar>
            <w:vAlign w:val="bottom"/>
          </w:tcPr>
          <w:p w14:paraId="5752D1BB" w14:textId="77777777" w:rsidR="001614AC" w:rsidRDefault="001614AC">
            <w:pPr>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1F44D671" w14:textId="77777777" w:rsidR="001614AC" w:rsidRDefault="001614AC"/>
        </w:tc>
        <w:tc>
          <w:tcPr>
            <w:tcW w:w="905" w:type="dxa"/>
            <w:gridSpan w:val="2"/>
            <w:tcBorders>
              <w:top w:val="single" w:sz="8" w:space="0" w:color="F4F4F4"/>
              <w:left w:val="nil"/>
              <w:bottom w:val="nil"/>
              <w:right w:val="nil"/>
            </w:tcBorders>
            <w:tcMar>
              <w:top w:w="0" w:type="dxa"/>
              <w:left w:w="53" w:type="dxa"/>
              <w:bottom w:w="0" w:type="dxa"/>
              <w:right w:w="0" w:type="dxa"/>
            </w:tcMar>
            <w:vAlign w:val="bottom"/>
          </w:tcPr>
          <w:p w14:paraId="2EE368EB" w14:textId="77777777" w:rsidR="001614AC" w:rsidRDefault="004468F9">
            <w:pPr>
              <w:spacing w:before="55" w:after="30" w:line="288" w:lineRule="auto"/>
              <w:jc w:val="right"/>
            </w:pPr>
            <w:r>
              <w:rPr>
                <w:rFonts w:ascii="Arial" w:eastAsia="Arial" w:hAnsi="Arial" w:cs="Arial"/>
                <w:color w:val="000000"/>
                <w:sz w:val="18"/>
              </w:rPr>
              <w:t>(2,198)</w:t>
            </w:r>
          </w:p>
        </w:tc>
        <w:tc>
          <w:tcPr>
            <w:tcW w:w="100" w:type="dxa"/>
            <w:tcBorders>
              <w:top w:val="single" w:sz="8" w:space="0" w:color="F4F4F4"/>
              <w:left w:val="nil"/>
              <w:bottom w:val="nil"/>
              <w:right w:val="nil"/>
            </w:tcBorders>
            <w:tcMar>
              <w:top w:w="0" w:type="dxa"/>
              <w:left w:w="0" w:type="dxa"/>
              <w:bottom w:w="0" w:type="dxa"/>
              <w:right w:w="15" w:type="dxa"/>
            </w:tcMar>
            <w:vAlign w:val="bottom"/>
          </w:tcPr>
          <w:p w14:paraId="653CDE3A" w14:textId="77777777" w:rsidR="001614AC" w:rsidRDefault="001614AC">
            <w:pPr>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6B26559F" w14:textId="77777777" w:rsidR="001614AC" w:rsidRDefault="001614AC"/>
        </w:tc>
        <w:tc>
          <w:tcPr>
            <w:tcW w:w="905" w:type="dxa"/>
            <w:gridSpan w:val="2"/>
            <w:tcBorders>
              <w:top w:val="single" w:sz="8" w:space="0" w:color="F4F4F4"/>
              <w:left w:val="nil"/>
              <w:bottom w:val="nil"/>
              <w:right w:val="nil"/>
            </w:tcBorders>
            <w:tcMar>
              <w:top w:w="0" w:type="dxa"/>
              <w:left w:w="53" w:type="dxa"/>
              <w:bottom w:w="0" w:type="dxa"/>
              <w:right w:w="0" w:type="dxa"/>
            </w:tcMar>
            <w:vAlign w:val="bottom"/>
          </w:tcPr>
          <w:p w14:paraId="38AFACF3" w14:textId="77777777" w:rsidR="001614AC" w:rsidRDefault="004468F9">
            <w:pPr>
              <w:spacing w:before="55" w:after="30" w:line="288" w:lineRule="auto"/>
              <w:jc w:val="right"/>
            </w:pPr>
            <w:r>
              <w:rPr>
                <w:rFonts w:ascii="Arial" w:eastAsia="Arial" w:hAnsi="Arial" w:cs="Arial"/>
                <w:color w:val="000000"/>
                <w:sz w:val="18"/>
              </w:rPr>
              <w:t>725 </w:t>
            </w:r>
          </w:p>
        </w:tc>
        <w:tc>
          <w:tcPr>
            <w:tcW w:w="100" w:type="dxa"/>
            <w:tcBorders>
              <w:top w:val="single" w:sz="8" w:space="0" w:color="F4F4F4"/>
              <w:left w:val="nil"/>
              <w:bottom w:val="nil"/>
              <w:right w:val="nil"/>
            </w:tcBorders>
            <w:tcMar>
              <w:top w:w="0" w:type="dxa"/>
              <w:left w:w="0" w:type="dxa"/>
              <w:bottom w:w="0" w:type="dxa"/>
              <w:right w:w="15" w:type="dxa"/>
            </w:tcMar>
            <w:vAlign w:val="bottom"/>
          </w:tcPr>
          <w:p w14:paraId="468AA73D" w14:textId="77777777" w:rsidR="001614AC" w:rsidRDefault="001614AC">
            <w:pPr>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503EBB81" w14:textId="77777777" w:rsidR="001614AC" w:rsidRDefault="001614AC"/>
        </w:tc>
        <w:tc>
          <w:tcPr>
            <w:tcW w:w="905" w:type="dxa"/>
            <w:gridSpan w:val="2"/>
            <w:tcBorders>
              <w:top w:val="single" w:sz="8" w:space="0" w:color="F4F4F4"/>
              <w:left w:val="nil"/>
              <w:bottom w:val="nil"/>
              <w:right w:val="nil"/>
            </w:tcBorders>
            <w:tcMar>
              <w:top w:w="0" w:type="dxa"/>
              <w:left w:w="53" w:type="dxa"/>
              <w:bottom w:w="0" w:type="dxa"/>
              <w:right w:w="0" w:type="dxa"/>
            </w:tcMar>
            <w:vAlign w:val="bottom"/>
          </w:tcPr>
          <w:p w14:paraId="11AC36BB" w14:textId="77777777" w:rsidR="001614AC" w:rsidRDefault="004468F9">
            <w:pPr>
              <w:spacing w:before="55" w:after="30" w:line="288" w:lineRule="auto"/>
              <w:jc w:val="right"/>
            </w:pPr>
            <w:r>
              <w:rPr>
                <w:rFonts w:ascii="Arial" w:eastAsia="Arial" w:hAnsi="Arial" w:cs="Arial"/>
                <w:color w:val="000000"/>
                <w:sz w:val="18"/>
              </w:rPr>
              <w:t>(2,198)</w:t>
            </w:r>
          </w:p>
        </w:tc>
        <w:tc>
          <w:tcPr>
            <w:tcW w:w="100" w:type="dxa"/>
            <w:tcBorders>
              <w:top w:val="single" w:sz="8" w:space="0" w:color="F4F4F4"/>
              <w:left w:val="nil"/>
              <w:bottom w:val="nil"/>
              <w:right w:val="nil"/>
            </w:tcBorders>
            <w:tcMar>
              <w:top w:w="0" w:type="dxa"/>
              <w:left w:w="0" w:type="dxa"/>
              <w:bottom w:w="0" w:type="dxa"/>
              <w:right w:w="15" w:type="dxa"/>
            </w:tcMar>
            <w:vAlign w:val="bottom"/>
          </w:tcPr>
          <w:p w14:paraId="16BC68DF" w14:textId="77777777" w:rsidR="001614AC" w:rsidRDefault="001614AC">
            <w:pPr>
              <w:spacing w:before="55" w:after="30" w:line="288" w:lineRule="auto"/>
              <w:jc w:val="right"/>
            </w:pPr>
          </w:p>
        </w:tc>
      </w:tr>
      <w:tr w:rsidR="001614AC" w14:paraId="7FA8C302" w14:textId="77777777">
        <w:trPr>
          <w:cantSplit/>
        </w:trPr>
        <w:tc>
          <w:tcPr>
            <w:tcW w:w="5640" w:type="dxa"/>
            <w:tcBorders>
              <w:top w:val="single" w:sz="8" w:space="0" w:color="FFFFFF"/>
              <w:left w:val="nil"/>
              <w:bottom w:val="single" w:sz="8" w:space="0" w:color="FFFFFF"/>
              <w:right w:val="nil"/>
            </w:tcBorders>
            <w:shd w:val="clear" w:color="auto" w:fill="F4F4F4"/>
            <w:tcMar>
              <w:top w:w="0" w:type="dxa"/>
              <w:left w:w="53" w:type="dxa"/>
              <w:bottom w:w="0" w:type="dxa"/>
              <w:right w:w="53" w:type="dxa"/>
            </w:tcMar>
            <w:vAlign w:val="bottom"/>
          </w:tcPr>
          <w:p w14:paraId="5EAB13D7" w14:textId="77777777" w:rsidR="001614AC" w:rsidRDefault="004468F9">
            <w:pPr>
              <w:spacing w:before="55" w:after="30" w:line="288" w:lineRule="auto"/>
              <w:ind w:left="240"/>
            </w:pPr>
            <w:r>
              <w:rPr>
                <w:rFonts w:ascii="Arial" w:eastAsia="Arial" w:hAnsi="Arial" w:cs="Arial"/>
                <w:color w:val="000000"/>
                <w:sz w:val="18"/>
              </w:rPr>
              <w:t>Other comprehensive income (loss), net of tax</w:t>
            </w:r>
          </w:p>
        </w:tc>
        <w:tc>
          <w:tcPr>
            <w:tcW w:w="105" w:type="dxa"/>
            <w:tcBorders>
              <w:top w:val="single" w:sz="8" w:space="0" w:color="FFFFFF"/>
              <w:left w:val="nil"/>
              <w:bottom w:val="single" w:sz="8" w:space="0" w:color="FFFFFF"/>
              <w:right w:val="nil"/>
            </w:tcBorders>
            <w:shd w:val="clear" w:color="auto" w:fill="F4F4F4"/>
            <w:tcMar>
              <w:top w:w="0" w:type="dxa"/>
              <w:left w:w="0" w:type="dxa"/>
              <w:bottom w:w="0" w:type="dxa"/>
              <w:right w:w="0" w:type="dxa"/>
            </w:tcMar>
            <w:vAlign w:val="bottom"/>
          </w:tcPr>
          <w:p w14:paraId="6424F7E5" w14:textId="77777777" w:rsidR="001614AC" w:rsidRDefault="001614AC"/>
        </w:tc>
        <w:tc>
          <w:tcPr>
            <w:tcW w:w="905" w:type="dxa"/>
            <w:gridSpan w:val="2"/>
            <w:tcBorders>
              <w:top w:val="single" w:sz="8" w:space="0" w:color="C7C9C7"/>
              <w:left w:val="nil"/>
              <w:bottom w:val="single" w:sz="8" w:space="0" w:color="C7C9C7"/>
              <w:right w:val="nil"/>
            </w:tcBorders>
            <w:shd w:val="clear" w:color="auto" w:fill="F4F4F4"/>
            <w:tcMar>
              <w:top w:w="0" w:type="dxa"/>
              <w:left w:w="53" w:type="dxa"/>
              <w:bottom w:w="0" w:type="dxa"/>
              <w:right w:w="0" w:type="dxa"/>
            </w:tcMar>
            <w:vAlign w:val="bottom"/>
          </w:tcPr>
          <w:p w14:paraId="7946EF65" w14:textId="77777777" w:rsidR="001614AC" w:rsidRDefault="004468F9">
            <w:pPr>
              <w:spacing w:before="55" w:after="30" w:line="288" w:lineRule="auto"/>
              <w:jc w:val="right"/>
            </w:pPr>
            <w:r>
              <w:rPr>
                <w:rFonts w:ascii="Arial" w:eastAsia="Arial" w:hAnsi="Arial" w:cs="Arial"/>
                <w:color w:val="000000"/>
                <w:sz w:val="18"/>
              </w:rPr>
              <w:t>62,121 </w:t>
            </w:r>
          </w:p>
        </w:tc>
        <w:tc>
          <w:tcPr>
            <w:tcW w:w="100" w:type="dxa"/>
            <w:tcBorders>
              <w:top w:val="single" w:sz="8" w:space="0" w:color="C7C9C7"/>
              <w:left w:val="nil"/>
              <w:bottom w:val="single" w:sz="8" w:space="0" w:color="C7C9C7"/>
              <w:right w:val="nil"/>
            </w:tcBorders>
            <w:shd w:val="clear" w:color="auto" w:fill="F4F4F4"/>
            <w:tcMar>
              <w:top w:w="0" w:type="dxa"/>
              <w:left w:w="0" w:type="dxa"/>
              <w:bottom w:w="0" w:type="dxa"/>
              <w:right w:w="15" w:type="dxa"/>
            </w:tcMar>
            <w:vAlign w:val="bottom"/>
          </w:tcPr>
          <w:p w14:paraId="315AE26A" w14:textId="77777777" w:rsidR="001614AC" w:rsidRDefault="001614AC">
            <w:pPr>
              <w:spacing w:before="55" w:after="30" w:line="288" w:lineRule="auto"/>
              <w:jc w:val="right"/>
            </w:pPr>
          </w:p>
        </w:tc>
        <w:tc>
          <w:tcPr>
            <w:tcW w:w="105" w:type="dxa"/>
            <w:tcBorders>
              <w:top w:val="single" w:sz="8" w:space="0" w:color="FFFFFF"/>
              <w:left w:val="nil"/>
              <w:bottom w:val="single" w:sz="8" w:space="0" w:color="FFFFFF"/>
              <w:right w:val="nil"/>
            </w:tcBorders>
            <w:shd w:val="clear" w:color="auto" w:fill="F4F4F4"/>
            <w:tcMar>
              <w:top w:w="0" w:type="dxa"/>
              <w:left w:w="0" w:type="dxa"/>
              <w:bottom w:w="0" w:type="dxa"/>
              <w:right w:w="0" w:type="dxa"/>
            </w:tcMar>
            <w:vAlign w:val="bottom"/>
          </w:tcPr>
          <w:p w14:paraId="06ACC591" w14:textId="77777777" w:rsidR="001614AC" w:rsidRDefault="001614AC"/>
        </w:tc>
        <w:tc>
          <w:tcPr>
            <w:tcW w:w="905" w:type="dxa"/>
            <w:gridSpan w:val="2"/>
            <w:tcBorders>
              <w:top w:val="single" w:sz="8" w:space="0" w:color="C7C9C7"/>
              <w:left w:val="nil"/>
              <w:bottom w:val="single" w:sz="8" w:space="0" w:color="C7C9C7"/>
              <w:right w:val="nil"/>
            </w:tcBorders>
            <w:shd w:val="clear" w:color="auto" w:fill="F4F4F4"/>
            <w:tcMar>
              <w:top w:w="0" w:type="dxa"/>
              <w:left w:w="53" w:type="dxa"/>
              <w:bottom w:w="0" w:type="dxa"/>
              <w:right w:w="0" w:type="dxa"/>
            </w:tcMar>
            <w:vAlign w:val="bottom"/>
          </w:tcPr>
          <w:p w14:paraId="2D2402F9" w14:textId="77777777" w:rsidR="001614AC" w:rsidRDefault="004468F9">
            <w:pPr>
              <w:spacing w:before="55" w:after="30" w:line="288" w:lineRule="auto"/>
              <w:jc w:val="right"/>
            </w:pPr>
            <w:r>
              <w:rPr>
                <w:rFonts w:ascii="Arial" w:eastAsia="Arial" w:hAnsi="Arial" w:cs="Arial"/>
                <w:color w:val="000000"/>
                <w:sz w:val="18"/>
              </w:rPr>
              <w:t>182,360 </w:t>
            </w:r>
          </w:p>
        </w:tc>
        <w:tc>
          <w:tcPr>
            <w:tcW w:w="100" w:type="dxa"/>
            <w:tcBorders>
              <w:top w:val="single" w:sz="8" w:space="0" w:color="C7C9C7"/>
              <w:left w:val="nil"/>
              <w:bottom w:val="single" w:sz="8" w:space="0" w:color="C7C9C7"/>
              <w:right w:val="nil"/>
            </w:tcBorders>
            <w:shd w:val="clear" w:color="auto" w:fill="F4F4F4"/>
            <w:tcMar>
              <w:top w:w="0" w:type="dxa"/>
              <w:left w:w="0" w:type="dxa"/>
              <w:bottom w:w="0" w:type="dxa"/>
              <w:right w:w="15" w:type="dxa"/>
            </w:tcMar>
            <w:vAlign w:val="bottom"/>
          </w:tcPr>
          <w:p w14:paraId="5992E63E" w14:textId="77777777" w:rsidR="001614AC" w:rsidRDefault="001614AC">
            <w:pPr>
              <w:spacing w:before="55" w:after="30" w:line="288" w:lineRule="auto"/>
              <w:jc w:val="right"/>
            </w:pPr>
          </w:p>
        </w:tc>
        <w:tc>
          <w:tcPr>
            <w:tcW w:w="105" w:type="dxa"/>
            <w:tcBorders>
              <w:top w:val="single" w:sz="8" w:space="0" w:color="FFFFFF"/>
              <w:left w:val="nil"/>
              <w:bottom w:val="single" w:sz="8" w:space="0" w:color="FFFFFF"/>
              <w:right w:val="nil"/>
            </w:tcBorders>
            <w:shd w:val="clear" w:color="auto" w:fill="F4F4F4"/>
            <w:tcMar>
              <w:top w:w="0" w:type="dxa"/>
              <w:left w:w="0" w:type="dxa"/>
              <w:bottom w:w="0" w:type="dxa"/>
              <w:right w:w="0" w:type="dxa"/>
            </w:tcMar>
            <w:vAlign w:val="bottom"/>
          </w:tcPr>
          <w:p w14:paraId="7397C5EA" w14:textId="77777777" w:rsidR="001614AC" w:rsidRDefault="001614AC"/>
        </w:tc>
        <w:tc>
          <w:tcPr>
            <w:tcW w:w="905" w:type="dxa"/>
            <w:gridSpan w:val="2"/>
            <w:tcBorders>
              <w:top w:val="single" w:sz="8" w:space="0" w:color="C7C9C7"/>
              <w:left w:val="nil"/>
              <w:bottom w:val="single" w:sz="8" w:space="0" w:color="C7C9C7"/>
              <w:right w:val="nil"/>
            </w:tcBorders>
            <w:shd w:val="clear" w:color="auto" w:fill="F4F4F4"/>
            <w:tcMar>
              <w:top w:w="0" w:type="dxa"/>
              <w:left w:w="53" w:type="dxa"/>
              <w:bottom w:w="0" w:type="dxa"/>
              <w:right w:w="0" w:type="dxa"/>
            </w:tcMar>
            <w:vAlign w:val="bottom"/>
          </w:tcPr>
          <w:p w14:paraId="2090A9B5" w14:textId="77777777" w:rsidR="001614AC" w:rsidRDefault="004468F9">
            <w:pPr>
              <w:spacing w:before="55" w:after="30" w:line="288" w:lineRule="auto"/>
              <w:jc w:val="right"/>
            </w:pPr>
            <w:r>
              <w:rPr>
                <w:rFonts w:ascii="Arial" w:eastAsia="Arial" w:hAnsi="Arial" w:cs="Arial"/>
                <w:color w:val="000000"/>
                <w:sz w:val="18"/>
              </w:rPr>
              <w:t>(84,869)</w:t>
            </w:r>
          </w:p>
        </w:tc>
        <w:tc>
          <w:tcPr>
            <w:tcW w:w="100" w:type="dxa"/>
            <w:tcBorders>
              <w:top w:val="single" w:sz="8" w:space="0" w:color="C7C9C7"/>
              <w:left w:val="nil"/>
              <w:bottom w:val="single" w:sz="8" w:space="0" w:color="C7C9C7"/>
              <w:right w:val="nil"/>
            </w:tcBorders>
            <w:shd w:val="clear" w:color="auto" w:fill="F4F4F4"/>
            <w:tcMar>
              <w:top w:w="0" w:type="dxa"/>
              <w:left w:w="0" w:type="dxa"/>
              <w:bottom w:w="0" w:type="dxa"/>
              <w:right w:w="15" w:type="dxa"/>
            </w:tcMar>
            <w:vAlign w:val="bottom"/>
          </w:tcPr>
          <w:p w14:paraId="68CB366E" w14:textId="77777777" w:rsidR="001614AC" w:rsidRDefault="001614AC">
            <w:pPr>
              <w:spacing w:before="55" w:after="30" w:line="288" w:lineRule="auto"/>
              <w:jc w:val="right"/>
            </w:pPr>
          </w:p>
        </w:tc>
        <w:tc>
          <w:tcPr>
            <w:tcW w:w="105" w:type="dxa"/>
            <w:tcBorders>
              <w:top w:val="single" w:sz="8" w:space="0" w:color="FFFFFF"/>
              <w:left w:val="nil"/>
              <w:bottom w:val="single" w:sz="8" w:space="0" w:color="FFFFFF"/>
              <w:right w:val="nil"/>
            </w:tcBorders>
            <w:shd w:val="clear" w:color="auto" w:fill="F4F4F4"/>
            <w:tcMar>
              <w:top w:w="0" w:type="dxa"/>
              <w:left w:w="0" w:type="dxa"/>
              <w:bottom w:w="0" w:type="dxa"/>
              <w:right w:w="0" w:type="dxa"/>
            </w:tcMar>
            <w:vAlign w:val="bottom"/>
          </w:tcPr>
          <w:p w14:paraId="56F40435" w14:textId="77777777" w:rsidR="001614AC" w:rsidRDefault="001614AC"/>
        </w:tc>
        <w:tc>
          <w:tcPr>
            <w:tcW w:w="905" w:type="dxa"/>
            <w:gridSpan w:val="2"/>
            <w:tcBorders>
              <w:top w:val="single" w:sz="8" w:space="0" w:color="C7C9C7"/>
              <w:left w:val="nil"/>
              <w:bottom w:val="single" w:sz="8" w:space="0" w:color="C7C9C7"/>
              <w:right w:val="nil"/>
            </w:tcBorders>
            <w:shd w:val="clear" w:color="auto" w:fill="F4F4F4"/>
            <w:tcMar>
              <w:top w:w="0" w:type="dxa"/>
              <w:left w:w="53" w:type="dxa"/>
              <w:bottom w:w="0" w:type="dxa"/>
              <w:right w:w="0" w:type="dxa"/>
            </w:tcMar>
            <w:vAlign w:val="bottom"/>
          </w:tcPr>
          <w:p w14:paraId="6A5254D2" w14:textId="77777777" w:rsidR="001614AC" w:rsidRDefault="004468F9">
            <w:pPr>
              <w:spacing w:before="55" w:after="30" w:line="288" w:lineRule="auto"/>
              <w:jc w:val="right"/>
            </w:pPr>
            <w:r>
              <w:rPr>
                <w:rFonts w:ascii="Arial" w:eastAsia="Arial" w:hAnsi="Arial" w:cs="Arial"/>
                <w:color w:val="000000"/>
                <w:sz w:val="18"/>
              </w:rPr>
              <w:t>101,673 </w:t>
            </w:r>
          </w:p>
        </w:tc>
        <w:tc>
          <w:tcPr>
            <w:tcW w:w="100" w:type="dxa"/>
            <w:tcBorders>
              <w:top w:val="single" w:sz="8" w:space="0" w:color="C7C9C7"/>
              <w:left w:val="nil"/>
              <w:bottom w:val="single" w:sz="8" w:space="0" w:color="C7C9C7"/>
              <w:right w:val="nil"/>
            </w:tcBorders>
            <w:shd w:val="clear" w:color="auto" w:fill="F4F4F4"/>
            <w:tcMar>
              <w:top w:w="0" w:type="dxa"/>
              <w:left w:w="0" w:type="dxa"/>
              <w:bottom w:w="0" w:type="dxa"/>
              <w:right w:w="15" w:type="dxa"/>
            </w:tcMar>
            <w:vAlign w:val="bottom"/>
          </w:tcPr>
          <w:p w14:paraId="738CE7E2" w14:textId="77777777" w:rsidR="001614AC" w:rsidRDefault="001614AC">
            <w:pPr>
              <w:spacing w:before="55" w:after="30" w:line="288" w:lineRule="auto"/>
              <w:jc w:val="right"/>
            </w:pPr>
          </w:p>
        </w:tc>
      </w:tr>
      <w:tr w:rsidR="001614AC" w14:paraId="42566A63" w14:textId="77777777">
        <w:trPr>
          <w:cantSplit/>
        </w:trPr>
        <w:tc>
          <w:tcPr>
            <w:tcW w:w="5640" w:type="dxa"/>
            <w:tcBorders>
              <w:top w:val="single" w:sz="8" w:space="0" w:color="FFFFFF"/>
              <w:left w:val="nil"/>
              <w:bottom w:val="nil"/>
              <w:right w:val="nil"/>
            </w:tcBorders>
            <w:shd w:val="clear" w:color="auto" w:fill="F4F4F4"/>
            <w:tcMar>
              <w:top w:w="0" w:type="dxa"/>
              <w:left w:w="53" w:type="dxa"/>
              <w:bottom w:w="0" w:type="dxa"/>
              <w:right w:w="53" w:type="dxa"/>
            </w:tcMar>
            <w:vAlign w:val="bottom"/>
          </w:tcPr>
          <w:p w14:paraId="084E11F3" w14:textId="77777777" w:rsidR="001614AC" w:rsidRDefault="004468F9">
            <w:pPr>
              <w:spacing w:before="55" w:after="30" w:line="288" w:lineRule="auto"/>
            </w:pPr>
            <w:r>
              <w:rPr>
                <w:rFonts w:ascii="Arial" w:eastAsia="Arial" w:hAnsi="Arial" w:cs="Arial"/>
                <w:color w:val="000000"/>
                <w:sz w:val="18"/>
              </w:rPr>
              <w:t>Comprehensive income</w:t>
            </w:r>
          </w:p>
        </w:tc>
        <w:tc>
          <w:tcPr>
            <w:tcW w:w="105" w:type="dxa"/>
            <w:tcBorders>
              <w:top w:val="single" w:sz="8" w:space="0" w:color="FFFFFF"/>
              <w:left w:val="nil"/>
              <w:bottom w:val="nil"/>
              <w:right w:val="nil"/>
            </w:tcBorders>
            <w:shd w:val="clear" w:color="auto" w:fill="F4F4F4"/>
            <w:tcMar>
              <w:top w:w="0" w:type="dxa"/>
              <w:left w:w="0" w:type="dxa"/>
              <w:bottom w:w="0" w:type="dxa"/>
              <w:right w:w="0" w:type="dxa"/>
            </w:tcMar>
            <w:vAlign w:val="bottom"/>
          </w:tcPr>
          <w:p w14:paraId="3613523F" w14:textId="77777777" w:rsidR="001614AC" w:rsidRDefault="001614AC"/>
        </w:tc>
        <w:tc>
          <w:tcPr>
            <w:tcW w:w="160" w:type="dxa"/>
            <w:tcBorders>
              <w:top w:val="single" w:sz="8" w:space="0" w:color="C7C9C7"/>
              <w:left w:val="nil"/>
              <w:bottom w:val="double" w:sz="8" w:space="0" w:color="C7C9C7"/>
              <w:right w:val="nil"/>
            </w:tcBorders>
            <w:shd w:val="clear" w:color="auto" w:fill="F4F4F4"/>
            <w:tcMar>
              <w:top w:w="0" w:type="dxa"/>
              <w:left w:w="53" w:type="dxa"/>
              <w:bottom w:w="0" w:type="dxa"/>
              <w:right w:w="0" w:type="dxa"/>
            </w:tcMar>
            <w:vAlign w:val="bottom"/>
          </w:tcPr>
          <w:p w14:paraId="1E4712DB" w14:textId="77777777" w:rsidR="001614AC" w:rsidRDefault="004468F9">
            <w:pPr>
              <w:spacing w:before="55" w:after="30" w:line="288" w:lineRule="auto"/>
            </w:pPr>
            <w:r>
              <w:rPr>
                <w:rFonts w:ascii="Arial" w:eastAsia="Arial" w:hAnsi="Arial" w:cs="Arial"/>
                <w:color w:val="000000"/>
                <w:sz w:val="18"/>
              </w:rPr>
              <w:t>$</w:t>
            </w:r>
          </w:p>
        </w:tc>
        <w:tc>
          <w:tcPr>
            <w:tcW w:w="745" w:type="dxa"/>
            <w:tcBorders>
              <w:top w:val="single" w:sz="8" w:space="0" w:color="C7C9C7"/>
              <w:left w:val="nil"/>
              <w:bottom w:val="double" w:sz="8" w:space="0" w:color="C7C9C7"/>
              <w:right w:val="nil"/>
            </w:tcBorders>
            <w:shd w:val="clear" w:color="auto" w:fill="F4F4F4"/>
            <w:tcMar>
              <w:top w:w="0" w:type="dxa"/>
              <w:left w:w="0" w:type="dxa"/>
              <w:bottom w:w="0" w:type="dxa"/>
              <w:right w:w="0" w:type="dxa"/>
            </w:tcMar>
            <w:vAlign w:val="bottom"/>
          </w:tcPr>
          <w:p w14:paraId="27AB187A" w14:textId="77777777" w:rsidR="001614AC" w:rsidRDefault="004468F9">
            <w:pPr>
              <w:spacing w:before="55" w:after="30" w:line="288" w:lineRule="auto"/>
              <w:jc w:val="right"/>
            </w:pPr>
            <w:r>
              <w:rPr>
                <w:rFonts w:ascii="Arial" w:eastAsia="Arial" w:hAnsi="Arial" w:cs="Arial"/>
                <w:color w:val="000000"/>
                <w:sz w:val="18"/>
              </w:rPr>
              <w:t>217,327 </w:t>
            </w:r>
          </w:p>
        </w:tc>
        <w:tc>
          <w:tcPr>
            <w:tcW w:w="100" w:type="dxa"/>
            <w:tcBorders>
              <w:top w:val="single" w:sz="8" w:space="0" w:color="C7C9C7"/>
              <w:left w:val="nil"/>
              <w:bottom w:val="double" w:sz="8" w:space="0" w:color="C7C9C7"/>
              <w:right w:val="nil"/>
            </w:tcBorders>
            <w:shd w:val="clear" w:color="auto" w:fill="F4F4F4"/>
            <w:tcMar>
              <w:top w:w="0" w:type="dxa"/>
              <w:left w:w="0" w:type="dxa"/>
              <w:bottom w:w="0" w:type="dxa"/>
              <w:right w:w="15" w:type="dxa"/>
            </w:tcMar>
            <w:vAlign w:val="bottom"/>
          </w:tcPr>
          <w:p w14:paraId="69D6CDA5" w14:textId="77777777" w:rsidR="001614AC" w:rsidRDefault="001614AC">
            <w:pPr>
              <w:spacing w:before="55" w:after="30" w:line="288" w:lineRule="auto"/>
              <w:jc w:val="right"/>
            </w:pPr>
          </w:p>
        </w:tc>
        <w:tc>
          <w:tcPr>
            <w:tcW w:w="105" w:type="dxa"/>
            <w:tcBorders>
              <w:top w:val="single" w:sz="8" w:space="0" w:color="FFFFFF"/>
              <w:left w:val="nil"/>
              <w:bottom w:val="nil"/>
              <w:right w:val="nil"/>
            </w:tcBorders>
            <w:shd w:val="clear" w:color="auto" w:fill="F4F4F4"/>
            <w:tcMar>
              <w:top w:w="0" w:type="dxa"/>
              <w:left w:w="0" w:type="dxa"/>
              <w:bottom w:w="0" w:type="dxa"/>
              <w:right w:w="0" w:type="dxa"/>
            </w:tcMar>
            <w:vAlign w:val="bottom"/>
          </w:tcPr>
          <w:p w14:paraId="709C1E29" w14:textId="77777777" w:rsidR="001614AC" w:rsidRDefault="001614AC"/>
        </w:tc>
        <w:tc>
          <w:tcPr>
            <w:tcW w:w="160" w:type="dxa"/>
            <w:tcBorders>
              <w:top w:val="single" w:sz="8" w:space="0" w:color="C7C9C7"/>
              <w:left w:val="nil"/>
              <w:bottom w:val="double" w:sz="8" w:space="0" w:color="C7C9C7"/>
              <w:right w:val="nil"/>
            </w:tcBorders>
            <w:shd w:val="clear" w:color="auto" w:fill="F4F4F4"/>
            <w:tcMar>
              <w:top w:w="0" w:type="dxa"/>
              <w:left w:w="53" w:type="dxa"/>
              <w:bottom w:w="0" w:type="dxa"/>
              <w:right w:w="0" w:type="dxa"/>
            </w:tcMar>
            <w:vAlign w:val="bottom"/>
          </w:tcPr>
          <w:p w14:paraId="303E0853" w14:textId="77777777" w:rsidR="001614AC" w:rsidRDefault="004468F9">
            <w:pPr>
              <w:spacing w:before="55" w:after="30" w:line="288" w:lineRule="auto"/>
            </w:pPr>
            <w:r>
              <w:rPr>
                <w:rFonts w:ascii="Arial" w:eastAsia="Arial" w:hAnsi="Arial" w:cs="Arial"/>
                <w:color w:val="000000"/>
                <w:sz w:val="18"/>
              </w:rPr>
              <w:t>$</w:t>
            </w:r>
          </w:p>
        </w:tc>
        <w:tc>
          <w:tcPr>
            <w:tcW w:w="745" w:type="dxa"/>
            <w:tcBorders>
              <w:top w:val="single" w:sz="8" w:space="0" w:color="C7C9C7"/>
              <w:left w:val="nil"/>
              <w:bottom w:val="double" w:sz="8" w:space="0" w:color="C7C9C7"/>
              <w:right w:val="nil"/>
            </w:tcBorders>
            <w:shd w:val="clear" w:color="auto" w:fill="F4F4F4"/>
            <w:tcMar>
              <w:top w:w="0" w:type="dxa"/>
              <w:left w:w="0" w:type="dxa"/>
              <w:bottom w:w="0" w:type="dxa"/>
              <w:right w:w="0" w:type="dxa"/>
            </w:tcMar>
            <w:vAlign w:val="bottom"/>
          </w:tcPr>
          <w:p w14:paraId="56D234B0" w14:textId="77777777" w:rsidR="001614AC" w:rsidRDefault="004468F9">
            <w:pPr>
              <w:spacing w:before="55" w:after="30" w:line="288" w:lineRule="auto"/>
              <w:jc w:val="right"/>
            </w:pPr>
            <w:r>
              <w:rPr>
                <w:rFonts w:ascii="Arial" w:eastAsia="Arial" w:hAnsi="Arial" w:cs="Arial"/>
                <w:color w:val="000000"/>
                <w:sz w:val="18"/>
              </w:rPr>
              <w:t>152,409 </w:t>
            </w:r>
          </w:p>
        </w:tc>
        <w:tc>
          <w:tcPr>
            <w:tcW w:w="100" w:type="dxa"/>
            <w:tcBorders>
              <w:top w:val="single" w:sz="8" w:space="0" w:color="C7C9C7"/>
              <w:left w:val="nil"/>
              <w:bottom w:val="double" w:sz="8" w:space="0" w:color="C7C9C7"/>
              <w:right w:val="nil"/>
            </w:tcBorders>
            <w:shd w:val="clear" w:color="auto" w:fill="F4F4F4"/>
            <w:tcMar>
              <w:top w:w="0" w:type="dxa"/>
              <w:left w:w="0" w:type="dxa"/>
              <w:bottom w:w="0" w:type="dxa"/>
              <w:right w:w="15" w:type="dxa"/>
            </w:tcMar>
            <w:vAlign w:val="bottom"/>
          </w:tcPr>
          <w:p w14:paraId="593C2A4A" w14:textId="77777777" w:rsidR="001614AC" w:rsidRDefault="001614AC">
            <w:pPr>
              <w:spacing w:before="55" w:after="30" w:line="288" w:lineRule="auto"/>
              <w:jc w:val="right"/>
            </w:pPr>
          </w:p>
        </w:tc>
        <w:tc>
          <w:tcPr>
            <w:tcW w:w="105" w:type="dxa"/>
            <w:tcBorders>
              <w:top w:val="single" w:sz="8" w:space="0" w:color="FFFFFF"/>
              <w:left w:val="nil"/>
              <w:bottom w:val="nil"/>
              <w:right w:val="nil"/>
            </w:tcBorders>
            <w:shd w:val="clear" w:color="auto" w:fill="F4F4F4"/>
            <w:tcMar>
              <w:top w:w="0" w:type="dxa"/>
              <w:left w:w="0" w:type="dxa"/>
              <w:bottom w:w="0" w:type="dxa"/>
              <w:right w:w="0" w:type="dxa"/>
            </w:tcMar>
            <w:vAlign w:val="bottom"/>
          </w:tcPr>
          <w:p w14:paraId="742F375D" w14:textId="77777777" w:rsidR="001614AC" w:rsidRDefault="001614AC"/>
        </w:tc>
        <w:tc>
          <w:tcPr>
            <w:tcW w:w="160" w:type="dxa"/>
            <w:tcBorders>
              <w:top w:val="single" w:sz="8" w:space="0" w:color="C7C9C7"/>
              <w:left w:val="nil"/>
              <w:bottom w:val="double" w:sz="8" w:space="0" w:color="C7C9C7"/>
              <w:right w:val="nil"/>
            </w:tcBorders>
            <w:shd w:val="clear" w:color="auto" w:fill="F4F4F4"/>
            <w:tcMar>
              <w:top w:w="0" w:type="dxa"/>
              <w:left w:w="53" w:type="dxa"/>
              <w:bottom w:w="0" w:type="dxa"/>
              <w:right w:w="0" w:type="dxa"/>
            </w:tcMar>
            <w:vAlign w:val="bottom"/>
          </w:tcPr>
          <w:p w14:paraId="526BECDC" w14:textId="77777777" w:rsidR="001614AC" w:rsidRDefault="004468F9">
            <w:pPr>
              <w:spacing w:before="55" w:after="30" w:line="288" w:lineRule="auto"/>
            </w:pPr>
            <w:r>
              <w:rPr>
                <w:rFonts w:ascii="Arial" w:eastAsia="Arial" w:hAnsi="Arial" w:cs="Arial"/>
                <w:color w:val="000000"/>
                <w:sz w:val="18"/>
              </w:rPr>
              <w:t>$</w:t>
            </w:r>
          </w:p>
        </w:tc>
        <w:tc>
          <w:tcPr>
            <w:tcW w:w="745" w:type="dxa"/>
            <w:tcBorders>
              <w:top w:val="single" w:sz="8" w:space="0" w:color="C7C9C7"/>
              <w:left w:val="nil"/>
              <w:bottom w:val="double" w:sz="8" w:space="0" w:color="C7C9C7"/>
              <w:right w:val="nil"/>
            </w:tcBorders>
            <w:shd w:val="clear" w:color="auto" w:fill="F4F4F4"/>
            <w:tcMar>
              <w:top w:w="0" w:type="dxa"/>
              <w:left w:w="0" w:type="dxa"/>
              <w:bottom w:w="0" w:type="dxa"/>
              <w:right w:w="0" w:type="dxa"/>
            </w:tcMar>
            <w:vAlign w:val="bottom"/>
          </w:tcPr>
          <w:p w14:paraId="116A9A5A" w14:textId="77777777" w:rsidR="001614AC" w:rsidRDefault="004468F9">
            <w:pPr>
              <w:spacing w:before="55" w:after="30" w:line="288" w:lineRule="auto"/>
              <w:jc w:val="right"/>
            </w:pPr>
            <w:r>
              <w:rPr>
                <w:rFonts w:ascii="Arial" w:eastAsia="Arial" w:hAnsi="Arial" w:cs="Arial"/>
                <w:color w:val="000000"/>
                <w:sz w:val="18"/>
              </w:rPr>
              <w:t>195,945 </w:t>
            </w:r>
          </w:p>
        </w:tc>
        <w:tc>
          <w:tcPr>
            <w:tcW w:w="100" w:type="dxa"/>
            <w:tcBorders>
              <w:top w:val="single" w:sz="8" w:space="0" w:color="C7C9C7"/>
              <w:left w:val="nil"/>
              <w:bottom w:val="double" w:sz="8" w:space="0" w:color="C7C9C7"/>
              <w:right w:val="nil"/>
            </w:tcBorders>
            <w:shd w:val="clear" w:color="auto" w:fill="F4F4F4"/>
            <w:tcMar>
              <w:top w:w="0" w:type="dxa"/>
              <w:left w:w="0" w:type="dxa"/>
              <w:bottom w:w="0" w:type="dxa"/>
              <w:right w:w="15" w:type="dxa"/>
            </w:tcMar>
            <w:vAlign w:val="bottom"/>
          </w:tcPr>
          <w:p w14:paraId="41B02DC9" w14:textId="77777777" w:rsidR="001614AC" w:rsidRDefault="001614AC">
            <w:pPr>
              <w:spacing w:before="55" w:after="30" w:line="288" w:lineRule="auto"/>
              <w:jc w:val="right"/>
            </w:pPr>
          </w:p>
        </w:tc>
        <w:tc>
          <w:tcPr>
            <w:tcW w:w="105" w:type="dxa"/>
            <w:tcBorders>
              <w:top w:val="single" w:sz="8" w:space="0" w:color="FFFFFF"/>
              <w:left w:val="nil"/>
              <w:bottom w:val="nil"/>
              <w:right w:val="nil"/>
            </w:tcBorders>
            <w:shd w:val="clear" w:color="auto" w:fill="F4F4F4"/>
            <w:tcMar>
              <w:top w:w="0" w:type="dxa"/>
              <w:left w:w="0" w:type="dxa"/>
              <w:bottom w:w="0" w:type="dxa"/>
              <w:right w:w="0" w:type="dxa"/>
            </w:tcMar>
            <w:vAlign w:val="bottom"/>
          </w:tcPr>
          <w:p w14:paraId="1ED94F9D" w14:textId="77777777" w:rsidR="001614AC" w:rsidRDefault="001614AC"/>
        </w:tc>
        <w:tc>
          <w:tcPr>
            <w:tcW w:w="160" w:type="dxa"/>
            <w:tcBorders>
              <w:top w:val="single" w:sz="8" w:space="0" w:color="C7C9C7"/>
              <w:left w:val="nil"/>
              <w:bottom w:val="double" w:sz="8" w:space="0" w:color="C7C9C7"/>
              <w:right w:val="nil"/>
            </w:tcBorders>
            <w:shd w:val="clear" w:color="auto" w:fill="F4F4F4"/>
            <w:tcMar>
              <w:top w:w="0" w:type="dxa"/>
              <w:left w:w="53" w:type="dxa"/>
              <w:bottom w:w="0" w:type="dxa"/>
              <w:right w:w="0" w:type="dxa"/>
            </w:tcMar>
            <w:vAlign w:val="bottom"/>
          </w:tcPr>
          <w:p w14:paraId="11CFFA7A" w14:textId="77777777" w:rsidR="001614AC" w:rsidRDefault="004468F9">
            <w:pPr>
              <w:spacing w:before="55" w:after="30" w:line="288" w:lineRule="auto"/>
            </w:pPr>
            <w:r>
              <w:rPr>
                <w:rFonts w:ascii="Arial" w:eastAsia="Arial" w:hAnsi="Arial" w:cs="Arial"/>
                <w:color w:val="000000"/>
                <w:sz w:val="18"/>
              </w:rPr>
              <w:t>$</w:t>
            </w:r>
          </w:p>
        </w:tc>
        <w:tc>
          <w:tcPr>
            <w:tcW w:w="745" w:type="dxa"/>
            <w:tcBorders>
              <w:top w:val="single" w:sz="8" w:space="0" w:color="C7C9C7"/>
              <w:left w:val="nil"/>
              <w:bottom w:val="double" w:sz="8" w:space="0" w:color="C7C9C7"/>
              <w:right w:val="nil"/>
            </w:tcBorders>
            <w:shd w:val="clear" w:color="auto" w:fill="F4F4F4"/>
            <w:tcMar>
              <w:top w:w="0" w:type="dxa"/>
              <w:left w:w="0" w:type="dxa"/>
              <w:bottom w:w="0" w:type="dxa"/>
              <w:right w:w="0" w:type="dxa"/>
            </w:tcMar>
            <w:vAlign w:val="bottom"/>
          </w:tcPr>
          <w:p w14:paraId="72C8D5E3" w14:textId="77777777" w:rsidR="001614AC" w:rsidRDefault="004468F9">
            <w:pPr>
              <w:spacing w:before="55" w:after="30" w:line="288" w:lineRule="auto"/>
              <w:jc w:val="right"/>
            </w:pPr>
            <w:r>
              <w:rPr>
                <w:rFonts w:ascii="Arial" w:eastAsia="Arial" w:hAnsi="Arial" w:cs="Arial"/>
                <w:color w:val="000000"/>
                <w:sz w:val="18"/>
              </w:rPr>
              <w:t>212,183 </w:t>
            </w:r>
          </w:p>
        </w:tc>
        <w:tc>
          <w:tcPr>
            <w:tcW w:w="100" w:type="dxa"/>
            <w:tcBorders>
              <w:top w:val="single" w:sz="8" w:space="0" w:color="C7C9C7"/>
              <w:left w:val="nil"/>
              <w:bottom w:val="double" w:sz="8" w:space="0" w:color="C7C9C7"/>
              <w:right w:val="nil"/>
            </w:tcBorders>
            <w:shd w:val="clear" w:color="auto" w:fill="F4F4F4"/>
            <w:tcMar>
              <w:top w:w="0" w:type="dxa"/>
              <w:left w:w="0" w:type="dxa"/>
              <w:bottom w:w="0" w:type="dxa"/>
              <w:right w:w="15" w:type="dxa"/>
            </w:tcMar>
            <w:vAlign w:val="bottom"/>
          </w:tcPr>
          <w:p w14:paraId="1DC24ED1" w14:textId="77777777" w:rsidR="001614AC" w:rsidRDefault="001614AC">
            <w:pPr>
              <w:spacing w:before="55" w:after="30" w:line="288" w:lineRule="auto"/>
              <w:jc w:val="right"/>
            </w:pPr>
          </w:p>
        </w:tc>
      </w:tr>
    </w:tbl>
    <w:p w14:paraId="083C363A" w14:textId="77777777" w:rsidR="001614AC" w:rsidRDefault="001614AC">
      <w:pPr>
        <w:spacing w:line="288" w:lineRule="auto"/>
        <w:rPr>
          <w:rFonts w:ascii="Arial" w:eastAsia="Arial" w:hAnsi="Arial" w:cs="Arial"/>
          <w:b/>
          <w:sz w:val="18"/>
        </w:rPr>
      </w:pPr>
    </w:p>
    <w:p w14:paraId="08F915E2" w14:textId="77777777" w:rsidR="001614AC" w:rsidRDefault="001614AC">
      <w:pPr>
        <w:spacing w:line="288" w:lineRule="auto"/>
        <w:rPr>
          <w:rFonts w:ascii="Arial" w:eastAsia="Arial" w:hAnsi="Arial" w:cs="Arial"/>
          <w:b/>
          <w:sz w:val="18"/>
        </w:rPr>
        <w:sectPr w:rsidR="001614AC">
          <w:pgSz w:w="12240" w:h="15840"/>
          <w:pgMar w:top="990" w:right="1080" w:bottom="1260" w:left="1080" w:header="270" w:footer="270" w:gutter="0"/>
          <w:cols w:space="708"/>
        </w:sectPr>
      </w:pPr>
    </w:p>
    <w:p w14:paraId="56C9252A" w14:textId="77777777" w:rsidR="001614AC" w:rsidRDefault="004468F9">
      <w:pPr>
        <w:spacing w:after="120" w:line="288" w:lineRule="auto"/>
        <w:rPr>
          <w:rFonts w:ascii="Arial" w:eastAsia="Arial" w:hAnsi="Arial" w:cs="Arial"/>
          <w:b/>
          <w:color w:val="4D6B80"/>
          <w:sz w:val="22"/>
        </w:rPr>
      </w:pPr>
      <w:bookmarkStart w:id="9" w:name="Section10"/>
      <w:bookmarkEnd w:id="9"/>
      <w:r>
        <w:rPr>
          <w:rFonts w:ascii="Arial" w:eastAsia="Arial" w:hAnsi="Arial" w:cs="Arial"/>
          <w:b/>
          <w:color w:val="4D6B80"/>
          <w:sz w:val="22"/>
        </w:rPr>
        <w:lastRenderedPageBreak/>
        <w:t>Radian Group Inc. and Subsidiaries</w:t>
      </w:r>
      <w:r>
        <w:rPr>
          <w:rFonts w:ascii="Arial" w:eastAsia="Arial" w:hAnsi="Arial" w:cs="Arial"/>
          <w:b/>
          <w:color w:val="4D6B80"/>
          <w:sz w:val="22"/>
        </w:rPr>
        <w:br/>
        <w:t>Condensed Consolidated Statements of Changes in Common Stockholders’ Equity (Unaudited)</w:t>
      </w:r>
    </w:p>
    <w:tbl>
      <w:tblPr>
        <w:tblW w:w="10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47"/>
        <w:gridCol w:w="105"/>
        <w:gridCol w:w="161"/>
        <w:gridCol w:w="858"/>
        <w:gridCol w:w="101"/>
        <w:gridCol w:w="106"/>
        <w:gridCol w:w="161"/>
        <w:gridCol w:w="858"/>
        <w:gridCol w:w="101"/>
        <w:gridCol w:w="106"/>
        <w:gridCol w:w="161"/>
        <w:gridCol w:w="858"/>
        <w:gridCol w:w="101"/>
        <w:gridCol w:w="106"/>
        <w:gridCol w:w="161"/>
        <w:gridCol w:w="858"/>
        <w:gridCol w:w="101"/>
      </w:tblGrid>
      <w:tr w:rsidR="001614AC" w14:paraId="4E8C4B81" w14:textId="77777777">
        <w:trPr>
          <w:cantSplit/>
        </w:trPr>
        <w:tc>
          <w:tcPr>
            <w:tcW w:w="5505" w:type="dxa"/>
            <w:tcBorders>
              <w:top w:val="nil"/>
              <w:left w:val="nil"/>
              <w:bottom w:val="single" w:sz="8" w:space="0" w:color="FFFFFF"/>
              <w:right w:val="nil"/>
            </w:tcBorders>
            <w:tcMar>
              <w:top w:w="0" w:type="dxa"/>
              <w:left w:w="0" w:type="dxa"/>
              <w:bottom w:w="0" w:type="dxa"/>
              <w:right w:w="0" w:type="dxa"/>
            </w:tcMar>
            <w:vAlign w:val="bottom"/>
          </w:tcPr>
          <w:p w14:paraId="7DA3A095" w14:textId="77777777" w:rsidR="001614AC" w:rsidRDefault="001614AC"/>
        </w:tc>
        <w:tc>
          <w:tcPr>
            <w:tcW w:w="105" w:type="dxa"/>
            <w:tcBorders>
              <w:top w:val="nil"/>
              <w:left w:val="nil"/>
              <w:bottom w:val="nil"/>
              <w:right w:val="nil"/>
            </w:tcBorders>
            <w:shd w:val="clear" w:color="auto" w:fill="F4F4F4"/>
            <w:tcMar>
              <w:top w:w="0" w:type="dxa"/>
              <w:left w:w="0" w:type="dxa"/>
              <w:bottom w:w="0" w:type="dxa"/>
              <w:right w:w="0" w:type="dxa"/>
            </w:tcMar>
            <w:vAlign w:val="bottom"/>
          </w:tcPr>
          <w:p w14:paraId="09547CA7" w14:textId="77777777" w:rsidR="001614AC" w:rsidRDefault="001614AC"/>
        </w:tc>
        <w:tc>
          <w:tcPr>
            <w:tcW w:w="2265" w:type="dxa"/>
            <w:gridSpan w:val="7"/>
            <w:tcBorders>
              <w:top w:val="nil"/>
              <w:left w:val="nil"/>
              <w:bottom w:val="single" w:sz="8" w:space="0" w:color="FFFFFF"/>
              <w:right w:val="nil"/>
            </w:tcBorders>
            <w:shd w:val="clear" w:color="auto" w:fill="F4F4F4"/>
            <w:tcMar>
              <w:top w:w="0" w:type="dxa"/>
              <w:left w:w="53" w:type="dxa"/>
              <w:bottom w:w="0" w:type="dxa"/>
              <w:right w:w="53" w:type="dxa"/>
            </w:tcMar>
            <w:vAlign w:val="bottom"/>
          </w:tcPr>
          <w:p w14:paraId="093EC459" w14:textId="77777777" w:rsidR="001614AC" w:rsidRDefault="004468F9">
            <w:pPr>
              <w:spacing w:before="75" w:line="288" w:lineRule="auto"/>
              <w:jc w:val="center"/>
            </w:pPr>
            <w:r>
              <w:rPr>
                <w:rFonts w:ascii="Arial" w:eastAsia="Arial" w:hAnsi="Arial" w:cs="Arial"/>
                <w:b/>
                <w:color w:val="00BAB3"/>
                <w:sz w:val="18"/>
              </w:rPr>
              <w:t>Three Months Ended</w:t>
            </w:r>
          </w:p>
          <w:p w14:paraId="47FF4E38" w14:textId="77777777" w:rsidR="001614AC" w:rsidRDefault="004468F9">
            <w:pPr>
              <w:spacing w:after="30" w:line="288" w:lineRule="auto"/>
              <w:jc w:val="center"/>
            </w:pPr>
            <w:r>
              <w:rPr>
                <w:rFonts w:ascii="Arial" w:eastAsia="Arial" w:hAnsi="Arial" w:cs="Arial"/>
                <w:b/>
                <w:color w:val="00BAB3"/>
                <w:sz w:val="18"/>
              </w:rPr>
              <w:t>June 30,</w:t>
            </w:r>
          </w:p>
        </w:tc>
        <w:tc>
          <w:tcPr>
            <w:tcW w:w="105" w:type="dxa"/>
            <w:tcBorders>
              <w:top w:val="nil"/>
              <w:left w:val="nil"/>
              <w:bottom w:val="single" w:sz="8" w:space="0" w:color="FFFFFF"/>
              <w:right w:val="nil"/>
            </w:tcBorders>
            <w:tcMar>
              <w:top w:w="0" w:type="dxa"/>
              <w:left w:w="0" w:type="dxa"/>
              <w:bottom w:w="0" w:type="dxa"/>
              <w:right w:w="0" w:type="dxa"/>
            </w:tcMar>
            <w:vAlign w:val="bottom"/>
          </w:tcPr>
          <w:p w14:paraId="2868838D" w14:textId="77777777" w:rsidR="001614AC" w:rsidRDefault="001614AC"/>
        </w:tc>
        <w:tc>
          <w:tcPr>
            <w:tcW w:w="2265" w:type="dxa"/>
            <w:gridSpan w:val="7"/>
            <w:tcBorders>
              <w:top w:val="nil"/>
              <w:left w:val="nil"/>
              <w:bottom w:val="nil"/>
              <w:right w:val="nil"/>
            </w:tcBorders>
            <w:shd w:val="clear" w:color="auto" w:fill="F4F4F4"/>
            <w:tcMar>
              <w:top w:w="0" w:type="dxa"/>
              <w:left w:w="53" w:type="dxa"/>
              <w:bottom w:w="0" w:type="dxa"/>
              <w:right w:w="53" w:type="dxa"/>
            </w:tcMar>
            <w:vAlign w:val="bottom"/>
          </w:tcPr>
          <w:p w14:paraId="4C8B7D75" w14:textId="77777777" w:rsidR="001614AC" w:rsidRDefault="004468F9">
            <w:pPr>
              <w:spacing w:before="75" w:line="288" w:lineRule="auto"/>
              <w:jc w:val="center"/>
            </w:pPr>
            <w:r>
              <w:rPr>
                <w:rFonts w:ascii="Arial" w:eastAsia="Arial" w:hAnsi="Arial" w:cs="Arial"/>
                <w:b/>
                <w:color w:val="00BAB3"/>
                <w:sz w:val="18"/>
              </w:rPr>
              <w:t>Six Months Ended</w:t>
            </w:r>
          </w:p>
          <w:p w14:paraId="1E58C50D" w14:textId="77777777" w:rsidR="001614AC" w:rsidRDefault="004468F9">
            <w:pPr>
              <w:spacing w:after="30" w:line="288" w:lineRule="auto"/>
              <w:jc w:val="center"/>
            </w:pPr>
            <w:r>
              <w:rPr>
                <w:rFonts w:ascii="Arial" w:eastAsia="Arial" w:hAnsi="Arial" w:cs="Arial"/>
                <w:b/>
                <w:color w:val="00BAB3"/>
                <w:sz w:val="18"/>
              </w:rPr>
              <w:t>June 30,</w:t>
            </w:r>
          </w:p>
        </w:tc>
      </w:tr>
      <w:tr w:rsidR="001614AC" w14:paraId="6F84FF4F" w14:textId="77777777">
        <w:trPr>
          <w:cantSplit/>
        </w:trPr>
        <w:tc>
          <w:tcPr>
            <w:tcW w:w="5505" w:type="dxa"/>
            <w:tcBorders>
              <w:top w:val="single" w:sz="8" w:space="0" w:color="FFFFFF"/>
              <w:left w:val="nil"/>
              <w:bottom w:val="single" w:sz="8" w:space="0" w:color="FFFFFF"/>
              <w:right w:val="nil"/>
            </w:tcBorders>
            <w:tcMar>
              <w:top w:w="0" w:type="dxa"/>
              <w:left w:w="53" w:type="dxa"/>
              <w:bottom w:w="0" w:type="dxa"/>
              <w:right w:w="53" w:type="dxa"/>
            </w:tcMar>
            <w:vAlign w:val="bottom"/>
          </w:tcPr>
          <w:p w14:paraId="77396E26" w14:textId="77777777" w:rsidR="001614AC" w:rsidRDefault="004468F9">
            <w:pPr>
              <w:spacing w:before="55" w:after="30" w:line="288" w:lineRule="auto"/>
            </w:pPr>
            <w:r>
              <w:rPr>
                <w:rFonts w:ascii="Arial" w:eastAsia="Arial" w:hAnsi="Arial" w:cs="Arial"/>
                <w:color w:val="8B8886"/>
                <w:sz w:val="16"/>
              </w:rPr>
              <w:t>(In thousands)</w:t>
            </w:r>
          </w:p>
        </w:tc>
        <w:tc>
          <w:tcPr>
            <w:tcW w:w="105" w:type="dxa"/>
            <w:tcBorders>
              <w:top w:val="nil"/>
              <w:left w:val="nil"/>
              <w:bottom w:val="nil"/>
              <w:right w:val="nil"/>
            </w:tcBorders>
            <w:shd w:val="clear" w:color="auto" w:fill="E6F8F8"/>
            <w:tcMar>
              <w:top w:w="0" w:type="dxa"/>
              <w:left w:w="0" w:type="dxa"/>
              <w:bottom w:w="0" w:type="dxa"/>
              <w:right w:w="0" w:type="dxa"/>
            </w:tcMar>
            <w:vAlign w:val="bottom"/>
          </w:tcPr>
          <w:p w14:paraId="7143A349" w14:textId="77777777" w:rsidR="001614AC" w:rsidRDefault="001614AC"/>
        </w:tc>
        <w:tc>
          <w:tcPr>
            <w:tcW w:w="1080" w:type="dxa"/>
            <w:gridSpan w:val="3"/>
            <w:tcBorders>
              <w:top w:val="nil"/>
              <w:left w:val="nil"/>
              <w:bottom w:val="single" w:sz="8" w:space="0" w:color="FFFFFF"/>
              <w:right w:val="nil"/>
            </w:tcBorders>
            <w:shd w:val="clear" w:color="auto" w:fill="E6F8F8"/>
            <w:tcMar>
              <w:top w:w="0" w:type="dxa"/>
              <w:left w:w="53" w:type="dxa"/>
              <w:bottom w:w="0" w:type="dxa"/>
              <w:right w:w="53" w:type="dxa"/>
            </w:tcMar>
            <w:vAlign w:val="bottom"/>
          </w:tcPr>
          <w:p w14:paraId="4ADC0E8C" w14:textId="77777777" w:rsidR="001614AC" w:rsidRDefault="004468F9">
            <w:pPr>
              <w:spacing w:before="55" w:after="30" w:line="288" w:lineRule="auto"/>
              <w:jc w:val="center"/>
            </w:pPr>
            <w:r>
              <w:rPr>
                <w:rFonts w:ascii="Arial" w:eastAsia="Arial" w:hAnsi="Arial" w:cs="Arial"/>
                <w:b/>
                <w:color w:val="00BAB3"/>
                <w:sz w:val="18"/>
              </w:rPr>
              <w:t>2021</w:t>
            </w:r>
          </w:p>
        </w:tc>
        <w:tc>
          <w:tcPr>
            <w:tcW w:w="105" w:type="dxa"/>
            <w:tcBorders>
              <w:top w:val="single" w:sz="8" w:space="0" w:color="FFFFFF"/>
              <w:left w:val="nil"/>
              <w:bottom w:val="single" w:sz="8" w:space="0" w:color="FFFFFF"/>
              <w:right w:val="nil"/>
            </w:tcBorders>
            <w:tcMar>
              <w:top w:w="0" w:type="dxa"/>
              <w:left w:w="0" w:type="dxa"/>
              <w:bottom w:w="0" w:type="dxa"/>
              <w:right w:w="0" w:type="dxa"/>
            </w:tcMar>
            <w:vAlign w:val="bottom"/>
          </w:tcPr>
          <w:p w14:paraId="7726E167" w14:textId="77777777" w:rsidR="001614AC" w:rsidRDefault="001614AC"/>
        </w:tc>
        <w:tc>
          <w:tcPr>
            <w:tcW w:w="1080" w:type="dxa"/>
            <w:gridSpan w:val="3"/>
            <w:tcBorders>
              <w:top w:val="single" w:sz="8" w:space="0" w:color="FFFFFF"/>
              <w:left w:val="nil"/>
              <w:bottom w:val="single" w:sz="8" w:space="0" w:color="FFFFFF"/>
              <w:right w:val="nil"/>
            </w:tcBorders>
            <w:tcMar>
              <w:top w:w="0" w:type="dxa"/>
              <w:left w:w="53" w:type="dxa"/>
              <w:bottom w:w="0" w:type="dxa"/>
              <w:right w:w="53" w:type="dxa"/>
            </w:tcMar>
            <w:vAlign w:val="bottom"/>
          </w:tcPr>
          <w:p w14:paraId="29A236BD" w14:textId="77777777" w:rsidR="001614AC" w:rsidRDefault="004468F9">
            <w:pPr>
              <w:spacing w:before="55" w:after="30" w:line="288" w:lineRule="auto"/>
              <w:jc w:val="center"/>
            </w:pPr>
            <w:r>
              <w:rPr>
                <w:rFonts w:ascii="Arial" w:eastAsia="Arial" w:hAnsi="Arial" w:cs="Arial"/>
                <w:b/>
                <w:color w:val="00BAB3"/>
                <w:sz w:val="18"/>
              </w:rPr>
              <w:t>2020</w:t>
            </w:r>
          </w:p>
        </w:tc>
        <w:tc>
          <w:tcPr>
            <w:tcW w:w="105" w:type="dxa"/>
            <w:tcBorders>
              <w:top w:val="single" w:sz="8" w:space="0" w:color="FFFFFF"/>
              <w:left w:val="nil"/>
              <w:bottom w:val="single" w:sz="8" w:space="0" w:color="FFFFFF"/>
              <w:right w:val="nil"/>
            </w:tcBorders>
            <w:tcMar>
              <w:top w:w="0" w:type="dxa"/>
              <w:left w:w="0" w:type="dxa"/>
              <w:bottom w:w="0" w:type="dxa"/>
              <w:right w:w="0" w:type="dxa"/>
            </w:tcMar>
            <w:vAlign w:val="bottom"/>
          </w:tcPr>
          <w:p w14:paraId="4F1AB020" w14:textId="77777777" w:rsidR="001614AC" w:rsidRDefault="001614AC"/>
        </w:tc>
        <w:tc>
          <w:tcPr>
            <w:tcW w:w="1080" w:type="dxa"/>
            <w:gridSpan w:val="3"/>
            <w:tcBorders>
              <w:top w:val="single" w:sz="8" w:space="0" w:color="FFFFFF"/>
              <w:left w:val="nil"/>
              <w:bottom w:val="single" w:sz="8" w:space="0" w:color="FFFFFF"/>
              <w:right w:val="nil"/>
            </w:tcBorders>
            <w:shd w:val="clear" w:color="auto" w:fill="E6F8F8"/>
            <w:tcMar>
              <w:top w:w="0" w:type="dxa"/>
              <w:left w:w="53" w:type="dxa"/>
              <w:bottom w:w="0" w:type="dxa"/>
              <w:right w:w="53" w:type="dxa"/>
            </w:tcMar>
            <w:vAlign w:val="bottom"/>
          </w:tcPr>
          <w:p w14:paraId="4DE38FB2" w14:textId="77777777" w:rsidR="001614AC" w:rsidRDefault="004468F9">
            <w:pPr>
              <w:spacing w:before="55" w:after="30" w:line="288" w:lineRule="auto"/>
              <w:jc w:val="center"/>
            </w:pPr>
            <w:r>
              <w:rPr>
                <w:rFonts w:ascii="Arial" w:eastAsia="Arial" w:hAnsi="Arial" w:cs="Arial"/>
                <w:b/>
                <w:color w:val="00BAB3"/>
                <w:sz w:val="18"/>
              </w:rPr>
              <w:t>2021</w:t>
            </w:r>
          </w:p>
        </w:tc>
        <w:tc>
          <w:tcPr>
            <w:tcW w:w="105" w:type="dxa"/>
            <w:tcBorders>
              <w:top w:val="single" w:sz="8" w:space="0" w:color="FFFFFF"/>
              <w:left w:val="nil"/>
              <w:bottom w:val="single" w:sz="8" w:space="0" w:color="FFFFFF"/>
              <w:right w:val="nil"/>
            </w:tcBorders>
            <w:tcMar>
              <w:top w:w="0" w:type="dxa"/>
              <w:left w:w="0" w:type="dxa"/>
              <w:bottom w:w="0" w:type="dxa"/>
              <w:right w:w="0" w:type="dxa"/>
            </w:tcMar>
            <w:vAlign w:val="bottom"/>
          </w:tcPr>
          <w:p w14:paraId="2E0C71DD" w14:textId="77777777" w:rsidR="001614AC" w:rsidRDefault="001614AC"/>
        </w:tc>
        <w:tc>
          <w:tcPr>
            <w:tcW w:w="1080" w:type="dxa"/>
            <w:gridSpan w:val="3"/>
            <w:tcBorders>
              <w:top w:val="single" w:sz="8" w:space="0" w:color="FFFFFF"/>
              <w:left w:val="nil"/>
              <w:bottom w:val="single" w:sz="8" w:space="0" w:color="FFFFFF"/>
              <w:right w:val="nil"/>
            </w:tcBorders>
            <w:tcMar>
              <w:top w:w="0" w:type="dxa"/>
              <w:left w:w="53" w:type="dxa"/>
              <w:bottom w:w="0" w:type="dxa"/>
              <w:right w:w="53" w:type="dxa"/>
            </w:tcMar>
            <w:vAlign w:val="bottom"/>
          </w:tcPr>
          <w:p w14:paraId="2E78E8BA" w14:textId="77777777" w:rsidR="001614AC" w:rsidRDefault="004468F9">
            <w:pPr>
              <w:spacing w:before="55" w:after="30" w:line="288" w:lineRule="auto"/>
              <w:jc w:val="center"/>
            </w:pPr>
            <w:r>
              <w:rPr>
                <w:rFonts w:ascii="Arial" w:eastAsia="Arial" w:hAnsi="Arial" w:cs="Arial"/>
                <w:b/>
                <w:color w:val="00BAB3"/>
                <w:sz w:val="18"/>
              </w:rPr>
              <w:t>2020</w:t>
            </w:r>
          </w:p>
        </w:tc>
      </w:tr>
      <w:tr w:rsidR="001614AC" w14:paraId="656C95C2" w14:textId="77777777">
        <w:trPr>
          <w:cantSplit/>
        </w:trPr>
        <w:tc>
          <w:tcPr>
            <w:tcW w:w="5505" w:type="dxa"/>
            <w:tcBorders>
              <w:top w:val="single" w:sz="8" w:space="0" w:color="FFFFFF"/>
              <w:left w:val="nil"/>
              <w:bottom w:val="single" w:sz="8" w:space="0" w:color="C7C9C7"/>
              <w:right w:val="nil"/>
            </w:tcBorders>
            <w:shd w:val="clear" w:color="auto" w:fill="F4F4F4"/>
            <w:tcMar>
              <w:top w:w="0" w:type="dxa"/>
              <w:left w:w="53" w:type="dxa"/>
              <w:bottom w:w="0" w:type="dxa"/>
              <w:right w:w="53" w:type="dxa"/>
            </w:tcMar>
            <w:vAlign w:val="bottom"/>
          </w:tcPr>
          <w:p w14:paraId="5C436E70" w14:textId="77777777" w:rsidR="001614AC" w:rsidRDefault="004468F9">
            <w:pPr>
              <w:spacing w:before="55" w:after="30" w:line="288" w:lineRule="auto"/>
            </w:pPr>
            <w:r>
              <w:rPr>
                <w:rFonts w:ascii="Arial" w:eastAsia="Arial" w:hAnsi="Arial" w:cs="Arial"/>
                <w:b/>
                <w:color w:val="00BAB3"/>
                <w:sz w:val="20"/>
              </w:rPr>
              <w:t>Common Stock</w:t>
            </w:r>
          </w:p>
        </w:tc>
        <w:tc>
          <w:tcPr>
            <w:tcW w:w="105" w:type="dxa"/>
            <w:tcBorders>
              <w:top w:val="nil"/>
              <w:left w:val="nil"/>
              <w:bottom w:val="single" w:sz="8" w:space="0" w:color="C7C9C7"/>
              <w:right w:val="nil"/>
            </w:tcBorders>
            <w:shd w:val="clear" w:color="auto" w:fill="F4F4F4"/>
            <w:tcMar>
              <w:top w:w="0" w:type="dxa"/>
              <w:left w:w="0" w:type="dxa"/>
              <w:bottom w:w="0" w:type="dxa"/>
              <w:right w:w="0" w:type="dxa"/>
            </w:tcMar>
            <w:vAlign w:val="bottom"/>
          </w:tcPr>
          <w:p w14:paraId="21F09887" w14:textId="77777777" w:rsidR="001614AC" w:rsidRDefault="001614AC"/>
        </w:tc>
        <w:tc>
          <w:tcPr>
            <w:tcW w:w="1080" w:type="dxa"/>
            <w:gridSpan w:val="3"/>
            <w:tcBorders>
              <w:top w:val="single" w:sz="8" w:space="0" w:color="FFFFFF"/>
              <w:left w:val="nil"/>
              <w:bottom w:val="single" w:sz="8" w:space="0" w:color="C7C9C7"/>
              <w:right w:val="nil"/>
            </w:tcBorders>
            <w:shd w:val="clear" w:color="auto" w:fill="F4F4F4"/>
            <w:tcMar>
              <w:top w:w="0" w:type="dxa"/>
              <w:left w:w="0" w:type="dxa"/>
              <w:bottom w:w="0" w:type="dxa"/>
              <w:right w:w="0" w:type="dxa"/>
            </w:tcMar>
            <w:vAlign w:val="bottom"/>
          </w:tcPr>
          <w:p w14:paraId="261844B7" w14:textId="77777777" w:rsidR="001614AC" w:rsidRDefault="001614AC"/>
        </w:tc>
        <w:tc>
          <w:tcPr>
            <w:tcW w:w="105" w:type="dxa"/>
            <w:tcBorders>
              <w:top w:val="single" w:sz="8" w:space="0" w:color="FFFFFF"/>
              <w:left w:val="nil"/>
              <w:bottom w:val="single" w:sz="8" w:space="0" w:color="C7C9C7"/>
              <w:right w:val="nil"/>
            </w:tcBorders>
            <w:shd w:val="clear" w:color="auto" w:fill="F4F4F4"/>
            <w:tcMar>
              <w:top w:w="0" w:type="dxa"/>
              <w:left w:w="0" w:type="dxa"/>
              <w:bottom w:w="0" w:type="dxa"/>
              <w:right w:w="0" w:type="dxa"/>
            </w:tcMar>
            <w:vAlign w:val="bottom"/>
          </w:tcPr>
          <w:p w14:paraId="0C10F9E0" w14:textId="77777777" w:rsidR="001614AC" w:rsidRDefault="001614AC"/>
        </w:tc>
        <w:tc>
          <w:tcPr>
            <w:tcW w:w="1080" w:type="dxa"/>
            <w:gridSpan w:val="3"/>
            <w:tcBorders>
              <w:top w:val="single" w:sz="8" w:space="0" w:color="FFFFFF"/>
              <w:left w:val="nil"/>
              <w:bottom w:val="single" w:sz="8" w:space="0" w:color="C7C9C7"/>
              <w:right w:val="nil"/>
            </w:tcBorders>
            <w:shd w:val="clear" w:color="auto" w:fill="F4F4F4"/>
            <w:tcMar>
              <w:top w:w="0" w:type="dxa"/>
              <w:left w:w="0" w:type="dxa"/>
              <w:bottom w:w="0" w:type="dxa"/>
              <w:right w:w="0" w:type="dxa"/>
            </w:tcMar>
            <w:vAlign w:val="bottom"/>
          </w:tcPr>
          <w:p w14:paraId="024EAE3E" w14:textId="77777777" w:rsidR="001614AC" w:rsidRDefault="001614AC"/>
        </w:tc>
        <w:tc>
          <w:tcPr>
            <w:tcW w:w="105" w:type="dxa"/>
            <w:tcBorders>
              <w:top w:val="single" w:sz="8" w:space="0" w:color="FFFFFF"/>
              <w:left w:val="nil"/>
              <w:bottom w:val="single" w:sz="8" w:space="0" w:color="C7C9C7"/>
              <w:right w:val="nil"/>
            </w:tcBorders>
            <w:shd w:val="clear" w:color="auto" w:fill="F4F4F4"/>
            <w:tcMar>
              <w:top w:w="0" w:type="dxa"/>
              <w:left w:w="0" w:type="dxa"/>
              <w:bottom w:w="0" w:type="dxa"/>
              <w:right w:w="0" w:type="dxa"/>
            </w:tcMar>
            <w:vAlign w:val="bottom"/>
          </w:tcPr>
          <w:p w14:paraId="1F7F25EA" w14:textId="77777777" w:rsidR="001614AC" w:rsidRDefault="001614AC"/>
        </w:tc>
        <w:tc>
          <w:tcPr>
            <w:tcW w:w="1080" w:type="dxa"/>
            <w:gridSpan w:val="3"/>
            <w:tcBorders>
              <w:top w:val="single" w:sz="8" w:space="0" w:color="FFFFFF"/>
              <w:left w:val="nil"/>
              <w:bottom w:val="single" w:sz="8" w:space="0" w:color="C7C9C7"/>
              <w:right w:val="nil"/>
            </w:tcBorders>
            <w:shd w:val="clear" w:color="auto" w:fill="F4F4F4"/>
            <w:tcMar>
              <w:top w:w="0" w:type="dxa"/>
              <w:left w:w="0" w:type="dxa"/>
              <w:bottom w:w="0" w:type="dxa"/>
              <w:right w:w="0" w:type="dxa"/>
            </w:tcMar>
            <w:vAlign w:val="bottom"/>
          </w:tcPr>
          <w:p w14:paraId="6BDE4DFC" w14:textId="77777777" w:rsidR="001614AC" w:rsidRDefault="001614AC"/>
        </w:tc>
        <w:tc>
          <w:tcPr>
            <w:tcW w:w="105" w:type="dxa"/>
            <w:tcBorders>
              <w:top w:val="single" w:sz="8" w:space="0" w:color="FFFFFF"/>
              <w:left w:val="nil"/>
              <w:bottom w:val="single" w:sz="8" w:space="0" w:color="C7C9C7"/>
              <w:right w:val="nil"/>
            </w:tcBorders>
            <w:shd w:val="clear" w:color="auto" w:fill="F4F4F4"/>
            <w:tcMar>
              <w:top w:w="0" w:type="dxa"/>
              <w:left w:w="0" w:type="dxa"/>
              <w:bottom w:w="0" w:type="dxa"/>
              <w:right w:w="0" w:type="dxa"/>
            </w:tcMar>
            <w:vAlign w:val="bottom"/>
          </w:tcPr>
          <w:p w14:paraId="4A62B46F" w14:textId="77777777" w:rsidR="001614AC" w:rsidRDefault="001614AC"/>
        </w:tc>
        <w:tc>
          <w:tcPr>
            <w:tcW w:w="1080" w:type="dxa"/>
            <w:gridSpan w:val="3"/>
            <w:tcBorders>
              <w:top w:val="single" w:sz="8" w:space="0" w:color="FFFFFF"/>
              <w:left w:val="nil"/>
              <w:bottom w:val="single" w:sz="8" w:space="0" w:color="C7C9C7"/>
              <w:right w:val="nil"/>
            </w:tcBorders>
            <w:shd w:val="clear" w:color="auto" w:fill="F4F4F4"/>
            <w:tcMar>
              <w:top w:w="0" w:type="dxa"/>
              <w:left w:w="0" w:type="dxa"/>
              <w:bottom w:w="0" w:type="dxa"/>
              <w:right w:w="0" w:type="dxa"/>
            </w:tcMar>
            <w:vAlign w:val="bottom"/>
          </w:tcPr>
          <w:p w14:paraId="47B0D1C7" w14:textId="77777777" w:rsidR="001614AC" w:rsidRDefault="001614AC"/>
        </w:tc>
      </w:tr>
      <w:tr w:rsidR="001614AC" w14:paraId="1C2EDF9D" w14:textId="77777777">
        <w:trPr>
          <w:cantSplit/>
        </w:trPr>
        <w:tc>
          <w:tcPr>
            <w:tcW w:w="5505" w:type="dxa"/>
            <w:tcBorders>
              <w:top w:val="single" w:sz="8" w:space="0" w:color="C7C9C7"/>
              <w:left w:val="nil"/>
              <w:bottom w:val="single" w:sz="8" w:space="0" w:color="F4F4F4"/>
              <w:right w:val="nil"/>
            </w:tcBorders>
            <w:tcMar>
              <w:top w:w="0" w:type="dxa"/>
              <w:left w:w="53" w:type="dxa"/>
              <w:bottom w:w="0" w:type="dxa"/>
              <w:right w:w="53" w:type="dxa"/>
            </w:tcMar>
            <w:vAlign w:val="bottom"/>
          </w:tcPr>
          <w:p w14:paraId="11BA24D9" w14:textId="77777777" w:rsidR="001614AC" w:rsidRDefault="004468F9">
            <w:pPr>
              <w:spacing w:before="55" w:after="30" w:line="288" w:lineRule="auto"/>
            </w:pPr>
            <w:r>
              <w:rPr>
                <w:rFonts w:ascii="Arial" w:eastAsia="Arial" w:hAnsi="Arial" w:cs="Arial"/>
                <w:color w:val="000000"/>
                <w:sz w:val="18"/>
              </w:rPr>
              <w:t>Balance, beginning of period</w:t>
            </w:r>
          </w:p>
        </w:tc>
        <w:tc>
          <w:tcPr>
            <w:tcW w:w="105" w:type="dxa"/>
            <w:tcBorders>
              <w:top w:val="single" w:sz="8" w:space="0" w:color="C7C9C7"/>
              <w:left w:val="nil"/>
              <w:bottom w:val="nil"/>
              <w:right w:val="nil"/>
            </w:tcBorders>
            <w:tcMar>
              <w:top w:w="0" w:type="dxa"/>
              <w:left w:w="0" w:type="dxa"/>
              <w:bottom w:w="0" w:type="dxa"/>
              <w:right w:w="0" w:type="dxa"/>
            </w:tcMar>
            <w:vAlign w:val="bottom"/>
          </w:tcPr>
          <w:p w14:paraId="2D24457E" w14:textId="77777777" w:rsidR="001614AC" w:rsidRDefault="001614AC"/>
        </w:tc>
        <w:tc>
          <w:tcPr>
            <w:tcW w:w="160" w:type="dxa"/>
            <w:tcBorders>
              <w:top w:val="single" w:sz="8" w:space="0" w:color="C7C9C7"/>
              <w:left w:val="nil"/>
              <w:bottom w:val="single" w:sz="8" w:space="0" w:color="F4F4F4"/>
              <w:right w:val="nil"/>
            </w:tcBorders>
            <w:tcMar>
              <w:top w:w="0" w:type="dxa"/>
              <w:left w:w="53" w:type="dxa"/>
              <w:bottom w:w="0" w:type="dxa"/>
              <w:right w:w="0" w:type="dxa"/>
            </w:tcMar>
            <w:vAlign w:val="bottom"/>
          </w:tcPr>
          <w:p w14:paraId="638AB023" w14:textId="77777777" w:rsidR="001614AC" w:rsidRDefault="004468F9">
            <w:pPr>
              <w:spacing w:before="55" w:after="30" w:line="288" w:lineRule="auto"/>
            </w:pPr>
            <w:r>
              <w:rPr>
                <w:rFonts w:ascii="Arial" w:eastAsia="Arial" w:hAnsi="Arial" w:cs="Arial"/>
                <w:color w:val="000000"/>
                <w:sz w:val="18"/>
              </w:rPr>
              <w:t>$</w:t>
            </w:r>
          </w:p>
        </w:tc>
        <w:tc>
          <w:tcPr>
            <w:tcW w:w="820" w:type="dxa"/>
            <w:tcBorders>
              <w:top w:val="single" w:sz="8" w:space="0" w:color="C7C9C7"/>
              <w:left w:val="nil"/>
              <w:bottom w:val="single" w:sz="8" w:space="0" w:color="F4F4F4"/>
              <w:right w:val="nil"/>
            </w:tcBorders>
            <w:tcMar>
              <w:top w:w="0" w:type="dxa"/>
              <w:left w:w="0" w:type="dxa"/>
              <w:bottom w:w="0" w:type="dxa"/>
              <w:right w:w="0" w:type="dxa"/>
            </w:tcMar>
            <w:vAlign w:val="bottom"/>
          </w:tcPr>
          <w:p w14:paraId="5A9425D9" w14:textId="77777777" w:rsidR="001614AC" w:rsidRDefault="004468F9">
            <w:pPr>
              <w:spacing w:before="55" w:after="30" w:line="288" w:lineRule="auto"/>
              <w:jc w:val="right"/>
            </w:pPr>
            <w:r>
              <w:rPr>
                <w:rFonts w:ascii="Arial" w:eastAsia="Arial" w:hAnsi="Arial" w:cs="Arial"/>
                <w:color w:val="000000"/>
                <w:sz w:val="18"/>
              </w:rPr>
              <w:t>210 </w:t>
            </w:r>
          </w:p>
        </w:tc>
        <w:tc>
          <w:tcPr>
            <w:tcW w:w="100" w:type="dxa"/>
            <w:tcBorders>
              <w:top w:val="single" w:sz="8" w:space="0" w:color="C7C9C7"/>
              <w:left w:val="nil"/>
              <w:bottom w:val="single" w:sz="8" w:space="0" w:color="F4F4F4"/>
              <w:right w:val="nil"/>
            </w:tcBorders>
            <w:tcMar>
              <w:top w:w="0" w:type="dxa"/>
              <w:left w:w="0" w:type="dxa"/>
              <w:bottom w:w="0" w:type="dxa"/>
              <w:right w:w="15" w:type="dxa"/>
            </w:tcMar>
            <w:vAlign w:val="bottom"/>
          </w:tcPr>
          <w:p w14:paraId="007CEEB2" w14:textId="77777777" w:rsidR="001614AC" w:rsidRDefault="001614AC">
            <w:pPr>
              <w:spacing w:before="55" w:after="30" w:line="288" w:lineRule="auto"/>
              <w:jc w:val="right"/>
            </w:pPr>
          </w:p>
        </w:tc>
        <w:tc>
          <w:tcPr>
            <w:tcW w:w="105" w:type="dxa"/>
            <w:tcBorders>
              <w:top w:val="single" w:sz="8" w:space="0" w:color="C7C9C7"/>
              <w:left w:val="nil"/>
              <w:bottom w:val="nil"/>
              <w:right w:val="nil"/>
            </w:tcBorders>
            <w:tcMar>
              <w:top w:w="0" w:type="dxa"/>
              <w:left w:w="0" w:type="dxa"/>
              <w:bottom w:w="0" w:type="dxa"/>
              <w:right w:w="0" w:type="dxa"/>
            </w:tcMar>
            <w:vAlign w:val="bottom"/>
          </w:tcPr>
          <w:p w14:paraId="53DDD59D" w14:textId="77777777" w:rsidR="001614AC" w:rsidRDefault="001614AC"/>
        </w:tc>
        <w:tc>
          <w:tcPr>
            <w:tcW w:w="160" w:type="dxa"/>
            <w:tcBorders>
              <w:top w:val="single" w:sz="8" w:space="0" w:color="C7C9C7"/>
              <w:left w:val="nil"/>
              <w:bottom w:val="single" w:sz="8" w:space="0" w:color="F4F4F4"/>
              <w:right w:val="nil"/>
            </w:tcBorders>
            <w:tcMar>
              <w:top w:w="0" w:type="dxa"/>
              <w:left w:w="53" w:type="dxa"/>
              <w:bottom w:w="0" w:type="dxa"/>
              <w:right w:w="0" w:type="dxa"/>
            </w:tcMar>
            <w:vAlign w:val="bottom"/>
          </w:tcPr>
          <w:p w14:paraId="0058D5A9" w14:textId="77777777" w:rsidR="001614AC" w:rsidRDefault="004468F9">
            <w:pPr>
              <w:spacing w:before="55" w:after="30" w:line="288" w:lineRule="auto"/>
            </w:pPr>
            <w:r>
              <w:rPr>
                <w:rFonts w:ascii="Arial" w:eastAsia="Arial" w:hAnsi="Arial" w:cs="Arial"/>
                <w:color w:val="000000"/>
                <w:sz w:val="18"/>
              </w:rPr>
              <w:t>$</w:t>
            </w:r>
          </w:p>
        </w:tc>
        <w:tc>
          <w:tcPr>
            <w:tcW w:w="820" w:type="dxa"/>
            <w:tcBorders>
              <w:top w:val="single" w:sz="8" w:space="0" w:color="C7C9C7"/>
              <w:left w:val="nil"/>
              <w:bottom w:val="single" w:sz="8" w:space="0" w:color="F4F4F4"/>
              <w:right w:val="nil"/>
            </w:tcBorders>
            <w:tcMar>
              <w:top w:w="0" w:type="dxa"/>
              <w:left w:w="0" w:type="dxa"/>
              <w:bottom w:w="0" w:type="dxa"/>
              <w:right w:w="0" w:type="dxa"/>
            </w:tcMar>
            <w:vAlign w:val="bottom"/>
          </w:tcPr>
          <w:p w14:paraId="6B09695E" w14:textId="77777777" w:rsidR="001614AC" w:rsidRDefault="004468F9">
            <w:pPr>
              <w:spacing w:before="55" w:after="30" w:line="288" w:lineRule="auto"/>
              <w:jc w:val="right"/>
            </w:pPr>
            <w:r>
              <w:rPr>
                <w:rFonts w:ascii="Arial" w:eastAsia="Arial" w:hAnsi="Arial" w:cs="Arial"/>
                <w:color w:val="000000"/>
                <w:sz w:val="18"/>
              </w:rPr>
              <w:t>208 </w:t>
            </w:r>
          </w:p>
        </w:tc>
        <w:tc>
          <w:tcPr>
            <w:tcW w:w="100" w:type="dxa"/>
            <w:tcBorders>
              <w:top w:val="single" w:sz="8" w:space="0" w:color="C7C9C7"/>
              <w:left w:val="nil"/>
              <w:bottom w:val="single" w:sz="8" w:space="0" w:color="F4F4F4"/>
              <w:right w:val="nil"/>
            </w:tcBorders>
            <w:tcMar>
              <w:top w:w="0" w:type="dxa"/>
              <w:left w:w="0" w:type="dxa"/>
              <w:bottom w:w="0" w:type="dxa"/>
              <w:right w:w="15" w:type="dxa"/>
            </w:tcMar>
            <w:vAlign w:val="bottom"/>
          </w:tcPr>
          <w:p w14:paraId="631C2519" w14:textId="77777777" w:rsidR="001614AC" w:rsidRDefault="001614AC">
            <w:pPr>
              <w:spacing w:before="55" w:after="30" w:line="288" w:lineRule="auto"/>
              <w:jc w:val="right"/>
            </w:pPr>
          </w:p>
        </w:tc>
        <w:tc>
          <w:tcPr>
            <w:tcW w:w="105" w:type="dxa"/>
            <w:tcBorders>
              <w:top w:val="single" w:sz="8" w:space="0" w:color="C7C9C7"/>
              <w:left w:val="nil"/>
              <w:bottom w:val="nil"/>
              <w:right w:val="nil"/>
            </w:tcBorders>
            <w:tcMar>
              <w:top w:w="0" w:type="dxa"/>
              <w:left w:w="0" w:type="dxa"/>
              <w:bottom w:w="0" w:type="dxa"/>
              <w:right w:w="0" w:type="dxa"/>
            </w:tcMar>
            <w:vAlign w:val="bottom"/>
          </w:tcPr>
          <w:p w14:paraId="49C8122A" w14:textId="77777777" w:rsidR="001614AC" w:rsidRDefault="001614AC"/>
        </w:tc>
        <w:tc>
          <w:tcPr>
            <w:tcW w:w="160" w:type="dxa"/>
            <w:tcBorders>
              <w:top w:val="single" w:sz="8" w:space="0" w:color="C7C9C7"/>
              <w:left w:val="nil"/>
              <w:bottom w:val="single" w:sz="8" w:space="0" w:color="F4F4F4"/>
              <w:right w:val="nil"/>
            </w:tcBorders>
            <w:tcMar>
              <w:top w:w="0" w:type="dxa"/>
              <w:left w:w="53" w:type="dxa"/>
              <w:bottom w:w="0" w:type="dxa"/>
              <w:right w:w="0" w:type="dxa"/>
            </w:tcMar>
            <w:vAlign w:val="bottom"/>
          </w:tcPr>
          <w:p w14:paraId="1B6DA62F" w14:textId="77777777" w:rsidR="001614AC" w:rsidRDefault="004468F9">
            <w:pPr>
              <w:spacing w:before="55" w:after="30" w:line="288" w:lineRule="auto"/>
            </w:pPr>
            <w:r>
              <w:rPr>
                <w:rFonts w:ascii="Arial" w:eastAsia="Arial" w:hAnsi="Arial" w:cs="Arial"/>
                <w:color w:val="000000"/>
                <w:sz w:val="18"/>
              </w:rPr>
              <w:t>$</w:t>
            </w:r>
          </w:p>
        </w:tc>
        <w:tc>
          <w:tcPr>
            <w:tcW w:w="820" w:type="dxa"/>
            <w:tcBorders>
              <w:top w:val="single" w:sz="8" w:space="0" w:color="C7C9C7"/>
              <w:left w:val="nil"/>
              <w:bottom w:val="single" w:sz="8" w:space="0" w:color="F4F4F4"/>
              <w:right w:val="nil"/>
            </w:tcBorders>
            <w:tcMar>
              <w:top w:w="0" w:type="dxa"/>
              <w:left w:w="0" w:type="dxa"/>
              <w:bottom w:w="0" w:type="dxa"/>
              <w:right w:w="0" w:type="dxa"/>
            </w:tcMar>
            <w:vAlign w:val="bottom"/>
          </w:tcPr>
          <w:p w14:paraId="588D1324" w14:textId="77777777" w:rsidR="001614AC" w:rsidRDefault="004468F9">
            <w:pPr>
              <w:spacing w:before="55" w:after="30" w:line="288" w:lineRule="auto"/>
              <w:jc w:val="right"/>
            </w:pPr>
            <w:r>
              <w:rPr>
                <w:rFonts w:ascii="Arial" w:eastAsia="Arial" w:hAnsi="Arial" w:cs="Arial"/>
                <w:color w:val="000000"/>
                <w:sz w:val="18"/>
              </w:rPr>
              <w:t>210 </w:t>
            </w:r>
          </w:p>
        </w:tc>
        <w:tc>
          <w:tcPr>
            <w:tcW w:w="100" w:type="dxa"/>
            <w:tcBorders>
              <w:top w:val="single" w:sz="8" w:space="0" w:color="C7C9C7"/>
              <w:left w:val="nil"/>
              <w:bottom w:val="single" w:sz="8" w:space="0" w:color="F4F4F4"/>
              <w:right w:val="nil"/>
            </w:tcBorders>
            <w:tcMar>
              <w:top w:w="0" w:type="dxa"/>
              <w:left w:w="0" w:type="dxa"/>
              <w:bottom w:w="0" w:type="dxa"/>
              <w:right w:w="15" w:type="dxa"/>
            </w:tcMar>
            <w:vAlign w:val="bottom"/>
          </w:tcPr>
          <w:p w14:paraId="37244384" w14:textId="77777777" w:rsidR="001614AC" w:rsidRDefault="001614AC">
            <w:pPr>
              <w:spacing w:before="55" w:after="30" w:line="288" w:lineRule="auto"/>
              <w:jc w:val="right"/>
            </w:pPr>
          </w:p>
        </w:tc>
        <w:tc>
          <w:tcPr>
            <w:tcW w:w="105" w:type="dxa"/>
            <w:tcBorders>
              <w:top w:val="single" w:sz="8" w:space="0" w:color="C7C9C7"/>
              <w:left w:val="nil"/>
              <w:bottom w:val="nil"/>
              <w:right w:val="nil"/>
            </w:tcBorders>
            <w:tcMar>
              <w:top w:w="0" w:type="dxa"/>
              <w:left w:w="0" w:type="dxa"/>
              <w:bottom w:w="0" w:type="dxa"/>
              <w:right w:w="0" w:type="dxa"/>
            </w:tcMar>
            <w:vAlign w:val="bottom"/>
          </w:tcPr>
          <w:p w14:paraId="053EE6F7" w14:textId="77777777" w:rsidR="001614AC" w:rsidRDefault="001614AC"/>
        </w:tc>
        <w:tc>
          <w:tcPr>
            <w:tcW w:w="160" w:type="dxa"/>
            <w:tcBorders>
              <w:top w:val="single" w:sz="8" w:space="0" w:color="C7C9C7"/>
              <w:left w:val="nil"/>
              <w:bottom w:val="single" w:sz="8" w:space="0" w:color="F4F4F4"/>
              <w:right w:val="nil"/>
            </w:tcBorders>
            <w:tcMar>
              <w:top w:w="0" w:type="dxa"/>
              <w:left w:w="53" w:type="dxa"/>
              <w:bottom w:w="0" w:type="dxa"/>
              <w:right w:w="0" w:type="dxa"/>
            </w:tcMar>
            <w:vAlign w:val="bottom"/>
          </w:tcPr>
          <w:p w14:paraId="592F3432" w14:textId="77777777" w:rsidR="001614AC" w:rsidRDefault="004468F9">
            <w:pPr>
              <w:spacing w:before="55" w:after="30" w:line="288" w:lineRule="auto"/>
            </w:pPr>
            <w:r>
              <w:rPr>
                <w:rFonts w:ascii="Arial" w:eastAsia="Arial" w:hAnsi="Arial" w:cs="Arial"/>
                <w:color w:val="000000"/>
                <w:sz w:val="18"/>
              </w:rPr>
              <w:t>$</w:t>
            </w:r>
          </w:p>
        </w:tc>
        <w:tc>
          <w:tcPr>
            <w:tcW w:w="820" w:type="dxa"/>
            <w:tcBorders>
              <w:top w:val="single" w:sz="8" w:space="0" w:color="C7C9C7"/>
              <w:left w:val="nil"/>
              <w:bottom w:val="single" w:sz="8" w:space="0" w:color="F4F4F4"/>
              <w:right w:val="nil"/>
            </w:tcBorders>
            <w:tcMar>
              <w:top w:w="0" w:type="dxa"/>
              <w:left w:w="0" w:type="dxa"/>
              <w:bottom w:w="0" w:type="dxa"/>
              <w:right w:w="0" w:type="dxa"/>
            </w:tcMar>
            <w:vAlign w:val="bottom"/>
          </w:tcPr>
          <w:p w14:paraId="02F25149" w14:textId="77777777" w:rsidR="001614AC" w:rsidRDefault="004468F9">
            <w:pPr>
              <w:spacing w:before="55" w:after="30" w:line="288" w:lineRule="auto"/>
              <w:jc w:val="right"/>
            </w:pPr>
            <w:r>
              <w:rPr>
                <w:rFonts w:ascii="Arial" w:eastAsia="Arial" w:hAnsi="Arial" w:cs="Arial"/>
                <w:color w:val="000000"/>
                <w:sz w:val="18"/>
              </w:rPr>
              <w:t>219 </w:t>
            </w:r>
          </w:p>
        </w:tc>
        <w:tc>
          <w:tcPr>
            <w:tcW w:w="100" w:type="dxa"/>
            <w:tcBorders>
              <w:top w:val="single" w:sz="8" w:space="0" w:color="C7C9C7"/>
              <w:left w:val="nil"/>
              <w:bottom w:val="single" w:sz="8" w:space="0" w:color="F4F4F4"/>
              <w:right w:val="nil"/>
            </w:tcBorders>
            <w:tcMar>
              <w:top w:w="0" w:type="dxa"/>
              <w:left w:w="0" w:type="dxa"/>
              <w:bottom w:w="0" w:type="dxa"/>
              <w:right w:w="15" w:type="dxa"/>
            </w:tcMar>
            <w:vAlign w:val="bottom"/>
          </w:tcPr>
          <w:p w14:paraId="25251F4F" w14:textId="77777777" w:rsidR="001614AC" w:rsidRDefault="001614AC">
            <w:pPr>
              <w:spacing w:before="55" w:after="30" w:line="288" w:lineRule="auto"/>
              <w:jc w:val="right"/>
            </w:pPr>
          </w:p>
        </w:tc>
      </w:tr>
      <w:tr w:rsidR="001614AC" w14:paraId="576560D4" w14:textId="77777777">
        <w:trPr>
          <w:cantSplit/>
        </w:trPr>
        <w:tc>
          <w:tcPr>
            <w:tcW w:w="5505" w:type="dxa"/>
            <w:tcBorders>
              <w:top w:val="single" w:sz="8" w:space="0" w:color="F4F4F4"/>
              <w:left w:val="nil"/>
              <w:bottom w:val="single" w:sz="8" w:space="0" w:color="F4F4F4"/>
              <w:right w:val="nil"/>
            </w:tcBorders>
            <w:tcMar>
              <w:top w:w="0" w:type="dxa"/>
              <w:left w:w="53" w:type="dxa"/>
              <w:bottom w:w="0" w:type="dxa"/>
              <w:right w:w="53" w:type="dxa"/>
            </w:tcMar>
            <w:vAlign w:val="bottom"/>
          </w:tcPr>
          <w:p w14:paraId="4D454035" w14:textId="77777777" w:rsidR="001614AC" w:rsidRDefault="004468F9">
            <w:pPr>
              <w:spacing w:before="55" w:after="30" w:line="288" w:lineRule="auto"/>
              <w:ind w:left="240"/>
            </w:pPr>
            <w:r>
              <w:rPr>
                <w:rFonts w:ascii="Arial" w:eastAsia="Arial" w:hAnsi="Arial" w:cs="Arial"/>
                <w:color w:val="000000"/>
                <w:sz w:val="18"/>
              </w:rPr>
              <w:t>Issuance of common stock under incentive and benefit plans</w:t>
            </w:r>
          </w:p>
        </w:tc>
        <w:tc>
          <w:tcPr>
            <w:tcW w:w="105" w:type="dxa"/>
            <w:tcBorders>
              <w:top w:val="nil"/>
              <w:left w:val="nil"/>
              <w:bottom w:val="nil"/>
              <w:right w:val="nil"/>
            </w:tcBorders>
            <w:tcMar>
              <w:top w:w="0" w:type="dxa"/>
              <w:left w:w="0" w:type="dxa"/>
              <w:bottom w:w="0" w:type="dxa"/>
              <w:right w:w="0" w:type="dxa"/>
            </w:tcMar>
            <w:vAlign w:val="bottom"/>
          </w:tcPr>
          <w:p w14:paraId="74BD179A" w14:textId="77777777" w:rsidR="001614AC" w:rsidRDefault="001614AC"/>
        </w:tc>
        <w:tc>
          <w:tcPr>
            <w:tcW w:w="980"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153F73CC" w14:textId="77777777" w:rsidR="001614AC" w:rsidRDefault="004468F9">
            <w:pPr>
              <w:spacing w:before="55" w:after="30" w:line="288" w:lineRule="auto"/>
              <w:jc w:val="right"/>
            </w:pPr>
            <w:r>
              <w:rPr>
                <w:rFonts w:ascii="Arial" w:eastAsia="Arial" w:hAnsi="Arial" w:cs="Arial"/>
                <w:color w:val="000000"/>
                <w:sz w:val="18"/>
              </w:rPr>
              <w:t>1 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3E4A0E89" w14:textId="77777777" w:rsidR="001614AC" w:rsidRDefault="001614AC">
            <w:pPr>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3A1C64CD" w14:textId="77777777" w:rsidR="001614AC" w:rsidRDefault="001614AC"/>
        </w:tc>
        <w:tc>
          <w:tcPr>
            <w:tcW w:w="980"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6E53EDCD" w14:textId="77777777" w:rsidR="001614AC" w:rsidRDefault="004468F9">
            <w:pPr>
              <w:spacing w:before="55" w:after="30" w:line="288" w:lineRule="auto"/>
              <w:jc w:val="right"/>
            </w:pPr>
            <w:r>
              <w:rPr>
                <w:rFonts w:ascii="Arial" w:eastAsia="Arial" w:hAnsi="Arial" w:cs="Arial"/>
                <w:color w:val="000000"/>
                <w:sz w:val="18"/>
              </w:rPr>
              <w:t>2 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24D6CFCE" w14:textId="77777777" w:rsidR="001614AC" w:rsidRDefault="001614AC">
            <w:pPr>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5FEECEE7" w14:textId="77777777" w:rsidR="001614AC" w:rsidRDefault="001614AC"/>
        </w:tc>
        <w:tc>
          <w:tcPr>
            <w:tcW w:w="980"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67844F2E" w14:textId="77777777" w:rsidR="001614AC" w:rsidRDefault="004468F9">
            <w:pPr>
              <w:spacing w:before="55" w:after="30" w:line="288" w:lineRule="auto"/>
              <w:jc w:val="right"/>
            </w:pPr>
            <w:r>
              <w:rPr>
                <w:rFonts w:ascii="Arial" w:eastAsia="Arial" w:hAnsi="Arial" w:cs="Arial"/>
                <w:color w:val="000000"/>
                <w:sz w:val="18"/>
              </w:rPr>
              <w:t>1 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59DE7AB1" w14:textId="77777777" w:rsidR="001614AC" w:rsidRDefault="001614AC">
            <w:pPr>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4715B01E" w14:textId="77777777" w:rsidR="001614AC" w:rsidRDefault="001614AC"/>
        </w:tc>
        <w:tc>
          <w:tcPr>
            <w:tcW w:w="980"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2612443E" w14:textId="77777777" w:rsidR="001614AC" w:rsidRDefault="004468F9">
            <w:pPr>
              <w:spacing w:before="55" w:after="30" w:line="288" w:lineRule="auto"/>
              <w:jc w:val="right"/>
            </w:pPr>
            <w:r>
              <w:rPr>
                <w:rFonts w:ascii="Arial" w:eastAsia="Arial" w:hAnsi="Arial" w:cs="Arial"/>
                <w:color w:val="000000"/>
                <w:sz w:val="18"/>
              </w:rPr>
              <w:t>2 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25D0D418" w14:textId="77777777" w:rsidR="001614AC" w:rsidRDefault="001614AC">
            <w:pPr>
              <w:spacing w:before="55" w:after="30" w:line="288" w:lineRule="auto"/>
              <w:jc w:val="right"/>
            </w:pPr>
          </w:p>
        </w:tc>
      </w:tr>
      <w:tr w:rsidR="001614AC" w14:paraId="54DDE1CC" w14:textId="77777777">
        <w:trPr>
          <w:cantSplit/>
        </w:trPr>
        <w:tc>
          <w:tcPr>
            <w:tcW w:w="5505" w:type="dxa"/>
            <w:tcBorders>
              <w:top w:val="single" w:sz="8" w:space="0" w:color="F4F4F4"/>
              <w:left w:val="nil"/>
              <w:bottom w:val="nil"/>
              <w:right w:val="nil"/>
            </w:tcBorders>
            <w:tcMar>
              <w:top w:w="0" w:type="dxa"/>
              <w:left w:w="53" w:type="dxa"/>
              <w:bottom w:w="0" w:type="dxa"/>
              <w:right w:w="53" w:type="dxa"/>
            </w:tcMar>
            <w:vAlign w:val="bottom"/>
          </w:tcPr>
          <w:p w14:paraId="67408320" w14:textId="77777777" w:rsidR="001614AC" w:rsidRDefault="004468F9">
            <w:pPr>
              <w:spacing w:before="55" w:after="30" w:line="288" w:lineRule="auto"/>
              <w:ind w:left="240"/>
              <w:rPr>
                <w:rFonts w:ascii="Arial" w:eastAsia="Arial" w:hAnsi="Arial" w:cs="Arial"/>
                <w:sz w:val="18"/>
              </w:rPr>
            </w:pPr>
            <w:r>
              <w:rPr>
                <w:rFonts w:ascii="Arial" w:eastAsia="Arial" w:hAnsi="Arial" w:cs="Arial"/>
                <w:sz w:val="18"/>
              </w:rPr>
              <w:t>Shares repurchased under share repurchase program (Note 14)</w:t>
            </w:r>
          </w:p>
        </w:tc>
        <w:tc>
          <w:tcPr>
            <w:tcW w:w="105" w:type="dxa"/>
            <w:tcBorders>
              <w:top w:val="nil"/>
              <w:left w:val="nil"/>
              <w:bottom w:val="nil"/>
              <w:right w:val="nil"/>
            </w:tcBorders>
            <w:tcMar>
              <w:top w:w="0" w:type="dxa"/>
              <w:left w:w="0" w:type="dxa"/>
              <w:bottom w:w="0" w:type="dxa"/>
              <w:right w:w="0" w:type="dxa"/>
            </w:tcMar>
            <w:vAlign w:val="bottom"/>
          </w:tcPr>
          <w:p w14:paraId="30F341DC" w14:textId="77777777" w:rsidR="001614AC" w:rsidRDefault="001614AC"/>
        </w:tc>
        <w:tc>
          <w:tcPr>
            <w:tcW w:w="980" w:type="dxa"/>
            <w:gridSpan w:val="2"/>
            <w:tcBorders>
              <w:top w:val="single" w:sz="8" w:space="0" w:color="F4F4F4"/>
              <w:left w:val="nil"/>
              <w:bottom w:val="single" w:sz="8" w:space="0" w:color="C7C9C7"/>
              <w:right w:val="nil"/>
            </w:tcBorders>
            <w:tcMar>
              <w:top w:w="0" w:type="dxa"/>
              <w:left w:w="53" w:type="dxa"/>
              <w:bottom w:w="0" w:type="dxa"/>
              <w:right w:w="0" w:type="dxa"/>
            </w:tcMar>
            <w:vAlign w:val="bottom"/>
          </w:tcPr>
          <w:p w14:paraId="7F326996" w14:textId="77777777" w:rsidR="001614AC" w:rsidRDefault="004468F9">
            <w:pPr>
              <w:spacing w:before="55" w:after="30" w:line="288" w:lineRule="auto"/>
              <w:jc w:val="right"/>
            </w:pPr>
            <w:r>
              <w:rPr>
                <w:rFonts w:ascii="Arial" w:eastAsia="Arial" w:hAnsi="Arial" w:cs="Arial"/>
                <w:color w:val="000000"/>
                <w:sz w:val="18"/>
              </w:rPr>
              <w:t>(4)</w:t>
            </w:r>
          </w:p>
        </w:tc>
        <w:tc>
          <w:tcPr>
            <w:tcW w:w="100" w:type="dxa"/>
            <w:tcBorders>
              <w:top w:val="single" w:sz="8" w:space="0" w:color="F4F4F4"/>
              <w:left w:val="nil"/>
              <w:bottom w:val="single" w:sz="8" w:space="0" w:color="C7C9C7"/>
              <w:right w:val="nil"/>
            </w:tcBorders>
            <w:tcMar>
              <w:top w:w="0" w:type="dxa"/>
              <w:left w:w="0" w:type="dxa"/>
              <w:bottom w:w="0" w:type="dxa"/>
              <w:right w:w="15" w:type="dxa"/>
            </w:tcMar>
            <w:vAlign w:val="bottom"/>
          </w:tcPr>
          <w:p w14:paraId="4C09A96F" w14:textId="77777777" w:rsidR="001614AC" w:rsidRDefault="001614AC">
            <w:pPr>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29B5F09A" w14:textId="77777777" w:rsidR="001614AC" w:rsidRDefault="001614AC"/>
        </w:tc>
        <w:tc>
          <w:tcPr>
            <w:tcW w:w="980" w:type="dxa"/>
            <w:gridSpan w:val="2"/>
            <w:tcBorders>
              <w:top w:val="single" w:sz="8" w:space="0" w:color="F4F4F4"/>
              <w:left w:val="nil"/>
              <w:bottom w:val="single" w:sz="8" w:space="0" w:color="C7C9C7"/>
              <w:right w:val="nil"/>
            </w:tcBorders>
            <w:tcMar>
              <w:top w:w="0" w:type="dxa"/>
              <w:left w:w="53" w:type="dxa"/>
              <w:bottom w:w="0" w:type="dxa"/>
              <w:right w:w="0" w:type="dxa"/>
            </w:tcMar>
            <w:vAlign w:val="bottom"/>
          </w:tcPr>
          <w:p w14:paraId="43DBFF4A" w14:textId="77777777" w:rsidR="001614AC" w:rsidRDefault="004468F9">
            <w:pPr>
              <w:spacing w:before="55" w:after="30" w:line="288" w:lineRule="auto"/>
              <w:jc w:val="right"/>
            </w:pPr>
            <w:r>
              <w:rPr>
                <w:rFonts w:ascii="Arial" w:eastAsia="Arial" w:hAnsi="Arial" w:cs="Arial"/>
                <w:color w:val="000000"/>
                <w:sz w:val="18"/>
              </w:rPr>
              <w:t>— </w:t>
            </w:r>
          </w:p>
        </w:tc>
        <w:tc>
          <w:tcPr>
            <w:tcW w:w="100" w:type="dxa"/>
            <w:tcBorders>
              <w:top w:val="single" w:sz="8" w:space="0" w:color="F4F4F4"/>
              <w:left w:val="nil"/>
              <w:bottom w:val="single" w:sz="8" w:space="0" w:color="C7C9C7"/>
              <w:right w:val="nil"/>
            </w:tcBorders>
            <w:tcMar>
              <w:top w:w="0" w:type="dxa"/>
              <w:left w:w="0" w:type="dxa"/>
              <w:bottom w:w="0" w:type="dxa"/>
              <w:right w:w="15" w:type="dxa"/>
            </w:tcMar>
            <w:vAlign w:val="bottom"/>
          </w:tcPr>
          <w:p w14:paraId="69DD8E53" w14:textId="77777777" w:rsidR="001614AC" w:rsidRDefault="001614AC">
            <w:pPr>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73A9FB30" w14:textId="77777777" w:rsidR="001614AC" w:rsidRDefault="001614AC"/>
        </w:tc>
        <w:tc>
          <w:tcPr>
            <w:tcW w:w="980" w:type="dxa"/>
            <w:gridSpan w:val="2"/>
            <w:tcBorders>
              <w:top w:val="single" w:sz="8" w:space="0" w:color="F4F4F4"/>
              <w:left w:val="nil"/>
              <w:bottom w:val="single" w:sz="8" w:space="0" w:color="C7C9C7"/>
              <w:right w:val="nil"/>
            </w:tcBorders>
            <w:tcMar>
              <w:top w:w="0" w:type="dxa"/>
              <w:left w:w="53" w:type="dxa"/>
              <w:bottom w:w="0" w:type="dxa"/>
              <w:right w:w="0" w:type="dxa"/>
            </w:tcMar>
            <w:vAlign w:val="bottom"/>
          </w:tcPr>
          <w:p w14:paraId="5B165600" w14:textId="77777777" w:rsidR="001614AC" w:rsidRDefault="004468F9">
            <w:pPr>
              <w:spacing w:before="55" w:after="30" w:line="288" w:lineRule="auto"/>
              <w:jc w:val="right"/>
            </w:pPr>
            <w:r>
              <w:rPr>
                <w:rFonts w:ascii="Arial" w:eastAsia="Arial" w:hAnsi="Arial" w:cs="Arial"/>
                <w:color w:val="000000"/>
                <w:sz w:val="18"/>
              </w:rPr>
              <w:t>(4)</w:t>
            </w:r>
          </w:p>
        </w:tc>
        <w:tc>
          <w:tcPr>
            <w:tcW w:w="100" w:type="dxa"/>
            <w:tcBorders>
              <w:top w:val="single" w:sz="8" w:space="0" w:color="F4F4F4"/>
              <w:left w:val="nil"/>
              <w:bottom w:val="single" w:sz="8" w:space="0" w:color="C7C9C7"/>
              <w:right w:val="nil"/>
            </w:tcBorders>
            <w:tcMar>
              <w:top w:w="0" w:type="dxa"/>
              <w:left w:w="0" w:type="dxa"/>
              <w:bottom w:w="0" w:type="dxa"/>
              <w:right w:w="15" w:type="dxa"/>
            </w:tcMar>
            <w:vAlign w:val="bottom"/>
          </w:tcPr>
          <w:p w14:paraId="02EE17B1" w14:textId="77777777" w:rsidR="001614AC" w:rsidRDefault="001614AC">
            <w:pPr>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030FA50A" w14:textId="77777777" w:rsidR="001614AC" w:rsidRDefault="001614AC"/>
        </w:tc>
        <w:tc>
          <w:tcPr>
            <w:tcW w:w="980" w:type="dxa"/>
            <w:gridSpan w:val="2"/>
            <w:tcBorders>
              <w:top w:val="single" w:sz="8" w:space="0" w:color="F4F4F4"/>
              <w:left w:val="nil"/>
              <w:bottom w:val="single" w:sz="8" w:space="0" w:color="C7C9C7"/>
              <w:right w:val="nil"/>
            </w:tcBorders>
            <w:tcMar>
              <w:top w:w="0" w:type="dxa"/>
              <w:left w:w="53" w:type="dxa"/>
              <w:bottom w:w="0" w:type="dxa"/>
              <w:right w:w="0" w:type="dxa"/>
            </w:tcMar>
            <w:vAlign w:val="bottom"/>
          </w:tcPr>
          <w:p w14:paraId="0A3B2BE8" w14:textId="77777777" w:rsidR="001614AC" w:rsidRDefault="004468F9">
            <w:pPr>
              <w:spacing w:before="55" w:after="30" w:line="288" w:lineRule="auto"/>
              <w:jc w:val="right"/>
            </w:pPr>
            <w:r>
              <w:rPr>
                <w:rFonts w:ascii="Arial" w:eastAsia="Arial" w:hAnsi="Arial" w:cs="Arial"/>
                <w:color w:val="000000"/>
                <w:sz w:val="18"/>
              </w:rPr>
              <w:t>(11)</w:t>
            </w:r>
          </w:p>
        </w:tc>
        <w:tc>
          <w:tcPr>
            <w:tcW w:w="100" w:type="dxa"/>
            <w:tcBorders>
              <w:top w:val="single" w:sz="8" w:space="0" w:color="F4F4F4"/>
              <w:left w:val="nil"/>
              <w:bottom w:val="single" w:sz="8" w:space="0" w:color="C7C9C7"/>
              <w:right w:val="nil"/>
            </w:tcBorders>
            <w:tcMar>
              <w:top w:w="0" w:type="dxa"/>
              <w:left w:w="0" w:type="dxa"/>
              <w:bottom w:w="0" w:type="dxa"/>
              <w:right w:w="15" w:type="dxa"/>
            </w:tcMar>
            <w:vAlign w:val="bottom"/>
          </w:tcPr>
          <w:p w14:paraId="1B102165" w14:textId="77777777" w:rsidR="001614AC" w:rsidRDefault="001614AC">
            <w:pPr>
              <w:spacing w:before="55" w:after="30" w:line="288" w:lineRule="auto"/>
              <w:jc w:val="right"/>
            </w:pPr>
          </w:p>
        </w:tc>
      </w:tr>
      <w:tr w:rsidR="001614AC" w14:paraId="1D6BEC10" w14:textId="77777777">
        <w:trPr>
          <w:cantSplit/>
        </w:trPr>
        <w:tc>
          <w:tcPr>
            <w:tcW w:w="5505" w:type="dxa"/>
            <w:tcBorders>
              <w:top w:val="nil"/>
              <w:left w:val="nil"/>
              <w:bottom w:val="nil"/>
              <w:right w:val="nil"/>
            </w:tcBorders>
            <w:shd w:val="clear" w:color="auto" w:fill="F4F4F4"/>
            <w:tcMar>
              <w:top w:w="0" w:type="dxa"/>
              <w:left w:w="53" w:type="dxa"/>
              <w:bottom w:w="0" w:type="dxa"/>
              <w:right w:w="53" w:type="dxa"/>
            </w:tcMar>
            <w:vAlign w:val="bottom"/>
          </w:tcPr>
          <w:p w14:paraId="5F2C2906" w14:textId="77777777" w:rsidR="001614AC" w:rsidRDefault="004468F9">
            <w:pPr>
              <w:spacing w:before="75" w:after="30" w:line="288" w:lineRule="auto"/>
            </w:pPr>
            <w:r>
              <w:rPr>
                <w:rFonts w:ascii="Arial" w:eastAsia="Arial" w:hAnsi="Arial" w:cs="Arial"/>
                <w:color w:val="000000"/>
                <w:sz w:val="18"/>
              </w:rPr>
              <w:t>Balance, end of period</w:t>
            </w:r>
          </w:p>
        </w:tc>
        <w:tc>
          <w:tcPr>
            <w:tcW w:w="105" w:type="dxa"/>
            <w:tcBorders>
              <w:top w:val="nil"/>
              <w:left w:val="nil"/>
              <w:bottom w:val="nil"/>
              <w:right w:val="nil"/>
            </w:tcBorders>
            <w:shd w:val="clear" w:color="auto" w:fill="F4F4F4"/>
            <w:tcMar>
              <w:top w:w="0" w:type="dxa"/>
              <w:left w:w="0" w:type="dxa"/>
              <w:bottom w:w="0" w:type="dxa"/>
              <w:right w:w="0" w:type="dxa"/>
            </w:tcMar>
            <w:vAlign w:val="bottom"/>
          </w:tcPr>
          <w:p w14:paraId="3C2EA3D2" w14:textId="77777777" w:rsidR="001614AC" w:rsidRDefault="001614AC"/>
        </w:tc>
        <w:tc>
          <w:tcPr>
            <w:tcW w:w="980" w:type="dxa"/>
            <w:gridSpan w:val="2"/>
            <w:tcBorders>
              <w:top w:val="single" w:sz="8" w:space="0" w:color="C7C9C7"/>
              <w:left w:val="nil"/>
              <w:bottom w:val="single" w:sz="8" w:space="0" w:color="C7C9C7"/>
              <w:right w:val="nil"/>
            </w:tcBorders>
            <w:shd w:val="clear" w:color="auto" w:fill="F4F4F4"/>
            <w:tcMar>
              <w:top w:w="0" w:type="dxa"/>
              <w:left w:w="53" w:type="dxa"/>
              <w:bottom w:w="0" w:type="dxa"/>
              <w:right w:w="0" w:type="dxa"/>
            </w:tcMar>
            <w:vAlign w:val="bottom"/>
          </w:tcPr>
          <w:p w14:paraId="644F848E" w14:textId="77777777" w:rsidR="001614AC" w:rsidRDefault="004468F9">
            <w:pPr>
              <w:spacing w:before="55" w:after="30" w:line="288" w:lineRule="auto"/>
              <w:jc w:val="right"/>
            </w:pPr>
            <w:r>
              <w:rPr>
                <w:rFonts w:ascii="Arial" w:eastAsia="Arial" w:hAnsi="Arial" w:cs="Arial"/>
                <w:color w:val="000000"/>
                <w:sz w:val="18"/>
              </w:rPr>
              <w:t>207 </w:t>
            </w:r>
          </w:p>
        </w:tc>
        <w:tc>
          <w:tcPr>
            <w:tcW w:w="100" w:type="dxa"/>
            <w:tcBorders>
              <w:top w:val="single" w:sz="8" w:space="0" w:color="C7C9C7"/>
              <w:left w:val="nil"/>
              <w:bottom w:val="single" w:sz="8" w:space="0" w:color="C7C9C7"/>
              <w:right w:val="nil"/>
            </w:tcBorders>
            <w:shd w:val="clear" w:color="auto" w:fill="F4F4F4"/>
            <w:tcMar>
              <w:top w:w="0" w:type="dxa"/>
              <w:left w:w="0" w:type="dxa"/>
              <w:bottom w:w="0" w:type="dxa"/>
              <w:right w:w="15" w:type="dxa"/>
            </w:tcMar>
            <w:vAlign w:val="bottom"/>
          </w:tcPr>
          <w:p w14:paraId="599D308C" w14:textId="77777777" w:rsidR="001614AC" w:rsidRDefault="001614AC">
            <w:pPr>
              <w:spacing w:before="55" w:after="30" w:line="288" w:lineRule="auto"/>
              <w:jc w:val="right"/>
            </w:pPr>
          </w:p>
        </w:tc>
        <w:tc>
          <w:tcPr>
            <w:tcW w:w="105" w:type="dxa"/>
            <w:tcBorders>
              <w:top w:val="nil"/>
              <w:left w:val="nil"/>
              <w:bottom w:val="nil"/>
              <w:right w:val="nil"/>
            </w:tcBorders>
            <w:shd w:val="clear" w:color="auto" w:fill="F4F4F4"/>
            <w:tcMar>
              <w:top w:w="0" w:type="dxa"/>
              <w:left w:w="0" w:type="dxa"/>
              <w:bottom w:w="0" w:type="dxa"/>
              <w:right w:w="0" w:type="dxa"/>
            </w:tcMar>
            <w:vAlign w:val="bottom"/>
          </w:tcPr>
          <w:p w14:paraId="7E5C5973" w14:textId="77777777" w:rsidR="001614AC" w:rsidRDefault="001614AC"/>
        </w:tc>
        <w:tc>
          <w:tcPr>
            <w:tcW w:w="980" w:type="dxa"/>
            <w:gridSpan w:val="2"/>
            <w:tcBorders>
              <w:top w:val="single" w:sz="8" w:space="0" w:color="C7C9C7"/>
              <w:left w:val="nil"/>
              <w:bottom w:val="single" w:sz="8" w:space="0" w:color="C7C9C7"/>
              <w:right w:val="nil"/>
            </w:tcBorders>
            <w:shd w:val="clear" w:color="auto" w:fill="F4F4F4"/>
            <w:tcMar>
              <w:top w:w="0" w:type="dxa"/>
              <w:left w:w="53" w:type="dxa"/>
              <w:bottom w:w="0" w:type="dxa"/>
              <w:right w:w="0" w:type="dxa"/>
            </w:tcMar>
            <w:vAlign w:val="bottom"/>
          </w:tcPr>
          <w:p w14:paraId="37E094E0" w14:textId="77777777" w:rsidR="001614AC" w:rsidRDefault="004468F9">
            <w:pPr>
              <w:spacing w:before="55" w:after="30" w:line="288" w:lineRule="auto"/>
              <w:jc w:val="right"/>
            </w:pPr>
            <w:r>
              <w:rPr>
                <w:rFonts w:ascii="Arial" w:eastAsia="Arial" w:hAnsi="Arial" w:cs="Arial"/>
                <w:color w:val="000000"/>
                <w:sz w:val="18"/>
              </w:rPr>
              <w:t>210 </w:t>
            </w:r>
          </w:p>
        </w:tc>
        <w:tc>
          <w:tcPr>
            <w:tcW w:w="100" w:type="dxa"/>
            <w:tcBorders>
              <w:top w:val="single" w:sz="8" w:space="0" w:color="C7C9C7"/>
              <w:left w:val="nil"/>
              <w:bottom w:val="single" w:sz="8" w:space="0" w:color="C7C9C7"/>
              <w:right w:val="nil"/>
            </w:tcBorders>
            <w:shd w:val="clear" w:color="auto" w:fill="F4F4F4"/>
            <w:tcMar>
              <w:top w:w="0" w:type="dxa"/>
              <w:left w:w="0" w:type="dxa"/>
              <w:bottom w:w="0" w:type="dxa"/>
              <w:right w:w="15" w:type="dxa"/>
            </w:tcMar>
            <w:vAlign w:val="bottom"/>
          </w:tcPr>
          <w:p w14:paraId="3DBC3835" w14:textId="77777777" w:rsidR="001614AC" w:rsidRDefault="001614AC">
            <w:pPr>
              <w:spacing w:before="55" w:after="30" w:line="288" w:lineRule="auto"/>
              <w:jc w:val="right"/>
            </w:pPr>
          </w:p>
        </w:tc>
        <w:tc>
          <w:tcPr>
            <w:tcW w:w="105" w:type="dxa"/>
            <w:tcBorders>
              <w:top w:val="nil"/>
              <w:left w:val="nil"/>
              <w:bottom w:val="nil"/>
              <w:right w:val="nil"/>
            </w:tcBorders>
            <w:shd w:val="clear" w:color="auto" w:fill="F4F4F4"/>
            <w:tcMar>
              <w:top w:w="0" w:type="dxa"/>
              <w:left w:w="0" w:type="dxa"/>
              <w:bottom w:w="0" w:type="dxa"/>
              <w:right w:w="0" w:type="dxa"/>
            </w:tcMar>
            <w:vAlign w:val="bottom"/>
          </w:tcPr>
          <w:p w14:paraId="78C51321" w14:textId="77777777" w:rsidR="001614AC" w:rsidRDefault="001614AC"/>
        </w:tc>
        <w:tc>
          <w:tcPr>
            <w:tcW w:w="980" w:type="dxa"/>
            <w:gridSpan w:val="2"/>
            <w:tcBorders>
              <w:top w:val="single" w:sz="8" w:space="0" w:color="C7C9C7"/>
              <w:left w:val="nil"/>
              <w:bottom w:val="single" w:sz="8" w:space="0" w:color="C7C9C7"/>
              <w:right w:val="nil"/>
            </w:tcBorders>
            <w:shd w:val="clear" w:color="auto" w:fill="F4F4F4"/>
            <w:tcMar>
              <w:top w:w="0" w:type="dxa"/>
              <w:left w:w="53" w:type="dxa"/>
              <w:bottom w:w="0" w:type="dxa"/>
              <w:right w:w="0" w:type="dxa"/>
            </w:tcMar>
            <w:vAlign w:val="bottom"/>
          </w:tcPr>
          <w:p w14:paraId="3B7BDCF0" w14:textId="77777777" w:rsidR="001614AC" w:rsidRDefault="004468F9">
            <w:pPr>
              <w:spacing w:before="55" w:after="30" w:line="288" w:lineRule="auto"/>
              <w:jc w:val="right"/>
            </w:pPr>
            <w:r>
              <w:rPr>
                <w:rFonts w:ascii="Arial" w:eastAsia="Arial" w:hAnsi="Arial" w:cs="Arial"/>
                <w:color w:val="000000"/>
                <w:sz w:val="18"/>
              </w:rPr>
              <w:t>207 </w:t>
            </w:r>
          </w:p>
        </w:tc>
        <w:tc>
          <w:tcPr>
            <w:tcW w:w="100" w:type="dxa"/>
            <w:tcBorders>
              <w:top w:val="single" w:sz="8" w:space="0" w:color="C7C9C7"/>
              <w:left w:val="nil"/>
              <w:bottom w:val="single" w:sz="8" w:space="0" w:color="C7C9C7"/>
              <w:right w:val="nil"/>
            </w:tcBorders>
            <w:shd w:val="clear" w:color="auto" w:fill="F4F4F4"/>
            <w:tcMar>
              <w:top w:w="0" w:type="dxa"/>
              <w:left w:w="0" w:type="dxa"/>
              <w:bottom w:w="0" w:type="dxa"/>
              <w:right w:w="15" w:type="dxa"/>
            </w:tcMar>
            <w:vAlign w:val="bottom"/>
          </w:tcPr>
          <w:p w14:paraId="19D7B815" w14:textId="77777777" w:rsidR="001614AC" w:rsidRDefault="001614AC">
            <w:pPr>
              <w:spacing w:before="55" w:after="30" w:line="288" w:lineRule="auto"/>
              <w:jc w:val="right"/>
            </w:pPr>
          </w:p>
        </w:tc>
        <w:tc>
          <w:tcPr>
            <w:tcW w:w="105" w:type="dxa"/>
            <w:tcBorders>
              <w:top w:val="nil"/>
              <w:left w:val="nil"/>
              <w:bottom w:val="nil"/>
              <w:right w:val="nil"/>
            </w:tcBorders>
            <w:shd w:val="clear" w:color="auto" w:fill="F4F4F4"/>
            <w:tcMar>
              <w:top w:w="0" w:type="dxa"/>
              <w:left w:w="0" w:type="dxa"/>
              <w:bottom w:w="0" w:type="dxa"/>
              <w:right w:w="0" w:type="dxa"/>
            </w:tcMar>
            <w:vAlign w:val="bottom"/>
          </w:tcPr>
          <w:p w14:paraId="03BDCFC1" w14:textId="77777777" w:rsidR="001614AC" w:rsidRDefault="001614AC"/>
        </w:tc>
        <w:tc>
          <w:tcPr>
            <w:tcW w:w="980" w:type="dxa"/>
            <w:gridSpan w:val="2"/>
            <w:tcBorders>
              <w:top w:val="single" w:sz="8" w:space="0" w:color="C7C9C7"/>
              <w:left w:val="nil"/>
              <w:bottom w:val="single" w:sz="8" w:space="0" w:color="C7C9C7"/>
              <w:right w:val="nil"/>
            </w:tcBorders>
            <w:shd w:val="clear" w:color="auto" w:fill="F4F4F4"/>
            <w:tcMar>
              <w:top w:w="0" w:type="dxa"/>
              <w:left w:w="53" w:type="dxa"/>
              <w:bottom w:w="0" w:type="dxa"/>
              <w:right w:w="0" w:type="dxa"/>
            </w:tcMar>
            <w:vAlign w:val="bottom"/>
          </w:tcPr>
          <w:p w14:paraId="23D7D597" w14:textId="77777777" w:rsidR="001614AC" w:rsidRDefault="004468F9">
            <w:pPr>
              <w:spacing w:before="55" w:after="30" w:line="288" w:lineRule="auto"/>
              <w:jc w:val="right"/>
            </w:pPr>
            <w:r>
              <w:rPr>
                <w:rFonts w:ascii="Arial" w:eastAsia="Arial" w:hAnsi="Arial" w:cs="Arial"/>
                <w:color w:val="000000"/>
                <w:sz w:val="18"/>
              </w:rPr>
              <w:t>210 </w:t>
            </w:r>
          </w:p>
        </w:tc>
        <w:tc>
          <w:tcPr>
            <w:tcW w:w="100" w:type="dxa"/>
            <w:tcBorders>
              <w:top w:val="single" w:sz="8" w:space="0" w:color="C7C9C7"/>
              <w:left w:val="nil"/>
              <w:bottom w:val="single" w:sz="8" w:space="0" w:color="C7C9C7"/>
              <w:right w:val="nil"/>
            </w:tcBorders>
            <w:shd w:val="clear" w:color="auto" w:fill="F4F4F4"/>
            <w:tcMar>
              <w:top w:w="0" w:type="dxa"/>
              <w:left w:w="0" w:type="dxa"/>
              <w:bottom w:w="0" w:type="dxa"/>
              <w:right w:w="15" w:type="dxa"/>
            </w:tcMar>
            <w:vAlign w:val="bottom"/>
          </w:tcPr>
          <w:p w14:paraId="2A29B75B" w14:textId="77777777" w:rsidR="001614AC" w:rsidRDefault="001614AC">
            <w:pPr>
              <w:spacing w:before="55" w:after="30" w:line="288" w:lineRule="auto"/>
              <w:jc w:val="right"/>
            </w:pPr>
          </w:p>
        </w:tc>
      </w:tr>
      <w:tr w:rsidR="001614AC" w14:paraId="531A5B34" w14:textId="77777777">
        <w:trPr>
          <w:cantSplit/>
        </w:trPr>
        <w:tc>
          <w:tcPr>
            <w:tcW w:w="5505" w:type="dxa"/>
            <w:tcBorders>
              <w:top w:val="nil"/>
              <w:left w:val="nil"/>
              <w:bottom w:val="nil"/>
              <w:right w:val="nil"/>
            </w:tcBorders>
            <w:tcMar>
              <w:top w:w="0" w:type="dxa"/>
              <w:left w:w="53" w:type="dxa"/>
              <w:bottom w:w="0" w:type="dxa"/>
              <w:right w:w="53" w:type="dxa"/>
            </w:tcMar>
            <w:vAlign w:val="bottom"/>
          </w:tcPr>
          <w:p w14:paraId="504BD8A9" w14:textId="77777777" w:rsidR="001614AC" w:rsidRDefault="004468F9">
            <w:pPr>
              <w:spacing w:before="75" w:after="30" w:line="288" w:lineRule="auto"/>
            </w:pPr>
            <w:r>
              <w:rPr>
                <w:rFonts w:ascii="Arial" w:eastAsia="Arial" w:hAnsi="Arial" w:cs="Arial"/>
                <w:color w:val="000000"/>
                <w:sz w:val="18"/>
              </w:rPr>
              <w:t xml:space="preserve"> </w:t>
            </w:r>
          </w:p>
        </w:tc>
        <w:tc>
          <w:tcPr>
            <w:tcW w:w="105" w:type="dxa"/>
            <w:tcBorders>
              <w:top w:val="nil"/>
              <w:left w:val="nil"/>
              <w:bottom w:val="nil"/>
              <w:right w:val="nil"/>
            </w:tcBorders>
            <w:tcMar>
              <w:top w:w="0" w:type="dxa"/>
              <w:left w:w="0" w:type="dxa"/>
              <w:bottom w:w="0" w:type="dxa"/>
              <w:right w:w="0" w:type="dxa"/>
            </w:tcMar>
            <w:vAlign w:val="bottom"/>
          </w:tcPr>
          <w:p w14:paraId="08C3A3BD" w14:textId="77777777" w:rsidR="001614AC" w:rsidRDefault="001614AC"/>
        </w:tc>
        <w:tc>
          <w:tcPr>
            <w:tcW w:w="1080" w:type="dxa"/>
            <w:gridSpan w:val="3"/>
            <w:tcBorders>
              <w:top w:val="single" w:sz="8" w:space="0" w:color="C7C9C7"/>
              <w:left w:val="nil"/>
              <w:bottom w:val="nil"/>
              <w:right w:val="nil"/>
            </w:tcBorders>
            <w:tcMar>
              <w:top w:w="0" w:type="dxa"/>
              <w:left w:w="0" w:type="dxa"/>
              <w:bottom w:w="0" w:type="dxa"/>
              <w:right w:w="0" w:type="dxa"/>
            </w:tcMar>
            <w:vAlign w:val="bottom"/>
          </w:tcPr>
          <w:p w14:paraId="546D430E" w14:textId="77777777" w:rsidR="001614AC" w:rsidRDefault="001614AC"/>
        </w:tc>
        <w:tc>
          <w:tcPr>
            <w:tcW w:w="105" w:type="dxa"/>
            <w:tcBorders>
              <w:top w:val="nil"/>
              <w:left w:val="nil"/>
              <w:bottom w:val="nil"/>
              <w:right w:val="nil"/>
            </w:tcBorders>
            <w:tcMar>
              <w:top w:w="0" w:type="dxa"/>
              <w:left w:w="0" w:type="dxa"/>
              <w:bottom w:w="0" w:type="dxa"/>
              <w:right w:w="0" w:type="dxa"/>
            </w:tcMar>
            <w:vAlign w:val="bottom"/>
          </w:tcPr>
          <w:p w14:paraId="7EB24F2B" w14:textId="77777777" w:rsidR="001614AC" w:rsidRDefault="001614AC"/>
        </w:tc>
        <w:tc>
          <w:tcPr>
            <w:tcW w:w="1080" w:type="dxa"/>
            <w:gridSpan w:val="3"/>
            <w:tcBorders>
              <w:top w:val="single" w:sz="8" w:space="0" w:color="C7C9C7"/>
              <w:left w:val="nil"/>
              <w:bottom w:val="nil"/>
              <w:right w:val="nil"/>
            </w:tcBorders>
            <w:tcMar>
              <w:top w:w="0" w:type="dxa"/>
              <w:left w:w="0" w:type="dxa"/>
              <w:bottom w:w="0" w:type="dxa"/>
              <w:right w:w="0" w:type="dxa"/>
            </w:tcMar>
            <w:vAlign w:val="bottom"/>
          </w:tcPr>
          <w:p w14:paraId="199411B8" w14:textId="77777777" w:rsidR="001614AC" w:rsidRDefault="001614AC"/>
        </w:tc>
        <w:tc>
          <w:tcPr>
            <w:tcW w:w="105" w:type="dxa"/>
            <w:tcBorders>
              <w:top w:val="nil"/>
              <w:left w:val="nil"/>
              <w:bottom w:val="nil"/>
              <w:right w:val="nil"/>
            </w:tcBorders>
            <w:tcMar>
              <w:top w:w="0" w:type="dxa"/>
              <w:left w:w="0" w:type="dxa"/>
              <w:bottom w:w="0" w:type="dxa"/>
              <w:right w:w="0" w:type="dxa"/>
            </w:tcMar>
            <w:vAlign w:val="bottom"/>
          </w:tcPr>
          <w:p w14:paraId="6078854D" w14:textId="77777777" w:rsidR="001614AC" w:rsidRDefault="001614AC"/>
        </w:tc>
        <w:tc>
          <w:tcPr>
            <w:tcW w:w="1080" w:type="dxa"/>
            <w:gridSpan w:val="3"/>
            <w:tcBorders>
              <w:top w:val="single" w:sz="8" w:space="0" w:color="C7C9C7"/>
              <w:left w:val="nil"/>
              <w:bottom w:val="nil"/>
              <w:right w:val="nil"/>
            </w:tcBorders>
            <w:tcMar>
              <w:top w:w="0" w:type="dxa"/>
              <w:left w:w="0" w:type="dxa"/>
              <w:bottom w:w="0" w:type="dxa"/>
              <w:right w:w="0" w:type="dxa"/>
            </w:tcMar>
            <w:vAlign w:val="bottom"/>
          </w:tcPr>
          <w:p w14:paraId="0A9EC36D" w14:textId="77777777" w:rsidR="001614AC" w:rsidRDefault="001614AC"/>
        </w:tc>
        <w:tc>
          <w:tcPr>
            <w:tcW w:w="105" w:type="dxa"/>
            <w:tcBorders>
              <w:top w:val="nil"/>
              <w:left w:val="nil"/>
              <w:bottom w:val="nil"/>
              <w:right w:val="nil"/>
            </w:tcBorders>
            <w:tcMar>
              <w:top w:w="0" w:type="dxa"/>
              <w:left w:w="0" w:type="dxa"/>
              <w:bottom w:w="0" w:type="dxa"/>
              <w:right w:w="0" w:type="dxa"/>
            </w:tcMar>
            <w:vAlign w:val="bottom"/>
          </w:tcPr>
          <w:p w14:paraId="07BBE805" w14:textId="77777777" w:rsidR="001614AC" w:rsidRDefault="001614AC"/>
        </w:tc>
        <w:tc>
          <w:tcPr>
            <w:tcW w:w="1080" w:type="dxa"/>
            <w:gridSpan w:val="3"/>
            <w:tcBorders>
              <w:top w:val="single" w:sz="8" w:space="0" w:color="C7C9C7"/>
              <w:left w:val="nil"/>
              <w:bottom w:val="nil"/>
              <w:right w:val="nil"/>
            </w:tcBorders>
            <w:tcMar>
              <w:top w:w="0" w:type="dxa"/>
              <w:left w:w="0" w:type="dxa"/>
              <w:bottom w:w="0" w:type="dxa"/>
              <w:right w:w="0" w:type="dxa"/>
            </w:tcMar>
            <w:vAlign w:val="bottom"/>
          </w:tcPr>
          <w:p w14:paraId="4EC0BCDD" w14:textId="77777777" w:rsidR="001614AC" w:rsidRDefault="001614AC"/>
        </w:tc>
      </w:tr>
      <w:tr w:rsidR="001614AC" w14:paraId="5DDAB1DA" w14:textId="77777777">
        <w:trPr>
          <w:cantSplit/>
        </w:trPr>
        <w:tc>
          <w:tcPr>
            <w:tcW w:w="5505" w:type="dxa"/>
            <w:tcBorders>
              <w:top w:val="nil"/>
              <w:left w:val="nil"/>
              <w:bottom w:val="single" w:sz="8" w:space="0" w:color="C7C9C7"/>
              <w:right w:val="nil"/>
            </w:tcBorders>
            <w:shd w:val="clear" w:color="auto" w:fill="F4F4F4"/>
            <w:tcMar>
              <w:top w:w="0" w:type="dxa"/>
              <w:left w:w="53" w:type="dxa"/>
              <w:bottom w:w="0" w:type="dxa"/>
              <w:right w:w="53" w:type="dxa"/>
            </w:tcMar>
            <w:vAlign w:val="bottom"/>
          </w:tcPr>
          <w:p w14:paraId="3529A977" w14:textId="77777777" w:rsidR="001614AC" w:rsidRDefault="004468F9">
            <w:pPr>
              <w:spacing w:before="75" w:after="30" w:line="288" w:lineRule="auto"/>
            </w:pPr>
            <w:r>
              <w:rPr>
                <w:rFonts w:ascii="Arial" w:eastAsia="Arial" w:hAnsi="Arial" w:cs="Arial"/>
                <w:b/>
                <w:color w:val="00BAB3"/>
                <w:sz w:val="20"/>
              </w:rPr>
              <w:t>Treasury Stock</w:t>
            </w:r>
          </w:p>
        </w:tc>
        <w:tc>
          <w:tcPr>
            <w:tcW w:w="105" w:type="dxa"/>
            <w:tcBorders>
              <w:top w:val="nil"/>
              <w:left w:val="nil"/>
              <w:bottom w:val="single" w:sz="8" w:space="0" w:color="C7C9C7"/>
              <w:right w:val="nil"/>
            </w:tcBorders>
            <w:shd w:val="clear" w:color="auto" w:fill="F4F4F4"/>
            <w:tcMar>
              <w:top w:w="0" w:type="dxa"/>
              <w:left w:w="0" w:type="dxa"/>
              <w:bottom w:w="0" w:type="dxa"/>
              <w:right w:w="0" w:type="dxa"/>
            </w:tcMar>
            <w:vAlign w:val="bottom"/>
          </w:tcPr>
          <w:p w14:paraId="1A571053" w14:textId="77777777" w:rsidR="001614AC" w:rsidRDefault="001614AC"/>
        </w:tc>
        <w:tc>
          <w:tcPr>
            <w:tcW w:w="1080" w:type="dxa"/>
            <w:gridSpan w:val="3"/>
            <w:tcBorders>
              <w:top w:val="nil"/>
              <w:left w:val="nil"/>
              <w:bottom w:val="single" w:sz="8" w:space="0" w:color="C7C9C7"/>
              <w:right w:val="nil"/>
            </w:tcBorders>
            <w:shd w:val="clear" w:color="auto" w:fill="F4F4F4"/>
            <w:tcMar>
              <w:top w:w="0" w:type="dxa"/>
              <w:left w:w="0" w:type="dxa"/>
              <w:bottom w:w="0" w:type="dxa"/>
              <w:right w:w="0" w:type="dxa"/>
            </w:tcMar>
            <w:vAlign w:val="bottom"/>
          </w:tcPr>
          <w:p w14:paraId="191A0EAE" w14:textId="77777777" w:rsidR="001614AC" w:rsidRDefault="001614AC"/>
        </w:tc>
        <w:tc>
          <w:tcPr>
            <w:tcW w:w="105" w:type="dxa"/>
            <w:tcBorders>
              <w:top w:val="nil"/>
              <w:left w:val="nil"/>
              <w:bottom w:val="single" w:sz="8" w:space="0" w:color="C7C9C7"/>
              <w:right w:val="nil"/>
            </w:tcBorders>
            <w:shd w:val="clear" w:color="auto" w:fill="F4F4F4"/>
            <w:tcMar>
              <w:top w:w="0" w:type="dxa"/>
              <w:left w:w="0" w:type="dxa"/>
              <w:bottom w:w="0" w:type="dxa"/>
              <w:right w:w="0" w:type="dxa"/>
            </w:tcMar>
            <w:vAlign w:val="bottom"/>
          </w:tcPr>
          <w:p w14:paraId="17B1EA7A" w14:textId="77777777" w:rsidR="001614AC" w:rsidRDefault="001614AC"/>
        </w:tc>
        <w:tc>
          <w:tcPr>
            <w:tcW w:w="1080" w:type="dxa"/>
            <w:gridSpan w:val="3"/>
            <w:tcBorders>
              <w:top w:val="nil"/>
              <w:left w:val="nil"/>
              <w:bottom w:val="single" w:sz="8" w:space="0" w:color="C7C9C7"/>
              <w:right w:val="nil"/>
            </w:tcBorders>
            <w:shd w:val="clear" w:color="auto" w:fill="F4F4F4"/>
            <w:tcMar>
              <w:top w:w="0" w:type="dxa"/>
              <w:left w:w="0" w:type="dxa"/>
              <w:bottom w:w="0" w:type="dxa"/>
              <w:right w:w="0" w:type="dxa"/>
            </w:tcMar>
            <w:vAlign w:val="bottom"/>
          </w:tcPr>
          <w:p w14:paraId="1F7D05D1" w14:textId="77777777" w:rsidR="001614AC" w:rsidRDefault="001614AC"/>
        </w:tc>
        <w:tc>
          <w:tcPr>
            <w:tcW w:w="105" w:type="dxa"/>
            <w:tcBorders>
              <w:top w:val="nil"/>
              <w:left w:val="nil"/>
              <w:bottom w:val="single" w:sz="8" w:space="0" w:color="C7C9C7"/>
              <w:right w:val="nil"/>
            </w:tcBorders>
            <w:shd w:val="clear" w:color="auto" w:fill="F4F4F4"/>
            <w:tcMar>
              <w:top w:w="0" w:type="dxa"/>
              <w:left w:w="0" w:type="dxa"/>
              <w:bottom w:w="0" w:type="dxa"/>
              <w:right w:w="0" w:type="dxa"/>
            </w:tcMar>
            <w:vAlign w:val="bottom"/>
          </w:tcPr>
          <w:p w14:paraId="1A54DEF2" w14:textId="77777777" w:rsidR="001614AC" w:rsidRDefault="001614AC"/>
        </w:tc>
        <w:tc>
          <w:tcPr>
            <w:tcW w:w="1080" w:type="dxa"/>
            <w:gridSpan w:val="3"/>
            <w:tcBorders>
              <w:top w:val="nil"/>
              <w:left w:val="nil"/>
              <w:bottom w:val="single" w:sz="8" w:space="0" w:color="C7C9C7"/>
              <w:right w:val="nil"/>
            </w:tcBorders>
            <w:shd w:val="clear" w:color="auto" w:fill="F4F4F4"/>
            <w:tcMar>
              <w:top w:w="0" w:type="dxa"/>
              <w:left w:w="0" w:type="dxa"/>
              <w:bottom w:w="0" w:type="dxa"/>
              <w:right w:w="0" w:type="dxa"/>
            </w:tcMar>
            <w:vAlign w:val="bottom"/>
          </w:tcPr>
          <w:p w14:paraId="44F9B059" w14:textId="77777777" w:rsidR="001614AC" w:rsidRDefault="001614AC"/>
        </w:tc>
        <w:tc>
          <w:tcPr>
            <w:tcW w:w="105" w:type="dxa"/>
            <w:tcBorders>
              <w:top w:val="nil"/>
              <w:left w:val="nil"/>
              <w:bottom w:val="single" w:sz="8" w:space="0" w:color="C7C9C7"/>
              <w:right w:val="nil"/>
            </w:tcBorders>
            <w:shd w:val="clear" w:color="auto" w:fill="F4F4F4"/>
            <w:tcMar>
              <w:top w:w="0" w:type="dxa"/>
              <w:left w:w="0" w:type="dxa"/>
              <w:bottom w:w="0" w:type="dxa"/>
              <w:right w:w="0" w:type="dxa"/>
            </w:tcMar>
            <w:vAlign w:val="bottom"/>
          </w:tcPr>
          <w:p w14:paraId="39EF1648" w14:textId="77777777" w:rsidR="001614AC" w:rsidRDefault="001614AC"/>
        </w:tc>
        <w:tc>
          <w:tcPr>
            <w:tcW w:w="1080" w:type="dxa"/>
            <w:gridSpan w:val="3"/>
            <w:tcBorders>
              <w:top w:val="nil"/>
              <w:left w:val="nil"/>
              <w:bottom w:val="single" w:sz="8" w:space="0" w:color="C7C9C7"/>
              <w:right w:val="nil"/>
            </w:tcBorders>
            <w:shd w:val="clear" w:color="auto" w:fill="F4F4F4"/>
            <w:tcMar>
              <w:top w:w="0" w:type="dxa"/>
              <w:left w:w="0" w:type="dxa"/>
              <w:bottom w:w="0" w:type="dxa"/>
              <w:right w:w="0" w:type="dxa"/>
            </w:tcMar>
            <w:vAlign w:val="bottom"/>
          </w:tcPr>
          <w:p w14:paraId="24369ABB" w14:textId="77777777" w:rsidR="001614AC" w:rsidRDefault="001614AC"/>
        </w:tc>
      </w:tr>
      <w:tr w:rsidR="001614AC" w14:paraId="5A6FEE70" w14:textId="77777777">
        <w:trPr>
          <w:cantSplit/>
        </w:trPr>
        <w:tc>
          <w:tcPr>
            <w:tcW w:w="5505" w:type="dxa"/>
            <w:tcBorders>
              <w:top w:val="single" w:sz="8" w:space="0" w:color="C7C9C7"/>
              <w:left w:val="nil"/>
              <w:bottom w:val="single" w:sz="8" w:space="0" w:color="F4F4F4"/>
              <w:right w:val="nil"/>
            </w:tcBorders>
            <w:tcMar>
              <w:top w:w="0" w:type="dxa"/>
              <w:left w:w="53" w:type="dxa"/>
              <w:bottom w:w="0" w:type="dxa"/>
              <w:right w:w="53" w:type="dxa"/>
            </w:tcMar>
            <w:vAlign w:val="bottom"/>
          </w:tcPr>
          <w:p w14:paraId="29E5E1B2" w14:textId="77777777" w:rsidR="001614AC" w:rsidRDefault="004468F9">
            <w:pPr>
              <w:spacing w:before="55" w:after="30" w:line="288" w:lineRule="auto"/>
            </w:pPr>
            <w:r>
              <w:rPr>
                <w:rFonts w:ascii="Arial" w:eastAsia="Arial" w:hAnsi="Arial" w:cs="Arial"/>
                <w:color w:val="000000"/>
                <w:sz w:val="18"/>
              </w:rPr>
              <w:t>Balance, beginning of period</w:t>
            </w:r>
          </w:p>
        </w:tc>
        <w:tc>
          <w:tcPr>
            <w:tcW w:w="105" w:type="dxa"/>
            <w:tcBorders>
              <w:top w:val="single" w:sz="8" w:space="0" w:color="C7C9C7"/>
              <w:left w:val="nil"/>
              <w:bottom w:val="nil"/>
              <w:right w:val="nil"/>
            </w:tcBorders>
            <w:tcMar>
              <w:top w:w="0" w:type="dxa"/>
              <w:left w:w="0" w:type="dxa"/>
              <w:bottom w:w="0" w:type="dxa"/>
              <w:right w:w="0" w:type="dxa"/>
            </w:tcMar>
            <w:vAlign w:val="bottom"/>
          </w:tcPr>
          <w:p w14:paraId="731039E9" w14:textId="77777777" w:rsidR="001614AC" w:rsidRDefault="001614AC"/>
        </w:tc>
        <w:tc>
          <w:tcPr>
            <w:tcW w:w="980" w:type="dxa"/>
            <w:gridSpan w:val="2"/>
            <w:tcBorders>
              <w:top w:val="single" w:sz="8" w:space="0" w:color="C7C9C7"/>
              <w:left w:val="nil"/>
              <w:bottom w:val="single" w:sz="8" w:space="0" w:color="F4F4F4"/>
              <w:right w:val="nil"/>
            </w:tcBorders>
            <w:tcMar>
              <w:top w:w="0" w:type="dxa"/>
              <w:left w:w="53" w:type="dxa"/>
              <w:bottom w:w="0" w:type="dxa"/>
              <w:right w:w="0" w:type="dxa"/>
            </w:tcMar>
            <w:vAlign w:val="bottom"/>
          </w:tcPr>
          <w:p w14:paraId="508A8E17" w14:textId="77777777" w:rsidR="001614AC" w:rsidRDefault="004468F9">
            <w:pPr>
              <w:spacing w:before="55" w:after="30" w:line="288" w:lineRule="auto"/>
              <w:jc w:val="right"/>
            </w:pPr>
            <w:r>
              <w:rPr>
                <w:rFonts w:ascii="Arial" w:eastAsia="Arial" w:hAnsi="Arial" w:cs="Arial"/>
                <w:color w:val="000000"/>
                <w:sz w:val="18"/>
              </w:rPr>
              <w:t>(910,347)</w:t>
            </w:r>
          </w:p>
        </w:tc>
        <w:tc>
          <w:tcPr>
            <w:tcW w:w="100" w:type="dxa"/>
            <w:tcBorders>
              <w:top w:val="single" w:sz="8" w:space="0" w:color="C7C9C7"/>
              <w:left w:val="nil"/>
              <w:bottom w:val="single" w:sz="8" w:space="0" w:color="F4F4F4"/>
              <w:right w:val="nil"/>
            </w:tcBorders>
            <w:tcMar>
              <w:top w:w="0" w:type="dxa"/>
              <w:left w:w="0" w:type="dxa"/>
              <w:bottom w:w="0" w:type="dxa"/>
              <w:right w:w="15" w:type="dxa"/>
            </w:tcMar>
            <w:vAlign w:val="bottom"/>
          </w:tcPr>
          <w:p w14:paraId="6E79D84D" w14:textId="77777777" w:rsidR="001614AC" w:rsidRDefault="001614AC">
            <w:pPr>
              <w:spacing w:before="55" w:after="30" w:line="288" w:lineRule="auto"/>
              <w:jc w:val="right"/>
            </w:pPr>
          </w:p>
        </w:tc>
        <w:tc>
          <w:tcPr>
            <w:tcW w:w="105" w:type="dxa"/>
            <w:tcBorders>
              <w:top w:val="single" w:sz="8" w:space="0" w:color="C7C9C7"/>
              <w:left w:val="nil"/>
              <w:bottom w:val="nil"/>
              <w:right w:val="nil"/>
            </w:tcBorders>
            <w:tcMar>
              <w:top w:w="0" w:type="dxa"/>
              <w:left w:w="0" w:type="dxa"/>
              <w:bottom w:w="0" w:type="dxa"/>
              <w:right w:w="0" w:type="dxa"/>
            </w:tcMar>
            <w:vAlign w:val="bottom"/>
          </w:tcPr>
          <w:p w14:paraId="536BFAE8" w14:textId="77777777" w:rsidR="001614AC" w:rsidRDefault="001614AC"/>
        </w:tc>
        <w:tc>
          <w:tcPr>
            <w:tcW w:w="980" w:type="dxa"/>
            <w:gridSpan w:val="2"/>
            <w:tcBorders>
              <w:top w:val="single" w:sz="8" w:space="0" w:color="C7C9C7"/>
              <w:left w:val="nil"/>
              <w:bottom w:val="single" w:sz="8" w:space="0" w:color="F4F4F4"/>
              <w:right w:val="nil"/>
            </w:tcBorders>
            <w:tcMar>
              <w:top w:w="0" w:type="dxa"/>
              <w:left w:w="53" w:type="dxa"/>
              <w:bottom w:w="0" w:type="dxa"/>
              <w:right w:w="0" w:type="dxa"/>
            </w:tcMar>
            <w:vAlign w:val="bottom"/>
          </w:tcPr>
          <w:p w14:paraId="708576B6" w14:textId="77777777" w:rsidR="001614AC" w:rsidRDefault="004468F9">
            <w:pPr>
              <w:spacing w:before="55" w:after="30" w:line="288" w:lineRule="auto"/>
              <w:jc w:val="right"/>
            </w:pPr>
            <w:r>
              <w:rPr>
                <w:rFonts w:ascii="Arial" w:eastAsia="Arial" w:hAnsi="Arial" w:cs="Arial"/>
                <w:color w:val="000000"/>
                <w:sz w:val="18"/>
              </w:rPr>
              <w:t>(902,024)</w:t>
            </w:r>
          </w:p>
        </w:tc>
        <w:tc>
          <w:tcPr>
            <w:tcW w:w="100" w:type="dxa"/>
            <w:tcBorders>
              <w:top w:val="single" w:sz="8" w:space="0" w:color="C7C9C7"/>
              <w:left w:val="nil"/>
              <w:bottom w:val="single" w:sz="8" w:space="0" w:color="F4F4F4"/>
              <w:right w:val="nil"/>
            </w:tcBorders>
            <w:tcMar>
              <w:top w:w="0" w:type="dxa"/>
              <w:left w:w="0" w:type="dxa"/>
              <w:bottom w:w="0" w:type="dxa"/>
              <w:right w:w="15" w:type="dxa"/>
            </w:tcMar>
            <w:vAlign w:val="bottom"/>
          </w:tcPr>
          <w:p w14:paraId="4B281B8D" w14:textId="77777777" w:rsidR="001614AC" w:rsidRDefault="001614AC">
            <w:pPr>
              <w:spacing w:before="55" w:after="30" w:line="288" w:lineRule="auto"/>
              <w:jc w:val="right"/>
            </w:pPr>
          </w:p>
        </w:tc>
        <w:tc>
          <w:tcPr>
            <w:tcW w:w="105" w:type="dxa"/>
            <w:tcBorders>
              <w:top w:val="single" w:sz="8" w:space="0" w:color="C7C9C7"/>
              <w:left w:val="nil"/>
              <w:bottom w:val="nil"/>
              <w:right w:val="nil"/>
            </w:tcBorders>
            <w:tcMar>
              <w:top w:w="0" w:type="dxa"/>
              <w:left w:w="0" w:type="dxa"/>
              <w:bottom w:w="0" w:type="dxa"/>
              <w:right w:w="0" w:type="dxa"/>
            </w:tcMar>
            <w:vAlign w:val="bottom"/>
          </w:tcPr>
          <w:p w14:paraId="5CB5DEBE" w14:textId="77777777" w:rsidR="001614AC" w:rsidRDefault="001614AC"/>
        </w:tc>
        <w:tc>
          <w:tcPr>
            <w:tcW w:w="980" w:type="dxa"/>
            <w:gridSpan w:val="2"/>
            <w:tcBorders>
              <w:top w:val="single" w:sz="8" w:space="0" w:color="C7C9C7"/>
              <w:left w:val="nil"/>
              <w:bottom w:val="single" w:sz="8" w:space="0" w:color="F4F4F4"/>
              <w:right w:val="nil"/>
            </w:tcBorders>
            <w:tcMar>
              <w:top w:w="0" w:type="dxa"/>
              <w:left w:w="53" w:type="dxa"/>
              <w:bottom w:w="0" w:type="dxa"/>
              <w:right w:w="0" w:type="dxa"/>
            </w:tcMar>
            <w:vAlign w:val="bottom"/>
          </w:tcPr>
          <w:p w14:paraId="482EF5CA" w14:textId="77777777" w:rsidR="001614AC" w:rsidRDefault="004468F9">
            <w:pPr>
              <w:spacing w:before="55" w:after="30" w:line="288" w:lineRule="auto"/>
              <w:jc w:val="right"/>
            </w:pPr>
            <w:r>
              <w:rPr>
                <w:rFonts w:ascii="Arial" w:eastAsia="Arial" w:hAnsi="Arial" w:cs="Arial"/>
                <w:color w:val="000000"/>
                <w:sz w:val="18"/>
              </w:rPr>
              <w:t>(910,115)</w:t>
            </w:r>
          </w:p>
        </w:tc>
        <w:tc>
          <w:tcPr>
            <w:tcW w:w="100" w:type="dxa"/>
            <w:tcBorders>
              <w:top w:val="single" w:sz="8" w:space="0" w:color="C7C9C7"/>
              <w:left w:val="nil"/>
              <w:bottom w:val="single" w:sz="8" w:space="0" w:color="F4F4F4"/>
              <w:right w:val="nil"/>
            </w:tcBorders>
            <w:tcMar>
              <w:top w:w="0" w:type="dxa"/>
              <w:left w:w="0" w:type="dxa"/>
              <w:bottom w:w="0" w:type="dxa"/>
              <w:right w:w="15" w:type="dxa"/>
            </w:tcMar>
            <w:vAlign w:val="bottom"/>
          </w:tcPr>
          <w:p w14:paraId="4C982D42" w14:textId="77777777" w:rsidR="001614AC" w:rsidRDefault="001614AC">
            <w:pPr>
              <w:spacing w:before="55" w:after="30" w:line="288" w:lineRule="auto"/>
              <w:jc w:val="right"/>
            </w:pPr>
          </w:p>
        </w:tc>
        <w:tc>
          <w:tcPr>
            <w:tcW w:w="105" w:type="dxa"/>
            <w:tcBorders>
              <w:top w:val="single" w:sz="8" w:space="0" w:color="C7C9C7"/>
              <w:left w:val="nil"/>
              <w:bottom w:val="nil"/>
              <w:right w:val="nil"/>
            </w:tcBorders>
            <w:tcMar>
              <w:top w:w="0" w:type="dxa"/>
              <w:left w:w="0" w:type="dxa"/>
              <w:bottom w:w="0" w:type="dxa"/>
              <w:right w:w="0" w:type="dxa"/>
            </w:tcMar>
            <w:vAlign w:val="bottom"/>
          </w:tcPr>
          <w:p w14:paraId="050D25E1" w14:textId="77777777" w:rsidR="001614AC" w:rsidRDefault="001614AC"/>
        </w:tc>
        <w:tc>
          <w:tcPr>
            <w:tcW w:w="980" w:type="dxa"/>
            <w:gridSpan w:val="2"/>
            <w:tcBorders>
              <w:top w:val="single" w:sz="8" w:space="0" w:color="C7C9C7"/>
              <w:left w:val="nil"/>
              <w:bottom w:val="single" w:sz="8" w:space="0" w:color="F4F4F4"/>
              <w:right w:val="nil"/>
            </w:tcBorders>
            <w:tcMar>
              <w:top w:w="0" w:type="dxa"/>
              <w:left w:w="53" w:type="dxa"/>
              <w:bottom w:w="0" w:type="dxa"/>
              <w:right w:w="0" w:type="dxa"/>
            </w:tcMar>
            <w:vAlign w:val="bottom"/>
          </w:tcPr>
          <w:p w14:paraId="6472E79A" w14:textId="77777777" w:rsidR="001614AC" w:rsidRDefault="004468F9">
            <w:pPr>
              <w:spacing w:before="55" w:after="30" w:line="288" w:lineRule="auto"/>
              <w:jc w:val="right"/>
            </w:pPr>
            <w:r>
              <w:rPr>
                <w:rFonts w:ascii="Arial" w:eastAsia="Arial" w:hAnsi="Arial" w:cs="Arial"/>
                <w:color w:val="000000"/>
                <w:sz w:val="18"/>
              </w:rPr>
              <w:t>(901,657)</w:t>
            </w:r>
          </w:p>
        </w:tc>
        <w:tc>
          <w:tcPr>
            <w:tcW w:w="100" w:type="dxa"/>
            <w:tcBorders>
              <w:top w:val="single" w:sz="8" w:space="0" w:color="C7C9C7"/>
              <w:left w:val="nil"/>
              <w:bottom w:val="single" w:sz="8" w:space="0" w:color="F4F4F4"/>
              <w:right w:val="nil"/>
            </w:tcBorders>
            <w:tcMar>
              <w:top w:w="0" w:type="dxa"/>
              <w:left w:w="0" w:type="dxa"/>
              <w:bottom w:w="0" w:type="dxa"/>
              <w:right w:w="15" w:type="dxa"/>
            </w:tcMar>
            <w:vAlign w:val="bottom"/>
          </w:tcPr>
          <w:p w14:paraId="272BE7FF" w14:textId="77777777" w:rsidR="001614AC" w:rsidRDefault="001614AC">
            <w:pPr>
              <w:spacing w:before="55" w:after="30" w:line="288" w:lineRule="auto"/>
              <w:jc w:val="right"/>
            </w:pPr>
          </w:p>
        </w:tc>
      </w:tr>
      <w:tr w:rsidR="001614AC" w14:paraId="15E288CC" w14:textId="77777777">
        <w:trPr>
          <w:cantSplit/>
        </w:trPr>
        <w:tc>
          <w:tcPr>
            <w:tcW w:w="5505" w:type="dxa"/>
            <w:tcBorders>
              <w:top w:val="single" w:sz="8" w:space="0" w:color="F4F4F4"/>
              <w:left w:val="nil"/>
              <w:bottom w:val="nil"/>
              <w:right w:val="nil"/>
            </w:tcBorders>
            <w:tcMar>
              <w:top w:w="0" w:type="dxa"/>
              <w:left w:w="53" w:type="dxa"/>
              <w:bottom w:w="0" w:type="dxa"/>
              <w:right w:w="53" w:type="dxa"/>
            </w:tcMar>
            <w:vAlign w:val="bottom"/>
          </w:tcPr>
          <w:p w14:paraId="131B1F7F" w14:textId="77777777" w:rsidR="001614AC" w:rsidRDefault="004468F9">
            <w:pPr>
              <w:spacing w:before="55" w:after="30" w:line="288" w:lineRule="auto"/>
              <w:ind w:left="240"/>
            </w:pPr>
            <w:r>
              <w:rPr>
                <w:rFonts w:ascii="Arial" w:eastAsia="Arial" w:hAnsi="Arial" w:cs="Arial"/>
                <w:color w:val="000000"/>
                <w:sz w:val="18"/>
              </w:rPr>
              <w:t>Repurchases of common stock under incentive plans</w:t>
            </w:r>
          </w:p>
        </w:tc>
        <w:tc>
          <w:tcPr>
            <w:tcW w:w="105" w:type="dxa"/>
            <w:tcBorders>
              <w:top w:val="nil"/>
              <w:left w:val="nil"/>
              <w:bottom w:val="nil"/>
              <w:right w:val="nil"/>
            </w:tcBorders>
            <w:tcMar>
              <w:top w:w="0" w:type="dxa"/>
              <w:left w:w="0" w:type="dxa"/>
              <w:bottom w:w="0" w:type="dxa"/>
              <w:right w:w="0" w:type="dxa"/>
            </w:tcMar>
            <w:vAlign w:val="bottom"/>
          </w:tcPr>
          <w:p w14:paraId="129418B1" w14:textId="77777777" w:rsidR="001614AC" w:rsidRDefault="001614AC"/>
        </w:tc>
        <w:tc>
          <w:tcPr>
            <w:tcW w:w="980" w:type="dxa"/>
            <w:gridSpan w:val="2"/>
            <w:tcBorders>
              <w:top w:val="single" w:sz="8" w:space="0" w:color="F4F4F4"/>
              <w:left w:val="nil"/>
              <w:bottom w:val="single" w:sz="8" w:space="0" w:color="C7C9C7"/>
              <w:right w:val="nil"/>
            </w:tcBorders>
            <w:tcMar>
              <w:top w:w="0" w:type="dxa"/>
              <w:left w:w="53" w:type="dxa"/>
              <w:bottom w:w="0" w:type="dxa"/>
              <w:right w:w="0" w:type="dxa"/>
            </w:tcMar>
            <w:vAlign w:val="bottom"/>
          </w:tcPr>
          <w:p w14:paraId="5683F1B3" w14:textId="77777777" w:rsidR="001614AC" w:rsidRDefault="004468F9">
            <w:pPr>
              <w:spacing w:before="55" w:after="30" w:line="288" w:lineRule="auto"/>
              <w:jc w:val="right"/>
            </w:pPr>
            <w:r>
              <w:rPr>
                <w:rFonts w:ascii="Arial" w:eastAsia="Arial" w:hAnsi="Arial" w:cs="Arial"/>
                <w:color w:val="000000"/>
                <w:sz w:val="18"/>
              </w:rPr>
              <w:t>(9,878)</w:t>
            </w:r>
          </w:p>
        </w:tc>
        <w:tc>
          <w:tcPr>
            <w:tcW w:w="100" w:type="dxa"/>
            <w:tcBorders>
              <w:top w:val="single" w:sz="8" w:space="0" w:color="F4F4F4"/>
              <w:left w:val="nil"/>
              <w:bottom w:val="single" w:sz="8" w:space="0" w:color="C7C9C7"/>
              <w:right w:val="nil"/>
            </w:tcBorders>
            <w:tcMar>
              <w:top w:w="0" w:type="dxa"/>
              <w:left w:w="0" w:type="dxa"/>
              <w:bottom w:w="0" w:type="dxa"/>
              <w:right w:w="15" w:type="dxa"/>
            </w:tcMar>
            <w:vAlign w:val="bottom"/>
          </w:tcPr>
          <w:p w14:paraId="1EDC5119" w14:textId="77777777" w:rsidR="001614AC" w:rsidRDefault="001614AC">
            <w:pPr>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051FE33C" w14:textId="77777777" w:rsidR="001614AC" w:rsidRDefault="001614AC"/>
        </w:tc>
        <w:tc>
          <w:tcPr>
            <w:tcW w:w="980" w:type="dxa"/>
            <w:gridSpan w:val="2"/>
            <w:tcBorders>
              <w:top w:val="single" w:sz="8" w:space="0" w:color="F4F4F4"/>
              <w:left w:val="nil"/>
              <w:bottom w:val="single" w:sz="8" w:space="0" w:color="C7C9C7"/>
              <w:right w:val="nil"/>
            </w:tcBorders>
            <w:tcMar>
              <w:top w:w="0" w:type="dxa"/>
              <w:left w:w="53" w:type="dxa"/>
              <w:bottom w:w="0" w:type="dxa"/>
              <w:right w:w="0" w:type="dxa"/>
            </w:tcMar>
            <w:vAlign w:val="bottom"/>
          </w:tcPr>
          <w:p w14:paraId="335D1C49" w14:textId="77777777" w:rsidR="001614AC" w:rsidRDefault="004468F9">
            <w:pPr>
              <w:spacing w:before="55" w:after="30" w:line="288" w:lineRule="auto"/>
              <w:jc w:val="right"/>
            </w:pPr>
            <w:r>
              <w:rPr>
                <w:rFonts w:ascii="Arial" w:eastAsia="Arial" w:hAnsi="Arial" w:cs="Arial"/>
                <w:color w:val="000000"/>
                <w:sz w:val="18"/>
              </w:rPr>
              <w:t>(7,714)</w:t>
            </w:r>
          </w:p>
        </w:tc>
        <w:tc>
          <w:tcPr>
            <w:tcW w:w="100" w:type="dxa"/>
            <w:tcBorders>
              <w:top w:val="single" w:sz="8" w:space="0" w:color="F4F4F4"/>
              <w:left w:val="nil"/>
              <w:bottom w:val="single" w:sz="8" w:space="0" w:color="C7C9C7"/>
              <w:right w:val="nil"/>
            </w:tcBorders>
            <w:tcMar>
              <w:top w:w="0" w:type="dxa"/>
              <w:left w:w="0" w:type="dxa"/>
              <w:bottom w:w="0" w:type="dxa"/>
              <w:right w:w="15" w:type="dxa"/>
            </w:tcMar>
            <w:vAlign w:val="bottom"/>
          </w:tcPr>
          <w:p w14:paraId="1612EBCC" w14:textId="77777777" w:rsidR="001614AC" w:rsidRDefault="001614AC">
            <w:pPr>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6EECAB53" w14:textId="77777777" w:rsidR="001614AC" w:rsidRDefault="001614AC"/>
        </w:tc>
        <w:tc>
          <w:tcPr>
            <w:tcW w:w="980" w:type="dxa"/>
            <w:gridSpan w:val="2"/>
            <w:tcBorders>
              <w:top w:val="single" w:sz="8" w:space="0" w:color="F4F4F4"/>
              <w:left w:val="nil"/>
              <w:bottom w:val="single" w:sz="8" w:space="0" w:color="C7C9C7"/>
              <w:right w:val="nil"/>
            </w:tcBorders>
            <w:tcMar>
              <w:top w:w="0" w:type="dxa"/>
              <w:left w:w="53" w:type="dxa"/>
              <w:bottom w:w="0" w:type="dxa"/>
              <w:right w:w="0" w:type="dxa"/>
            </w:tcMar>
            <w:vAlign w:val="bottom"/>
          </w:tcPr>
          <w:p w14:paraId="08759487" w14:textId="77777777" w:rsidR="001614AC" w:rsidRDefault="004468F9">
            <w:pPr>
              <w:spacing w:before="55" w:after="30" w:line="288" w:lineRule="auto"/>
              <w:jc w:val="right"/>
            </w:pPr>
            <w:r>
              <w:rPr>
                <w:rFonts w:ascii="Arial" w:eastAsia="Arial" w:hAnsi="Arial" w:cs="Arial"/>
                <w:color w:val="000000"/>
                <w:sz w:val="18"/>
              </w:rPr>
              <w:t>(10,110)</w:t>
            </w:r>
          </w:p>
        </w:tc>
        <w:tc>
          <w:tcPr>
            <w:tcW w:w="100" w:type="dxa"/>
            <w:tcBorders>
              <w:top w:val="single" w:sz="8" w:space="0" w:color="F4F4F4"/>
              <w:left w:val="nil"/>
              <w:bottom w:val="single" w:sz="8" w:space="0" w:color="C7C9C7"/>
              <w:right w:val="nil"/>
            </w:tcBorders>
            <w:tcMar>
              <w:top w:w="0" w:type="dxa"/>
              <w:left w:w="0" w:type="dxa"/>
              <w:bottom w:w="0" w:type="dxa"/>
              <w:right w:w="15" w:type="dxa"/>
            </w:tcMar>
            <w:vAlign w:val="bottom"/>
          </w:tcPr>
          <w:p w14:paraId="21CFBECF" w14:textId="77777777" w:rsidR="001614AC" w:rsidRDefault="001614AC">
            <w:pPr>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39D7D4C8" w14:textId="77777777" w:rsidR="001614AC" w:rsidRDefault="001614AC"/>
        </w:tc>
        <w:tc>
          <w:tcPr>
            <w:tcW w:w="980" w:type="dxa"/>
            <w:gridSpan w:val="2"/>
            <w:tcBorders>
              <w:top w:val="single" w:sz="8" w:space="0" w:color="F4F4F4"/>
              <w:left w:val="nil"/>
              <w:bottom w:val="single" w:sz="8" w:space="0" w:color="C7C9C7"/>
              <w:right w:val="nil"/>
            </w:tcBorders>
            <w:tcMar>
              <w:top w:w="0" w:type="dxa"/>
              <w:left w:w="53" w:type="dxa"/>
              <w:bottom w:w="0" w:type="dxa"/>
              <w:right w:w="0" w:type="dxa"/>
            </w:tcMar>
            <w:vAlign w:val="bottom"/>
          </w:tcPr>
          <w:p w14:paraId="280ABE5F" w14:textId="77777777" w:rsidR="001614AC" w:rsidRDefault="004468F9">
            <w:pPr>
              <w:spacing w:before="55" w:after="30" w:line="288" w:lineRule="auto"/>
              <w:jc w:val="right"/>
            </w:pPr>
            <w:r>
              <w:rPr>
                <w:rFonts w:ascii="Arial" w:eastAsia="Arial" w:hAnsi="Arial" w:cs="Arial"/>
                <w:color w:val="000000"/>
                <w:sz w:val="18"/>
              </w:rPr>
              <w:t>(8,081)</w:t>
            </w:r>
          </w:p>
        </w:tc>
        <w:tc>
          <w:tcPr>
            <w:tcW w:w="100" w:type="dxa"/>
            <w:tcBorders>
              <w:top w:val="single" w:sz="8" w:space="0" w:color="F4F4F4"/>
              <w:left w:val="nil"/>
              <w:bottom w:val="single" w:sz="8" w:space="0" w:color="C7C9C7"/>
              <w:right w:val="nil"/>
            </w:tcBorders>
            <w:tcMar>
              <w:top w:w="0" w:type="dxa"/>
              <w:left w:w="0" w:type="dxa"/>
              <w:bottom w:w="0" w:type="dxa"/>
              <w:right w:w="15" w:type="dxa"/>
            </w:tcMar>
            <w:vAlign w:val="bottom"/>
          </w:tcPr>
          <w:p w14:paraId="3F360174" w14:textId="77777777" w:rsidR="001614AC" w:rsidRDefault="001614AC">
            <w:pPr>
              <w:spacing w:before="55" w:after="30" w:line="288" w:lineRule="auto"/>
              <w:jc w:val="right"/>
            </w:pPr>
          </w:p>
        </w:tc>
      </w:tr>
      <w:tr w:rsidR="001614AC" w14:paraId="33A8F365" w14:textId="77777777">
        <w:trPr>
          <w:cantSplit/>
        </w:trPr>
        <w:tc>
          <w:tcPr>
            <w:tcW w:w="5505" w:type="dxa"/>
            <w:tcBorders>
              <w:top w:val="nil"/>
              <w:left w:val="nil"/>
              <w:bottom w:val="nil"/>
              <w:right w:val="nil"/>
            </w:tcBorders>
            <w:shd w:val="clear" w:color="auto" w:fill="F4F4F4"/>
            <w:tcMar>
              <w:top w:w="0" w:type="dxa"/>
              <w:left w:w="53" w:type="dxa"/>
              <w:bottom w:w="0" w:type="dxa"/>
              <w:right w:w="53" w:type="dxa"/>
            </w:tcMar>
            <w:vAlign w:val="bottom"/>
          </w:tcPr>
          <w:p w14:paraId="2EA6C2CB" w14:textId="77777777" w:rsidR="001614AC" w:rsidRDefault="004468F9">
            <w:pPr>
              <w:spacing w:before="75" w:after="30" w:line="288" w:lineRule="auto"/>
            </w:pPr>
            <w:r>
              <w:rPr>
                <w:rFonts w:ascii="Arial" w:eastAsia="Arial" w:hAnsi="Arial" w:cs="Arial"/>
                <w:color w:val="000000"/>
                <w:sz w:val="18"/>
              </w:rPr>
              <w:t>Balance, end of period</w:t>
            </w:r>
          </w:p>
        </w:tc>
        <w:tc>
          <w:tcPr>
            <w:tcW w:w="105" w:type="dxa"/>
            <w:tcBorders>
              <w:top w:val="nil"/>
              <w:left w:val="nil"/>
              <w:bottom w:val="nil"/>
              <w:right w:val="nil"/>
            </w:tcBorders>
            <w:shd w:val="clear" w:color="auto" w:fill="F4F4F4"/>
            <w:tcMar>
              <w:top w:w="0" w:type="dxa"/>
              <w:left w:w="0" w:type="dxa"/>
              <w:bottom w:w="0" w:type="dxa"/>
              <w:right w:w="0" w:type="dxa"/>
            </w:tcMar>
            <w:vAlign w:val="bottom"/>
          </w:tcPr>
          <w:p w14:paraId="4E8BA090" w14:textId="77777777" w:rsidR="001614AC" w:rsidRDefault="001614AC"/>
        </w:tc>
        <w:tc>
          <w:tcPr>
            <w:tcW w:w="980" w:type="dxa"/>
            <w:gridSpan w:val="2"/>
            <w:tcBorders>
              <w:top w:val="single" w:sz="8" w:space="0" w:color="C7C9C7"/>
              <w:left w:val="nil"/>
              <w:bottom w:val="single" w:sz="8" w:space="0" w:color="C7C9C7"/>
              <w:right w:val="nil"/>
            </w:tcBorders>
            <w:shd w:val="clear" w:color="auto" w:fill="F4F4F4"/>
            <w:tcMar>
              <w:top w:w="0" w:type="dxa"/>
              <w:left w:w="53" w:type="dxa"/>
              <w:bottom w:w="0" w:type="dxa"/>
              <w:right w:w="0" w:type="dxa"/>
            </w:tcMar>
            <w:vAlign w:val="bottom"/>
          </w:tcPr>
          <w:p w14:paraId="5D9BA4B4" w14:textId="77777777" w:rsidR="001614AC" w:rsidRDefault="004468F9">
            <w:pPr>
              <w:spacing w:before="55" w:after="30" w:line="288" w:lineRule="auto"/>
              <w:jc w:val="right"/>
            </w:pPr>
            <w:r>
              <w:rPr>
                <w:rFonts w:ascii="Arial" w:eastAsia="Arial" w:hAnsi="Arial" w:cs="Arial"/>
                <w:color w:val="000000"/>
                <w:sz w:val="18"/>
              </w:rPr>
              <w:t>(920,225)</w:t>
            </w:r>
          </w:p>
        </w:tc>
        <w:tc>
          <w:tcPr>
            <w:tcW w:w="100" w:type="dxa"/>
            <w:tcBorders>
              <w:top w:val="single" w:sz="8" w:space="0" w:color="C7C9C7"/>
              <w:left w:val="nil"/>
              <w:bottom w:val="single" w:sz="8" w:space="0" w:color="C7C9C7"/>
              <w:right w:val="nil"/>
            </w:tcBorders>
            <w:shd w:val="clear" w:color="auto" w:fill="F4F4F4"/>
            <w:tcMar>
              <w:top w:w="0" w:type="dxa"/>
              <w:left w:w="0" w:type="dxa"/>
              <w:bottom w:w="0" w:type="dxa"/>
              <w:right w:w="15" w:type="dxa"/>
            </w:tcMar>
            <w:vAlign w:val="bottom"/>
          </w:tcPr>
          <w:p w14:paraId="370A78EA" w14:textId="77777777" w:rsidR="001614AC" w:rsidRDefault="001614AC">
            <w:pPr>
              <w:spacing w:before="55" w:after="30" w:line="288" w:lineRule="auto"/>
              <w:jc w:val="right"/>
            </w:pPr>
          </w:p>
        </w:tc>
        <w:tc>
          <w:tcPr>
            <w:tcW w:w="105" w:type="dxa"/>
            <w:tcBorders>
              <w:top w:val="nil"/>
              <w:left w:val="nil"/>
              <w:bottom w:val="nil"/>
              <w:right w:val="nil"/>
            </w:tcBorders>
            <w:shd w:val="clear" w:color="auto" w:fill="F4F4F4"/>
            <w:tcMar>
              <w:top w:w="0" w:type="dxa"/>
              <w:left w:w="0" w:type="dxa"/>
              <w:bottom w:w="0" w:type="dxa"/>
              <w:right w:w="0" w:type="dxa"/>
            </w:tcMar>
            <w:vAlign w:val="bottom"/>
          </w:tcPr>
          <w:p w14:paraId="27CD7596" w14:textId="77777777" w:rsidR="001614AC" w:rsidRDefault="001614AC"/>
        </w:tc>
        <w:tc>
          <w:tcPr>
            <w:tcW w:w="980" w:type="dxa"/>
            <w:gridSpan w:val="2"/>
            <w:tcBorders>
              <w:top w:val="single" w:sz="8" w:space="0" w:color="C7C9C7"/>
              <w:left w:val="nil"/>
              <w:bottom w:val="single" w:sz="8" w:space="0" w:color="C7C9C7"/>
              <w:right w:val="nil"/>
            </w:tcBorders>
            <w:shd w:val="clear" w:color="auto" w:fill="F4F4F4"/>
            <w:tcMar>
              <w:top w:w="0" w:type="dxa"/>
              <w:left w:w="53" w:type="dxa"/>
              <w:bottom w:w="0" w:type="dxa"/>
              <w:right w:w="0" w:type="dxa"/>
            </w:tcMar>
            <w:vAlign w:val="bottom"/>
          </w:tcPr>
          <w:p w14:paraId="1024C766" w14:textId="77777777" w:rsidR="001614AC" w:rsidRDefault="004468F9">
            <w:pPr>
              <w:spacing w:before="55" w:after="30" w:line="288" w:lineRule="auto"/>
              <w:jc w:val="right"/>
            </w:pPr>
            <w:r>
              <w:rPr>
                <w:rFonts w:ascii="Arial" w:eastAsia="Arial" w:hAnsi="Arial" w:cs="Arial"/>
                <w:color w:val="000000"/>
                <w:sz w:val="18"/>
              </w:rPr>
              <w:t>(909,738)</w:t>
            </w:r>
          </w:p>
        </w:tc>
        <w:tc>
          <w:tcPr>
            <w:tcW w:w="100" w:type="dxa"/>
            <w:tcBorders>
              <w:top w:val="single" w:sz="8" w:space="0" w:color="C7C9C7"/>
              <w:left w:val="nil"/>
              <w:bottom w:val="single" w:sz="8" w:space="0" w:color="C7C9C7"/>
              <w:right w:val="nil"/>
            </w:tcBorders>
            <w:shd w:val="clear" w:color="auto" w:fill="F4F4F4"/>
            <w:tcMar>
              <w:top w:w="0" w:type="dxa"/>
              <w:left w:w="0" w:type="dxa"/>
              <w:bottom w:w="0" w:type="dxa"/>
              <w:right w:w="15" w:type="dxa"/>
            </w:tcMar>
            <w:vAlign w:val="bottom"/>
          </w:tcPr>
          <w:p w14:paraId="6E02479A" w14:textId="77777777" w:rsidR="001614AC" w:rsidRDefault="001614AC">
            <w:pPr>
              <w:spacing w:before="55" w:after="30" w:line="288" w:lineRule="auto"/>
              <w:jc w:val="right"/>
            </w:pPr>
          </w:p>
        </w:tc>
        <w:tc>
          <w:tcPr>
            <w:tcW w:w="105" w:type="dxa"/>
            <w:tcBorders>
              <w:top w:val="nil"/>
              <w:left w:val="nil"/>
              <w:bottom w:val="nil"/>
              <w:right w:val="nil"/>
            </w:tcBorders>
            <w:shd w:val="clear" w:color="auto" w:fill="F4F4F4"/>
            <w:tcMar>
              <w:top w:w="0" w:type="dxa"/>
              <w:left w:w="0" w:type="dxa"/>
              <w:bottom w:w="0" w:type="dxa"/>
              <w:right w:w="0" w:type="dxa"/>
            </w:tcMar>
            <w:vAlign w:val="bottom"/>
          </w:tcPr>
          <w:p w14:paraId="6881DDF2" w14:textId="77777777" w:rsidR="001614AC" w:rsidRDefault="001614AC"/>
        </w:tc>
        <w:tc>
          <w:tcPr>
            <w:tcW w:w="980" w:type="dxa"/>
            <w:gridSpan w:val="2"/>
            <w:tcBorders>
              <w:top w:val="single" w:sz="8" w:space="0" w:color="C7C9C7"/>
              <w:left w:val="nil"/>
              <w:bottom w:val="single" w:sz="8" w:space="0" w:color="C7C9C7"/>
              <w:right w:val="nil"/>
            </w:tcBorders>
            <w:shd w:val="clear" w:color="auto" w:fill="F4F4F4"/>
            <w:tcMar>
              <w:top w:w="0" w:type="dxa"/>
              <w:left w:w="53" w:type="dxa"/>
              <w:bottom w:w="0" w:type="dxa"/>
              <w:right w:w="0" w:type="dxa"/>
            </w:tcMar>
            <w:vAlign w:val="bottom"/>
          </w:tcPr>
          <w:p w14:paraId="592C889F" w14:textId="77777777" w:rsidR="001614AC" w:rsidRDefault="004468F9">
            <w:pPr>
              <w:spacing w:before="55" w:after="30" w:line="288" w:lineRule="auto"/>
              <w:jc w:val="right"/>
            </w:pPr>
            <w:r>
              <w:rPr>
                <w:rFonts w:ascii="Arial" w:eastAsia="Arial" w:hAnsi="Arial" w:cs="Arial"/>
                <w:color w:val="000000"/>
                <w:sz w:val="18"/>
              </w:rPr>
              <w:t>(920,225)</w:t>
            </w:r>
          </w:p>
        </w:tc>
        <w:tc>
          <w:tcPr>
            <w:tcW w:w="100" w:type="dxa"/>
            <w:tcBorders>
              <w:top w:val="single" w:sz="8" w:space="0" w:color="C7C9C7"/>
              <w:left w:val="nil"/>
              <w:bottom w:val="single" w:sz="8" w:space="0" w:color="C7C9C7"/>
              <w:right w:val="nil"/>
            </w:tcBorders>
            <w:shd w:val="clear" w:color="auto" w:fill="F4F4F4"/>
            <w:tcMar>
              <w:top w:w="0" w:type="dxa"/>
              <w:left w:w="0" w:type="dxa"/>
              <w:bottom w:w="0" w:type="dxa"/>
              <w:right w:w="15" w:type="dxa"/>
            </w:tcMar>
            <w:vAlign w:val="bottom"/>
          </w:tcPr>
          <w:p w14:paraId="1C821155" w14:textId="77777777" w:rsidR="001614AC" w:rsidRDefault="001614AC">
            <w:pPr>
              <w:spacing w:before="55" w:after="30" w:line="288" w:lineRule="auto"/>
              <w:jc w:val="right"/>
            </w:pPr>
          </w:p>
        </w:tc>
        <w:tc>
          <w:tcPr>
            <w:tcW w:w="105" w:type="dxa"/>
            <w:tcBorders>
              <w:top w:val="nil"/>
              <w:left w:val="nil"/>
              <w:bottom w:val="nil"/>
              <w:right w:val="nil"/>
            </w:tcBorders>
            <w:shd w:val="clear" w:color="auto" w:fill="F4F4F4"/>
            <w:tcMar>
              <w:top w:w="0" w:type="dxa"/>
              <w:left w:w="0" w:type="dxa"/>
              <w:bottom w:w="0" w:type="dxa"/>
              <w:right w:w="0" w:type="dxa"/>
            </w:tcMar>
            <w:vAlign w:val="bottom"/>
          </w:tcPr>
          <w:p w14:paraId="44DFADFD" w14:textId="77777777" w:rsidR="001614AC" w:rsidRDefault="001614AC"/>
        </w:tc>
        <w:tc>
          <w:tcPr>
            <w:tcW w:w="980" w:type="dxa"/>
            <w:gridSpan w:val="2"/>
            <w:tcBorders>
              <w:top w:val="single" w:sz="8" w:space="0" w:color="C7C9C7"/>
              <w:left w:val="nil"/>
              <w:bottom w:val="single" w:sz="8" w:space="0" w:color="C7C9C7"/>
              <w:right w:val="nil"/>
            </w:tcBorders>
            <w:shd w:val="clear" w:color="auto" w:fill="F4F4F4"/>
            <w:tcMar>
              <w:top w:w="0" w:type="dxa"/>
              <w:left w:w="53" w:type="dxa"/>
              <w:bottom w:w="0" w:type="dxa"/>
              <w:right w:w="0" w:type="dxa"/>
            </w:tcMar>
            <w:vAlign w:val="bottom"/>
          </w:tcPr>
          <w:p w14:paraId="5422A105" w14:textId="77777777" w:rsidR="001614AC" w:rsidRDefault="004468F9">
            <w:pPr>
              <w:spacing w:before="55" w:after="30" w:line="288" w:lineRule="auto"/>
              <w:jc w:val="right"/>
            </w:pPr>
            <w:r>
              <w:rPr>
                <w:rFonts w:ascii="Arial" w:eastAsia="Arial" w:hAnsi="Arial" w:cs="Arial"/>
                <w:color w:val="000000"/>
                <w:sz w:val="18"/>
              </w:rPr>
              <w:t>(909,738)</w:t>
            </w:r>
          </w:p>
        </w:tc>
        <w:tc>
          <w:tcPr>
            <w:tcW w:w="100" w:type="dxa"/>
            <w:tcBorders>
              <w:top w:val="single" w:sz="8" w:space="0" w:color="C7C9C7"/>
              <w:left w:val="nil"/>
              <w:bottom w:val="single" w:sz="8" w:space="0" w:color="C7C9C7"/>
              <w:right w:val="nil"/>
            </w:tcBorders>
            <w:shd w:val="clear" w:color="auto" w:fill="F4F4F4"/>
            <w:tcMar>
              <w:top w:w="0" w:type="dxa"/>
              <w:left w:w="0" w:type="dxa"/>
              <w:bottom w:w="0" w:type="dxa"/>
              <w:right w:w="15" w:type="dxa"/>
            </w:tcMar>
            <w:vAlign w:val="bottom"/>
          </w:tcPr>
          <w:p w14:paraId="4F881C0D" w14:textId="77777777" w:rsidR="001614AC" w:rsidRDefault="001614AC">
            <w:pPr>
              <w:spacing w:before="55" w:after="30" w:line="288" w:lineRule="auto"/>
              <w:jc w:val="right"/>
            </w:pPr>
          </w:p>
        </w:tc>
      </w:tr>
      <w:tr w:rsidR="001614AC" w14:paraId="658AF079" w14:textId="77777777">
        <w:trPr>
          <w:cantSplit/>
        </w:trPr>
        <w:tc>
          <w:tcPr>
            <w:tcW w:w="5505" w:type="dxa"/>
            <w:tcBorders>
              <w:top w:val="nil"/>
              <w:left w:val="nil"/>
              <w:bottom w:val="nil"/>
              <w:right w:val="nil"/>
            </w:tcBorders>
            <w:tcMar>
              <w:top w:w="0" w:type="dxa"/>
              <w:left w:w="53" w:type="dxa"/>
              <w:bottom w:w="0" w:type="dxa"/>
              <w:right w:w="53" w:type="dxa"/>
            </w:tcMar>
            <w:vAlign w:val="bottom"/>
          </w:tcPr>
          <w:p w14:paraId="738E26E8" w14:textId="77777777" w:rsidR="001614AC" w:rsidRDefault="004468F9">
            <w:pPr>
              <w:spacing w:before="75" w:after="30" w:line="288" w:lineRule="auto"/>
            </w:pPr>
            <w:r>
              <w:rPr>
                <w:rFonts w:ascii="Arial" w:eastAsia="Arial" w:hAnsi="Arial" w:cs="Arial"/>
                <w:color w:val="000000"/>
                <w:sz w:val="18"/>
              </w:rPr>
              <w:t xml:space="preserve"> </w:t>
            </w:r>
          </w:p>
        </w:tc>
        <w:tc>
          <w:tcPr>
            <w:tcW w:w="105" w:type="dxa"/>
            <w:tcBorders>
              <w:top w:val="nil"/>
              <w:left w:val="nil"/>
              <w:bottom w:val="nil"/>
              <w:right w:val="nil"/>
            </w:tcBorders>
            <w:tcMar>
              <w:top w:w="0" w:type="dxa"/>
              <w:left w:w="0" w:type="dxa"/>
              <w:bottom w:w="0" w:type="dxa"/>
              <w:right w:w="0" w:type="dxa"/>
            </w:tcMar>
            <w:vAlign w:val="bottom"/>
          </w:tcPr>
          <w:p w14:paraId="2F777B7B" w14:textId="77777777" w:rsidR="001614AC" w:rsidRDefault="001614AC"/>
        </w:tc>
        <w:tc>
          <w:tcPr>
            <w:tcW w:w="1080" w:type="dxa"/>
            <w:gridSpan w:val="3"/>
            <w:tcBorders>
              <w:top w:val="single" w:sz="8" w:space="0" w:color="C7C9C7"/>
              <w:left w:val="nil"/>
              <w:bottom w:val="nil"/>
              <w:right w:val="nil"/>
            </w:tcBorders>
            <w:tcMar>
              <w:top w:w="0" w:type="dxa"/>
              <w:left w:w="0" w:type="dxa"/>
              <w:bottom w:w="0" w:type="dxa"/>
              <w:right w:w="0" w:type="dxa"/>
            </w:tcMar>
            <w:vAlign w:val="bottom"/>
          </w:tcPr>
          <w:p w14:paraId="15C8F86D" w14:textId="77777777" w:rsidR="001614AC" w:rsidRDefault="001614AC"/>
        </w:tc>
        <w:tc>
          <w:tcPr>
            <w:tcW w:w="105" w:type="dxa"/>
            <w:tcBorders>
              <w:top w:val="nil"/>
              <w:left w:val="nil"/>
              <w:bottom w:val="nil"/>
              <w:right w:val="nil"/>
            </w:tcBorders>
            <w:tcMar>
              <w:top w:w="0" w:type="dxa"/>
              <w:left w:w="0" w:type="dxa"/>
              <w:bottom w:w="0" w:type="dxa"/>
              <w:right w:w="0" w:type="dxa"/>
            </w:tcMar>
            <w:vAlign w:val="bottom"/>
          </w:tcPr>
          <w:p w14:paraId="59EF1FCC" w14:textId="77777777" w:rsidR="001614AC" w:rsidRDefault="001614AC"/>
        </w:tc>
        <w:tc>
          <w:tcPr>
            <w:tcW w:w="1080" w:type="dxa"/>
            <w:gridSpan w:val="3"/>
            <w:tcBorders>
              <w:top w:val="single" w:sz="8" w:space="0" w:color="C7C9C7"/>
              <w:left w:val="nil"/>
              <w:bottom w:val="nil"/>
              <w:right w:val="nil"/>
            </w:tcBorders>
            <w:tcMar>
              <w:top w:w="0" w:type="dxa"/>
              <w:left w:w="0" w:type="dxa"/>
              <w:bottom w:w="0" w:type="dxa"/>
              <w:right w:w="0" w:type="dxa"/>
            </w:tcMar>
            <w:vAlign w:val="bottom"/>
          </w:tcPr>
          <w:p w14:paraId="45A3C9C6" w14:textId="77777777" w:rsidR="001614AC" w:rsidRDefault="001614AC"/>
        </w:tc>
        <w:tc>
          <w:tcPr>
            <w:tcW w:w="105" w:type="dxa"/>
            <w:tcBorders>
              <w:top w:val="nil"/>
              <w:left w:val="nil"/>
              <w:bottom w:val="nil"/>
              <w:right w:val="nil"/>
            </w:tcBorders>
            <w:tcMar>
              <w:top w:w="0" w:type="dxa"/>
              <w:left w:w="0" w:type="dxa"/>
              <w:bottom w:w="0" w:type="dxa"/>
              <w:right w:w="0" w:type="dxa"/>
            </w:tcMar>
            <w:vAlign w:val="bottom"/>
          </w:tcPr>
          <w:p w14:paraId="378083A7" w14:textId="77777777" w:rsidR="001614AC" w:rsidRDefault="001614AC"/>
        </w:tc>
        <w:tc>
          <w:tcPr>
            <w:tcW w:w="1080" w:type="dxa"/>
            <w:gridSpan w:val="3"/>
            <w:tcBorders>
              <w:top w:val="single" w:sz="8" w:space="0" w:color="C7C9C7"/>
              <w:left w:val="nil"/>
              <w:bottom w:val="nil"/>
              <w:right w:val="nil"/>
            </w:tcBorders>
            <w:tcMar>
              <w:top w:w="0" w:type="dxa"/>
              <w:left w:w="0" w:type="dxa"/>
              <w:bottom w:w="0" w:type="dxa"/>
              <w:right w:w="0" w:type="dxa"/>
            </w:tcMar>
            <w:vAlign w:val="bottom"/>
          </w:tcPr>
          <w:p w14:paraId="58476586" w14:textId="77777777" w:rsidR="001614AC" w:rsidRDefault="001614AC"/>
        </w:tc>
        <w:tc>
          <w:tcPr>
            <w:tcW w:w="105" w:type="dxa"/>
            <w:tcBorders>
              <w:top w:val="nil"/>
              <w:left w:val="nil"/>
              <w:bottom w:val="nil"/>
              <w:right w:val="nil"/>
            </w:tcBorders>
            <w:tcMar>
              <w:top w:w="0" w:type="dxa"/>
              <w:left w:w="0" w:type="dxa"/>
              <w:bottom w:w="0" w:type="dxa"/>
              <w:right w:w="0" w:type="dxa"/>
            </w:tcMar>
            <w:vAlign w:val="bottom"/>
          </w:tcPr>
          <w:p w14:paraId="460EA6F0" w14:textId="77777777" w:rsidR="001614AC" w:rsidRDefault="001614AC"/>
        </w:tc>
        <w:tc>
          <w:tcPr>
            <w:tcW w:w="1080" w:type="dxa"/>
            <w:gridSpan w:val="3"/>
            <w:tcBorders>
              <w:top w:val="single" w:sz="8" w:space="0" w:color="C7C9C7"/>
              <w:left w:val="nil"/>
              <w:bottom w:val="nil"/>
              <w:right w:val="nil"/>
            </w:tcBorders>
            <w:tcMar>
              <w:top w:w="0" w:type="dxa"/>
              <w:left w:w="0" w:type="dxa"/>
              <w:bottom w:w="0" w:type="dxa"/>
              <w:right w:w="0" w:type="dxa"/>
            </w:tcMar>
            <w:vAlign w:val="bottom"/>
          </w:tcPr>
          <w:p w14:paraId="3B271630" w14:textId="77777777" w:rsidR="001614AC" w:rsidRDefault="001614AC"/>
        </w:tc>
      </w:tr>
      <w:tr w:rsidR="001614AC" w14:paraId="0B512915" w14:textId="77777777">
        <w:trPr>
          <w:cantSplit/>
        </w:trPr>
        <w:tc>
          <w:tcPr>
            <w:tcW w:w="5505" w:type="dxa"/>
            <w:tcBorders>
              <w:top w:val="nil"/>
              <w:left w:val="nil"/>
              <w:bottom w:val="single" w:sz="8" w:space="0" w:color="C7C9C7"/>
              <w:right w:val="nil"/>
            </w:tcBorders>
            <w:shd w:val="clear" w:color="auto" w:fill="F4F4F4"/>
            <w:tcMar>
              <w:top w:w="0" w:type="dxa"/>
              <w:left w:w="53" w:type="dxa"/>
              <w:bottom w:w="0" w:type="dxa"/>
              <w:right w:w="53" w:type="dxa"/>
            </w:tcMar>
            <w:vAlign w:val="bottom"/>
          </w:tcPr>
          <w:p w14:paraId="1E384546" w14:textId="77777777" w:rsidR="001614AC" w:rsidRDefault="004468F9">
            <w:pPr>
              <w:spacing w:before="75" w:after="30" w:line="288" w:lineRule="auto"/>
            </w:pPr>
            <w:r>
              <w:rPr>
                <w:rFonts w:ascii="Arial" w:eastAsia="Arial" w:hAnsi="Arial" w:cs="Arial"/>
                <w:b/>
                <w:color w:val="00BAB3"/>
                <w:sz w:val="20"/>
              </w:rPr>
              <w:t>Additional Paid-in Capital</w:t>
            </w:r>
          </w:p>
        </w:tc>
        <w:tc>
          <w:tcPr>
            <w:tcW w:w="105" w:type="dxa"/>
            <w:tcBorders>
              <w:top w:val="nil"/>
              <w:left w:val="nil"/>
              <w:bottom w:val="single" w:sz="8" w:space="0" w:color="C7C9C7"/>
              <w:right w:val="nil"/>
            </w:tcBorders>
            <w:shd w:val="clear" w:color="auto" w:fill="F4F4F4"/>
            <w:tcMar>
              <w:top w:w="0" w:type="dxa"/>
              <w:left w:w="0" w:type="dxa"/>
              <w:bottom w:w="0" w:type="dxa"/>
              <w:right w:w="0" w:type="dxa"/>
            </w:tcMar>
            <w:vAlign w:val="bottom"/>
          </w:tcPr>
          <w:p w14:paraId="6FC656CF" w14:textId="77777777" w:rsidR="001614AC" w:rsidRDefault="001614AC"/>
        </w:tc>
        <w:tc>
          <w:tcPr>
            <w:tcW w:w="1080" w:type="dxa"/>
            <w:gridSpan w:val="3"/>
            <w:tcBorders>
              <w:top w:val="nil"/>
              <w:left w:val="nil"/>
              <w:bottom w:val="single" w:sz="8" w:space="0" w:color="C7C9C7"/>
              <w:right w:val="nil"/>
            </w:tcBorders>
            <w:shd w:val="clear" w:color="auto" w:fill="F4F4F4"/>
            <w:tcMar>
              <w:top w:w="0" w:type="dxa"/>
              <w:left w:w="0" w:type="dxa"/>
              <w:bottom w:w="0" w:type="dxa"/>
              <w:right w:w="0" w:type="dxa"/>
            </w:tcMar>
            <w:vAlign w:val="bottom"/>
          </w:tcPr>
          <w:p w14:paraId="26FD2EDF" w14:textId="77777777" w:rsidR="001614AC" w:rsidRDefault="001614AC"/>
        </w:tc>
        <w:tc>
          <w:tcPr>
            <w:tcW w:w="105" w:type="dxa"/>
            <w:tcBorders>
              <w:top w:val="nil"/>
              <w:left w:val="nil"/>
              <w:bottom w:val="single" w:sz="8" w:space="0" w:color="C7C9C7"/>
              <w:right w:val="nil"/>
            </w:tcBorders>
            <w:shd w:val="clear" w:color="auto" w:fill="F4F4F4"/>
            <w:tcMar>
              <w:top w:w="0" w:type="dxa"/>
              <w:left w:w="0" w:type="dxa"/>
              <w:bottom w:w="0" w:type="dxa"/>
              <w:right w:w="0" w:type="dxa"/>
            </w:tcMar>
            <w:vAlign w:val="bottom"/>
          </w:tcPr>
          <w:p w14:paraId="59FBFB99" w14:textId="77777777" w:rsidR="001614AC" w:rsidRDefault="001614AC"/>
        </w:tc>
        <w:tc>
          <w:tcPr>
            <w:tcW w:w="1080" w:type="dxa"/>
            <w:gridSpan w:val="3"/>
            <w:tcBorders>
              <w:top w:val="nil"/>
              <w:left w:val="nil"/>
              <w:bottom w:val="single" w:sz="8" w:space="0" w:color="C7C9C7"/>
              <w:right w:val="nil"/>
            </w:tcBorders>
            <w:shd w:val="clear" w:color="auto" w:fill="F4F4F4"/>
            <w:tcMar>
              <w:top w:w="0" w:type="dxa"/>
              <w:left w:w="0" w:type="dxa"/>
              <w:bottom w:w="0" w:type="dxa"/>
              <w:right w:w="0" w:type="dxa"/>
            </w:tcMar>
            <w:vAlign w:val="bottom"/>
          </w:tcPr>
          <w:p w14:paraId="32F00D93" w14:textId="77777777" w:rsidR="001614AC" w:rsidRDefault="001614AC"/>
        </w:tc>
        <w:tc>
          <w:tcPr>
            <w:tcW w:w="105" w:type="dxa"/>
            <w:tcBorders>
              <w:top w:val="nil"/>
              <w:left w:val="nil"/>
              <w:bottom w:val="single" w:sz="8" w:space="0" w:color="C7C9C7"/>
              <w:right w:val="nil"/>
            </w:tcBorders>
            <w:shd w:val="clear" w:color="auto" w:fill="F4F4F4"/>
            <w:tcMar>
              <w:top w:w="0" w:type="dxa"/>
              <w:left w:w="0" w:type="dxa"/>
              <w:bottom w:w="0" w:type="dxa"/>
              <w:right w:w="0" w:type="dxa"/>
            </w:tcMar>
            <w:vAlign w:val="bottom"/>
          </w:tcPr>
          <w:p w14:paraId="3E4596F2" w14:textId="77777777" w:rsidR="001614AC" w:rsidRDefault="001614AC"/>
        </w:tc>
        <w:tc>
          <w:tcPr>
            <w:tcW w:w="1080" w:type="dxa"/>
            <w:gridSpan w:val="3"/>
            <w:tcBorders>
              <w:top w:val="nil"/>
              <w:left w:val="nil"/>
              <w:bottom w:val="single" w:sz="8" w:space="0" w:color="C7C9C7"/>
              <w:right w:val="nil"/>
            </w:tcBorders>
            <w:shd w:val="clear" w:color="auto" w:fill="F4F4F4"/>
            <w:tcMar>
              <w:top w:w="0" w:type="dxa"/>
              <w:left w:w="0" w:type="dxa"/>
              <w:bottom w:w="0" w:type="dxa"/>
              <w:right w:w="0" w:type="dxa"/>
            </w:tcMar>
            <w:vAlign w:val="bottom"/>
          </w:tcPr>
          <w:p w14:paraId="0EBC93E4" w14:textId="77777777" w:rsidR="001614AC" w:rsidRDefault="001614AC"/>
        </w:tc>
        <w:tc>
          <w:tcPr>
            <w:tcW w:w="105" w:type="dxa"/>
            <w:tcBorders>
              <w:top w:val="nil"/>
              <w:left w:val="nil"/>
              <w:bottom w:val="single" w:sz="8" w:space="0" w:color="C7C9C7"/>
              <w:right w:val="nil"/>
            </w:tcBorders>
            <w:shd w:val="clear" w:color="auto" w:fill="F4F4F4"/>
            <w:tcMar>
              <w:top w:w="0" w:type="dxa"/>
              <w:left w:w="0" w:type="dxa"/>
              <w:bottom w:w="0" w:type="dxa"/>
              <w:right w:w="0" w:type="dxa"/>
            </w:tcMar>
            <w:vAlign w:val="bottom"/>
          </w:tcPr>
          <w:p w14:paraId="73823A5D" w14:textId="77777777" w:rsidR="001614AC" w:rsidRDefault="001614AC"/>
        </w:tc>
        <w:tc>
          <w:tcPr>
            <w:tcW w:w="1080" w:type="dxa"/>
            <w:gridSpan w:val="3"/>
            <w:tcBorders>
              <w:top w:val="nil"/>
              <w:left w:val="nil"/>
              <w:bottom w:val="single" w:sz="8" w:space="0" w:color="C7C9C7"/>
              <w:right w:val="nil"/>
            </w:tcBorders>
            <w:shd w:val="clear" w:color="auto" w:fill="F4F4F4"/>
            <w:tcMar>
              <w:top w:w="0" w:type="dxa"/>
              <w:left w:w="0" w:type="dxa"/>
              <w:bottom w:w="0" w:type="dxa"/>
              <w:right w:w="0" w:type="dxa"/>
            </w:tcMar>
            <w:vAlign w:val="bottom"/>
          </w:tcPr>
          <w:p w14:paraId="6605E5E3" w14:textId="77777777" w:rsidR="001614AC" w:rsidRDefault="001614AC"/>
        </w:tc>
      </w:tr>
      <w:tr w:rsidR="001614AC" w14:paraId="13A78917" w14:textId="77777777">
        <w:trPr>
          <w:cantSplit/>
        </w:trPr>
        <w:tc>
          <w:tcPr>
            <w:tcW w:w="5505" w:type="dxa"/>
            <w:tcBorders>
              <w:top w:val="single" w:sz="8" w:space="0" w:color="C7C9C7"/>
              <w:left w:val="nil"/>
              <w:bottom w:val="single" w:sz="8" w:space="0" w:color="F4F4F4"/>
              <w:right w:val="nil"/>
            </w:tcBorders>
            <w:tcMar>
              <w:top w:w="0" w:type="dxa"/>
              <w:left w:w="53" w:type="dxa"/>
              <w:bottom w:w="0" w:type="dxa"/>
              <w:right w:w="53" w:type="dxa"/>
            </w:tcMar>
            <w:vAlign w:val="bottom"/>
          </w:tcPr>
          <w:p w14:paraId="43A1C885" w14:textId="77777777" w:rsidR="001614AC" w:rsidRDefault="004468F9">
            <w:pPr>
              <w:spacing w:before="55" w:after="30" w:line="288" w:lineRule="auto"/>
            </w:pPr>
            <w:r>
              <w:rPr>
                <w:rFonts w:ascii="Arial" w:eastAsia="Arial" w:hAnsi="Arial" w:cs="Arial"/>
                <w:color w:val="000000"/>
                <w:sz w:val="18"/>
              </w:rPr>
              <w:t>Balance, beginning of period</w:t>
            </w:r>
          </w:p>
        </w:tc>
        <w:tc>
          <w:tcPr>
            <w:tcW w:w="105" w:type="dxa"/>
            <w:tcBorders>
              <w:top w:val="single" w:sz="8" w:space="0" w:color="C7C9C7"/>
              <w:left w:val="nil"/>
              <w:bottom w:val="nil"/>
              <w:right w:val="nil"/>
            </w:tcBorders>
            <w:tcMar>
              <w:top w:w="0" w:type="dxa"/>
              <w:left w:w="0" w:type="dxa"/>
              <w:bottom w:w="0" w:type="dxa"/>
              <w:right w:w="0" w:type="dxa"/>
            </w:tcMar>
            <w:vAlign w:val="bottom"/>
          </w:tcPr>
          <w:p w14:paraId="30967181" w14:textId="77777777" w:rsidR="001614AC" w:rsidRDefault="001614AC"/>
        </w:tc>
        <w:tc>
          <w:tcPr>
            <w:tcW w:w="980" w:type="dxa"/>
            <w:gridSpan w:val="2"/>
            <w:tcBorders>
              <w:top w:val="single" w:sz="8" w:space="0" w:color="C7C9C7"/>
              <w:left w:val="nil"/>
              <w:bottom w:val="single" w:sz="8" w:space="0" w:color="F4F4F4"/>
              <w:right w:val="nil"/>
            </w:tcBorders>
            <w:tcMar>
              <w:top w:w="0" w:type="dxa"/>
              <w:left w:w="53" w:type="dxa"/>
              <w:bottom w:w="0" w:type="dxa"/>
              <w:right w:w="0" w:type="dxa"/>
            </w:tcMar>
            <w:vAlign w:val="bottom"/>
          </w:tcPr>
          <w:p w14:paraId="168D3DE1" w14:textId="77777777" w:rsidR="001614AC" w:rsidRDefault="004468F9">
            <w:pPr>
              <w:spacing w:before="55" w:after="30" w:line="288" w:lineRule="auto"/>
              <w:jc w:val="right"/>
            </w:pPr>
            <w:r>
              <w:rPr>
                <w:rFonts w:ascii="Arial" w:eastAsia="Arial" w:hAnsi="Arial" w:cs="Arial"/>
                <w:color w:val="000000"/>
                <w:sz w:val="18"/>
              </w:rPr>
              <w:t>2,242,950 </w:t>
            </w:r>
          </w:p>
        </w:tc>
        <w:tc>
          <w:tcPr>
            <w:tcW w:w="100" w:type="dxa"/>
            <w:tcBorders>
              <w:top w:val="single" w:sz="8" w:space="0" w:color="C7C9C7"/>
              <w:left w:val="nil"/>
              <w:bottom w:val="single" w:sz="8" w:space="0" w:color="F4F4F4"/>
              <w:right w:val="nil"/>
            </w:tcBorders>
            <w:tcMar>
              <w:top w:w="0" w:type="dxa"/>
              <w:left w:w="0" w:type="dxa"/>
              <w:bottom w:w="0" w:type="dxa"/>
              <w:right w:w="15" w:type="dxa"/>
            </w:tcMar>
            <w:vAlign w:val="bottom"/>
          </w:tcPr>
          <w:p w14:paraId="438B9650" w14:textId="77777777" w:rsidR="001614AC" w:rsidRDefault="001614AC">
            <w:pPr>
              <w:spacing w:before="55" w:after="30" w:line="288" w:lineRule="auto"/>
              <w:jc w:val="right"/>
            </w:pPr>
          </w:p>
        </w:tc>
        <w:tc>
          <w:tcPr>
            <w:tcW w:w="105" w:type="dxa"/>
            <w:tcBorders>
              <w:top w:val="single" w:sz="8" w:space="0" w:color="C7C9C7"/>
              <w:left w:val="nil"/>
              <w:bottom w:val="nil"/>
              <w:right w:val="nil"/>
            </w:tcBorders>
            <w:tcMar>
              <w:top w:w="0" w:type="dxa"/>
              <w:left w:w="0" w:type="dxa"/>
              <w:bottom w:w="0" w:type="dxa"/>
              <w:right w:w="0" w:type="dxa"/>
            </w:tcMar>
            <w:vAlign w:val="bottom"/>
          </w:tcPr>
          <w:p w14:paraId="5D125008" w14:textId="77777777" w:rsidR="001614AC" w:rsidRDefault="001614AC"/>
        </w:tc>
        <w:tc>
          <w:tcPr>
            <w:tcW w:w="980" w:type="dxa"/>
            <w:gridSpan w:val="2"/>
            <w:tcBorders>
              <w:top w:val="single" w:sz="8" w:space="0" w:color="C7C9C7"/>
              <w:left w:val="nil"/>
              <w:bottom w:val="single" w:sz="8" w:space="0" w:color="F4F4F4"/>
              <w:right w:val="nil"/>
            </w:tcBorders>
            <w:tcMar>
              <w:top w:w="0" w:type="dxa"/>
              <w:left w:w="53" w:type="dxa"/>
              <w:bottom w:w="0" w:type="dxa"/>
              <w:right w:w="0" w:type="dxa"/>
            </w:tcMar>
            <w:vAlign w:val="bottom"/>
          </w:tcPr>
          <w:p w14:paraId="22951C00" w14:textId="77777777" w:rsidR="001614AC" w:rsidRDefault="004468F9">
            <w:pPr>
              <w:spacing w:before="55" w:after="30" w:line="288" w:lineRule="auto"/>
              <w:jc w:val="right"/>
            </w:pPr>
            <w:r>
              <w:rPr>
                <w:rFonts w:ascii="Arial" w:eastAsia="Arial" w:hAnsi="Arial" w:cs="Arial"/>
                <w:color w:val="000000"/>
                <w:sz w:val="18"/>
              </w:rPr>
              <w:t>2,231,670 </w:t>
            </w:r>
          </w:p>
        </w:tc>
        <w:tc>
          <w:tcPr>
            <w:tcW w:w="100" w:type="dxa"/>
            <w:tcBorders>
              <w:top w:val="single" w:sz="8" w:space="0" w:color="C7C9C7"/>
              <w:left w:val="nil"/>
              <w:bottom w:val="single" w:sz="8" w:space="0" w:color="F4F4F4"/>
              <w:right w:val="nil"/>
            </w:tcBorders>
            <w:tcMar>
              <w:top w:w="0" w:type="dxa"/>
              <w:left w:w="0" w:type="dxa"/>
              <w:bottom w:w="0" w:type="dxa"/>
              <w:right w:w="15" w:type="dxa"/>
            </w:tcMar>
            <w:vAlign w:val="bottom"/>
          </w:tcPr>
          <w:p w14:paraId="4D5FDE5A" w14:textId="77777777" w:rsidR="001614AC" w:rsidRDefault="001614AC">
            <w:pPr>
              <w:spacing w:before="55" w:after="30" w:line="288" w:lineRule="auto"/>
              <w:jc w:val="right"/>
            </w:pPr>
          </w:p>
        </w:tc>
        <w:tc>
          <w:tcPr>
            <w:tcW w:w="105" w:type="dxa"/>
            <w:tcBorders>
              <w:top w:val="single" w:sz="8" w:space="0" w:color="C7C9C7"/>
              <w:left w:val="nil"/>
              <w:bottom w:val="nil"/>
              <w:right w:val="nil"/>
            </w:tcBorders>
            <w:tcMar>
              <w:top w:w="0" w:type="dxa"/>
              <w:left w:w="0" w:type="dxa"/>
              <w:bottom w:w="0" w:type="dxa"/>
              <w:right w:w="0" w:type="dxa"/>
            </w:tcMar>
            <w:vAlign w:val="bottom"/>
          </w:tcPr>
          <w:p w14:paraId="71E1FEEE" w14:textId="77777777" w:rsidR="001614AC" w:rsidRDefault="001614AC"/>
        </w:tc>
        <w:tc>
          <w:tcPr>
            <w:tcW w:w="980" w:type="dxa"/>
            <w:gridSpan w:val="2"/>
            <w:tcBorders>
              <w:top w:val="single" w:sz="8" w:space="0" w:color="C7C9C7"/>
              <w:left w:val="nil"/>
              <w:bottom w:val="single" w:sz="8" w:space="0" w:color="F4F4F4"/>
              <w:right w:val="nil"/>
            </w:tcBorders>
            <w:tcMar>
              <w:top w:w="0" w:type="dxa"/>
              <w:left w:w="53" w:type="dxa"/>
              <w:bottom w:w="0" w:type="dxa"/>
              <w:right w:w="0" w:type="dxa"/>
            </w:tcMar>
            <w:vAlign w:val="bottom"/>
          </w:tcPr>
          <w:p w14:paraId="05FDE14F" w14:textId="77777777" w:rsidR="001614AC" w:rsidRDefault="004468F9">
            <w:pPr>
              <w:spacing w:before="55" w:after="30" w:line="288" w:lineRule="auto"/>
              <w:jc w:val="right"/>
            </w:pPr>
            <w:r>
              <w:rPr>
                <w:rFonts w:ascii="Arial" w:eastAsia="Arial" w:hAnsi="Arial" w:cs="Arial"/>
                <w:color w:val="000000"/>
                <w:sz w:val="18"/>
              </w:rPr>
              <w:t>2,245,897 </w:t>
            </w:r>
          </w:p>
        </w:tc>
        <w:tc>
          <w:tcPr>
            <w:tcW w:w="100" w:type="dxa"/>
            <w:tcBorders>
              <w:top w:val="single" w:sz="8" w:space="0" w:color="C7C9C7"/>
              <w:left w:val="nil"/>
              <w:bottom w:val="single" w:sz="8" w:space="0" w:color="F4F4F4"/>
              <w:right w:val="nil"/>
            </w:tcBorders>
            <w:tcMar>
              <w:top w:w="0" w:type="dxa"/>
              <w:left w:w="0" w:type="dxa"/>
              <w:bottom w:w="0" w:type="dxa"/>
              <w:right w:w="15" w:type="dxa"/>
            </w:tcMar>
            <w:vAlign w:val="bottom"/>
          </w:tcPr>
          <w:p w14:paraId="77B93617" w14:textId="77777777" w:rsidR="001614AC" w:rsidRDefault="001614AC">
            <w:pPr>
              <w:spacing w:before="55" w:after="30" w:line="288" w:lineRule="auto"/>
              <w:jc w:val="right"/>
            </w:pPr>
          </w:p>
        </w:tc>
        <w:tc>
          <w:tcPr>
            <w:tcW w:w="105" w:type="dxa"/>
            <w:tcBorders>
              <w:top w:val="single" w:sz="8" w:space="0" w:color="C7C9C7"/>
              <w:left w:val="nil"/>
              <w:bottom w:val="nil"/>
              <w:right w:val="nil"/>
            </w:tcBorders>
            <w:tcMar>
              <w:top w:w="0" w:type="dxa"/>
              <w:left w:w="0" w:type="dxa"/>
              <w:bottom w:w="0" w:type="dxa"/>
              <w:right w:w="0" w:type="dxa"/>
            </w:tcMar>
            <w:vAlign w:val="bottom"/>
          </w:tcPr>
          <w:p w14:paraId="175CF882" w14:textId="77777777" w:rsidR="001614AC" w:rsidRDefault="001614AC"/>
        </w:tc>
        <w:tc>
          <w:tcPr>
            <w:tcW w:w="980" w:type="dxa"/>
            <w:gridSpan w:val="2"/>
            <w:tcBorders>
              <w:top w:val="single" w:sz="8" w:space="0" w:color="C7C9C7"/>
              <w:left w:val="nil"/>
              <w:bottom w:val="single" w:sz="8" w:space="0" w:color="F4F4F4"/>
              <w:right w:val="nil"/>
            </w:tcBorders>
            <w:tcMar>
              <w:top w:w="0" w:type="dxa"/>
              <w:left w:w="53" w:type="dxa"/>
              <w:bottom w:w="0" w:type="dxa"/>
              <w:right w:w="0" w:type="dxa"/>
            </w:tcMar>
            <w:vAlign w:val="bottom"/>
          </w:tcPr>
          <w:p w14:paraId="64B65948" w14:textId="77777777" w:rsidR="001614AC" w:rsidRDefault="004468F9">
            <w:pPr>
              <w:spacing w:before="55" w:after="30" w:line="288" w:lineRule="auto"/>
              <w:jc w:val="right"/>
            </w:pPr>
            <w:r>
              <w:rPr>
                <w:rFonts w:ascii="Arial" w:eastAsia="Arial" w:hAnsi="Arial" w:cs="Arial"/>
                <w:color w:val="000000"/>
                <w:sz w:val="18"/>
              </w:rPr>
              <w:t>2,449,884 </w:t>
            </w:r>
          </w:p>
        </w:tc>
        <w:tc>
          <w:tcPr>
            <w:tcW w:w="100" w:type="dxa"/>
            <w:tcBorders>
              <w:top w:val="single" w:sz="8" w:space="0" w:color="C7C9C7"/>
              <w:left w:val="nil"/>
              <w:bottom w:val="single" w:sz="8" w:space="0" w:color="F4F4F4"/>
              <w:right w:val="nil"/>
            </w:tcBorders>
            <w:tcMar>
              <w:top w:w="0" w:type="dxa"/>
              <w:left w:w="0" w:type="dxa"/>
              <w:bottom w:w="0" w:type="dxa"/>
              <w:right w:w="15" w:type="dxa"/>
            </w:tcMar>
            <w:vAlign w:val="bottom"/>
          </w:tcPr>
          <w:p w14:paraId="428C18FD" w14:textId="77777777" w:rsidR="001614AC" w:rsidRDefault="001614AC">
            <w:pPr>
              <w:spacing w:before="55" w:after="30" w:line="288" w:lineRule="auto"/>
              <w:jc w:val="right"/>
            </w:pPr>
          </w:p>
        </w:tc>
      </w:tr>
      <w:tr w:rsidR="001614AC" w14:paraId="3D4AF4AB" w14:textId="77777777">
        <w:trPr>
          <w:cantSplit/>
        </w:trPr>
        <w:tc>
          <w:tcPr>
            <w:tcW w:w="5505" w:type="dxa"/>
            <w:tcBorders>
              <w:top w:val="single" w:sz="8" w:space="0" w:color="F4F4F4"/>
              <w:left w:val="nil"/>
              <w:bottom w:val="single" w:sz="8" w:space="0" w:color="F4F4F4"/>
              <w:right w:val="nil"/>
            </w:tcBorders>
            <w:tcMar>
              <w:top w:w="0" w:type="dxa"/>
              <w:left w:w="53" w:type="dxa"/>
              <w:bottom w:w="0" w:type="dxa"/>
              <w:right w:w="53" w:type="dxa"/>
            </w:tcMar>
            <w:vAlign w:val="bottom"/>
          </w:tcPr>
          <w:p w14:paraId="1D42EF67" w14:textId="77777777" w:rsidR="001614AC" w:rsidRDefault="004468F9">
            <w:pPr>
              <w:spacing w:before="55" w:after="30" w:line="288" w:lineRule="auto"/>
              <w:ind w:left="240"/>
            </w:pPr>
            <w:r>
              <w:rPr>
                <w:rFonts w:ascii="Arial" w:eastAsia="Arial" w:hAnsi="Arial" w:cs="Arial"/>
                <w:color w:val="000000"/>
                <w:sz w:val="18"/>
              </w:rPr>
              <w:t>Issuance of common stock under incentive and benefit plans</w:t>
            </w:r>
          </w:p>
        </w:tc>
        <w:tc>
          <w:tcPr>
            <w:tcW w:w="105" w:type="dxa"/>
            <w:tcBorders>
              <w:top w:val="nil"/>
              <w:left w:val="nil"/>
              <w:bottom w:val="nil"/>
              <w:right w:val="nil"/>
            </w:tcBorders>
            <w:tcMar>
              <w:top w:w="0" w:type="dxa"/>
              <w:left w:w="0" w:type="dxa"/>
              <w:bottom w:w="0" w:type="dxa"/>
              <w:right w:w="0" w:type="dxa"/>
            </w:tcMar>
            <w:vAlign w:val="bottom"/>
          </w:tcPr>
          <w:p w14:paraId="2BE7172A" w14:textId="77777777" w:rsidR="001614AC" w:rsidRDefault="001614AC"/>
        </w:tc>
        <w:tc>
          <w:tcPr>
            <w:tcW w:w="980"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5B706A71" w14:textId="77777777" w:rsidR="001614AC" w:rsidRDefault="004468F9">
            <w:pPr>
              <w:spacing w:before="55" w:after="30" w:line="288" w:lineRule="auto"/>
              <w:jc w:val="right"/>
            </w:pPr>
            <w:r>
              <w:rPr>
                <w:rFonts w:ascii="Arial" w:eastAsia="Arial" w:hAnsi="Arial" w:cs="Arial"/>
                <w:color w:val="000000"/>
                <w:sz w:val="18"/>
              </w:rPr>
              <w:t>770 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02B05622" w14:textId="77777777" w:rsidR="001614AC" w:rsidRDefault="001614AC">
            <w:pPr>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41E50B1A" w14:textId="77777777" w:rsidR="001614AC" w:rsidRDefault="001614AC"/>
        </w:tc>
        <w:tc>
          <w:tcPr>
            <w:tcW w:w="980"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0AE7B97F" w14:textId="77777777" w:rsidR="001614AC" w:rsidRDefault="004468F9">
            <w:pPr>
              <w:spacing w:before="55" w:after="30" w:line="288" w:lineRule="auto"/>
              <w:jc w:val="right"/>
            </w:pPr>
            <w:r>
              <w:rPr>
                <w:rFonts w:ascii="Arial" w:eastAsia="Arial" w:hAnsi="Arial" w:cs="Arial"/>
                <w:color w:val="000000"/>
                <w:sz w:val="18"/>
              </w:rPr>
              <w:t>36 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76C3E778" w14:textId="77777777" w:rsidR="001614AC" w:rsidRDefault="001614AC">
            <w:pPr>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5493D87C" w14:textId="77777777" w:rsidR="001614AC" w:rsidRDefault="001614AC"/>
        </w:tc>
        <w:tc>
          <w:tcPr>
            <w:tcW w:w="980"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46E4EA7B" w14:textId="77777777" w:rsidR="001614AC" w:rsidRDefault="004468F9">
            <w:pPr>
              <w:spacing w:before="55" w:after="30" w:line="288" w:lineRule="auto"/>
              <w:jc w:val="right"/>
            </w:pPr>
            <w:r>
              <w:rPr>
                <w:rFonts w:ascii="Arial" w:eastAsia="Arial" w:hAnsi="Arial" w:cs="Arial"/>
                <w:color w:val="000000"/>
                <w:sz w:val="18"/>
              </w:rPr>
              <w:t>1,937 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57045DEE" w14:textId="77777777" w:rsidR="001614AC" w:rsidRDefault="001614AC">
            <w:pPr>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5D9446DB" w14:textId="77777777" w:rsidR="001614AC" w:rsidRDefault="001614AC"/>
        </w:tc>
        <w:tc>
          <w:tcPr>
            <w:tcW w:w="980"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1C6F1FC5" w14:textId="77777777" w:rsidR="001614AC" w:rsidRDefault="004468F9">
            <w:pPr>
              <w:spacing w:before="55" w:after="30" w:line="288" w:lineRule="auto"/>
              <w:jc w:val="right"/>
            </w:pPr>
            <w:r>
              <w:rPr>
                <w:rFonts w:ascii="Arial" w:eastAsia="Arial" w:hAnsi="Arial" w:cs="Arial"/>
                <w:color w:val="000000"/>
                <w:sz w:val="18"/>
              </w:rPr>
              <w:t>2,271 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6E2284BB" w14:textId="77777777" w:rsidR="001614AC" w:rsidRDefault="001614AC">
            <w:pPr>
              <w:spacing w:before="55" w:after="30" w:line="288" w:lineRule="auto"/>
              <w:jc w:val="right"/>
            </w:pPr>
          </w:p>
        </w:tc>
      </w:tr>
      <w:tr w:rsidR="001614AC" w14:paraId="07021374" w14:textId="77777777">
        <w:trPr>
          <w:cantSplit/>
        </w:trPr>
        <w:tc>
          <w:tcPr>
            <w:tcW w:w="5505" w:type="dxa"/>
            <w:tcBorders>
              <w:top w:val="single" w:sz="8" w:space="0" w:color="F4F4F4"/>
              <w:left w:val="nil"/>
              <w:bottom w:val="single" w:sz="8" w:space="0" w:color="F4F4F4"/>
              <w:right w:val="nil"/>
            </w:tcBorders>
            <w:tcMar>
              <w:top w:w="0" w:type="dxa"/>
              <w:left w:w="53" w:type="dxa"/>
              <w:bottom w:w="0" w:type="dxa"/>
              <w:right w:w="53" w:type="dxa"/>
            </w:tcMar>
            <w:vAlign w:val="bottom"/>
          </w:tcPr>
          <w:p w14:paraId="7F990BF9" w14:textId="77777777" w:rsidR="001614AC" w:rsidRDefault="004468F9">
            <w:pPr>
              <w:spacing w:before="55" w:after="30" w:line="288" w:lineRule="auto"/>
              <w:ind w:left="240"/>
            </w:pPr>
            <w:r>
              <w:rPr>
                <w:rFonts w:ascii="Arial" w:eastAsia="Arial" w:hAnsi="Arial" w:cs="Arial"/>
                <w:color w:val="000000"/>
                <w:sz w:val="18"/>
              </w:rPr>
              <w:t>Share-based compensation</w:t>
            </w:r>
          </w:p>
        </w:tc>
        <w:tc>
          <w:tcPr>
            <w:tcW w:w="105" w:type="dxa"/>
            <w:tcBorders>
              <w:top w:val="nil"/>
              <w:left w:val="nil"/>
              <w:bottom w:val="nil"/>
              <w:right w:val="nil"/>
            </w:tcBorders>
            <w:tcMar>
              <w:top w:w="0" w:type="dxa"/>
              <w:left w:w="0" w:type="dxa"/>
              <w:bottom w:w="0" w:type="dxa"/>
              <w:right w:w="0" w:type="dxa"/>
            </w:tcMar>
            <w:vAlign w:val="bottom"/>
          </w:tcPr>
          <w:p w14:paraId="2D6D5714" w14:textId="77777777" w:rsidR="001614AC" w:rsidRDefault="001614AC"/>
        </w:tc>
        <w:tc>
          <w:tcPr>
            <w:tcW w:w="980"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56B26B69" w14:textId="77777777" w:rsidR="001614AC" w:rsidRDefault="004468F9">
            <w:pPr>
              <w:spacing w:before="55" w:after="30" w:line="288" w:lineRule="auto"/>
              <w:jc w:val="right"/>
            </w:pPr>
            <w:r>
              <w:rPr>
                <w:rFonts w:ascii="Arial" w:eastAsia="Arial" w:hAnsi="Arial" w:cs="Arial"/>
                <w:color w:val="000000"/>
                <w:sz w:val="18"/>
              </w:rPr>
              <w:t>8,191 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15CF907C" w14:textId="77777777" w:rsidR="001614AC" w:rsidRDefault="001614AC">
            <w:pPr>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56E6A9C1" w14:textId="77777777" w:rsidR="001614AC" w:rsidRDefault="001614AC"/>
        </w:tc>
        <w:tc>
          <w:tcPr>
            <w:tcW w:w="980"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6A0B409B" w14:textId="77777777" w:rsidR="001614AC" w:rsidRDefault="004468F9">
            <w:pPr>
              <w:spacing w:before="55" w:after="30" w:line="288" w:lineRule="auto"/>
              <w:jc w:val="right"/>
            </w:pPr>
            <w:r>
              <w:rPr>
                <w:rFonts w:ascii="Arial" w:eastAsia="Arial" w:hAnsi="Arial" w:cs="Arial"/>
                <w:color w:val="000000"/>
                <w:sz w:val="18"/>
              </w:rPr>
              <w:t>1,243 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4CBA5EF0" w14:textId="77777777" w:rsidR="001614AC" w:rsidRDefault="001614AC">
            <w:pPr>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24D8F4DB" w14:textId="77777777" w:rsidR="001614AC" w:rsidRDefault="001614AC"/>
        </w:tc>
        <w:tc>
          <w:tcPr>
            <w:tcW w:w="980"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32363CF7" w14:textId="77777777" w:rsidR="001614AC" w:rsidRDefault="004468F9">
            <w:pPr>
              <w:spacing w:before="55" w:after="30" w:line="288" w:lineRule="auto"/>
              <w:jc w:val="right"/>
            </w:pPr>
            <w:r>
              <w:rPr>
                <w:rFonts w:ascii="Arial" w:eastAsia="Arial" w:hAnsi="Arial" w:cs="Arial"/>
                <w:color w:val="000000"/>
                <w:sz w:val="18"/>
              </w:rPr>
              <w:t>12,714 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65CDAD8A" w14:textId="77777777" w:rsidR="001614AC" w:rsidRDefault="001614AC">
            <w:pPr>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1E8770DC" w14:textId="77777777" w:rsidR="001614AC" w:rsidRDefault="001614AC"/>
        </w:tc>
        <w:tc>
          <w:tcPr>
            <w:tcW w:w="980"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4D0166B6" w14:textId="77777777" w:rsidR="001614AC" w:rsidRDefault="004468F9">
            <w:pPr>
              <w:spacing w:before="55" w:after="30" w:line="288" w:lineRule="auto"/>
              <w:jc w:val="right"/>
            </w:pPr>
            <w:r>
              <w:rPr>
                <w:rFonts w:ascii="Arial" w:eastAsia="Arial" w:hAnsi="Arial" w:cs="Arial"/>
                <w:color w:val="000000"/>
                <w:sz w:val="18"/>
              </w:rPr>
              <w:t>7,088 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49CE3633" w14:textId="77777777" w:rsidR="001614AC" w:rsidRDefault="001614AC">
            <w:pPr>
              <w:spacing w:before="55" w:after="30" w:line="288" w:lineRule="auto"/>
              <w:jc w:val="right"/>
            </w:pPr>
          </w:p>
        </w:tc>
      </w:tr>
      <w:tr w:rsidR="001614AC" w14:paraId="0F41427F" w14:textId="77777777">
        <w:trPr>
          <w:cantSplit/>
        </w:trPr>
        <w:tc>
          <w:tcPr>
            <w:tcW w:w="5505" w:type="dxa"/>
            <w:tcBorders>
              <w:top w:val="single" w:sz="8" w:space="0" w:color="F4F4F4"/>
              <w:left w:val="nil"/>
              <w:bottom w:val="nil"/>
              <w:right w:val="nil"/>
            </w:tcBorders>
            <w:tcMar>
              <w:top w:w="0" w:type="dxa"/>
              <w:left w:w="53" w:type="dxa"/>
              <w:bottom w:w="0" w:type="dxa"/>
              <w:right w:w="53" w:type="dxa"/>
            </w:tcMar>
            <w:vAlign w:val="bottom"/>
          </w:tcPr>
          <w:p w14:paraId="75B10335" w14:textId="77777777" w:rsidR="001614AC" w:rsidRDefault="004468F9">
            <w:pPr>
              <w:spacing w:before="55" w:after="30" w:line="288" w:lineRule="auto"/>
              <w:ind w:left="240"/>
              <w:rPr>
                <w:rFonts w:ascii="Arial" w:eastAsia="Arial" w:hAnsi="Arial" w:cs="Arial"/>
                <w:sz w:val="18"/>
              </w:rPr>
            </w:pPr>
            <w:r>
              <w:rPr>
                <w:rFonts w:ascii="Arial" w:eastAsia="Arial" w:hAnsi="Arial" w:cs="Arial"/>
                <w:sz w:val="18"/>
              </w:rPr>
              <w:t>Shares repurchased under share repurchase program (Note 14)</w:t>
            </w:r>
          </w:p>
        </w:tc>
        <w:tc>
          <w:tcPr>
            <w:tcW w:w="105" w:type="dxa"/>
            <w:tcBorders>
              <w:top w:val="nil"/>
              <w:left w:val="nil"/>
              <w:bottom w:val="nil"/>
              <w:right w:val="nil"/>
            </w:tcBorders>
            <w:tcMar>
              <w:top w:w="0" w:type="dxa"/>
              <w:left w:w="0" w:type="dxa"/>
              <w:bottom w:w="0" w:type="dxa"/>
              <w:right w:w="0" w:type="dxa"/>
            </w:tcMar>
            <w:vAlign w:val="bottom"/>
          </w:tcPr>
          <w:p w14:paraId="22D4FFB1" w14:textId="77777777" w:rsidR="001614AC" w:rsidRDefault="001614AC"/>
        </w:tc>
        <w:tc>
          <w:tcPr>
            <w:tcW w:w="980" w:type="dxa"/>
            <w:gridSpan w:val="2"/>
            <w:tcBorders>
              <w:top w:val="single" w:sz="8" w:space="0" w:color="F4F4F4"/>
              <w:left w:val="nil"/>
              <w:bottom w:val="single" w:sz="8" w:space="0" w:color="C7C9C7"/>
              <w:right w:val="nil"/>
            </w:tcBorders>
            <w:tcMar>
              <w:top w:w="0" w:type="dxa"/>
              <w:left w:w="53" w:type="dxa"/>
              <w:bottom w:w="0" w:type="dxa"/>
              <w:right w:w="0" w:type="dxa"/>
            </w:tcMar>
            <w:vAlign w:val="bottom"/>
          </w:tcPr>
          <w:p w14:paraId="6061F174" w14:textId="77777777" w:rsidR="001614AC" w:rsidRDefault="004468F9">
            <w:pPr>
              <w:spacing w:before="55" w:after="30" w:line="288" w:lineRule="auto"/>
              <w:jc w:val="right"/>
            </w:pPr>
            <w:r>
              <w:rPr>
                <w:rFonts w:ascii="Arial" w:eastAsia="Arial" w:hAnsi="Arial" w:cs="Arial"/>
                <w:color w:val="000000"/>
                <w:sz w:val="18"/>
              </w:rPr>
              <w:t>(90,054)</w:t>
            </w:r>
          </w:p>
        </w:tc>
        <w:tc>
          <w:tcPr>
            <w:tcW w:w="100" w:type="dxa"/>
            <w:tcBorders>
              <w:top w:val="single" w:sz="8" w:space="0" w:color="F4F4F4"/>
              <w:left w:val="nil"/>
              <w:bottom w:val="single" w:sz="8" w:space="0" w:color="C7C9C7"/>
              <w:right w:val="nil"/>
            </w:tcBorders>
            <w:tcMar>
              <w:top w:w="0" w:type="dxa"/>
              <w:left w:w="0" w:type="dxa"/>
              <w:bottom w:w="0" w:type="dxa"/>
              <w:right w:w="15" w:type="dxa"/>
            </w:tcMar>
            <w:vAlign w:val="bottom"/>
          </w:tcPr>
          <w:p w14:paraId="2878EC46" w14:textId="77777777" w:rsidR="001614AC" w:rsidRDefault="001614AC">
            <w:pPr>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420CF9F1" w14:textId="77777777" w:rsidR="001614AC" w:rsidRDefault="001614AC"/>
        </w:tc>
        <w:tc>
          <w:tcPr>
            <w:tcW w:w="980" w:type="dxa"/>
            <w:gridSpan w:val="2"/>
            <w:tcBorders>
              <w:top w:val="single" w:sz="8" w:space="0" w:color="F4F4F4"/>
              <w:left w:val="nil"/>
              <w:bottom w:val="single" w:sz="8" w:space="0" w:color="C7C9C7"/>
              <w:right w:val="nil"/>
            </w:tcBorders>
            <w:tcMar>
              <w:top w:w="0" w:type="dxa"/>
              <w:left w:w="53" w:type="dxa"/>
              <w:bottom w:w="0" w:type="dxa"/>
              <w:right w:w="0" w:type="dxa"/>
            </w:tcMar>
            <w:vAlign w:val="bottom"/>
          </w:tcPr>
          <w:p w14:paraId="06DD7B74" w14:textId="77777777" w:rsidR="001614AC" w:rsidRDefault="004468F9">
            <w:pPr>
              <w:spacing w:before="55" w:after="30" w:line="288" w:lineRule="auto"/>
              <w:jc w:val="right"/>
            </w:pPr>
            <w:r>
              <w:rPr>
                <w:rFonts w:ascii="Arial" w:eastAsia="Arial" w:hAnsi="Arial" w:cs="Arial"/>
                <w:color w:val="000000"/>
                <w:sz w:val="18"/>
              </w:rPr>
              <w:t>— </w:t>
            </w:r>
          </w:p>
        </w:tc>
        <w:tc>
          <w:tcPr>
            <w:tcW w:w="100" w:type="dxa"/>
            <w:tcBorders>
              <w:top w:val="single" w:sz="8" w:space="0" w:color="F4F4F4"/>
              <w:left w:val="nil"/>
              <w:bottom w:val="single" w:sz="8" w:space="0" w:color="C7C9C7"/>
              <w:right w:val="nil"/>
            </w:tcBorders>
            <w:tcMar>
              <w:top w:w="0" w:type="dxa"/>
              <w:left w:w="0" w:type="dxa"/>
              <w:bottom w:w="0" w:type="dxa"/>
              <w:right w:w="15" w:type="dxa"/>
            </w:tcMar>
            <w:vAlign w:val="bottom"/>
          </w:tcPr>
          <w:p w14:paraId="79D5D001" w14:textId="77777777" w:rsidR="001614AC" w:rsidRDefault="001614AC">
            <w:pPr>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1A999F6A" w14:textId="77777777" w:rsidR="001614AC" w:rsidRDefault="001614AC"/>
        </w:tc>
        <w:tc>
          <w:tcPr>
            <w:tcW w:w="980" w:type="dxa"/>
            <w:gridSpan w:val="2"/>
            <w:tcBorders>
              <w:top w:val="single" w:sz="8" w:space="0" w:color="F4F4F4"/>
              <w:left w:val="nil"/>
              <w:bottom w:val="single" w:sz="8" w:space="0" w:color="C7C9C7"/>
              <w:right w:val="nil"/>
            </w:tcBorders>
            <w:tcMar>
              <w:top w:w="0" w:type="dxa"/>
              <w:left w:w="53" w:type="dxa"/>
              <w:bottom w:w="0" w:type="dxa"/>
              <w:right w:w="0" w:type="dxa"/>
            </w:tcMar>
            <w:vAlign w:val="bottom"/>
          </w:tcPr>
          <w:p w14:paraId="12857276" w14:textId="77777777" w:rsidR="001614AC" w:rsidRDefault="004468F9">
            <w:pPr>
              <w:spacing w:before="55" w:after="30" w:line="288" w:lineRule="auto"/>
              <w:jc w:val="right"/>
            </w:pPr>
            <w:r>
              <w:rPr>
                <w:rFonts w:ascii="Arial" w:eastAsia="Arial" w:hAnsi="Arial" w:cs="Arial"/>
                <w:color w:val="000000"/>
                <w:sz w:val="18"/>
              </w:rPr>
              <w:t>(98,691)</w:t>
            </w:r>
          </w:p>
        </w:tc>
        <w:tc>
          <w:tcPr>
            <w:tcW w:w="100" w:type="dxa"/>
            <w:tcBorders>
              <w:top w:val="single" w:sz="8" w:space="0" w:color="F4F4F4"/>
              <w:left w:val="nil"/>
              <w:bottom w:val="single" w:sz="8" w:space="0" w:color="C7C9C7"/>
              <w:right w:val="nil"/>
            </w:tcBorders>
            <w:tcMar>
              <w:top w:w="0" w:type="dxa"/>
              <w:left w:w="0" w:type="dxa"/>
              <w:bottom w:w="0" w:type="dxa"/>
              <w:right w:w="15" w:type="dxa"/>
            </w:tcMar>
            <w:vAlign w:val="bottom"/>
          </w:tcPr>
          <w:p w14:paraId="2484E140" w14:textId="77777777" w:rsidR="001614AC" w:rsidRDefault="001614AC">
            <w:pPr>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18C21990" w14:textId="77777777" w:rsidR="001614AC" w:rsidRDefault="001614AC"/>
        </w:tc>
        <w:tc>
          <w:tcPr>
            <w:tcW w:w="980" w:type="dxa"/>
            <w:gridSpan w:val="2"/>
            <w:tcBorders>
              <w:top w:val="single" w:sz="8" w:space="0" w:color="F4F4F4"/>
              <w:left w:val="nil"/>
              <w:bottom w:val="single" w:sz="8" w:space="0" w:color="C7C9C7"/>
              <w:right w:val="nil"/>
            </w:tcBorders>
            <w:tcMar>
              <w:top w:w="0" w:type="dxa"/>
              <w:left w:w="53" w:type="dxa"/>
              <w:bottom w:w="0" w:type="dxa"/>
              <w:right w:w="0" w:type="dxa"/>
            </w:tcMar>
            <w:vAlign w:val="bottom"/>
          </w:tcPr>
          <w:p w14:paraId="695B5D76" w14:textId="77777777" w:rsidR="001614AC" w:rsidRDefault="004468F9">
            <w:pPr>
              <w:spacing w:before="55" w:after="30" w:line="288" w:lineRule="auto"/>
              <w:jc w:val="right"/>
            </w:pPr>
            <w:r>
              <w:rPr>
                <w:rFonts w:ascii="Arial" w:eastAsia="Arial" w:hAnsi="Arial" w:cs="Arial"/>
                <w:color w:val="000000"/>
                <w:sz w:val="18"/>
              </w:rPr>
              <w:t>(226,294)</w:t>
            </w:r>
          </w:p>
        </w:tc>
        <w:tc>
          <w:tcPr>
            <w:tcW w:w="100" w:type="dxa"/>
            <w:tcBorders>
              <w:top w:val="single" w:sz="8" w:space="0" w:color="F4F4F4"/>
              <w:left w:val="nil"/>
              <w:bottom w:val="single" w:sz="8" w:space="0" w:color="C7C9C7"/>
              <w:right w:val="nil"/>
            </w:tcBorders>
            <w:tcMar>
              <w:top w:w="0" w:type="dxa"/>
              <w:left w:w="0" w:type="dxa"/>
              <w:bottom w:w="0" w:type="dxa"/>
              <w:right w:w="15" w:type="dxa"/>
            </w:tcMar>
            <w:vAlign w:val="bottom"/>
          </w:tcPr>
          <w:p w14:paraId="711D61E3" w14:textId="77777777" w:rsidR="001614AC" w:rsidRDefault="001614AC">
            <w:pPr>
              <w:spacing w:before="55" w:after="30" w:line="288" w:lineRule="auto"/>
              <w:jc w:val="right"/>
            </w:pPr>
          </w:p>
        </w:tc>
      </w:tr>
      <w:tr w:rsidR="001614AC" w14:paraId="29F1DD51" w14:textId="77777777">
        <w:trPr>
          <w:cantSplit/>
        </w:trPr>
        <w:tc>
          <w:tcPr>
            <w:tcW w:w="5505" w:type="dxa"/>
            <w:tcBorders>
              <w:top w:val="nil"/>
              <w:left w:val="nil"/>
              <w:bottom w:val="nil"/>
              <w:right w:val="nil"/>
            </w:tcBorders>
            <w:shd w:val="clear" w:color="auto" w:fill="F4F4F4"/>
            <w:tcMar>
              <w:top w:w="0" w:type="dxa"/>
              <w:left w:w="53" w:type="dxa"/>
              <w:bottom w:w="0" w:type="dxa"/>
              <w:right w:w="53" w:type="dxa"/>
            </w:tcMar>
            <w:vAlign w:val="bottom"/>
          </w:tcPr>
          <w:p w14:paraId="55A0AD85" w14:textId="77777777" w:rsidR="001614AC" w:rsidRDefault="004468F9">
            <w:pPr>
              <w:spacing w:before="75" w:after="30" w:line="288" w:lineRule="auto"/>
            </w:pPr>
            <w:r>
              <w:rPr>
                <w:rFonts w:ascii="Arial" w:eastAsia="Arial" w:hAnsi="Arial" w:cs="Arial"/>
                <w:color w:val="000000"/>
                <w:sz w:val="18"/>
              </w:rPr>
              <w:t>Balance, end of period</w:t>
            </w:r>
          </w:p>
        </w:tc>
        <w:tc>
          <w:tcPr>
            <w:tcW w:w="105" w:type="dxa"/>
            <w:tcBorders>
              <w:top w:val="nil"/>
              <w:left w:val="nil"/>
              <w:bottom w:val="nil"/>
              <w:right w:val="nil"/>
            </w:tcBorders>
            <w:shd w:val="clear" w:color="auto" w:fill="F4F4F4"/>
            <w:tcMar>
              <w:top w:w="0" w:type="dxa"/>
              <w:left w:w="0" w:type="dxa"/>
              <w:bottom w:w="0" w:type="dxa"/>
              <w:right w:w="0" w:type="dxa"/>
            </w:tcMar>
            <w:vAlign w:val="bottom"/>
          </w:tcPr>
          <w:p w14:paraId="102DA7AD" w14:textId="77777777" w:rsidR="001614AC" w:rsidRDefault="001614AC"/>
        </w:tc>
        <w:tc>
          <w:tcPr>
            <w:tcW w:w="980" w:type="dxa"/>
            <w:gridSpan w:val="2"/>
            <w:tcBorders>
              <w:top w:val="single" w:sz="8" w:space="0" w:color="C7C9C7"/>
              <w:left w:val="nil"/>
              <w:bottom w:val="single" w:sz="8" w:space="0" w:color="C7C9C7"/>
              <w:right w:val="nil"/>
            </w:tcBorders>
            <w:shd w:val="clear" w:color="auto" w:fill="F4F4F4"/>
            <w:tcMar>
              <w:top w:w="0" w:type="dxa"/>
              <w:left w:w="53" w:type="dxa"/>
              <w:bottom w:w="0" w:type="dxa"/>
              <w:right w:w="0" w:type="dxa"/>
            </w:tcMar>
            <w:vAlign w:val="bottom"/>
          </w:tcPr>
          <w:p w14:paraId="428661F4" w14:textId="77777777" w:rsidR="001614AC" w:rsidRDefault="004468F9">
            <w:pPr>
              <w:spacing w:before="55" w:after="30" w:line="288" w:lineRule="auto"/>
              <w:jc w:val="right"/>
            </w:pPr>
            <w:r>
              <w:rPr>
                <w:rFonts w:ascii="Arial" w:eastAsia="Arial" w:hAnsi="Arial" w:cs="Arial"/>
                <w:color w:val="000000"/>
                <w:sz w:val="18"/>
              </w:rPr>
              <w:t>2,161,857 </w:t>
            </w:r>
          </w:p>
        </w:tc>
        <w:tc>
          <w:tcPr>
            <w:tcW w:w="100" w:type="dxa"/>
            <w:tcBorders>
              <w:top w:val="single" w:sz="8" w:space="0" w:color="C7C9C7"/>
              <w:left w:val="nil"/>
              <w:bottom w:val="single" w:sz="8" w:space="0" w:color="C7C9C7"/>
              <w:right w:val="nil"/>
            </w:tcBorders>
            <w:shd w:val="clear" w:color="auto" w:fill="F4F4F4"/>
            <w:tcMar>
              <w:top w:w="0" w:type="dxa"/>
              <w:left w:w="0" w:type="dxa"/>
              <w:bottom w:w="0" w:type="dxa"/>
              <w:right w:w="15" w:type="dxa"/>
            </w:tcMar>
            <w:vAlign w:val="bottom"/>
          </w:tcPr>
          <w:p w14:paraId="386899C5" w14:textId="77777777" w:rsidR="001614AC" w:rsidRDefault="001614AC">
            <w:pPr>
              <w:spacing w:before="55" w:after="30" w:line="288" w:lineRule="auto"/>
              <w:jc w:val="right"/>
            </w:pPr>
          </w:p>
        </w:tc>
        <w:tc>
          <w:tcPr>
            <w:tcW w:w="105" w:type="dxa"/>
            <w:tcBorders>
              <w:top w:val="nil"/>
              <w:left w:val="nil"/>
              <w:bottom w:val="nil"/>
              <w:right w:val="nil"/>
            </w:tcBorders>
            <w:shd w:val="clear" w:color="auto" w:fill="F4F4F4"/>
            <w:tcMar>
              <w:top w:w="0" w:type="dxa"/>
              <w:left w:w="0" w:type="dxa"/>
              <w:bottom w:w="0" w:type="dxa"/>
              <w:right w:w="0" w:type="dxa"/>
            </w:tcMar>
            <w:vAlign w:val="bottom"/>
          </w:tcPr>
          <w:p w14:paraId="1FDFE306" w14:textId="77777777" w:rsidR="001614AC" w:rsidRDefault="001614AC"/>
        </w:tc>
        <w:tc>
          <w:tcPr>
            <w:tcW w:w="980" w:type="dxa"/>
            <w:gridSpan w:val="2"/>
            <w:tcBorders>
              <w:top w:val="single" w:sz="8" w:space="0" w:color="C7C9C7"/>
              <w:left w:val="nil"/>
              <w:bottom w:val="single" w:sz="8" w:space="0" w:color="C7C9C7"/>
              <w:right w:val="nil"/>
            </w:tcBorders>
            <w:shd w:val="clear" w:color="auto" w:fill="F4F4F4"/>
            <w:tcMar>
              <w:top w:w="0" w:type="dxa"/>
              <w:left w:w="53" w:type="dxa"/>
              <w:bottom w:w="0" w:type="dxa"/>
              <w:right w:w="0" w:type="dxa"/>
            </w:tcMar>
            <w:vAlign w:val="bottom"/>
          </w:tcPr>
          <w:p w14:paraId="6B152974" w14:textId="77777777" w:rsidR="001614AC" w:rsidRDefault="004468F9">
            <w:pPr>
              <w:spacing w:before="55" w:after="30" w:line="288" w:lineRule="auto"/>
              <w:jc w:val="right"/>
            </w:pPr>
            <w:r>
              <w:rPr>
                <w:rFonts w:ascii="Arial" w:eastAsia="Arial" w:hAnsi="Arial" w:cs="Arial"/>
                <w:color w:val="000000"/>
                <w:sz w:val="18"/>
              </w:rPr>
              <w:t>2,232,949 </w:t>
            </w:r>
          </w:p>
        </w:tc>
        <w:tc>
          <w:tcPr>
            <w:tcW w:w="100" w:type="dxa"/>
            <w:tcBorders>
              <w:top w:val="single" w:sz="8" w:space="0" w:color="C7C9C7"/>
              <w:left w:val="nil"/>
              <w:bottom w:val="single" w:sz="8" w:space="0" w:color="C7C9C7"/>
              <w:right w:val="nil"/>
            </w:tcBorders>
            <w:shd w:val="clear" w:color="auto" w:fill="F4F4F4"/>
            <w:tcMar>
              <w:top w:w="0" w:type="dxa"/>
              <w:left w:w="0" w:type="dxa"/>
              <w:bottom w:w="0" w:type="dxa"/>
              <w:right w:w="15" w:type="dxa"/>
            </w:tcMar>
            <w:vAlign w:val="bottom"/>
          </w:tcPr>
          <w:p w14:paraId="25E443E6" w14:textId="77777777" w:rsidR="001614AC" w:rsidRDefault="001614AC">
            <w:pPr>
              <w:spacing w:before="55" w:after="30" w:line="288" w:lineRule="auto"/>
              <w:jc w:val="right"/>
            </w:pPr>
          </w:p>
        </w:tc>
        <w:tc>
          <w:tcPr>
            <w:tcW w:w="105" w:type="dxa"/>
            <w:tcBorders>
              <w:top w:val="nil"/>
              <w:left w:val="nil"/>
              <w:bottom w:val="nil"/>
              <w:right w:val="nil"/>
            </w:tcBorders>
            <w:shd w:val="clear" w:color="auto" w:fill="F4F4F4"/>
            <w:tcMar>
              <w:top w:w="0" w:type="dxa"/>
              <w:left w:w="0" w:type="dxa"/>
              <w:bottom w:w="0" w:type="dxa"/>
              <w:right w:w="0" w:type="dxa"/>
            </w:tcMar>
            <w:vAlign w:val="bottom"/>
          </w:tcPr>
          <w:p w14:paraId="410D92AA" w14:textId="77777777" w:rsidR="001614AC" w:rsidRDefault="001614AC"/>
        </w:tc>
        <w:tc>
          <w:tcPr>
            <w:tcW w:w="980" w:type="dxa"/>
            <w:gridSpan w:val="2"/>
            <w:tcBorders>
              <w:top w:val="single" w:sz="8" w:space="0" w:color="C7C9C7"/>
              <w:left w:val="nil"/>
              <w:bottom w:val="single" w:sz="8" w:space="0" w:color="C7C9C7"/>
              <w:right w:val="nil"/>
            </w:tcBorders>
            <w:shd w:val="clear" w:color="auto" w:fill="F4F4F4"/>
            <w:tcMar>
              <w:top w:w="0" w:type="dxa"/>
              <w:left w:w="53" w:type="dxa"/>
              <w:bottom w:w="0" w:type="dxa"/>
              <w:right w:w="0" w:type="dxa"/>
            </w:tcMar>
            <w:vAlign w:val="bottom"/>
          </w:tcPr>
          <w:p w14:paraId="40C061DE" w14:textId="77777777" w:rsidR="001614AC" w:rsidRDefault="004468F9">
            <w:pPr>
              <w:spacing w:before="55" w:after="30" w:line="288" w:lineRule="auto"/>
              <w:jc w:val="right"/>
            </w:pPr>
            <w:r>
              <w:rPr>
                <w:rFonts w:ascii="Arial" w:eastAsia="Arial" w:hAnsi="Arial" w:cs="Arial"/>
                <w:color w:val="000000"/>
                <w:sz w:val="18"/>
              </w:rPr>
              <w:t>2,161,857 </w:t>
            </w:r>
          </w:p>
        </w:tc>
        <w:tc>
          <w:tcPr>
            <w:tcW w:w="100" w:type="dxa"/>
            <w:tcBorders>
              <w:top w:val="single" w:sz="8" w:space="0" w:color="C7C9C7"/>
              <w:left w:val="nil"/>
              <w:bottom w:val="single" w:sz="8" w:space="0" w:color="C7C9C7"/>
              <w:right w:val="nil"/>
            </w:tcBorders>
            <w:shd w:val="clear" w:color="auto" w:fill="F4F4F4"/>
            <w:tcMar>
              <w:top w:w="0" w:type="dxa"/>
              <w:left w:w="0" w:type="dxa"/>
              <w:bottom w:w="0" w:type="dxa"/>
              <w:right w:w="15" w:type="dxa"/>
            </w:tcMar>
            <w:vAlign w:val="bottom"/>
          </w:tcPr>
          <w:p w14:paraId="2F7760E2" w14:textId="77777777" w:rsidR="001614AC" w:rsidRDefault="001614AC">
            <w:pPr>
              <w:spacing w:before="55" w:after="30" w:line="288" w:lineRule="auto"/>
              <w:jc w:val="right"/>
            </w:pPr>
          </w:p>
        </w:tc>
        <w:tc>
          <w:tcPr>
            <w:tcW w:w="105" w:type="dxa"/>
            <w:tcBorders>
              <w:top w:val="nil"/>
              <w:left w:val="nil"/>
              <w:bottom w:val="nil"/>
              <w:right w:val="nil"/>
            </w:tcBorders>
            <w:shd w:val="clear" w:color="auto" w:fill="F4F4F4"/>
            <w:tcMar>
              <w:top w:w="0" w:type="dxa"/>
              <w:left w:w="0" w:type="dxa"/>
              <w:bottom w:w="0" w:type="dxa"/>
              <w:right w:w="0" w:type="dxa"/>
            </w:tcMar>
            <w:vAlign w:val="bottom"/>
          </w:tcPr>
          <w:p w14:paraId="11CC92C6" w14:textId="77777777" w:rsidR="001614AC" w:rsidRDefault="001614AC"/>
        </w:tc>
        <w:tc>
          <w:tcPr>
            <w:tcW w:w="980" w:type="dxa"/>
            <w:gridSpan w:val="2"/>
            <w:tcBorders>
              <w:top w:val="single" w:sz="8" w:space="0" w:color="C7C9C7"/>
              <w:left w:val="nil"/>
              <w:bottom w:val="single" w:sz="8" w:space="0" w:color="C7C9C7"/>
              <w:right w:val="nil"/>
            </w:tcBorders>
            <w:shd w:val="clear" w:color="auto" w:fill="F4F4F4"/>
            <w:tcMar>
              <w:top w:w="0" w:type="dxa"/>
              <w:left w:w="53" w:type="dxa"/>
              <w:bottom w:w="0" w:type="dxa"/>
              <w:right w:w="0" w:type="dxa"/>
            </w:tcMar>
            <w:vAlign w:val="bottom"/>
          </w:tcPr>
          <w:p w14:paraId="70277325" w14:textId="77777777" w:rsidR="001614AC" w:rsidRDefault="004468F9">
            <w:pPr>
              <w:spacing w:before="55" w:after="30" w:line="288" w:lineRule="auto"/>
              <w:jc w:val="right"/>
            </w:pPr>
            <w:r>
              <w:rPr>
                <w:rFonts w:ascii="Arial" w:eastAsia="Arial" w:hAnsi="Arial" w:cs="Arial"/>
                <w:color w:val="000000"/>
                <w:sz w:val="18"/>
              </w:rPr>
              <w:t>2,232,949 </w:t>
            </w:r>
          </w:p>
        </w:tc>
        <w:tc>
          <w:tcPr>
            <w:tcW w:w="100" w:type="dxa"/>
            <w:tcBorders>
              <w:top w:val="single" w:sz="8" w:space="0" w:color="C7C9C7"/>
              <w:left w:val="nil"/>
              <w:bottom w:val="single" w:sz="8" w:space="0" w:color="C7C9C7"/>
              <w:right w:val="nil"/>
            </w:tcBorders>
            <w:shd w:val="clear" w:color="auto" w:fill="F4F4F4"/>
            <w:tcMar>
              <w:top w:w="0" w:type="dxa"/>
              <w:left w:w="0" w:type="dxa"/>
              <w:bottom w:w="0" w:type="dxa"/>
              <w:right w:w="15" w:type="dxa"/>
            </w:tcMar>
            <w:vAlign w:val="bottom"/>
          </w:tcPr>
          <w:p w14:paraId="34793BA4" w14:textId="77777777" w:rsidR="001614AC" w:rsidRDefault="001614AC">
            <w:pPr>
              <w:spacing w:before="55" w:after="30" w:line="288" w:lineRule="auto"/>
              <w:jc w:val="right"/>
            </w:pPr>
          </w:p>
        </w:tc>
      </w:tr>
      <w:tr w:rsidR="001614AC" w14:paraId="2066B2B5" w14:textId="77777777">
        <w:trPr>
          <w:cantSplit/>
        </w:trPr>
        <w:tc>
          <w:tcPr>
            <w:tcW w:w="5505" w:type="dxa"/>
            <w:tcBorders>
              <w:top w:val="nil"/>
              <w:left w:val="nil"/>
              <w:bottom w:val="nil"/>
              <w:right w:val="nil"/>
            </w:tcBorders>
            <w:tcMar>
              <w:top w:w="0" w:type="dxa"/>
              <w:left w:w="53" w:type="dxa"/>
              <w:bottom w:w="0" w:type="dxa"/>
              <w:right w:w="53" w:type="dxa"/>
            </w:tcMar>
            <w:vAlign w:val="bottom"/>
          </w:tcPr>
          <w:p w14:paraId="3EC444FE" w14:textId="77777777" w:rsidR="001614AC" w:rsidRDefault="004468F9">
            <w:pPr>
              <w:spacing w:before="75" w:after="30" w:line="288" w:lineRule="auto"/>
            </w:pPr>
            <w:r>
              <w:rPr>
                <w:rFonts w:ascii="Arial" w:eastAsia="Arial" w:hAnsi="Arial" w:cs="Arial"/>
                <w:color w:val="000000"/>
                <w:sz w:val="18"/>
              </w:rPr>
              <w:t xml:space="preserve"> </w:t>
            </w:r>
          </w:p>
        </w:tc>
        <w:tc>
          <w:tcPr>
            <w:tcW w:w="105" w:type="dxa"/>
            <w:tcBorders>
              <w:top w:val="nil"/>
              <w:left w:val="nil"/>
              <w:bottom w:val="nil"/>
              <w:right w:val="nil"/>
            </w:tcBorders>
            <w:tcMar>
              <w:top w:w="0" w:type="dxa"/>
              <w:left w:w="0" w:type="dxa"/>
              <w:bottom w:w="0" w:type="dxa"/>
              <w:right w:w="0" w:type="dxa"/>
            </w:tcMar>
            <w:vAlign w:val="bottom"/>
          </w:tcPr>
          <w:p w14:paraId="0A979294" w14:textId="77777777" w:rsidR="001614AC" w:rsidRDefault="001614AC"/>
        </w:tc>
        <w:tc>
          <w:tcPr>
            <w:tcW w:w="1080" w:type="dxa"/>
            <w:gridSpan w:val="3"/>
            <w:tcBorders>
              <w:top w:val="single" w:sz="8" w:space="0" w:color="C7C9C7"/>
              <w:left w:val="nil"/>
              <w:bottom w:val="nil"/>
              <w:right w:val="nil"/>
            </w:tcBorders>
            <w:tcMar>
              <w:top w:w="0" w:type="dxa"/>
              <w:left w:w="0" w:type="dxa"/>
              <w:bottom w:w="0" w:type="dxa"/>
              <w:right w:w="0" w:type="dxa"/>
            </w:tcMar>
            <w:vAlign w:val="bottom"/>
          </w:tcPr>
          <w:p w14:paraId="73DEE41F" w14:textId="77777777" w:rsidR="001614AC" w:rsidRDefault="001614AC"/>
        </w:tc>
        <w:tc>
          <w:tcPr>
            <w:tcW w:w="105" w:type="dxa"/>
            <w:tcBorders>
              <w:top w:val="nil"/>
              <w:left w:val="nil"/>
              <w:bottom w:val="nil"/>
              <w:right w:val="nil"/>
            </w:tcBorders>
            <w:tcMar>
              <w:top w:w="0" w:type="dxa"/>
              <w:left w:w="0" w:type="dxa"/>
              <w:bottom w:w="0" w:type="dxa"/>
              <w:right w:w="0" w:type="dxa"/>
            </w:tcMar>
            <w:vAlign w:val="bottom"/>
          </w:tcPr>
          <w:p w14:paraId="48E2677B" w14:textId="77777777" w:rsidR="001614AC" w:rsidRDefault="001614AC"/>
        </w:tc>
        <w:tc>
          <w:tcPr>
            <w:tcW w:w="1080" w:type="dxa"/>
            <w:gridSpan w:val="3"/>
            <w:tcBorders>
              <w:top w:val="single" w:sz="8" w:space="0" w:color="C7C9C7"/>
              <w:left w:val="nil"/>
              <w:bottom w:val="nil"/>
              <w:right w:val="nil"/>
            </w:tcBorders>
            <w:tcMar>
              <w:top w:w="0" w:type="dxa"/>
              <w:left w:w="0" w:type="dxa"/>
              <w:bottom w:w="0" w:type="dxa"/>
              <w:right w:w="0" w:type="dxa"/>
            </w:tcMar>
            <w:vAlign w:val="bottom"/>
          </w:tcPr>
          <w:p w14:paraId="30A8BB04" w14:textId="77777777" w:rsidR="001614AC" w:rsidRDefault="001614AC"/>
        </w:tc>
        <w:tc>
          <w:tcPr>
            <w:tcW w:w="105" w:type="dxa"/>
            <w:tcBorders>
              <w:top w:val="nil"/>
              <w:left w:val="nil"/>
              <w:bottom w:val="nil"/>
              <w:right w:val="nil"/>
            </w:tcBorders>
            <w:tcMar>
              <w:top w:w="0" w:type="dxa"/>
              <w:left w:w="0" w:type="dxa"/>
              <w:bottom w:w="0" w:type="dxa"/>
              <w:right w:w="0" w:type="dxa"/>
            </w:tcMar>
            <w:vAlign w:val="bottom"/>
          </w:tcPr>
          <w:p w14:paraId="541B606B" w14:textId="77777777" w:rsidR="001614AC" w:rsidRDefault="001614AC"/>
        </w:tc>
        <w:tc>
          <w:tcPr>
            <w:tcW w:w="1080" w:type="dxa"/>
            <w:gridSpan w:val="3"/>
            <w:tcBorders>
              <w:top w:val="single" w:sz="8" w:space="0" w:color="C7C9C7"/>
              <w:left w:val="nil"/>
              <w:bottom w:val="nil"/>
              <w:right w:val="nil"/>
            </w:tcBorders>
            <w:tcMar>
              <w:top w:w="0" w:type="dxa"/>
              <w:left w:w="0" w:type="dxa"/>
              <w:bottom w:w="0" w:type="dxa"/>
              <w:right w:w="0" w:type="dxa"/>
            </w:tcMar>
            <w:vAlign w:val="bottom"/>
          </w:tcPr>
          <w:p w14:paraId="394ECC27" w14:textId="77777777" w:rsidR="001614AC" w:rsidRDefault="001614AC"/>
        </w:tc>
        <w:tc>
          <w:tcPr>
            <w:tcW w:w="105" w:type="dxa"/>
            <w:tcBorders>
              <w:top w:val="nil"/>
              <w:left w:val="nil"/>
              <w:bottom w:val="nil"/>
              <w:right w:val="nil"/>
            </w:tcBorders>
            <w:tcMar>
              <w:top w:w="0" w:type="dxa"/>
              <w:left w:w="0" w:type="dxa"/>
              <w:bottom w:w="0" w:type="dxa"/>
              <w:right w:w="0" w:type="dxa"/>
            </w:tcMar>
            <w:vAlign w:val="bottom"/>
          </w:tcPr>
          <w:p w14:paraId="1EFAC17F" w14:textId="77777777" w:rsidR="001614AC" w:rsidRDefault="001614AC"/>
        </w:tc>
        <w:tc>
          <w:tcPr>
            <w:tcW w:w="1080" w:type="dxa"/>
            <w:gridSpan w:val="3"/>
            <w:tcBorders>
              <w:top w:val="single" w:sz="8" w:space="0" w:color="C7C9C7"/>
              <w:left w:val="nil"/>
              <w:bottom w:val="nil"/>
              <w:right w:val="nil"/>
            </w:tcBorders>
            <w:tcMar>
              <w:top w:w="0" w:type="dxa"/>
              <w:left w:w="0" w:type="dxa"/>
              <w:bottom w:w="0" w:type="dxa"/>
              <w:right w:w="0" w:type="dxa"/>
            </w:tcMar>
            <w:vAlign w:val="bottom"/>
          </w:tcPr>
          <w:p w14:paraId="14DDEA00" w14:textId="77777777" w:rsidR="001614AC" w:rsidRDefault="001614AC"/>
        </w:tc>
      </w:tr>
      <w:tr w:rsidR="001614AC" w14:paraId="6C1F6ACD" w14:textId="77777777">
        <w:trPr>
          <w:cantSplit/>
        </w:trPr>
        <w:tc>
          <w:tcPr>
            <w:tcW w:w="5505" w:type="dxa"/>
            <w:tcBorders>
              <w:top w:val="nil"/>
              <w:left w:val="nil"/>
              <w:bottom w:val="single" w:sz="8" w:space="0" w:color="C7C9C7"/>
              <w:right w:val="nil"/>
            </w:tcBorders>
            <w:shd w:val="clear" w:color="auto" w:fill="F4F4F4"/>
            <w:tcMar>
              <w:top w:w="0" w:type="dxa"/>
              <w:left w:w="53" w:type="dxa"/>
              <w:bottom w:w="0" w:type="dxa"/>
              <w:right w:w="53" w:type="dxa"/>
            </w:tcMar>
            <w:vAlign w:val="bottom"/>
          </w:tcPr>
          <w:p w14:paraId="1EE27FC8" w14:textId="77777777" w:rsidR="001614AC" w:rsidRDefault="004468F9">
            <w:pPr>
              <w:spacing w:before="75" w:after="30" w:line="288" w:lineRule="auto"/>
            </w:pPr>
            <w:r>
              <w:rPr>
                <w:rFonts w:ascii="Arial" w:eastAsia="Arial" w:hAnsi="Arial" w:cs="Arial"/>
                <w:b/>
                <w:color w:val="00BAB3"/>
                <w:sz w:val="20"/>
              </w:rPr>
              <w:t>Retained Earnings</w:t>
            </w:r>
          </w:p>
        </w:tc>
        <w:tc>
          <w:tcPr>
            <w:tcW w:w="105" w:type="dxa"/>
            <w:tcBorders>
              <w:top w:val="nil"/>
              <w:left w:val="nil"/>
              <w:bottom w:val="single" w:sz="8" w:space="0" w:color="C7C9C7"/>
              <w:right w:val="nil"/>
            </w:tcBorders>
            <w:shd w:val="clear" w:color="auto" w:fill="F4F4F4"/>
            <w:tcMar>
              <w:top w:w="0" w:type="dxa"/>
              <w:left w:w="0" w:type="dxa"/>
              <w:bottom w:w="0" w:type="dxa"/>
              <w:right w:w="0" w:type="dxa"/>
            </w:tcMar>
            <w:vAlign w:val="bottom"/>
          </w:tcPr>
          <w:p w14:paraId="724CCDB5" w14:textId="77777777" w:rsidR="001614AC" w:rsidRDefault="001614AC"/>
        </w:tc>
        <w:tc>
          <w:tcPr>
            <w:tcW w:w="1080" w:type="dxa"/>
            <w:gridSpan w:val="3"/>
            <w:tcBorders>
              <w:top w:val="nil"/>
              <w:left w:val="nil"/>
              <w:bottom w:val="single" w:sz="8" w:space="0" w:color="C7C9C7"/>
              <w:right w:val="nil"/>
            </w:tcBorders>
            <w:shd w:val="clear" w:color="auto" w:fill="F4F4F4"/>
            <w:tcMar>
              <w:top w:w="0" w:type="dxa"/>
              <w:left w:w="0" w:type="dxa"/>
              <w:bottom w:w="0" w:type="dxa"/>
              <w:right w:w="0" w:type="dxa"/>
            </w:tcMar>
            <w:vAlign w:val="bottom"/>
          </w:tcPr>
          <w:p w14:paraId="077C7F7C" w14:textId="77777777" w:rsidR="001614AC" w:rsidRDefault="001614AC"/>
        </w:tc>
        <w:tc>
          <w:tcPr>
            <w:tcW w:w="105" w:type="dxa"/>
            <w:tcBorders>
              <w:top w:val="nil"/>
              <w:left w:val="nil"/>
              <w:bottom w:val="single" w:sz="8" w:space="0" w:color="C7C9C7"/>
              <w:right w:val="nil"/>
            </w:tcBorders>
            <w:shd w:val="clear" w:color="auto" w:fill="F4F4F4"/>
            <w:tcMar>
              <w:top w:w="0" w:type="dxa"/>
              <w:left w:w="0" w:type="dxa"/>
              <w:bottom w:w="0" w:type="dxa"/>
              <w:right w:w="0" w:type="dxa"/>
            </w:tcMar>
            <w:vAlign w:val="bottom"/>
          </w:tcPr>
          <w:p w14:paraId="4E336CB9" w14:textId="77777777" w:rsidR="001614AC" w:rsidRDefault="001614AC"/>
        </w:tc>
        <w:tc>
          <w:tcPr>
            <w:tcW w:w="1080" w:type="dxa"/>
            <w:gridSpan w:val="3"/>
            <w:tcBorders>
              <w:top w:val="nil"/>
              <w:left w:val="nil"/>
              <w:bottom w:val="single" w:sz="8" w:space="0" w:color="C7C9C7"/>
              <w:right w:val="nil"/>
            </w:tcBorders>
            <w:shd w:val="clear" w:color="auto" w:fill="F4F4F4"/>
            <w:tcMar>
              <w:top w:w="0" w:type="dxa"/>
              <w:left w:w="0" w:type="dxa"/>
              <w:bottom w:w="0" w:type="dxa"/>
              <w:right w:w="0" w:type="dxa"/>
            </w:tcMar>
            <w:vAlign w:val="bottom"/>
          </w:tcPr>
          <w:p w14:paraId="25DEC349" w14:textId="77777777" w:rsidR="001614AC" w:rsidRDefault="001614AC"/>
        </w:tc>
        <w:tc>
          <w:tcPr>
            <w:tcW w:w="105" w:type="dxa"/>
            <w:tcBorders>
              <w:top w:val="nil"/>
              <w:left w:val="nil"/>
              <w:bottom w:val="single" w:sz="8" w:space="0" w:color="C7C9C7"/>
              <w:right w:val="nil"/>
            </w:tcBorders>
            <w:shd w:val="clear" w:color="auto" w:fill="F4F4F4"/>
            <w:tcMar>
              <w:top w:w="0" w:type="dxa"/>
              <w:left w:w="0" w:type="dxa"/>
              <w:bottom w:w="0" w:type="dxa"/>
              <w:right w:w="0" w:type="dxa"/>
            </w:tcMar>
            <w:vAlign w:val="bottom"/>
          </w:tcPr>
          <w:p w14:paraId="6DF68555" w14:textId="77777777" w:rsidR="001614AC" w:rsidRDefault="001614AC"/>
        </w:tc>
        <w:tc>
          <w:tcPr>
            <w:tcW w:w="1080" w:type="dxa"/>
            <w:gridSpan w:val="3"/>
            <w:tcBorders>
              <w:top w:val="nil"/>
              <w:left w:val="nil"/>
              <w:bottom w:val="single" w:sz="8" w:space="0" w:color="C7C9C7"/>
              <w:right w:val="nil"/>
            </w:tcBorders>
            <w:shd w:val="clear" w:color="auto" w:fill="F4F4F4"/>
            <w:tcMar>
              <w:top w:w="0" w:type="dxa"/>
              <w:left w:w="0" w:type="dxa"/>
              <w:bottom w:w="0" w:type="dxa"/>
              <w:right w:w="0" w:type="dxa"/>
            </w:tcMar>
            <w:vAlign w:val="bottom"/>
          </w:tcPr>
          <w:p w14:paraId="25660877" w14:textId="77777777" w:rsidR="001614AC" w:rsidRDefault="001614AC"/>
        </w:tc>
        <w:tc>
          <w:tcPr>
            <w:tcW w:w="105" w:type="dxa"/>
            <w:tcBorders>
              <w:top w:val="nil"/>
              <w:left w:val="nil"/>
              <w:bottom w:val="single" w:sz="8" w:space="0" w:color="C7C9C7"/>
              <w:right w:val="nil"/>
            </w:tcBorders>
            <w:shd w:val="clear" w:color="auto" w:fill="F4F4F4"/>
            <w:tcMar>
              <w:top w:w="0" w:type="dxa"/>
              <w:left w:w="0" w:type="dxa"/>
              <w:bottom w:w="0" w:type="dxa"/>
              <w:right w:w="0" w:type="dxa"/>
            </w:tcMar>
            <w:vAlign w:val="bottom"/>
          </w:tcPr>
          <w:p w14:paraId="565F7700" w14:textId="77777777" w:rsidR="001614AC" w:rsidRDefault="001614AC"/>
        </w:tc>
        <w:tc>
          <w:tcPr>
            <w:tcW w:w="1080" w:type="dxa"/>
            <w:gridSpan w:val="3"/>
            <w:tcBorders>
              <w:top w:val="nil"/>
              <w:left w:val="nil"/>
              <w:bottom w:val="single" w:sz="8" w:space="0" w:color="C7C9C7"/>
              <w:right w:val="nil"/>
            </w:tcBorders>
            <w:shd w:val="clear" w:color="auto" w:fill="F4F4F4"/>
            <w:tcMar>
              <w:top w:w="0" w:type="dxa"/>
              <w:left w:w="0" w:type="dxa"/>
              <w:bottom w:w="0" w:type="dxa"/>
              <w:right w:w="0" w:type="dxa"/>
            </w:tcMar>
            <w:vAlign w:val="bottom"/>
          </w:tcPr>
          <w:p w14:paraId="27651690" w14:textId="77777777" w:rsidR="001614AC" w:rsidRDefault="001614AC"/>
        </w:tc>
      </w:tr>
      <w:tr w:rsidR="001614AC" w14:paraId="4D6F5721" w14:textId="77777777">
        <w:trPr>
          <w:cantSplit/>
        </w:trPr>
        <w:tc>
          <w:tcPr>
            <w:tcW w:w="5505" w:type="dxa"/>
            <w:tcBorders>
              <w:top w:val="single" w:sz="8" w:space="0" w:color="C7C9C7"/>
              <w:left w:val="nil"/>
              <w:bottom w:val="single" w:sz="8" w:space="0" w:color="F4F4F4"/>
              <w:right w:val="nil"/>
            </w:tcBorders>
            <w:tcMar>
              <w:top w:w="0" w:type="dxa"/>
              <w:left w:w="53" w:type="dxa"/>
              <w:bottom w:w="0" w:type="dxa"/>
              <w:right w:w="53" w:type="dxa"/>
            </w:tcMar>
            <w:vAlign w:val="bottom"/>
          </w:tcPr>
          <w:p w14:paraId="0C51282C" w14:textId="77777777" w:rsidR="001614AC" w:rsidRDefault="004468F9">
            <w:pPr>
              <w:spacing w:before="55" w:after="30" w:line="288" w:lineRule="auto"/>
            </w:pPr>
            <w:r>
              <w:rPr>
                <w:rFonts w:ascii="Arial" w:eastAsia="Arial" w:hAnsi="Arial" w:cs="Arial"/>
                <w:color w:val="000000"/>
                <w:sz w:val="18"/>
              </w:rPr>
              <w:t>Balance, beginning of period</w:t>
            </w:r>
          </w:p>
        </w:tc>
        <w:tc>
          <w:tcPr>
            <w:tcW w:w="105" w:type="dxa"/>
            <w:tcBorders>
              <w:top w:val="single" w:sz="8" w:space="0" w:color="C7C9C7"/>
              <w:left w:val="nil"/>
              <w:bottom w:val="nil"/>
              <w:right w:val="nil"/>
            </w:tcBorders>
            <w:tcMar>
              <w:top w:w="0" w:type="dxa"/>
              <w:left w:w="0" w:type="dxa"/>
              <w:bottom w:w="0" w:type="dxa"/>
              <w:right w:w="0" w:type="dxa"/>
            </w:tcMar>
            <w:vAlign w:val="bottom"/>
          </w:tcPr>
          <w:p w14:paraId="207ED077" w14:textId="77777777" w:rsidR="001614AC" w:rsidRDefault="001614AC"/>
        </w:tc>
        <w:tc>
          <w:tcPr>
            <w:tcW w:w="980" w:type="dxa"/>
            <w:gridSpan w:val="2"/>
            <w:tcBorders>
              <w:top w:val="single" w:sz="8" w:space="0" w:color="C7C9C7"/>
              <w:left w:val="nil"/>
              <w:bottom w:val="single" w:sz="8" w:space="0" w:color="F4F4F4"/>
              <w:right w:val="nil"/>
            </w:tcBorders>
            <w:tcMar>
              <w:top w:w="0" w:type="dxa"/>
              <w:left w:w="53" w:type="dxa"/>
              <w:bottom w:w="0" w:type="dxa"/>
              <w:right w:w="0" w:type="dxa"/>
            </w:tcMar>
            <w:vAlign w:val="bottom"/>
          </w:tcPr>
          <w:p w14:paraId="3C102CB6" w14:textId="77777777" w:rsidR="001614AC" w:rsidRDefault="004468F9">
            <w:pPr>
              <w:spacing w:before="55" w:after="30" w:line="288" w:lineRule="auto"/>
              <w:jc w:val="right"/>
            </w:pPr>
            <w:r>
              <w:rPr>
                <w:rFonts w:ascii="Arial" w:eastAsia="Arial" w:hAnsi="Arial" w:cs="Arial"/>
                <w:color w:val="000000"/>
                <w:sz w:val="18"/>
              </w:rPr>
              <w:t>2,785,744 </w:t>
            </w:r>
          </w:p>
        </w:tc>
        <w:tc>
          <w:tcPr>
            <w:tcW w:w="100" w:type="dxa"/>
            <w:tcBorders>
              <w:top w:val="single" w:sz="8" w:space="0" w:color="C7C9C7"/>
              <w:left w:val="nil"/>
              <w:bottom w:val="single" w:sz="8" w:space="0" w:color="F4F4F4"/>
              <w:right w:val="nil"/>
            </w:tcBorders>
            <w:tcMar>
              <w:top w:w="0" w:type="dxa"/>
              <w:left w:w="0" w:type="dxa"/>
              <w:bottom w:w="0" w:type="dxa"/>
              <w:right w:w="15" w:type="dxa"/>
            </w:tcMar>
            <w:vAlign w:val="bottom"/>
          </w:tcPr>
          <w:p w14:paraId="539026E5" w14:textId="77777777" w:rsidR="001614AC" w:rsidRDefault="001614AC">
            <w:pPr>
              <w:spacing w:before="55" w:after="30" w:line="288" w:lineRule="auto"/>
              <w:jc w:val="right"/>
            </w:pPr>
          </w:p>
        </w:tc>
        <w:tc>
          <w:tcPr>
            <w:tcW w:w="105" w:type="dxa"/>
            <w:tcBorders>
              <w:top w:val="single" w:sz="8" w:space="0" w:color="C7C9C7"/>
              <w:left w:val="nil"/>
              <w:bottom w:val="nil"/>
              <w:right w:val="nil"/>
            </w:tcBorders>
            <w:tcMar>
              <w:top w:w="0" w:type="dxa"/>
              <w:left w:w="0" w:type="dxa"/>
              <w:bottom w:w="0" w:type="dxa"/>
              <w:right w:w="0" w:type="dxa"/>
            </w:tcMar>
            <w:vAlign w:val="bottom"/>
          </w:tcPr>
          <w:p w14:paraId="5C3104CB" w14:textId="77777777" w:rsidR="001614AC" w:rsidRDefault="001614AC"/>
        </w:tc>
        <w:tc>
          <w:tcPr>
            <w:tcW w:w="980" w:type="dxa"/>
            <w:gridSpan w:val="2"/>
            <w:tcBorders>
              <w:top w:val="single" w:sz="8" w:space="0" w:color="C7C9C7"/>
              <w:left w:val="nil"/>
              <w:bottom w:val="single" w:sz="8" w:space="0" w:color="F4F4F4"/>
              <w:right w:val="nil"/>
            </w:tcBorders>
            <w:tcMar>
              <w:top w:w="0" w:type="dxa"/>
              <w:left w:w="53" w:type="dxa"/>
              <w:bottom w:w="0" w:type="dxa"/>
              <w:right w:w="0" w:type="dxa"/>
            </w:tcMar>
            <w:vAlign w:val="bottom"/>
          </w:tcPr>
          <w:p w14:paraId="5F91C546" w14:textId="77777777" w:rsidR="001614AC" w:rsidRDefault="004468F9">
            <w:pPr>
              <w:spacing w:before="55" w:after="30" w:line="288" w:lineRule="auto"/>
              <w:jc w:val="right"/>
            </w:pPr>
            <w:r>
              <w:rPr>
                <w:rFonts w:ascii="Arial" w:eastAsia="Arial" w:hAnsi="Arial" w:cs="Arial"/>
                <w:color w:val="000000"/>
                <w:sz w:val="18"/>
              </w:rPr>
              <w:t>2,504,853 </w:t>
            </w:r>
          </w:p>
        </w:tc>
        <w:tc>
          <w:tcPr>
            <w:tcW w:w="100" w:type="dxa"/>
            <w:tcBorders>
              <w:top w:val="single" w:sz="8" w:space="0" w:color="C7C9C7"/>
              <w:left w:val="nil"/>
              <w:bottom w:val="single" w:sz="8" w:space="0" w:color="F4F4F4"/>
              <w:right w:val="nil"/>
            </w:tcBorders>
            <w:tcMar>
              <w:top w:w="0" w:type="dxa"/>
              <w:left w:w="0" w:type="dxa"/>
              <w:bottom w:w="0" w:type="dxa"/>
              <w:right w:w="15" w:type="dxa"/>
            </w:tcMar>
            <w:vAlign w:val="bottom"/>
          </w:tcPr>
          <w:p w14:paraId="7649ECFC" w14:textId="77777777" w:rsidR="001614AC" w:rsidRDefault="001614AC">
            <w:pPr>
              <w:spacing w:before="55" w:after="30" w:line="288" w:lineRule="auto"/>
              <w:jc w:val="right"/>
            </w:pPr>
          </w:p>
        </w:tc>
        <w:tc>
          <w:tcPr>
            <w:tcW w:w="105" w:type="dxa"/>
            <w:tcBorders>
              <w:top w:val="single" w:sz="8" w:space="0" w:color="C7C9C7"/>
              <w:left w:val="nil"/>
              <w:bottom w:val="nil"/>
              <w:right w:val="nil"/>
            </w:tcBorders>
            <w:tcMar>
              <w:top w:w="0" w:type="dxa"/>
              <w:left w:w="0" w:type="dxa"/>
              <w:bottom w:w="0" w:type="dxa"/>
              <w:right w:w="0" w:type="dxa"/>
            </w:tcMar>
            <w:vAlign w:val="bottom"/>
          </w:tcPr>
          <w:p w14:paraId="0D158898" w14:textId="77777777" w:rsidR="001614AC" w:rsidRDefault="001614AC"/>
        </w:tc>
        <w:tc>
          <w:tcPr>
            <w:tcW w:w="980" w:type="dxa"/>
            <w:gridSpan w:val="2"/>
            <w:tcBorders>
              <w:top w:val="single" w:sz="8" w:space="0" w:color="C7C9C7"/>
              <w:left w:val="nil"/>
              <w:bottom w:val="single" w:sz="8" w:space="0" w:color="F4F4F4"/>
              <w:right w:val="nil"/>
            </w:tcBorders>
            <w:tcMar>
              <w:top w:w="0" w:type="dxa"/>
              <w:left w:w="53" w:type="dxa"/>
              <w:bottom w:w="0" w:type="dxa"/>
              <w:right w:w="0" w:type="dxa"/>
            </w:tcMar>
            <w:vAlign w:val="bottom"/>
          </w:tcPr>
          <w:p w14:paraId="0E25EB3D" w14:textId="77777777" w:rsidR="001614AC" w:rsidRDefault="004468F9">
            <w:pPr>
              <w:spacing w:before="55" w:after="30" w:line="288" w:lineRule="auto"/>
              <w:jc w:val="right"/>
            </w:pPr>
            <w:r>
              <w:rPr>
                <w:rFonts w:ascii="Arial" w:eastAsia="Arial" w:hAnsi="Arial" w:cs="Arial"/>
                <w:color w:val="000000"/>
                <w:sz w:val="18"/>
              </w:rPr>
              <w:t>2,684,636 </w:t>
            </w:r>
          </w:p>
        </w:tc>
        <w:tc>
          <w:tcPr>
            <w:tcW w:w="100" w:type="dxa"/>
            <w:tcBorders>
              <w:top w:val="single" w:sz="8" w:space="0" w:color="C7C9C7"/>
              <w:left w:val="nil"/>
              <w:bottom w:val="single" w:sz="8" w:space="0" w:color="F4F4F4"/>
              <w:right w:val="nil"/>
            </w:tcBorders>
            <w:tcMar>
              <w:top w:w="0" w:type="dxa"/>
              <w:left w:w="0" w:type="dxa"/>
              <w:bottom w:w="0" w:type="dxa"/>
              <w:right w:w="15" w:type="dxa"/>
            </w:tcMar>
            <w:vAlign w:val="bottom"/>
          </w:tcPr>
          <w:p w14:paraId="5FBE4997" w14:textId="77777777" w:rsidR="001614AC" w:rsidRDefault="001614AC">
            <w:pPr>
              <w:spacing w:before="55" w:after="30" w:line="288" w:lineRule="auto"/>
              <w:jc w:val="right"/>
            </w:pPr>
          </w:p>
        </w:tc>
        <w:tc>
          <w:tcPr>
            <w:tcW w:w="105" w:type="dxa"/>
            <w:tcBorders>
              <w:top w:val="single" w:sz="8" w:space="0" w:color="C7C9C7"/>
              <w:left w:val="nil"/>
              <w:bottom w:val="nil"/>
              <w:right w:val="nil"/>
            </w:tcBorders>
            <w:tcMar>
              <w:top w:w="0" w:type="dxa"/>
              <w:left w:w="0" w:type="dxa"/>
              <w:bottom w:w="0" w:type="dxa"/>
              <w:right w:w="0" w:type="dxa"/>
            </w:tcMar>
            <w:vAlign w:val="bottom"/>
          </w:tcPr>
          <w:p w14:paraId="221A1C2B" w14:textId="77777777" w:rsidR="001614AC" w:rsidRDefault="001614AC"/>
        </w:tc>
        <w:tc>
          <w:tcPr>
            <w:tcW w:w="980" w:type="dxa"/>
            <w:gridSpan w:val="2"/>
            <w:tcBorders>
              <w:top w:val="single" w:sz="8" w:space="0" w:color="C7C9C7"/>
              <w:left w:val="nil"/>
              <w:bottom w:val="single" w:sz="8" w:space="0" w:color="F4F4F4"/>
              <w:right w:val="nil"/>
            </w:tcBorders>
            <w:tcMar>
              <w:top w:w="0" w:type="dxa"/>
              <w:left w:w="53" w:type="dxa"/>
              <w:bottom w:w="0" w:type="dxa"/>
              <w:right w:w="0" w:type="dxa"/>
            </w:tcMar>
            <w:vAlign w:val="bottom"/>
          </w:tcPr>
          <w:p w14:paraId="5EB77031" w14:textId="77777777" w:rsidR="001614AC" w:rsidRDefault="004468F9">
            <w:pPr>
              <w:spacing w:before="55" w:after="30" w:line="288" w:lineRule="auto"/>
              <w:jc w:val="right"/>
            </w:pPr>
            <w:r>
              <w:rPr>
                <w:rFonts w:ascii="Arial" w:eastAsia="Arial" w:hAnsi="Arial" w:cs="Arial"/>
                <w:color w:val="000000"/>
                <w:sz w:val="18"/>
              </w:rPr>
              <w:t>2,389,789 </w:t>
            </w:r>
          </w:p>
        </w:tc>
        <w:tc>
          <w:tcPr>
            <w:tcW w:w="100" w:type="dxa"/>
            <w:tcBorders>
              <w:top w:val="single" w:sz="8" w:space="0" w:color="C7C9C7"/>
              <w:left w:val="nil"/>
              <w:bottom w:val="single" w:sz="8" w:space="0" w:color="F4F4F4"/>
              <w:right w:val="nil"/>
            </w:tcBorders>
            <w:tcMar>
              <w:top w:w="0" w:type="dxa"/>
              <w:left w:w="0" w:type="dxa"/>
              <w:bottom w:w="0" w:type="dxa"/>
              <w:right w:w="15" w:type="dxa"/>
            </w:tcMar>
            <w:vAlign w:val="bottom"/>
          </w:tcPr>
          <w:p w14:paraId="3E57E816" w14:textId="77777777" w:rsidR="001614AC" w:rsidRDefault="001614AC">
            <w:pPr>
              <w:spacing w:before="55" w:after="30" w:line="288" w:lineRule="auto"/>
              <w:jc w:val="right"/>
            </w:pPr>
          </w:p>
        </w:tc>
      </w:tr>
      <w:tr w:rsidR="001614AC" w14:paraId="3C185775" w14:textId="77777777">
        <w:trPr>
          <w:cantSplit/>
        </w:trPr>
        <w:tc>
          <w:tcPr>
            <w:tcW w:w="5505" w:type="dxa"/>
            <w:tcBorders>
              <w:top w:val="single" w:sz="8" w:space="0" w:color="F4F4F4"/>
              <w:left w:val="nil"/>
              <w:bottom w:val="single" w:sz="8" w:space="0" w:color="F4F4F4"/>
              <w:right w:val="nil"/>
            </w:tcBorders>
            <w:tcMar>
              <w:top w:w="0" w:type="dxa"/>
              <w:left w:w="53" w:type="dxa"/>
              <w:bottom w:w="0" w:type="dxa"/>
              <w:right w:w="53" w:type="dxa"/>
            </w:tcMar>
            <w:vAlign w:val="bottom"/>
          </w:tcPr>
          <w:p w14:paraId="436E5D3D" w14:textId="77777777" w:rsidR="001614AC" w:rsidRDefault="004468F9">
            <w:pPr>
              <w:spacing w:before="55" w:after="30" w:line="288" w:lineRule="auto"/>
              <w:ind w:left="240"/>
            </w:pPr>
            <w:r>
              <w:rPr>
                <w:rFonts w:ascii="Arial" w:eastAsia="Arial" w:hAnsi="Arial" w:cs="Arial"/>
                <w:color w:val="000000"/>
                <w:sz w:val="18"/>
              </w:rPr>
              <w:t>Net income (loss)</w:t>
            </w:r>
          </w:p>
        </w:tc>
        <w:tc>
          <w:tcPr>
            <w:tcW w:w="105" w:type="dxa"/>
            <w:tcBorders>
              <w:top w:val="nil"/>
              <w:left w:val="nil"/>
              <w:bottom w:val="nil"/>
              <w:right w:val="nil"/>
            </w:tcBorders>
            <w:tcMar>
              <w:top w:w="0" w:type="dxa"/>
              <w:left w:w="0" w:type="dxa"/>
              <w:bottom w:w="0" w:type="dxa"/>
              <w:right w:w="0" w:type="dxa"/>
            </w:tcMar>
            <w:vAlign w:val="bottom"/>
          </w:tcPr>
          <w:p w14:paraId="7BFBB53D" w14:textId="77777777" w:rsidR="001614AC" w:rsidRDefault="001614AC"/>
        </w:tc>
        <w:tc>
          <w:tcPr>
            <w:tcW w:w="980"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0264DB53" w14:textId="77777777" w:rsidR="001614AC" w:rsidRDefault="004468F9">
            <w:pPr>
              <w:spacing w:before="55" w:after="30" w:line="288" w:lineRule="auto"/>
              <w:jc w:val="right"/>
            </w:pPr>
            <w:r>
              <w:rPr>
                <w:rFonts w:ascii="Arial" w:eastAsia="Arial" w:hAnsi="Arial" w:cs="Arial"/>
                <w:color w:val="000000"/>
                <w:sz w:val="18"/>
              </w:rPr>
              <w:t>155,206 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723EC3DC" w14:textId="77777777" w:rsidR="001614AC" w:rsidRDefault="001614AC">
            <w:pPr>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6CECBE6A" w14:textId="77777777" w:rsidR="001614AC" w:rsidRDefault="001614AC"/>
        </w:tc>
        <w:tc>
          <w:tcPr>
            <w:tcW w:w="980"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5151E437" w14:textId="77777777" w:rsidR="001614AC" w:rsidRDefault="004468F9">
            <w:pPr>
              <w:spacing w:before="55" w:after="30" w:line="288" w:lineRule="auto"/>
              <w:jc w:val="right"/>
            </w:pPr>
            <w:r>
              <w:rPr>
                <w:rFonts w:ascii="Arial" w:eastAsia="Arial" w:hAnsi="Arial" w:cs="Arial"/>
                <w:color w:val="000000"/>
                <w:sz w:val="18"/>
              </w:rPr>
              <w:t>(29,951)</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4DACE79F" w14:textId="77777777" w:rsidR="001614AC" w:rsidRDefault="001614AC">
            <w:pPr>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7D3EB033" w14:textId="77777777" w:rsidR="001614AC" w:rsidRDefault="001614AC"/>
        </w:tc>
        <w:tc>
          <w:tcPr>
            <w:tcW w:w="980"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68FA94E1" w14:textId="77777777" w:rsidR="001614AC" w:rsidRDefault="004468F9">
            <w:pPr>
              <w:spacing w:before="55" w:after="30" w:line="288" w:lineRule="auto"/>
              <w:jc w:val="right"/>
            </w:pPr>
            <w:r>
              <w:rPr>
                <w:rFonts w:ascii="Arial" w:eastAsia="Arial" w:hAnsi="Arial" w:cs="Arial"/>
                <w:color w:val="000000"/>
                <w:sz w:val="18"/>
              </w:rPr>
              <w:t>280,814 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702E5B6B" w14:textId="77777777" w:rsidR="001614AC" w:rsidRDefault="001614AC">
            <w:pPr>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3D76165A" w14:textId="77777777" w:rsidR="001614AC" w:rsidRDefault="001614AC"/>
        </w:tc>
        <w:tc>
          <w:tcPr>
            <w:tcW w:w="980"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7644458C" w14:textId="77777777" w:rsidR="001614AC" w:rsidRDefault="004468F9">
            <w:pPr>
              <w:spacing w:before="55" w:after="30" w:line="288" w:lineRule="auto"/>
              <w:jc w:val="right"/>
            </w:pPr>
            <w:r>
              <w:rPr>
                <w:rFonts w:ascii="Arial" w:eastAsia="Arial" w:hAnsi="Arial" w:cs="Arial"/>
                <w:color w:val="000000"/>
                <w:sz w:val="18"/>
              </w:rPr>
              <w:t>110,510 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342CF74F" w14:textId="77777777" w:rsidR="001614AC" w:rsidRDefault="001614AC">
            <w:pPr>
              <w:spacing w:before="55" w:after="30" w:line="288" w:lineRule="auto"/>
              <w:jc w:val="right"/>
            </w:pPr>
          </w:p>
        </w:tc>
      </w:tr>
      <w:tr w:rsidR="001614AC" w14:paraId="726C2CF6" w14:textId="77777777">
        <w:trPr>
          <w:cantSplit/>
        </w:trPr>
        <w:tc>
          <w:tcPr>
            <w:tcW w:w="5505" w:type="dxa"/>
            <w:tcBorders>
              <w:top w:val="single" w:sz="8" w:space="0" w:color="F4F4F4"/>
              <w:left w:val="nil"/>
              <w:bottom w:val="nil"/>
              <w:right w:val="nil"/>
            </w:tcBorders>
            <w:tcMar>
              <w:top w:w="0" w:type="dxa"/>
              <w:left w:w="53" w:type="dxa"/>
              <w:bottom w:w="0" w:type="dxa"/>
              <w:right w:w="53" w:type="dxa"/>
            </w:tcMar>
            <w:vAlign w:val="bottom"/>
          </w:tcPr>
          <w:p w14:paraId="0CE00178" w14:textId="77777777" w:rsidR="001614AC" w:rsidRDefault="004468F9">
            <w:pPr>
              <w:spacing w:before="55" w:after="30" w:line="288" w:lineRule="auto"/>
              <w:ind w:left="240"/>
            </w:pPr>
            <w:r>
              <w:rPr>
                <w:rFonts w:ascii="Arial" w:eastAsia="Arial" w:hAnsi="Arial" w:cs="Arial"/>
                <w:color w:val="000000"/>
                <w:sz w:val="18"/>
              </w:rPr>
              <w:t>Dividends and dividend equivalents declared</w:t>
            </w:r>
          </w:p>
        </w:tc>
        <w:tc>
          <w:tcPr>
            <w:tcW w:w="105" w:type="dxa"/>
            <w:tcBorders>
              <w:top w:val="nil"/>
              <w:left w:val="nil"/>
              <w:bottom w:val="nil"/>
              <w:right w:val="nil"/>
            </w:tcBorders>
            <w:tcMar>
              <w:top w:w="0" w:type="dxa"/>
              <w:left w:w="0" w:type="dxa"/>
              <w:bottom w:w="0" w:type="dxa"/>
              <w:right w:w="0" w:type="dxa"/>
            </w:tcMar>
            <w:vAlign w:val="bottom"/>
          </w:tcPr>
          <w:p w14:paraId="08A50388" w14:textId="77777777" w:rsidR="001614AC" w:rsidRDefault="001614AC"/>
        </w:tc>
        <w:tc>
          <w:tcPr>
            <w:tcW w:w="980" w:type="dxa"/>
            <w:gridSpan w:val="2"/>
            <w:tcBorders>
              <w:top w:val="single" w:sz="8" w:space="0" w:color="F4F4F4"/>
              <w:left w:val="nil"/>
              <w:bottom w:val="single" w:sz="8" w:space="0" w:color="C7C9C7"/>
              <w:right w:val="nil"/>
            </w:tcBorders>
            <w:tcMar>
              <w:top w:w="0" w:type="dxa"/>
              <w:left w:w="53" w:type="dxa"/>
              <w:bottom w:w="0" w:type="dxa"/>
              <w:right w:w="0" w:type="dxa"/>
            </w:tcMar>
            <w:vAlign w:val="bottom"/>
          </w:tcPr>
          <w:p w14:paraId="3D852EF4" w14:textId="77777777" w:rsidR="001614AC" w:rsidRDefault="004468F9">
            <w:pPr>
              <w:spacing w:before="55" w:after="30" w:line="288" w:lineRule="auto"/>
              <w:jc w:val="right"/>
            </w:pPr>
            <w:r>
              <w:rPr>
                <w:rFonts w:ascii="Arial" w:eastAsia="Arial" w:hAnsi="Arial" w:cs="Arial"/>
                <w:color w:val="000000"/>
                <w:sz w:val="18"/>
              </w:rPr>
              <w:t>(27,812)</w:t>
            </w:r>
          </w:p>
        </w:tc>
        <w:tc>
          <w:tcPr>
            <w:tcW w:w="100" w:type="dxa"/>
            <w:tcBorders>
              <w:top w:val="single" w:sz="8" w:space="0" w:color="F4F4F4"/>
              <w:left w:val="nil"/>
              <w:bottom w:val="single" w:sz="8" w:space="0" w:color="C7C9C7"/>
              <w:right w:val="nil"/>
            </w:tcBorders>
            <w:tcMar>
              <w:top w:w="0" w:type="dxa"/>
              <w:left w:w="0" w:type="dxa"/>
              <w:bottom w:w="0" w:type="dxa"/>
              <w:right w:w="15" w:type="dxa"/>
            </w:tcMar>
            <w:vAlign w:val="bottom"/>
          </w:tcPr>
          <w:p w14:paraId="39672979" w14:textId="77777777" w:rsidR="001614AC" w:rsidRDefault="001614AC">
            <w:pPr>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45AED0D6" w14:textId="77777777" w:rsidR="001614AC" w:rsidRDefault="001614AC"/>
        </w:tc>
        <w:tc>
          <w:tcPr>
            <w:tcW w:w="980" w:type="dxa"/>
            <w:gridSpan w:val="2"/>
            <w:tcBorders>
              <w:top w:val="single" w:sz="8" w:space="0" w:color="F4F4F4"/>
              <w:left w:val="nil"/>
              <w:bottom w:val="single" w:sz="8" w:space="0" w:color="C7C9C7"/>
              <w:right w:val="nil"/>
            </w:tcBorders>
            <w:tcMar>
              <w:top w:w="0" w:type="dxa"/>
              <w:left w:w="53" w:type="dxa"/>
              <w:bottom w:w="0" w:type="dxa"/>
              <w:right w:w="0" w:type="dxa"/>
            </w:tcMar>
            <w:vAlign w:val="bottom"/>
          </w:tcPr>
          <w:p w14:paraId="5E8E7F53" w14:textId="77777777" w:rsidR="001614AC" w:rsidRDefault="004468F9">
            <w:pPr>
              <w:spacing w:before="55" w:after="30" w:line="288" w:lineRule="auto"/>
              <w:jc w:val="right"/>
            </w:pPr>
            <w:r>
              <w:rPr>
                <w:rFonts w:ascii="Arial" w:eastAsia="Arial" w:hAnsi="Arial" w:cs="Arial"/>
                <w:color w:val="000000"/>
                <w:sz w:val="18"/>
              </w:rPr>
              <w:t>(24,479)</w:t>
            </w:r>
          </w:p>
        </w:tc>
        <w:tc>
          <w:tcPr>
            <w:tcW w:w="100" w:type="dxa"/>
            <w:tcBorders>
              <w:top w:val="single" w:sz="8" w:space="0" w:color="F4F4F4"/>
              <w:left w:val="nil"/>
              <w:bottom w:val="single" w:sz="8" w:space="0" w:color="C7C9C7"/>
              <w:right w:val="nil"/>
            </w:tcBorders>
            <w:tcMar>
              <w:top w:w="0" w:type="dxa"/>
              <w:left w:w="0" w:type="dxa"/>
              <w:bottom w:w="0" w:type="dxa"/>
              <w:right w:w="15" w:type="dxa"/>
            </w:tcMar>
            <w:vAlign w:val="bottom"/>
          </w:tcPr>
          <w:p w14:paraId="1BB78E56" w14:textId="77777777" w:rsidR="001614AC" w:rsidRDefault="001614AC">
            <w:pPr>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6BDC4465" w14:textId="77777777" w:rsidR="001614AC" w:rsidRDefault="001614AC"/>
        </w:tc>
        <w:tc>
          <w:tcPr>
            <w:tcW w:w="980" w:type="dxa"/>
            <w:gridSpan w:val="2"/>
            <w:tcBorders>
              <w:top w:val="single" w:sz="8" w:space="0" w:color="F4F4F4"/>
              <w:left w:val="nil"/>
              <w:bottom w:val="single" w:sz="8" w:space="0" w:color="C7C9C7"/>
              <w:right w:val="nil"/>
            </w:tcBorders>
            <w:tcMar>
              <w:top w:w="0" w:type="dxa"/>
              <w:left w:w="53" w:type="dxa"/>
              <w:bottom w:w="0" w:type="dxa"/>
              <w:right w:w="0" w:type="dxa"/>
            </w:tcMar>
            <w:vAlign w:val="bottom"/>
          </w:tcPr>
          <w:p w14:paraId="7C38B7A5" w14:textId="77777777" w:rsidR="001614AC" w:rsidRDefault="004468F9">
            <w:pPr>
              <w:spacing w:before="55" w:after="30" w:line="288" w:lineRule="auto"/>
              <w:jc w:val="right"/>
            </w:pPr>
            <w:r>
              <w:rPr>
                <w:rFonts w:ascii="Arial" w:eastAsia="Arial" w:hAnsi="Arial" w:cs="Arial"/>
                <w:color w:val="000000"/>
                <w:sz w:val="18"/>
              </w:rPr>
              <w:t>(52,312)</w:t>
            </w:r>
          </w:p>
        </w:tc>
        <w:tc>
          <w:tcPr>
            <w:tcW w:w="100" w:type="dxa"/>
            <w:tcBorders>
              <w:top w:val="single" w:sz="8" w:space="0" w:color="F4F4F4"/>
              <w:left w:val="nil"/>
              <w:bottom w:val="single" w:sz="8" w:space="0" w:color="C7C9C7"/>
              <w:right w:val="nil"/>
            </w:tcBorders>
            <w:tcMar>
              <w:top w:w="0" w:type="dxa"/>
              <w:left w:w="0" w:type="dxa"/>
              <w:bottom w:w="0" w:type="dxa"/>
              <w:right w:w="15" w:type="dxa"/>
            </w:tcMar>
            <w:vAlign w:val="bottom"/>
          </w:tcPr>
          <w:p w14:paraId="26EA36F2" w14:textId="77777777" w:rsidR="001614AC" w:rsidRDefault="001614AC">
            <w:pPr>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024A9B17" w14:textId="77777777" w:rsidR="001614AC" w:rsidRDefault="001614AC"/>
        </w:tc>
        <w:tc>
          <w:tcPr>
            <w:tcW w:w="980" w:type="dxa"/>
            <w:gridSpan w:val="2"/>
            <w:tcBorders>
              <w:top w:val="single" w:sz="8" w:space="0" w:color="F4F4F4"/>
              <w:left w:val="nil"/>
              <w:bottom w:val="single" w:sz="8" w:space="0" w:color="C7C9C7"/>
              <w:right w:val="nil"/>
            </w:tcBorders>
            <w:tcMar>
              <w:top w:w="0" w:type="dxa"/>
              <w:left w:w="53" w:type="dxa"/>
              <w:bottom w:w="0" w:type="dxa"/>
              <w:right w:w="0" w:type="dxa"/>
            </w:tcMar>
            <w:vAlign w:val="bottom"/>
          </w:tcPr>
          <w:p w14:paraId="032C652D" w14:textId="77777777" w:rsidR="001614AC" w:rsidRDefault="004468F9">
            <w:pPr>
              <w:spacing w:before="55" w:after="30" w:line="288" w:lineRule="auto"/>
              <w:jc w:val="right"/>
            </w:pPr>
            <w:r>
              <w:rPr>
                <w:rFonts w:ascii="Arial" w:eastAsia="Arial" w:hAnsi="Arial" w:cs="Arial"/>
                <w:color w:val="000000"/>
                <w:sz w:val="18"/>
              </w:rPr>
              <w:t>(49,876)</w:t>
            </w:r>
          </w:p>
        </w:tc>
        <w:tc>
          <w:tcPr>
            <w:tcW w:w="100" w:type="dxa"/>
            <w:tcBorders>
              <w:top w:val="single" w:sz="8" w:space="0" w:color="F4F4F4"/>
              <w:left w:val="nil"/>
              <w:bottom w:val="single" w:sz="8" w:space="0" w:color="C7C9C7"/>
              <w:right w:val="nil"/>
            </w:tcBorders>
            <w:tcMar>
              <w:top w:w="0" w:type="dxa"/>
              <w:left w:w="0" w:type="dxa"/>
              <w:bottom w:w="0" w:type="dxa"/>
              <w:right w:w="15" w:type="dxa"/>
            </w:tcMar>
            <w:vAlign w:val="bottom"/>
          </w:tcPr>
          <w:p w14:paraId="59321C15" w14:textId="77777777" w:rsidR="001614AC" w:rsidRDefault="001614AC">
            <w:pPr>
              <w:spacing w:before="55" w:after="30" w:line="288" w:lineRule="auto"/>
              <w:jc w:val="right"/>
            </w:pPr>
          </w:p>
        </w:tc>
      </w:tr>
      <w:tr w:rsidR="001614AC" w14:paraId="62FE24F0" w14:textId="77777777">
        <w:trPr>
          <w:cantSplit/>
        </w:trPr>
        <w:tc>
          <w:tcPr>
            <w:tcW w:w="5505" w:type="dxa"/>
            <w:tcBorders>
              <w:top w:val="nil"/>
              <w:left w:val="nil"/>
              <w:bottom w:val="nil"/>
              <w:right w:val="nil"/>
            </w:tcBorders>
            <w:shd w:val="clear" w:color="auto" w:fill="F4F4F4"/>
            <w:tcMar>
              <w:top w:w="0" w:type="dxa"/>
              <w:left w:w="53" w:type="dxa"/>
              <w:bottom w:w="0" w:type="dxa"/>
              <w:right w:w="53" w:type="dxa"/>
            </w:tcMar>
            <w:vAlign w:val="bottom"/>
          </w:tcPr>
          <w:p w14:paraId="3B05BBAC" w14:textId="77777777" w:rsidR="001614AC" w:rsidRDefault="004468F9">
            <w:pPr>
              <w:spacing w:before="75" w:after="30" w:line="288" w:lineRule="auto"/>
            </w:pPr>
            <w:r>
              <w:rPr>
                <w:rFonts w:ascii="Arial" w:eastAsia="Arial" w:hAnsi="Arial" w:cs="Arial"/>
                <w:color w:val="000000"/>
                <w:sz w:val="18"/>
              </w:rPr>
              <w:t>Balance, end of period</w:t>
            </w:r>
          </w:p>
        </w:tc>
        <w:tc>
          <w:tcPr>
            <w:tcW w:w="105" w:type="dxa"/>
            <w:tcBorders>
              <w:top w:val="nil"/>
              <w:left w:val="nil"/>
              <w:bottom w:val="nil"/>
              <w:right w:val="nil"/>
            </w:tcBorders>
            <w:shd w:val="clear" w:color="auto" w:fill="F4F4F4"/>
            <w:tcMar>
              <w:top w:w="0" w:type="dxa"/>
              <w:left w:w="0" w:type="dxa"/>
              <w:bottom w:w="0" w:type="dxa"/>
              <w:right w:w="0" w:type="dxa"/>
            </w:tcMar>
            <w:vAlign w:val="bottom"/>
          </w:tcPr>
          <w:p w14:paraId="65FD9B4F" w14:textId="77777777" w:rsidR="001614AC" w:rsidRDefault="001614AC"/>
        </w:tc>
        <w:tc>
          <w:tcPr>
            <w:tcW w:w="980" w:type="dxa"/>
            <w:gridSpan w:val="2"/>
            <w:tcBorders>
              <w:top w:val="single" w:sz="8" w:space="0" w:color="C7C9C7"/>
              <w:left w:val="nil"/>
              <w:bottom w:val="single" w:sz="8" w:space="0" w:color="C7C9C7"/>
              <w:right w:val="nil"/>
            </w:tcBorders>
            <w:shd w:val="clear" w:color="auto" w:fill="F4F4F4"/>
            <w:tcMar>
              <w:top w:w="0" w:type="dxa"/>
              <w:left w:w="53" w:type="dxa"/>
              <w:bottom w:w="0" w:type="dxa"/>
              <w:right w:w="0" w:type="dxa"/>
            </w:tcMar>
            <w:vAlign w:val="bottom"/>
          </w:tcPr>
          <w:p w14:paraId="4D3C2022" w14:textId="77777777" w:rsidR="001614AC" w:rsidRDefault="004468F9">
            <w:pPr>
              <w:spacing w:before="55" w:after="30" w:line="288" w:lineRule="auto"/>
              <w:jc w:val="right"/>
            </w:pPr>
            <w:r>
              <w:rPr>
                <w:rFonts w:ascii="Arial" w:eastAsia="Arial" w:hAnsi="Arial" w:cs="Arial"/>
                <w:color w:val="000000"/>
                <w:sz w:val="18"/>
              </w:rPr>
              <w:t>2,913,138 </w:t>
            </w:r>
          </w:p>
        </w:tc>
        <w:tc>
          <w:tcPr>
            <w:tcW w:w="100" w:type="dxa"/>
            <w:tcBorders>
              <w:top w:val="single" w:sz="8" w:space="0" w:color="C7C9C7"/>
              <w:left w:val="nil"/>
              <w:bottom w:val="single" w:sz="8" w:space="0" w:color="C7C9C7"/>
              <w:right w:val="nil"/>
            </w:tcBorders>
            <w:shd w:val="clear" w:color="auto" w:fill="F4F4F4"/>
            <w:tcMar>
              <w:top w:w="0" w:type="dxa"/>
              <w:left w:w="0" w:type="dxa"/>
              <w:bottom w:w="0" w:type="dxa"/>
              <w:right w:w="15" w:type="dxa"/>
            </w:tcMar>
            <w:vAlign w:val="bottom"/>
          </w:tcPr>
          <w:p w14:paraId="16A98A8D" w14:textId="77777777" w:rsidR="001614AC" w:rsidRDefault="001614AC">
            <w:pPr>
              <w:spacing w:before="55" w:after="30" w:line="288" w:lineRule="auto"/>
              <w:jc w:val="right"/>
            </w:pPr>
          </w:p>
        </w:tc>
        <w:tc>
          <w:tcPr>
            <w:tcW w:w="105" w:type="dxa"/>
            <w:tcBorders>
              <w:top w:val="nil"/>
              <w:left w:val="nil"/>
              <w:bottom w:val="nil"/>
              <w:right w:val="nil"/>
            </w:tcBorders>
            <w:shd w:val="clear" w:color="auto" w:fill="F4F4F4"/>
            <w:tcMar>
              <w:top w:w="0" w:type="dxa"/>
              <w:left w:w="0" w:type="dxa"/>
              <w:bottom w:w="0" w:type="dxa"/>
              <w:right w:w="0" w:type="dxa"/>
            </w:tcMar>
            <w:vAlign w:val="bottom"/>
          </w:tcPr>
          <w:p w14:paraId="013500AB" w14:textId="77777777" w:rsidR="001614AC" w:rsidRDefault="001614AC"/>
        </w:tc>
        <w:tc>
          <w:tcPr>
            <w:tcW w:w="980" w:type="dxa"/>
            <w:gridSpan w:val="2"/>
            <w:tcBorders>
              <w:top w:val="single" w:sz="8" w:space="0" w:color="C7C9C7"/>
              <w:left w:val="nil"/>
              <w:bottom w:val="single" w:sz="8" w:space="0" w:color="C7C9C7"/>
              <w:right w:val="nil"/>
            </w:tcBorders>
            <w:shd w:val="clear" w:color="auto" w:fill="F4F4F4"/>
            <w:tcMar>
              <w:top w:w="0" w:type="dxa"/>
              <w:left w:w="53" w:type="dxa"/>
              <w:bottom w:w="0" w:type="dxa"/>
              <w:right w:w="0" w:type="dxa"/>
            </w:tcMar>
            <w:vAlign w:val="bottom"/>
          </w:tcPr>
          <w:p w14:paraId="6967517F" w14:textId="77777777" w:rsidR="001614AC" w:rsidRDefault="004468F9">
            <w:pPr>
              <w:spacing w:before="55" w:after="30" w:line="288" w:lineRule="auto"/>
              <w:jc w:val="right"/>
            </w:pPr>
            <w:r>
              <w:rPr>
                <w:rFonts w:ascii="Arial" w:eastAsia="Arial" w:hAnsi="Arial" w:cs="Arial"/>
                <w:color w:val="000000"/>
                <w:sz w:val="18"/>
              </w:rPr>
              <w:t>2,450,423 </w:t>
            </w:r>
          </w:p>
        </w:tc>
        <w:tc>
          <w:tcPr>
            <w:tcW w:w="100" w:type="dxa"/>
            <w:tcBorders>
              <w:top w:val="single" w:sz="8" w:space="0" w:color="C7C9C7"/>
              <w:left w:val="nil"/>
              <w:bottom w:val="single" w:sz="8" w:space="0" w:color="C7C9C7"/>
              <w:right w:val="nil"/>
            </w:tcBorders>
            <w:shd w:val="clear" w:color="auto" w:fill="F4F4F4"/>
            <w:tcMar>
              <w:top w:w="0" w:type="dxa"/>
              <w:left w:w="0" w:type="dxa"/>
              <w:bottom w:w="0" w:type="dxa"/>
              <w:right w:w="15" w:type="dxa"/>
            </w:tcMar>
            <w:vAlign w:val="bottom"/>
          </w:tcPr>
          <w:p w14:paraId="3BAE69E0" w14:textId="77777777" w:rsidR="001614AC" w:rsidRDefault="001614AC">
            <w:pPr>
              <w:spacing w:before="55" w:after="30" w:line="288" w:lineRule="auto"/>
              <w:jc w:val="right"/>
            </w:pPr>
          </w:p>
        </w:tc>
        <w:tc>
          <w:tcPr>
            <w:tcW w:w="105" w:type="dxa"/>
            <w:tcBorders>
              <w:top w:val="nil"/>
              <w:left w:val="nil"/>
              <w:bottom w:val="nil"/>
              <w:right w:val="nil"/>
            </w:tcBorders>
            <w:shd w:val="clear" w:color="auto" w:fill="F4F4F4"/>
            <w:tcMar>
              <w:top w:w="0" w:type="dxa"/>
              <w:left w:w="0" w:type="dxa"/>
              <w:bottom w:w="0" w:type="dxa"/>
              <w:right w:w="0" w:type="dxa"/>
            </w:tcMar>
            <w:vAlign w:val="bottom"/>
          </w:tcPr>
          <w:p w14:paraId="2D209B88" w14:textId="77777777" w:rsidR="001614AC" w:rsidRDefault="001614AC"/>
        </w:tc>
        <w:tc>
          <w:tcPr>
            <w:tcW w:w="980" w:type="dxa"/>
            <w:gridSpan w:val="2"/>
            <w:tcBorders>
              <w:top w:val="single" w:sz="8" w:space="0" w:color="C7C9C7"/>
              <w:left w:val="nil"/>
              <w:bottom w:val="single" w:sz="8" w:space="0" w:color="C7C9C7"/>
              <w:right w:val="nil"/>
            </w:tcBorders>
            <w:shd w:val="clear" w:color="auto" w:fill="F4F4F4"/>
            <w:tcMar>
              <w:top w:w="0" w:type="dxa"/>
              <w:left w:w="53" w:type="dxa"/>
              <w:bottom w:w="0" w:type="dxa"/>
              <w:right w:w="0" w:type="dxa"/>
            </w:tcMar>
            <w:vAlign w:val="bottom"/>
          </w:tcPr>
          <w:p w14:paraId="56FB6C1F" w14:textId="77777777" w:rsidR="001614AC" w:rsidRDefault="004468F9">
            <w:pPr>
              <w:spacing w:before="55" w:after="30" w:line="288" w:lineRule="auto"/>
              <w:jc w:val="right"/>
            </w:pPr>
            <w:r>
              <w:rPr>
                <w:rFonts w:ascii="Arial" w:eastAsia="Arial" w:hAnsi="Arial" w:cs="Arial"/>
                <w:color w:val="000000"/>
                <w:sz w:val="18"/>
              </w:rPr>
              <w:t>2,913,138 </w:t>
            </w:r>
          </w:p>
        </w:tc>
        <w:tc>
          <w:tcPr>
            <w:tcW w:w="100" w:type="dxa"/>
            <w:tcBorders>
              <w:top w:val="single" w:sz="8" w:space="0" w:color="C7C9C7"/>
              <w:left w:val="nil"/>
              <w:bottom w:val="single" w:sz="8" w:space="0" w:color="C7C9C7"/>
              <w:right w:val="nil"/>
            </w:tcBorders>
            <w:shd w:val="clear" w:color="auto" w:fill="F4F4F4"/>
            <w:tcMar>
              <w:top w:w="0" w:type="dxa"/>
              <w:left w:w="0" w:type="dxa"/>
              <w:bottom w:w="0" w:type="dxa"/>
              <w:right w:w="15" w:type="dxa"/>
            </w:tcMar>
            <w:vAlign w:val="bottom"/>
          </w:tcPr>
          <w:p w14:paraId="066FD88D" w14:textId="77777777" w:rsidR="001614AC" w:rsidRDefault="001614AC">
            <w:pPr>
              <w:spacing w:before="55" w:after="30" w:line="288" w:lineRule="auto"/>
              <w:jc w:val="right"/>
            </w:pPr>
          </w:p>
        </w:tc>
        <w:tc>
          <w:tcPr>
            <w:tcW w:w="105" w:type="dxa"/>
            <w:tcBorders>
              <w:top w:val="nil"/>
              <w:left w:val="nil"/>
              <w:bottom w:val="nil"/>
              <w:right w:val="nil"/>
            </w:tcBorders>
            <w:shd w:val="clear" w:color="auto" w:fill="F4F4F4"/>
            <w:tcMar>
              <w:top w:w="0" w:type="dxa"/>
              <w:left w:w="0" w:type="dxa"/>
              <w:bottom w:w="0" w:type="dxa"/>
              <w:right w:w="0" w:type="dxa"/>
            </w:tcMar>
            <w:vAlign w:val="bottom"/>
          </w:tcPr>
          <w:p w14:paraId="0BD3534C" w14:textId="77777777" w:rsidR="001614AC" w:rsidRDefault="001614AC"/>
        </w:tc>
        <w:tc>
          <w:tcPr>
            <w:tcW w:w="980" w:type="dxa"/>
            <w:gridSpan w:val="2"/>
            <w:tcBorders>
              <w:top w:val="single" w:sz="8" w:space="0" w:color="C7C9C7"/>
              <w:left w:val="nil"/>
              <w:bottom w:val="single" w:sz="8" w:space="0" w:color="C7C9C7"/>
              <w:right w:val="nil"/>
            </w:tcBorders>
            <w:shd w:val="clear" w:color="auto" w:fill="F4F4F4"/>
            <w:tcMar>
              <w:top w:w="0" w:type="dxa"/>
              <w:left w:w="53" w:type="dxa"/>
              <w:bottom w:w="0" w:type="dxa"/>
              <w:right w:w="0" w:type="dxa"/>
            </w:tcMar>
            <w:vAlign w:val="bottom"/>
          </w:tcPr>
          <w:p w14:paraId="452F3552" w14:textId="77777777" w:rsidR="001614AC" w:rsidRDefault="004468F9">
            <w:pPr>
              <w:spacing w:before="55" w:after="30" w:line="288" w:lineRule="auto"/>
              <w:jc w:val="right"/>
            </w:pPr>
            <w:r>
              <w:rPr>
                <w:rFonts w:ascii="Arial" w:eastAsia="Arial" w:hAnsi="Arial" w:cs="Arial"/>
                <w:color w:val="000000"/>
                <w:sz w:val="18"/>
              </w:rPr>
              <w:t>2,450,423 </w:t>
            </w:r>
          </w:p>
        </w:tc>
        <w:tc>
          <w:tcPr>
            <w:tcW w:w="100" w:type="dxa"/>
            <w:tcBorders>
              <w:top w:val="single" w:sz="8" w:space="0" w:color="C7C9C7"/>
              <w:left w:val="nil"/>
              <w:bottom w:val="single" w:sz="8" w:space="0" w:color="C7C9C7"/>
              <w:right w:val="nil"/>
            </w:tcBorders>
            <w:shd w:val="clear" w:color="auto" w:fill="F4F4F4"/>
            <w:tcMar>
              <w:top w:w="0" w:type="dxa"/>
              <w:left w:w="0" w:type="dxa"/>
              <w:bottom w:w="0" w:type="dxa"/>
              <w:right w:w="15" w:type="dxa"/>
            </w:tcMar>
            <w:vAlign w:val="bottom"/>
          </w:tcPr>
          <w:p w14:paraId="3F1D52CC" w14:textId="77777777" w:rsidR="001614AC" w:rsidRDefault="001614AC">
            <w:pPr>
              <w:spacing w:before="55" w:after="30" w:line="288" w:lineRule="auto"/>
              <w:jc w:val="right"/>
            </w:pPr>
          </w:p>
        </w:tc>
      </w:tr>
      <w:tr w:rsidR="001614AC" w14:paraId="39F1E844" w14:textId="77777777">
        <w:trPr>
          <w:cantSplit/>
        </w:trPr>
        <w:tc>
          <w:tcPr>
            <w:tcW w:w="5505" w:type="dxa"/>
            <w:tcBorders>
              <w:top w:val="nil"/>
              <w:left w:val="nil"/>
              <w:bottom w:val="nil"/>
              <w:right w:val="nil"/>
            </w:tcBorders>
            <w:tcMar>
              <w:top w:w="0" w:type="dxa"/>
              <w:left w:w="0" w:type="dxa"/>
              <w:bottom w:w="0" w:type="dxa"/>
              <w:right w:w="0" w:type="dxa"/>
            </w:tcMar>
            <w:vAlign w:val="bottom"/>
          </w:tcPr>
          <w:p w14:paraId="4ADBFA4E" w14:textId="77777777" w:rsidR="001614AC" w:rsidRDefault="001614AC"/>
        </w:tc>
        <w:tc>
          <w:tcPr>
            <w:tcW w:w="105" w:type="dxa"/>
            <w:tcBorders>
              <w:top w:val="nil"/>
              <w:left w:val="nil"/>
              <w:bottom w:val="nil"/>
              <w:right w:val="nil"/>
            </w:tcBorders>
            <w:tcMar>
              <w:top w:w="0" w:type="dxa"/>
              <w:left w:w="0" w:type="dxa"/>
              <w:bottom w:w="0" w:type="dxa"/>
              <w:right w:w="0" w:type="dxa"/>
            </w:tcMar>
            <w:vAlign w:val="bottom"/>
          </w:tcPr>
          <w:p w14:paraId="741E6A7C" w14:textId="77777777" w:rsidR="001614AC" w:rsidRDefault="001614AC"/>
        </w:tc>
        <w:tc>
          <w:tcPr>
            <w:tcW w:w="1080" w:type="dxa"/>
            <w:gridSpan w:val="3"/>
            <w:tcBorders>
              <w:top w:val="single" w:sz="8" w:space="0" w:color="C7C9C7"/>
              <w:left w:val="nil"/>
              <w:bottom w:val="nil"/>
              <w:right w:val="nil"/>
            </w:tcBorders>
            <w:tcMar>
              <w:top w:w="0" w:type="dxa"/>
              <w:left w:w="0" w:type="dxa"/>
              <w:bottom w:w="0" w:type="dxa"/>
              <w:right w:w="0" w:type="dxa"/>
            </w:tcMar>
            <w:vAlign w:val="bottom"/>
          </w:tcPr>
          <w:p w14:paraId="4DE80351" w14:textId="77777777" w:rsidR="001614AC" w:rsidRDefault="001614AC"/>
        </w:tc>
        <w:tc>
          <w:tcPr>
            <w:tcW w:w="105" w:type="dxa"/>
            <w:tcBorders>
              <w:top w:val="nil"/>
              <w:left w:val="nil"/>
              <w:bottom w:val="nil"/>
              <w:right w:val="nil"/>
            </w:tcBorders>
            <w:tcMar>
              <w:top w:w="0" w:type="dxa"/>
              <w:left w:w="0" w:type="dxa"/>
              <w:bottom w:w="0" w:type="dxa"/>
              <w:right w:w="0" w:type="dxa"/>
            </w:tcMar>
            <w:vAlign w:val="bottom"/>
          </w:tcPr>
          <w:p w14:paraId="58D42665" w14:textId="77777777" w:rsidR="001614AC" w:rsidRDefault="001614AC"/>
        </w:tc>
        <w:tc>
          <w:tcPr>
            <w:tcW w:w="1080" w:type="dxa"/>
            <w:gridSpan w:val="3"/>
            <w:tcBorders>
              <w:top w:val="single" w:sz="8" w:space="0" w:color="C7C9C7"/>
              <w:left w:val="nil"/>
              <w:bottom w:val="nil"/>
              <w:right w:val="nil"/>
            </w:tcBorders>
            <w:tcMar>
              <w:top w:w="0" w:type="dxa"/>
              <w:left w:w="0" w:type="dxa"/>
              <w:bottom w:w="0" w:type="dxa"/>
              <w:right w:w="0" w:type="dxa"/>
            </w:tcMar>
            <w:vAlign w:val="bottom"/>
          </w:tcPr>
          <w:p w14:paraId="5DD1E714" w14:textId="77777777" w:rsidR="001614AC" w:rsidRDefault="001614AC"/>
        </w:tc>
        <w:tc>
          <w:tcPr>
            <w:tcW w:w="105" w:type="dxa"/>
            <w:tcBorders>
              <w:top w:val="nil"/>
              <w:left w:val="nil"/>
              <w:bottom w:val="nil"/>
              <w:right w:val="nil"/>
            </w:tcBorders>
            <w:tcMar>
              <w:top w:w="0" w:type="dxa"/>
              <w:left w:w="0" w:type="dxa"/>
              <w:bottom w:w="0" w:type="dxa"/>
              <w:right w:w="0" w:type="dxa"/>
            </w:tcMar>
            <w:vAlign w:val="bottom"/>
          </w:tcPr>
          <w:p w14:paraId="589AC3CE" w14:textId="77777777" w:rsidR="001614AC" w:rsidRDefault="001614AC"/>
        </w:tc>
        <w:tc>
          <w:tcPr>
            <w:tcW w:w="1080" w:type="dxa"/>
            <w:gridSpan w:val="3"/>
            <w:tcBorders>
              <w:top w:val="single" w:sz="8" w:space="0" w:color="C7C9C7"/>
              <w:left w:val="nil"/>
              <w:bottom w:val="nil"/>
              <w:right w:val="nil"/>
            </w:tcBorders>
            <w:tcMar>
              <w:top w:w="0" w:type="dxa"/>
              <w:left w:w="0" w:type="dxa"/>
              <w:bottom w:w="0" w:type="dxa"/>
              <w:right w:w="0" w:type="dxa"/>
            </w:tcMar>
            <w:vAlign w:val="bottom"/>
          </w:tcPr>
          <w:p w14:paraId="445691FF" w14:textId="77777777" w:rsidR="001614AC" w:rsidRDefault="001614AC"/>
        </w:tc>
        <w:tc>
          <w:tcPr>
            <w:tcW w:w="105" w:type="dxa"/>
            <w:tcBorders>
              <w:top w:val="nil"/>
              <w:left w:val="nil"/>
              <w:bottom w:val="nil"/>
              <w:right w:val="nil"/>
            </w:tcBorders>
            <w:tcMar>
              <w:top w:w="0" w:type="dxa"/>
              <w:left w:w="0" w:type="dxa"/>
              <w:bottom w:w="0" w:type="dxa"/>
              <w:right w:w="0" w:type="dxa"/>
            </w:tcMar>
            <w:vAlign w:val="bottom"/>
          </w:tcPr>
          <w:p w14:paraId="482BCD83" w14:textId="77777777" w:rsidR="001614AC" w:rsidRDefault="001614AC"/>
        </w:tc>
        <w:tc>
          <w:tcPr>
            <w:tcW w:w="1080" w:type="dxa"/>
            <w:gridSpan w:val="3"/>
            <w:tcBorders>
              <w:top w:val="single" w:sz="8" w:space="0" w:color="C7C9C7"/>
              <w:left w:val="nil"/>
              <w:bottom w:val="nil"/>
              <w:right w:val="nil"/>
            </w:tcBorders>
            <w:tcMar>
              <w:top w:w="0" w:type="dxa"/>
              <w:left w:w="0" w:type="dxa"/>
              <w:bottom w:w="0" w:type="dxa"/>
              <w:right w:w="0" w:type="dxa"/>
            </w:tcMar>
            <w:vAlign w:val="bottom"/>
          </w:tcPr>
          <w:p w14:paraId="5377E751" w14:textId="77777777" w:rsidR="001614AC" w:rsidRDefault="001614AC"/>
        </w:tc>
      </w:tr>
      <w:tr w:rsidR="001614AC" w14:paraId="44B41AE1" w14:textId="77777777">
        <w:trPr>
          <w:cantSplit/>
        </w:trPr>
        <w:tc>
          <w:tcPr>
            <w:tcW w:w="5505" w:type="dxa"/>
            <w:tcBorders>
              <w:top w:val="nil"/>
              <w:left w:val="nil"/>
              <w:bottom w:val="single" w:sz="8" w:space="0" w:color="C7C9C7"/>
              <w:right w:val="nil"/>
            </w:tcBorders>
            <w:shd w:val="clear" w:color="auto" w:fill="F4F4F4"/>
            <w:tcMar>
              <w:top w:w="0" w:type="dxa"/>
              <w:left w:w="53" w:type="dxa"/>
              <w:bottom w:w="0" w:type="dxa"/>
              <w:right w:w="53" w:type="dxa"/>
            </w:tcMar>
            <w:vAlign w:val="bottom"/>
          </w:tcPr>
          <w:p w14:paraId="10684A61" w14:textId="77777777" w:rsidR="001614AC" w:rsidRDefault="004468F9">
            <w:pPr>
              <w:spacing w:before="75" w:after="30" w:line="288" w:lineRule="auto"/>
            </w:pPr>
            <w:r>
              <w:rPr>
                <w:rFonts w:ascii="Arial" w:eastAsia="Arial" w:hAnsi="Arial" w:cs="Arial"/>
                <w:b/>
                <w:color w:val="00BAB3"/>
                <w:sz w:val="20"/>
              </w:rPr>
              <w:t xml:space="preserve">Accumulated Other Comprehensive Income (Loss) </w:t>
            </w:r>
          </w:p>
        </w:tc>
        <w:tc>
          <w:tcPr>
            <w:tcW w:w="105" w:type="dxa"/>
            <w:tcBorders>
              <w:top w:val="nil"/>
              <w:left w:val="nil"/>
              <w:bottom w:val="single" w:sz="8" w:space="0" w:color="C7C9C7"/>
              <w:right w:val="nil"/>
            </w:tcBorders>
            <w:shd w:val="clear" w:color="auto" w:fill="F4F4F4"/>
            <w:tcMar>
              <w:top w:w="0" w:type="dxa"/>
              <w:left w:w="0" w:type="dxa"/>
              <w:bottom w:w="0" w:type="dxa"/>
              <w:right w:w="0" w:type="dxa"/>
            </w:tcMar>
            <w:vAlign w:val="bottom"/>
          </w:tcPr>
          <w:p w14:paraId="0BFA1E45" w14:textId="77777777" w:rsidR="001614AC" w:rsidRDefault="001614AC"/>
        </w:tc>
        <w:tc>
          <w:tcPr>
            <w:tcW w:w="1080" w:type="dxa"/>
            <w:gridSpan w:val="3"/>
            <w:tcBorders>
              <w:top w:val="nil"/>
              <w:left w:val="nil"/>
              <w:bottom w:val="single" w:sz="8" w:space="0" w:color="C7C9C7"/>
              <w:right w:val="nil"/>
            </w:tcBorders>
            <w:shd w:val="clear" w:color="auto" w:fill="F4F4F4"/>
            <w:tcMar>
              <w:top w:w="0" w:type="dxa"/>
              <w:left w:w="0" w:type="dxa"/>
              <w:bottom w:w="0" w:type="dxa"/>
              <w:right w:w="0" w:type="dxa"/>
            </w:tcMar>
            <w:vAlign w:val="bottom"/>
          </w:tcPr>
          <w:p w14:paraId="1567E4EE" w14:textId="77777777" w:rsidR="001614AC" w:rsidRDefault="001614AC"/>
        </w:tc>
        <w:tc>
          <w:tcPr>
            <w:tcW w:w="105" w:type="dxa"/>
            <w:tcBorders>
              <w:top w:val="nil"/>
              <w:left w:val="nil"/>
              <w:bottom w:val="single" w:sz="8" w:space="0" w:color="C7C9C7"/>
              <w:right w:val="nil"/>
            </w:tcBorders>
            <w:shd w:val="clear" w:color="auto" w:fill="F4F4F4"/>
            <w:tcMar>
              <w:top w:w="0" w:type="dxa"/>
              <w:left w:w="0" w:type="dxa"/>
              <w:bottom w:w="0" w:type="dxa"/>
              <w:right w:w="0" w:type="dxa"/>
            </w:tcMar>
            <w:vAlign w:val="bottom"/>
          </w:tcPr>
          <w:p w14:paraId="4DC64A37" w14:textId="77777777" w:rsidR="001614AC" w:rsidRDefault="001614AC"/>
        </w:tc>
        <w:tc>
          <w:tcPr>
            <w:tcW w:w="1080" w:type="dxa"/>
            <w:gridSpan w:val="3"/>
            <w:tcBorders>
              <w:top w:val="nil"/>
              <w:left w:val="nil"/>
              <w:bottom w:val="single" w:sz="8" w:space="0" w:color="C7C9C7"/>
              <w:right w:val="nil"/>
            </w:tcBorders>
            <w:shd w:val="clear" w:color="auto" w:fill="F4F4F4"/>
            <w:tcMar>
              <w:top w:w="0" w:type="dxa"/>
              <w:left w:w="0" w:type="dxa"/>
              <w:bottom w:w="0" w:type="dxa"/>
              <w:right w:w="0" w:type="dxa"/>
            </w:tcMar>
            <w:vAlign w:val="bottom"/>
          </w:tcPr>
          <w:p w14:paraId="4B19EBF5" w14:textId="77777777" w:rsidR="001614AC" w:rsidRDefault="001614AC"/>
        </w:tc>
        <w:tc>
          <w:tcPr>
            <w:tcW w:w="105" w:type="dxa"/>
            <w:tcBorders>
              <w:top w:val="nil"/>
              <w:left w:val="nil"/>
              <w:bottom w:val="single" w:sz="8" w:space="0" w:color="C7C9C7"/>
              <w:right w:val="nil"/>
            </w:tcBorders>
            <w:shd w:val="clear" w:color="auto" w:fill="F4F4F4"/>
            <w:tcMar>
              <w:top w:w="0" w:type="dxa"/>
              <w:left w:w="0" w:type="dxa"/>
              <w:bottom w:w="0" w:type="dxa"/>
              <w:right w:w="0" w:type="dxa"/>
            </w:tcMar>
            <w:vAlign w:val="bottom"/>
          </w:tcPr>
          <w:p w14:paraId="3C7DF6E3" w14:textId="77777777" w:rsidR="001614AC" w:rsidRDefault="001614AC"/>
        </w:tc>
        <w:tc>
          <w:tcPr>
            <w:tcW w:w="1080" w:type="dxa"/>
            <w:gridSpan w:val="3"/>
            <w:tcBorders>
              <w:top w:val="nil"/>
              <w:left w:val="nil"/>
              <w:bottom w:val="single" w:sz="8" w:space="0" w:color="C7C9C7"/>
              <w:right w:val="nil"/>
            </w:tcBorders>
            <w:shd w:val="clear" w:color="auto" w:fill="F4F4F4"/>
            <w:tcMar>
              <w:top w:w="0" w:type="dxa"/>
              <w:left w:w="0" w:type="dxa"/>
              <w:bottom w:w="0" w:type="dxa"/>
              <w:right w:w="0" w:type="dxa"/>
            </w:tcMar>
            <w:vAlign w:val="bottom"/>
          </w:tcPr>
          <w:p w14:paraId="477536FC" w14:textId="77777777" w:rsidR="001614AC" w:rsidRDefault="001614AC"/>
        </w:tc>
        <w:tc>
          <w:tcPr>
            <w:tcW w:w="105" w:type="dxa"/>
            <w:tcBorders>
              <w:top w:val="nil"/>
              <w:left w:val="nil"/>
              <w:bottom w:val="single" w:sz="8" w:space="0" w:color="C7C9C7"/>
              <w:right w:val="nil"/>
            </w:tcBorders>
            <w:shd w:val="clear" w:color="auto" w:fill="F4F4F4"/>
            <w:tcMar>
              <w:top w:w="0" w:type="dxa"/>
              <w:left w:w="0" w:type="dxa"/>
              <w:bottom w:w="0" w:type="dxa"/>
              <w:right w:w="0" w:type="dxa"/>
            </w:tcMar>
            <w:vAlign w:val="bottom"/>
          </w:tcPr>
          <w:p w14:paraId="76CB3730" w14:textId="77777777" w:rsidR="001614AC" w:rsidRDefault="001614AC"/>
        </w:tc>
        <w:tc>
          <w:tcPr>
            <w:tcW w:w="1080" w:type="dxa"/>
            <w:gridSpan w:val="3"/>
            <w:tcBorders>
              <w:top w:val="nil"/>
              <w:left w:val="nil"/>
              <w:bottom w:val="single" w:sz="8" w:space="0" w:color="C7C9C7"/>
              <w:right w:val="nil"/>
            </w:tcBorders>
            <w:shd w:val="clear" w:color="auto" w:fill="F4F4F4"/>
            <w:tcMar>
              <w:top w:w="0" w:type="dxa"/>
              <w:left w:w="0" w:type="dxa"/>
              <w:bottom w:w="0" w:type="dxa"/>
              <w:right w:w="0" w:type="dxa"/>
            </w:tcMar>
            <w:vAlign w:val="bottom"/>
          </w:tcPr>
          <w:p w14:paraId="6D111DE0" w14:textId="77777777" w:rsidR="001614AC" w:rsidRDefault="001614AC"/>
        </w:tc>
      </w:tr>
      <w:tr w:rsidR="001614AC" w14:paraId="2222C757" w14:textId="77777777">
        <w:trPr>
          <w:cantSplit/>
        </w:trPr>
        <w:tc>
          <w:tcPr>
            <w:tcW w:w="5505" w:type="dxa"/>
            <w:tcBorders>
              <w:top w:val="single" w:sz="8" w:space="0" w:color="C7C9C7"/>
              <w:left w:val="nil"/>
              <w:bottom w:val="single" w:sz="8" w:space="0" w:color="F4F4F4"/>
              <w:right w:val="nil"/>
            </w:tcBorders>
            <w:tcMar>
              <w:top w:w="0" w:type="dxa"/>
              <w:left w:w="53" w:type="dxa"/>
              <w:bottom w:w="0" w:type="dxa"/>
              <w:right w:w="53" w:type="dxa"/>
            </w:tcMar>
            <w:vAlign w:val="bottom"/>
          </w:tcPr>
          <w:p w14:paraId="4C77F0FF" w14:textId="77777777" w:rsidR="001614AC" w:rsidRDefault="004468F9">
            <w:pPr>
              <w:spacing w:before="55" w:after="30" w:line="288" w:lineRule="auto"/>
            </w:pPr>
            <w:r>
              <w:rPr>
                <w:rFonts w:ascii="Arial" w:eastAsia="Arial" w:hAnsi="Arial" w:cs="Arial"/>
                <w:color w:val="000000"/>
                <w:sz w:val="18"/>
              </w:rPr>
              <w:t>Balance, beginning of period</w:t>
            </w:r>
          </w:p>
        </w:tc>
        <w:tc>
          <w:tcPr>
            <w:tcW w:w="105" w:type="dxa"/>
            <w:tcBorders>
              <w:top w:val="single" w:sz="8" w:space="0" w:color="C7C9C7"/>
              <w:left w:val="nil"/>
              <w:bottom w:val="nil"/>
              <w:right w:val="nil"/>
            </w:tcBorders>
            <w:tcMar>
              <w:top w:w="0" w:type="dxa"/>
              <w:left w:w="0" w:type="dxa"/>
              <w:bottom w:w="0" w:type="dxa"/>
              <w:right w:w="0" w:type="dxa"/>
            </w:tcMar>
            <w:vAlign w:val="bottom"/>
          </w:tcPr>
          <w:p w14:paraId="30653683" w14:textId="77777777" w:rsidR="001614AC" w:rsidRDefault="001614AC"/>
        </w:tc>
        <w:tc>
          <w:tcPr>
            <w:tcW w:w="980" w:type="dxa"/>
            <w:gridSpan w:val="2"/>
            <w:tcBorders>
              <w:top w:val="single" w:sz="8" w:space="0" w:color="C7C9C7"/>
              <w:left w:val="nil"/>
              <w:bottom w:val="single" w:sz="8" w:space="0" w:color="F4F4F4"/>
              <w:right w:val="nil"/>
            </w:tcBorders>
            <w:tcMar>
              <w:top w:w="0" w:type="dxa"/>
              <w:left w:w="53" w:type="dxa"/>
              <w:bottom w:w="0" w:type="dxa"/>
              <w:right w:w="0" w:type="dxa"/>
            </w:tcMar>
            <w:vAlign w:val="bottom"/>
          </w:tcPr>
          <w:p w14:paraId="35E90B32" w14:textId="77777777" w:rsidR="001614AC" w:rsidRDefault="004468F9">
            <w:pPr>
              <w:spacing w:before="55" w:after="30" w:line="288" w:lineRule="auto"/>
              <w:jc w:val="right"/>
            </w:pPr>
            <w:r>
              <w:rPr>
                <w:rFonts w:ascii="Arial" w:eastAsia="Arial" w:hAnsi="Arial" w:cs="Arial"/>
                <w:color w:val="000000"/>
                <w:sz w:val="18"/>
              </w:rPr>
              <w:t>116,735 </w:t>
            </w:r>
          </w:p>
        </w:tc>
        <w:tc>
          <w:tcPr>
            <w:tcW w:w="100" w:type="dxa"/>
            <w:tcBorders>
              <w:top w:val="single" w:sz="8" w:space="0" w:color="C7C9C7"/>
              <w:left w:val="nil"/>
              <w:bottom w:val="single" w:sz="8" w:space="0" w:color="F4F4F4"/>
              <w:right w:val="nil"/>
            </w:tcBorders>
            <w:tcMar>
              <w:top w:w="0" w:type="dxa"/>
              <w:left w:w="0" w:type="dxa"/>
              <w:bottom w:w="0" w:type="dxa"/>
              <w:right w:w="15" w:type="dxa"/>
            </w:tcMar>
            <w:vAlign w:val="bottom"/>
          </w:tcPr>
          <w:p w14:paraId="485F3B34" w14:textId="77777777" w:rsidR="001614AC" w:rsidRDefault="001614AC">
            <w:pPr>
              <w:spacing w:before="55" w:after="30" w:line="288" w:lineRule="auto"/>
              <w:jc w:val="right"/>
            </w:pPr>
          </w:p>
        </w:tc>
        <w:tc>
          <w:tcPr>
            <w:tcW w:w="105" w:type="dxa"/>
            <w:tcBorders>
              <w:top w:val="single" w:sz="8" w:space="0" w:color="C7C9C7"/>
              <w:left w:val="nil"/>
              <w:bottom w:val="nil"/>
              <w:right w:val="nil"/>
            </w:tcBorders>
            <w:tcMar>
              <w:top w:w="0" w:type="dxa"/>
              <w:left w:w="0" w:type="dxa"/>
              <w:bottom w:w="0" w:type="dxa"/>
              <w:right w:w="0" w:type="dxa"/>
            </w:tcMar>
            <w:vAlign w:val="bottom"/>
          </w:tcPr>
          <w:p w14:paraId="086F2305" w14:textId="77777777" w:rsidR="001614AC" w:rsidRDefault="001614AC"/>
        </w:tc>
        <w:tc>
          <w:tcPr>
            <w:tcW w:w="980" w:type="dxa"/>
            <w:gridSpan w:val="2"/>
            <w:tcBorders>
              <w:top w:val="single" w:sz="8" w:space="0" w:color="C7C9C7"/>
              <w:left w:val="nil"/>
              <w:bottom w:val="single" w:sz="8" w:space="0" w:color="F4F4F4"/>
              <w:right w:val="nil"/>
            </w:tcBorders>
            <w:tcMar>
              <w:top w:w="0" w:type="dxa"/>
              <w:left w:w="53" w:type="dxa"/>
              <w:bottom w:w="0" w:type="dxa"/>
              <w:right w:w="0" w:type="dxa"/>
            </w:tcMar>
            <w:vAlign w:val="bottom"/>
          </w:tcPr>
          <w:p w14:paraId="2A9F2439" w14:textId="77777777" w:rsidR="001614AC" w:rsidRDefault="004468F9">
            <w:pPr>
              <w:spacing w:before="55" w:after="30" w:line="288" w:lineRule="auto"/>
              <w:jc w:val="right"/>
            </w:pPr>
            <w:r>
              <w:rPr>
                <w:rFonts w:ascii="Arial" w:eastAsia="Arial" w:hAnsi="Arial" w:cs="Arial"/>
                <w:color w:val="000000"/>
                <w:sz w:val="18"/>
              </w:rPr>
              <w:t>29,801 </w:t>
            </w:r>
          </w:p>
        </w:tc>
        <w:tc>
          <w:tcPr>
            <w:tcW w:w="100" w:type="dxa"/>
            <w:tcBorders>
              <w:top w:val="single" w:sz="8" w:space="0" w:color="C7C9C7"/>
              <w:left w:val="nil"/>
              <w:bottom w:val="single" w:sz="8" w:space="0" w:color="F4F4F4"/>
              <w:right w:val="nil"/>
            </w:tcBorders>
            <w:tcMar>
              <w:top w:w="0" w:type="dxa"/>
              <w:left w:w="0" w:type="dxa"/>
              <w:bottom w:w="0" w:type="dxa"/>
              <w:right w:w="15" w:type="dxa"/>
            </w:tcMar>
            <w:vAlign w:val="bottom"/>
          </w:tcPr>
          <w:p w14:paraId="363D7B65" w14:textId="77777777" w:rsidR="001614AC" w:rsidRDefault="001614AC">
            <w:pPr>
              <w:spacing w:before="55" w:after="30" w:line="288" w:lineRule="auto"/>
              <w:jc w:val="right"/>
            </w:pPr>
          </w:p>
        </w:tc>
        <w:tc>
          <w:tcPr>
            <w:tcW w:w="105" w:type="dxa"/>
            <w:tcBorders>
              <w:top w:val="single" w:sz="8" w:space="0" w:color="C7C9C7"/>
              <w:left w:val="nil"/>
              <w:bottom w:val="nil"/>
              <w:right w:val="nil"/>
            </w:tcBorders>
            <w:tcMar>
              <w:top w:w="0" w:type="dxa"/>
              <w:left w:w="0" w:type="dxa"/>
              <w:bottom w:w="0" w:type="dxa"/>
              <w:right w:w="0" w:type="dxa"/>
            </w:tcMar>
            <w:vAlign w:val="bottom"/>
          </w:tcPr>
          <w:p w14:paraId="6FB39F9D" w14:textId="77777777" w:rsidR="001614AC" w:rsidRDefault="001614AC"/>
        </w:tc>
        <w:tc>
          <w:tcPr>
            <w:tcW w:w="980" w:type="dxa"/>
            <w:gridSpan w:val="2"/>
            <w:tcBorders>
              <w:top w:val="single" w:sz="8" w:space="0" w:color="C7C9C7"/>
              <w:left w:val="nil"/>
              <w:bottom w:val="single" w:sz="8" w:space="0" w:color="F4F4F4"/>
              <w:right w:val="nil"/>
            </w:tcBorders>
            <w:tcMar>
              <w:top w:w="0" w:type="dxa"/>
              <w:left w:w="53" w:type="dxa"/>
              <w:bottom w:w="0" w:type="dxa"/>
              <w:right w:w="0" w:type="dxa"/>
            </w:tcMar>
            <w:vAlign w:val="bottom"/>
          </w:tcPr>
          <w:p w14:paraId="58FF46A4" w14:textId="77777777" w:rsidR="001614AC" w:rsidRDefault="004468F9">
            <w:pPr>
              <w:spacing w:before="55" w:after="30" w:line="288" w:lineRule="auto"/>
              <w:jc w:val="right"/>
            </w:pPr>
            <w:r>
              <w:rPr>
                <w:rFonts w:ascii="Arial" w:eastAsia="Arial" w:hAnsi="Arial" w:cs="Arial"/>
                <w:color w:val="000000"/>
                <w:sz w:val="18"/>
              </w:rPr>
              <w:t>263,725 </w:t>
            </w:r>
          </w:p>
        </w:tc>
        <w:tc>
          <w:tcPr>
            <w:tcW w:w="100" w:type="dxa"/>
            <w:tcBorders>
              <w:top w:val="single" w:sz="8" w:space="0" w:color="C7C9C7"/>
              <w:left w:val="nil"/>
              <w:bottom w:val="single" w:sz="8" w:space="0" w:color="F4F4F4"/>
              <w:right w:val="nil"/>
            </w:tcBorders>
            <w:tcMar>
              <w:top w:w="0" w:type="dxa"/>
              <w:left w:w="0" w:type="dxa"/>
              <w:bottom w:w="0" w:type="dxa"/>
              <w:right w:w="15" w:type="dxa"/>
            </w:tcMar>
            <w:vAlign w:val="bottom"/>
          </w:tcPr>
          <w:p w14:paraId="5445DE1D" w14:textId="77777777" w:rsidR="001614AC" w:rsidRDefault="001614AC">
            <w:pPr>
              <w:spacing w:before="55" w:after="30" w:line="288" w:lineRule="auto"/>
              <w:jc w:val="right"/>
            </w:pPr>
          </w:p>
        </w:tc>
        <w:tc>
          <w:tcPr>
            <w:tcW w:w="105" w:type="dxa"/>
            <w:tcBorders>
              <w:top w:val="single" w:sz="8" w:space="0" w:color="C7C9C7"/>
              <w:left w:val="nil"/>
              <w:bottom w:val="nil"/>
              <w:right w:val="nil"/>
            </w:tcBorders>
            <w:tcMar>
              <w:top w:w="0" w:type="dxa"/>
              <w:left w:w="0" w:type="dxa"/>
              <w:bottom w:w="0" w:type="dxa"/>
              <w:right w:w="0" w:type="dxa"/>
            </w:tcMar>
            <w:vAlign w:val="bottom"/>
          </w:tcPr>
          <w:p w14:paraId="1766E4E4" w14:textId="77777777" w:rsidR="001614AC" w:rsidRDefault="001614AC"/>
        </w:tc>
        <w:tc>
          <w:tcPr>
            <w:tcW w:w="980" w:type="dxa"/>
            <w:gridSpan w:val="2"/>
            <w:tcBorders>
              <w:top w:val="single" w:sz="8" w:space="0" w:color="C7C9C7"/>
              <w:left w:val="nil"/>
              <w:bottom w:val="single" w:sz="8" w:space="0" w:color="F4F4F4"/>
              <w:right w:val="nil"/>
            </w:tcBorders>
            <w:tcMar>
              <w:top w:w="0" w:type="dxa"/>
              <w:left w:w="53" w:type="dxa"/>
              <w:bottom w:w="0" w:type="dxa"/>
              <w:right w:w="0" w:type="dxa"/>
            </w:tcMar>
            <w:vAlign w:val="bottom"/>
          </w:tcPr>
          <w:p w14:paraId="6167B6F3" w14:textId="77777777" w:rsidR="001614AC" w:rsidRDefault="004468F9">
            <w:pPr>
              <w:spacing w:before="55" w:after="30" w:line="288" w:lineRule="auto"/>
              <w:jc w:val="right"/>
            </w:pPr>
            <w:r>
              <w:rPr>
                <w:rFonts w:ascii="Arial" w:eastAsia="Arial" w:hAnsi="Arial" w:cs="Arial"/>
                <w:color w:val="000000"/>
                <w:sz w:val="18"/>
              </w:rPr>
              <w:t>110,488 </w:t>
            </w:r>
          </w:p>
        </w:tc>
        <w:tc>
          <w:tcPr>
            <w:tcW w:w="100" w:type="dxa"/>
            <w:tcBorders>
              <w:top w:val="single" w:sz="8" w:space="0" w:color="C7C9C7"/>
              <w:left w:val="nil"/>
              <w:bottom w:val="single" w:sz="8" w:space="0" w:color="F4F4F4"/>
              <w:right w:val="nil"/>
            </w:tcBorders>
            <w:tcMar>
              <w:top w:w="0" w:type="dxa"/>
              <w:left w:w="0" w:type="dxa"/>
              <w:bottom w:w="0" w:type="dxa"/>
              <w:right w:w="15" w:type="dxa"/>
            </w:tcMar>
            <w:vAlign w:val="bottom"/>
          </w:tcPr>
          <w:p w14:paraId="62E263FD" w14:textId="77777777" w:rsidR="001614AC" w:rsidRDefault="001614AC">
            <w:pPr>
              <w:spacing w:before="55" w:after="30" w:line="288" w:lineRule="auto"/>
              <w:jc w:val="right"/>
            </w:pPr>
          </w:p>
        </w:tc>
      </w:tr>
      <w:tr w:rsidR="001614AC" w14:paraId="565B8201" w14:textId="77777777">
        <w:trPr>
          <w:cantSplit/>
        </w:trPr>
        <w:tc>
          <w:tcPr>
            <w:tcW w:w="5505" w:type="dxa"/>
            <w:tcBorders>
              <w:top w:val="single" w:sz="8" w:space="0" w:color="F4F4F4"/>
              <w:left w:val="nil"/>
              <w:bottom w:val="nil"/>
              <w:right w:val="nil"/>
            </w:tcBorders>
            <w:tcMar>
              <w:top w:w="0" w:type="dxa"/>
              <w:left w:w="53" w:type="dxa"/>
              <w:bottom w:w="0" w:type="dxa"/>
              <w:right w:w="53" w:type="dxa"/>
            </w:tcMar>
            <w:vAlign w:val="bottom"/>
          </w:tcPr>
          <w:p w14:paraId="2B4613B2" w14:textId="77777777" w:rsidR="001614AC" w:rsidRDefault="004468F9">
            <w:pPr>
              <w:spacing w:before="55" w:after="30" w:line="288" w:lineRule="auto"/>
              <w:ind w:left="240"/>
            </w:pPr>
            <w:r>
              <w:rPr>
                <w:rFonts w:ascii="Arial" w:eastAsia="Arial" w:hAnsi="Arial" w:cs="Arial"/>
                <w:color w:val="000000"/>
                <w:sz w:val="18"/>
              </w:rPr>
              <w:t>Net unrealized gains (losses) on investments, net of tax</w:t>
            </w:r>
          </w:p>
        </w:tc>
        <w:tc>
          <w:tcPr>
            <w:tcW w:w="105" w:type="dxa"/>
            <w:tcBorders>
              <w:top w:val="nil"/>
              <w:left w:val="nil"/>
              <w:bottom w:val="nil"/>
              <w:right w:val="nil"/>
            </w:tcBorders>
            <w:tcMar>
              <w:top w:w="0" w:type="dxa"/>
              <w:left w:w="0" w:type="dxa"/>
              <w:bottom w:w="0" w:type="dxa"/>
              <w:right w:w="0" w:type="dxa"/>
            </w:tcMar>
            <w:vAlign w:val="bottom"/>
          </w:tcPr>
          <w:p w14:paraId="3A6E6B42" w14:textId="77777777" w:rsidR="001614AC" w:rsidRDefault="001614AC"/>
        </w:tc>
        <w:tc>
          <w:tcPr>
            <w:tcW w:w="980" w:type="dxa"/>
            <w:gridSpan w:val="2"/>
            <w:tcBorders>
              <w:top w:val="single" w:sz="8" w:space="0" w:color="F4F4F4"/>
              <w:left w:val="nil"/>
              <w:bottom w:val="nil"/>
              <w:right w:val="nil"/>
            </w:tcBorders>
            <w:tcMar>
              <w:top w:w="0" w:type="dxa"/>
              <w:left w:w="53" w:type="dxa"/>
              <w:bottom w:w="0" w:type="dxa"/>
              <w:right w:w="0" w:type="dxa"/>
            </w:tcMar>
            <w:vAlign w:val="bottom"/>
          </w:tcPr>
          <w:p w14:paraId="3915836A" w14:textId="77777777" w:rsidR="001614AC" w:rsidRDefault="004468F9">
            <w:pPr>
              <w:spacing w:before="55" w:after="30" w:line="288" w:lineRule="auto"/>
              <w:jc w:val="right"/>
            </w:pPr>
            <w:r>
              <w:rPr>
                <w:rFonts w:ascii="Arial" w:eastAsia="Arial" w:hAnsi="Arial" w:cs="Arial"/>
                <w:color w:val="000000"/>
                <w:sz w:val="18"/>
              </w:rPr>
              <w:t>62,121 </w:t>
            </w:r>
          </w:p>
        </w:tc>
        <w:tc>
          <w:tcPr>
            <w:tcW w:w="100" w:type="dxa"/>
            <w:tcBorders>
              <w:top w:val="single" w:sz="8" w:space="0" w:color="F4F4F4"/>
              <w:left w:val="nil"/>
              <w:bottom w:val="nil"/>
              <w:right w:val="nil"/>
            </w:tcBorders>
            <w:tcMar>
              <w:top w:w="0" w:type="dxa"/>
              <w:left w:w="0" w:type="dxa"/>
              <w:bottom w:w="0" w:type="dxa"/>
              <w:right w:w="15" w:type="dxa"/>
            </w:tcMar>
            <w:vAlign w:val="bottom"/>
          </w:tcPr>
          <w:p w14:paraId="095F5B71" w14:textId="77777777" w:rsidR="001614AC" w:rsidRDefault="001614AC">
            <w:pPr>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2A43C10A" w14:textId="77777777" w:rsidR="001614AC" w:rsidRDefault="001614AC"/>
        </w:tc>
        <w:tc>
          <w:tcPr>
            <w:tcW w:w="980" w:type="dxa"/>
            <w:gridSpan w:val="2"/>
            <w:tcBorders>
              <w:top w:val="single" w:sz="8" w:space="0" w:color="F4F4F4"/>
              <w:left w:val="nil"/>
              <w:bottom w:val="nil"/>
              <w:right w:val="nil"/>
            </w:tcBorders>
            <w:tcMar>
              <w:top w:w="0" w:type="dxa"/>
              <w:left w:w="53" w:type="dxa"/>
              <w:bottom w:w="0" w:type="dxa"/>
              <w:right w:w="0" w:type="dxa"/>
            </w:tcMar>
            <w:vAlign w:val="bottom"/>
          </w:tcPr>
          <w:p w14:paraId="04515EF3" w14:textId="77777777" w:rsidR="001614AC" w:rsidRDefault="004468F9">
            <w:pPr>
              <w:spacing w:before="55" w:after="30" w:line="288" w:lineRule="auto"/>
              <w:jc w:val="right"/>
            </w:pPr>
            <w:r>
              <w:rPr>
                <w:rFonts w:ascii="Arial" w:eastAsia="Arial" w:hAnsi="Arial" w:cs="Arial"/>
                <w:color w:val="000000"/>
                <w:sz w:val="18"/>
              </w:rPr>
              <w:t>182,360 </w:t>
            </w:r>
          </w:p>
        </w:tc>
        <w:tc>
          <w:tcPr>
            <w:tcW w:w="100" w:type="dxa"/>
            <w:tcBorders>
              <w:top w:val="single" w:sz="8" w:space="0" w:color="F4F4F4"/>
              <w:left w:val="nil"/>
              <w:bottom w:val="nil"/>
              <w:right w:val="nil"/>
            </w:tcBorders>
            <w:tcMar>
              <w:top w:w="0" w:type="dxa"/>
              <w:left w:w="0" w:type="dxa"/>
              <w:bottom w:w="0" w:type="dxa"/>
              <w:right w:w="15" w:type="dxa"/>
            </w:tcMar>
            <w:vAlign w:val="bottom"/>
          </w:tcPr>
          <w:p w14:paraId="40B43A3D" w14:textId="77777777" w:rsidR="001614AC" w:rsidRDefault="001614AC">
            <w:pPr>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5D2B0535" w14:textId="77777777" w:rsidR="001614AC" w:rsidRDefault="001614AC"/>
        </w:tc>
        <w:tc>
          <w:tcPr>
            <w:tcW w:w="980" w:type="dxa"/>
            <w:gridSpan w:val="2"/>
            <w:tcBorders>
              <w:top w:val="single" w:sz="8" w:space="0" w:color="F4F4F4"/>
              <w:left w:val="nil"/>
              <w:bottom w:val="nil"/>
              <w:right w:val="nil"/>
            </w:tcBorders>
            <w:tcMar>
              <w:top w:w="0" w:type="dxa"/>
              <w:left w:w="53" w:type="dxa"/>
              <w:bottom w:w="0" w:type="dxa"/>
              <w:right w:w="0" w:type="dxa"/>
            </w:tcMar>
            <w:vAlign w:val="bottom"/>
          </w:tcPr>
          <w:p w14:paraId="5673B44B" w14:textId="77777777" w:rsidR="001614AC" w:rsidRDefault="004468F9">
            <w:pPr>
              <w:spacing w:before="55" w:after="30" w:line="288" w:lineRule="auto"/>
              <w:jc w:val="right"/>
            </w:pPr>
            <w:r>
              <w:rPr>
                <w:rFonts w:ascii="Arial" w:eastAsia="Arial" w:hAnsi="Arial" w:cs="Arial"/>
                <w:color w:val="000000"/>
                <w:sz w:val="18"/>
              </w:rPr>
              <w:t>(84,869)</w:t>
            </w:r>
          </w:p>
        </w:tc>
        <w:tc>
          <w:tcPr>
            <w:tcW w:w="100" w:type="dxa"/>
            <w:tcBorders>
              <w:top w:val="single" w:sz="8" w:space="0" w:color="F4F4F4"/>
              <w:left w:val="nil"/>
              <w:bottom w:val="nil"/>
              <w:right w:val="nil"/>
            </w:tcBorders>
            <w:tcMar>
              <w:top w:w="0" w:type="dxa"/>
              <w:left w:w="0" w:type="dxa"/>
              <w:bottom w:w="0" w:type="dxa"/>
              <w:right w:w="15" w:type="dxa"/>
            </w:tcMar>
            <w:vAlign w:val="bottom"/>
          </w:tcPr>
          <w:p w14:paraId="2FD88C9F" w14:textId="77777777" w:rsidR="001614AC" w:rsidRDefault="001614AC">
            <w:pPr>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21976E67" w14:textId="77777777" w:rsidR="001614AC" w:rsidRDefault="001614AC"/>
        </w:tc>
        <w:tc>
          <w:tcPr>
            <w:tcW w:w="980" w:type="dxa"/>
            <w:gridSpan w:val="2"/>
            <w:tcBorders>
              <w:top w:val="single" w:sz="8" w:space="0" w:color="F4F4F4"/>
              <w:left w:val="nil"/>
              <w:bottom w:val="nil"/>
              <w:right w:val="nil"/>
            </w:tcBorders>
            <w:tcMar>
              <w:top w:w="0" w:type="dxa"/>
              <w:left w:w="53" w:type="dxa"/>
              <w:bottom w:w="0" w:type="dxa"/>
              <w:right w:w="0" w:type="dxa"/>
            </w:tcMar>
            <w:vAlign w:val="bottom"/>
          </w:tcPr>
          <w:p w14:paraId="49733990" w14:textId="77777777" w:rsidR="001614AC" w:rsidRDefault="004468F9">
            <w:pPr>
              <w:spacing w:before="55" w:after="30" w:line="288" w:lineRule="auto"/>
              <w:jc w:val="right"/>
            </w:pPr>
            <w:r>
              <w:rPr>
                <w:rFonts w:ascii="Arial" w:eastAsia="Arial" w:hAnsi="Arial" w:cs="Arial"/>
                <w:color w:val="000000"/>
                <w:sz w:val="18"/>
              </w:rPr>
              <w:t>101,673 </w:t>
            </w:r>
          </w:p>
        </w:tc>
        <w:tc>
          <w:tcPr>
            <w:tcW w:w="100" w:type="dxa"/>
            <w:tcBorders>
              <w:top w:val="single" w:sz="8" w:space="0" w:color="F4F4F4"/>
              <w:left w:val="nil"/>
              <w:bottom w:val="nil"/>
              <w:right w:val="nil"/>
            </w:tcBorders>
            <w:tcMar>
              <w:top w:w="0" w:type="dxa"/>
              <w:left w:w="0" w:type="dxa"/>
              <w:bottom w:w="0" w:type="dxa"/>
              <w:right w:w="15" w:type="dxa"/>
            </w:tcMar>
            <w:vAlign w:val="bottom"/>
          </w:tcPr>
          <w:p w14:paraId="6474227A" w14:textId="77777777" w:rsidR="001614AC" w:rsidRDefault="001614AC">
            <w:pPr>
              <w:spacing w:before="55" w:after="30" w:line="288" w:lineRule="auto"/>
              <w:jc w:val="right"/>
            </w:pPr>
          </w:p>
        </w:tc>
      </w:tr>
      <w:tr w:rsidR="001614AC" w14:paraId="1FCF4076" w14:textId="77777777">
        <w:trPr>
          <w:cantSplit/>
        </w:trPr>
        <w:tc>
          <w:tcPr>
            <w:tcW w:w="5505" w:type="dxa"/>
            <w:tcBorders>
              <w:top w:val="single" w:sz="8" w:space="0" w:color="F4F4F4"/>
              <w:left w:val="nil"/>
              <w:bottom w:val="single" w:sz="8" w:space="0" w:color="FFFFFF"/>
              <w:right w:val="nil"/>
            </w:tcBorders>
            <w:shd w:val="clear" w:color="auto" w:fill="F4F4F4"/>
            <w:tcMar>
              <w:top w:w="0" w:type="dxa"/>
              <w:left w:w="53" w:type="dxa"/>
              <w:bottom w:w="0" w:type="dxa"/>
              <w:right w:w="53" w:type="dxa"/>
            </w:tcMar>
            <w:vAlign w:val="bottom"/>
          </w:tcPr>
          <w:p w14:paraId="0F97387B" w14:textId="77777777" w:rsidR="001614AC" w:rsidRDefault="004468F9">
            <w:pPr>
              <w:spacing w:before="55" w:after="30" w:line="288" w:lineRule="auto"/>
            </w:pPr>
            <w:r>
              <w:rPr>
                <w:rFonts w:ascii="Arial" w:eastAsia="Arial" w:hAnsi="Arial" w:cs="Arial"/>
                <w:color w:val="000000"/>
                <w:sz w:val="18"/>
              </w:rPr>
              <w:t>Balance, end of period</w:t>
            </w:r>
          </w:p>
        </w:tc>
        <w:tc>
          <w:tcPr>
            <w:tcW w:w="105" w:type="dxa"/>
            <w:tcBorders>
              <w:top w:val="nil"/>
              <w:left w:val="nil"/>
              <w:bottom w:val="nil"/>
              <w:right w:val="nil"/>
            </w:tcBorders>
            <w:shd w:val="clear" w:color="auto" w:fill="F4F4F4"/>
            <w:tcMar>
              <w:top w:w="0" w:type="dxa"/>
              <w:left w:w="0" w:type="dxa"/>
              <w:bottom w:w="0" w:type="dxa"/>
              <w:right w:w="0" w:type="dxa"/>
            </w:tcMar>
            <w:vAlign w:val="bottom"/>
          </w:tcPr>
          <w:p w14:paraId="375E918A" w14:textId="77777777" w:rsidR="001614AC" w:rsidRDefault="001614AC"/>
        </w:tc>
        <w:tc>
          <w:tcPr>
            <w:tcW w:w="980" w:type="dxa"/>
            <w:gridSpan w:val="2"/>
            <w:tcBorders>
              <w:top w:val="single" w:sz="8" w:space="0" w:color="F4F4F4"/>
              <w:left w:val="nil"/>
              <w:bottom w:val="single" w:sz="8" w:space="0" w:color="C7C9C7"/>
              <w:right w:val="nil"/>
            </w:tcBorders>
            <w:shd w:val="clear" w:color="auto" w:fill="F4F4F4"/>
            <w:tcMar>
              <w:top w:w="0" w:type="dxa"/>
              <w:left w:w="53" w:type="dxa"/>
              <w:bottom w:w="0" w:type="dxa"/>
              <w:right w:w="0" w:type="dxa"/>
            </w:tcMar>
            <w:vAlign w:val="bottom"/>
          </w:tcPr>
          <w:p w14:paraId="42022038" w14:textId="77777777" w:rsidR="001614AC" w:rsidRDefault="004468F9">
            <w:pPr>
              <w:spacing w:before="55" w:after="30" w:line="288" w:lineRule="auto"/>
              <w:jc w:val="right"/>
            </w:pPr>
            <w:r>
              <w:rPr>
                <w:rFonts w:ascii="Arial" w:eastAsia="Arial" w:hAnsi="Arial" w:cs="Arial"/>
                <w:color w:val="000000"/>
                <w:sz w:val="18"/>
              </w:rPr>
              <w:t>178,856 </w:t>
            </w:r>
          </w:p>
        </w:tc>
        <w:tc>
          <w:tcPr>
            <w:tcW w:w="100" w:type="dxa"/>
            <w:tcBorders>
              <w:top w:val="single" w:sz="8" w:space="0" w:color="F4F4F4"/>
              <w:left w:val="nil"/>
              <w:bottom w:val="single" w:sz="8" w:space="0" w:color="C7C9C7"/>
              <w:right w:val="nil"/>
            </w:tcBorders>
            <w:shd w:val="clear" w:color="auto" w:fill="F4F4F4"/>
            <w:tcMar>
              <w:top w:w="0" w:type="dxa"/>
              <w:left w:w="0" w:type="dxa"/>
              <w:bottom w:w="0" w:type="dxa"/>
              <w:right w:w="15" w:type="dxa"/>
            </w:tcMar>
            <w:vAlign w:val="bottom"/>
          </w:tcPr>
          <w:p w14:paraId="669AC9F3" w14:textId="77777777" w:rsidR="001614AC" w:rsidRDefault="001614AC">
            <w:pPr>
              <w:spacing w:before="55" w:after="30" w:line="288" w:lineRule="auto"/>
              <w:jc w:val="right"/>
            </w:pPr>
          </w:p>
        </w:tc>
        <w:tc>
          <w:tcPr>
            <w:tcW w:w="105" w:type="dxa"/>
            <w:tcBorders>
              <w:top w:val="nil"/>
              <w:left w:val="nil"/>
              <w:bottom w:val="single" w:sz="8" w:space="0" w:color="FFFFFF"/>
              <w:right w:val="nil"/>
            </w:tcBorders>
            <w:shd w:val="clear" w:color="auto" w:fill="F4F4F4"/>
            <w:tcMar>
              <w:top w:w="0" w:type="dxa"/>
              <w:left w:w="0" w:type="dxa"/>
              <w:bottom w:w="0" w:type="dxa"/>
              <w:right w:w="0" w:type="dxa"/>
            </w:tcMar>
            <w:vAlign w:val="bottom"/>
          </w:tcPr>
          <w:p w14:paraId="5B4265AA" w14:textId="77777777" w:rsidR="001614AC" w:rsidRDefault="001614AC"/>
        </w:tc>
        <w:tc>
          <w:tcPr>
            <w:tcW w:w="980" w:type="dxa"/>
            <w:gridSpan w:val="2"/>
            <w:tcBorders>
              <w:top w:val="single" w:sz="8" w:space="0" w:color="F4F4F4"/>
              <w:left w:val="nil"/>
              <w:bottom w:val="single" w:sz="8" w:space="0" w:color="C7C9C7"/>
              <w:right w:val="nil"/>
            </w:tcBorders>
            <w:shd w:val="clear" w:color="auto" w:fill="F4F4F4"/>
            <w:tcMar>
              <w:top w:w="0" w:type="dxa"/>
              <w:left w:w="53" w:type="dxa"/>
              <w:bottom w:w="0" w:type="dxa"/>
              <w:right w:w="0" w:type="dxa"/>
            </w:tcMar>
            <w:vAlign w:val="bottom"/>
          </w:tcPr>
          <w:p w14:paraId="1D43044D" w14:textId="77777777" w:rsidR="001614AC" w:rsidRDefault="004468F9">
            <w:pPr>
              <w:spacing w:before="55" w:after="30" w:line="288" w:lineRule="auto"/>
              <w:jc w:val="right"/>
            </w:pPr>
            <w:r>
              <w:rPr>
                <w:rFonts w:ascii="Arial" w:eastAsia="Arial" w:hAnsi="Arial" w:cs="Arial"/>
                <w:color w:val="000000"/>
                <w:sz w:val="18"/>
              </w:rPr>
              <w:t>212,161 </w:t>
            </w:r>
          </w:p>
        </w:tc>
        <w:tc>
          <w:tcPr>
            <w:tcW w:w="100" w:type="dxa"/>
            <w:tcBorders>
              <w:top w:val="single" w:sz="8" w:space="0" w:color="F4F4F4"/>
              <w:left w:val="nil"/>
              <w:bottom w:val="single" w:sz="8" w:space="0" w:color="C7C9C7"/>
              <w:right w:val="nil"/>
            </w:tcBorders>
            <w:shd w:val="clear" w:color="auto" w:fill="F4F4F4"/>
            <w:tcMar>
              <w:top w:w="0" w:type="dxa"/>
              <w:left w:w="0" w:type="dxa"/>
              <w:bottom w:w="0" w:type="dxa"/>
              <w:right w:w="15" w:type="dxa"/>
            </w:tcMar>
            <w:vAlign w:val="bottom"/>
          </w:tcPr>
          <w:p w14:paraId="2F08B3C6" w14:textId="77777777" w:rsidR="001614AC" w:rsidRDefault="001614AC">
            <w:pPr>
              <w:spacing w:before="55" w:after="30" w:line="288" w:lineRule="auto"/>
              <w:jc w:val="right"/>
            </w:pPr>
          </w:p>
        </w:tc>
        <w:tc>
          <w:tcPr>
            <w:tcW w:w="105" w:type="dxa"/>
            <w:tcBorders>
              <w:top w:val="nil"/>
              <w:left w:val="nil"/>
              <w:bottom w:val="single" w:sz="8" w:space="0" w:color="FFFFFF"/>
              <w:right w:val="nil"/>
            </w:tcBorders>
            <w:shd w:val="clear" w:color="auto" w:fill="F4F4F4"/>
            <w:tcMar>
              <w:top w:w="0" w:type="dxa"/>
              <w:left w:w="0" w:type="dxa"/>
              <w:bottom w:w="0" w:type="dxa"/>
              <w:right w:w="0" w:type="dxa"/>
            </w:tcMar>
            <w:vAlign w:val="bottom"/>
          </w:tcPr>
          <w:p w14:paraId="7BE57670" w14:textId="77777777" w:rsidR="001614AC" w:rsidRDefault="001614AC"/>
        </w:tc>
        <w:tc>
          <w:tcPr>
            <w:tcW w:w="980" w:type="dxa"/>
            <w:gridSpan w:val="2"/>
            <w:tcBorders>
              <w:top w:val="single" w:sz="8" w:space="0" w:color="F4F4F4"/>
              <w:left w:val="nil"/>
              <w:bottom w:val="single" w:sz="8" w:space="0" w:color="C7C9C7"/>
              <w:right w:val="nil"/>
            </w:tcBorders>
            <w:shd w:val="clear" w:color="auto" w:fill="F4F4F4"/>
            <w:tcMar>
              <w:top w:w="0" w:type="dxa"/>
              <w:left w:w="53" w:type="dxa"/>
              <w:bottom w:w="0" w:type="dxa"/>
              <w:right w:w="0" w:type="dxa"/>
            </w:tcMar>
            <w:vAlign w:val="bottom"/>
          </w:tcPr>
          <w:p w14:paraId="2CFD99C7" w14:textId="77777777" w:rsidR="001614AC" w:rsidRDefault="004468F9">
            <w:pPr>
              <w:spacing w:before="55" w:after="30" w:line="288" w:lineRule="auto"/>
              <w:jc w:val="right"/>
            </w:pPr>
            <w:r>
              <w:rPr>
                <w:rFonts w:ascii="Arial" w:eastAsia="Arial" w:hAnsi="Arial" w:cs="Arial"/>
                <w:color w:val="000000"/>
                <w:sz w:val="18"/>
              </w:rPr>
              <w:t>178,856 </w:t>
            </w:r>
          </w:p>
        </w:tc>
        <w:tc>
          <w:tcPr>
            <w:tcW w:w="100" w:type="dxa"/>
            <w:tcBorders>
              <w:top w:val="single" w:sz="8" w:space="0" w:color="F4F4F4"/>
              <w:left w:val="nil"/>
              <w:bottom w:val="single" w:sz="8" w:space="0" w:color="C7C9C7"/>
              <w:right w:val="nil"/>
            </w:tcBorders>
            <w:shd w:val="clear" w:color="auto" w:fill="F4F4F4"/>
            <w:tcMar>
              <w:top w:w="0" w:type="dxa"/>
              <w:left w:w="0" w:type="dxa"/>
              <w:bottom w:w="0" w:type="dxa"/>
              <w:right w:w="15" w:type="dxa"/>
            </w:tcMar>
            <w:vAlign w:val="bottom"/>
          </w:tcPr>
          <w:p w14:paraId="18014122" w14:textId="77777777" w:rsidR="001614AC" w:rsidRDefault="001614AC">
            <w:pPr>
              <w:spacing w:before="55" w:after="30" w:line="288" w:lineRule="auto"/>
              <w:jc w:val="right"/>
            </w:pPr>
          </w:p>
        </w:tc>
        <w:tc>
          <w:tcPr>
            <w:tcW w:w="105" w:type="dxa"/>
            <w:tcBorders>
              <w:top w:val="nil"/>
              <w:left w:val="nil"/>
              <w:bottom w:val="single" w:sz="8" w:space="0" w:color="FFFFFF"/>
              <w:right w:val="nil"/>
            </w:tcBorders>
            <w:shd w:val="clear" w:color="auto" w:fill="F4F4F4"/>
            <w:tcMar>
              <w:top w:w="0" w:type="dxa"/>
              <w:left w:w="0" w:type="dxa"/>
              <w:bottom w:w="0" w:type="dxa"/>
              <w:right w:w="0" w:type="dxa"/>
            </w:tcMar>
            <w:vAlign w:val="bottom"/>
          </w:tcPr>
          <w:p w14:paraId="032C8707" w14:textId="77777777" w:rsidR="001614AC" w:rsidRDefault="001614AC"/>
        </w:tc>
        <w:tc>
          <w:tcPr>
            <w:tcW w:w="980" w:type="dxa"/>
            <w:gridSpan w:val="2"/>
            <w:tcBorders>
              <w:top w:val="single" w:sz="8" w:space="0" w:color="F4F4F4"/>
              <w:left w:val="nil"/>
              <w:bottom w:val="single" w:sz="8" w:space="0" w:color="C7C9C7"/>
              <w:right w:val="nil"/>
            </w:tcBorders>
            <w:shd w:val="clear" w:color="auto" w:fill="F4F4F4"/>
            <w:tcMar>
              <w:top w:w="0" w:type="dxa"/>
              <w:left w:w="53" w:type="dxa"/>
              <w:bottom w:w="0" w:type="dxa"/>
              <w:right w:w="0" w:type="dxa"/>
            </w:tcMar>
            <w:vAlign w:val="bottom"/>
          </w:tcPr>
          <w:p w14:paraId="5E44CA91" w14:textId="77777777" w:rsidR="001614AC" w:rsidRDefault="004468F9">
            <w:pPr>
              <w:spacing w:before="55" w:after="30" w:line="288" w:lineRule="auto"/>
              <w:jc w:val="right"/>
            </w:pPr>
            <w:r>
              <w:rPr>
                <w:rFonts w:ascii="Arial" w:eastAsia="Arial" w:hAnsi="Arial" w:cs="Arial"/>
                <w:color w:val="000000"/>
                <w:sz w:val="18"/>
              </w:rPr>
              <w:t>212,161 </w:t>
            </w:r>
          </w:p>
        </w:tc>
        <w:tc>
          <w:tcPr>
            <w:tcW w:w="100" w:type="dxa"/>
            <w:tcBorders>
              <w:top w:val="single" w:sz="8" w:space="0" w:color="F4F4F4"/>
              <w:left w:val="nil"/>
              <w:bottom w:val="single" w:sz="8" w:space="0" w:color="C7C9C7"/>
              <w:right w:val="nil"/>
            </w:tcBorders>
            <w:shd w:val="clear" w:color="auto" w:fill="F4F4F4"/>
            <w:tcMar>
              <w:top w:w="0" w:type="dxa"/>
              <w:left w:w="0" w:type="dxa"/>
              <w:bottom w:w="0" w:type="dxa"/>
              <w:right w:w="15" w:type="dxa"/>
            </w:tcMar>
            <w:vAlign w:val="bottom"/>
          </w:tcPr>
          <w:p w14:paraId="101C1145" w14:textId="77777777" w:rsidR="001614AC" w:rsidRDefault="001614AC">
            <w:pPr>
              <w:spacing w:before="55" w:after="30" w:line="288" w:lineRule="auto"/>
              <w:jc w:val="right"/>
            </w:pPr>
          </w:p>
        </w:tc>
      </w:tr>
      <w:tr w:rsidR="001614AC" w14:paraId="1906CD79" w14:textId="77777777">
        <w:trPr>
          <w:cantSplit/>
        </w:trPr>
        <w:tc>
          <w:tcPr>
            <w:tcW w:w="5505" w:type="dxa"/>
            <w:tcBorders>
              <w:top w:val="single" w:sz="8" w:space="0" w:color="FFFFFF"/>
              <w:left w:val="nil"/>
              <w:bottom w:val="nil"/>
              <w:right w:val="nil"/>
            </w:tcBorders>
            <w:shd w:val="clear" w:color="auto" w:fill="FFFFFF"/>
            <w:tcMar>
              <w:top w:w="0" w:type="dxa"/>
              <w:left w:w="0" w:type="dxa"/>
              <w:bottom w:w="0" w:type="dxa"/>
              <w:right w:w="0" w:type="dxa"/>
            </w:tcMar>
            <w:vAlign w:val="bottom"/>
          </w:tcPr>
          <w:p w14:paraId="6CE8B1C7" w14:textId="77777777" w:rsidR="001614AC" w:rsidRDefault="001614AC"/>
        </w:tc>
        <w:tc>
          <w:tcPr>
            <w:tcW w:w="105" w:type="dxa"/>
            <w:tcBorders>
              <w:top w:val="nil"/>
              <w:left w:val="nil"/>
              <w:bottom w:val="nil"/>
              <w:right w:val="nil"/>
            </w:tcBorders>
            <w:shd w:val="clear" w:color="auto" w:fill="FFFFFF"/>
            <w:tcMar>
              <w:top w:w="0" w:type="dxa"/>
              <w:left w:w="0" w:type="dxa"/>
              <w:bottom w:w="0" w:type="dxa"/>
              <w:right w:w="0" w:type="dxa"/>
            </w:tcMar>
            <w:vAlign w:val="bottom"/>
          </w:tcPr>
          <w:p w14:paraId="35F90100" w14:textId="77777777" w:rsidR="001614AC" w:rsidRDefault="001614AC"/>
        </w:tc>
        <w:tc>
          <w:tcPr>
            <w:tcW w:w="1080" w:type="dxa"/>
            <w:gridSpan w:val="3"/>
            <w:tcBorders>
              <w:top w:val="single" w:sz="8" w:space="0" w:color="C7C9C7"/>
              <w:left w:val="nil"/>
              <w:bottom w:val="nil"/>
              <w:right w:val="nil"/>
            </w:tcBorders>
            <w:shd w:val="clear" w:color="auto" w:fill="FFFFFF"/>
            <w:tcMar>
              <w:top w:w="0" w:type="dxa"/>
              <w:left w:w="0" w:type="dxa"/>
              <w:bottom w:w="0" w:type="dxa"/>
              <w:right w:w="0" w:type="dxa"/>
            </w:tcMar>
            <w:vAlign w:val="bottom"/>
          </w:tcPr>
          <w:p w14:paraId="2CA83172" w14:textId="77777777" w:rsidR="001614AC" w:rsidRDefault="001614AC"/>
        </w:tc>
        <w:tc>
          <w:tcPr>
            <w:tcW w:w="105" w:type="dxa"/>
            <w:tcBorders>
              <w:top w:val="single" w:sz="8" w:space="0" w:color="FFFFFF"/>
              <w:left w:val="nil"/>
              <w:bottom w:val="nil"/>
              <w:right w:val="nil"/>
            </w:tcBorders>
            <w:shd w:val="clear" w:color="auto" w:fill="FFFFFF"/>
            <w:tcMar>
              <w:top w:w="0" w:type="dxa"/>
              <w:left w:w="0" w:type="dxa"/>
              <w:bottom w:w="0" w:type="dxa"/>
              <w:right w:w="0" w:type="dxa"/>
            </w:tcMar>
            <w:vAlign w:val="bottom"/>
          </w:tcPr>
          <w:p w14:paraId="4B7DB117" w14:textId="77777777" w:rsidR="001614AC" w:rsidRDefault="001614AC"/>
        </w:tc>
        <w:tc>
          <w:tcPr>
            <w:tcW w:w="1080" w:type="dxa"/>
            <w:gridSpan w:val="3"/>
            <w:tcBorders>
              <w:top w:val="single" w:sz="8" w:space="0" w:color="C7C9C7"/>
              <w:left w:val="nil"/>
              <w:bottom w:val="nil"/>
              <w:right w:val="nil"/>
            </w:tcBorders>
            <w:shd w:val="clear" w:color="auto" w:fill="FFFFFF"/>
            <w:tcMar>
              <w:top w:w="0" w:type="dxa"/>
              <w:left w:w="0" w:type="dxa"/>
              <w:bottom w:w="0" w:type="dxa"/>
              <w:right w:w="0" w:type="dxa"/>
            </w:tcMar>
            <w:vAlign w:val="bottom"/>
          </w:tcPr>
          <w:p w14:paraId="2FFF8E8E" w14:textId="77777777" w:rsidR="001614AC" w:rsidRDefault="001614AC"/>
        </w:tc>
        <w:tc>
          <w:tcPr>
            <w:tcW w:w="105" w:type="dxa"/>
            <w:tcBorders>
              <w:top w:val="single" w:sz="8" w:space="0" w:color="FFFFFF"/>
              <w:left w:val="nil"/>
              <w:bottom w:val="nil"/>
              <w:right w:val="nil"/>
            </w:tcBorders>
            <w:shd w:val="clear" w:color="auto" w:fill="FFFFFF"/>
            <w:tcMar>
              <w:top w:w="0" w:type="dxa"/>
              <w:left w:w="0" w:type="dxa"/>
              <w:bottom w:w="0" w:type="dxa"/>
              <w:right w:w="0" w:type="dxa"/>
            </w:tcMar>
            <w:vAlign w:val="bottom"/>
          </w:tcPr>
          <w:p w14:paraId="7A0CB732" w14:textId="77777777" w:rsidR="001614AC" w:rsidRDefault="001614AC"/>
        </w:tc>
        <w:tc>
          <w:tcPr>
            <w:tcW w:w="1080" w:type="dxa"/>
            <w:gridSpan w:val="3"/>
            <w:tcBorders>
              <w:top w:val="single" w:sz="8" w:space="0" w:color="C7C9C7"/>
              <w:left w:val="nil"/>
              <w:bottom w:val="nil"/>
              <w:right w:val="nil"/>
            </w:tcBorders>
            <w:shd w:val="clear" w:color="auto" w:fill="FFFFFF"/>
            <w:tcMar>
              <w:top w:w="0" w:type="dxa"/>
              <w:left w:w="0" w:type="dxa"/>
              <w:bottom w:w="0" w:type="dxa"/>
              <w:right w:w="0" w:type="dxa"/>
            </w:tcMar>
            <w:vAlign w:val="bottom"/>
          </w:tcPr>
          <w:p w14:paraId="54DD02A8" w14:textId="77777777" w:rsidR="001614AC" w:rsidRDefault="001614AC"/>
        </w:tc>
        <w:tc>
          <w:tcPr>
            <w:tcW w:w="105" w:type="dxa"/>
            <w:tcBorders>
              <w:top w:val="single" w:sz="8" w:space="0" w:color="FFFFFF"/>
              <w:left w:val="nil"/>
              <w:bottom w:val="nil"/>
              <w:right w:val="nil"/>
            </w:tcBorders>
            <w:shd w:val="clear" w:color="auto" w:fill="FFFFFF"/>
            <w:tcMar>
              <w:top w:w="0" w:type="dxa"/>
              <w:left w:w="0" w:type="dxa"/>
              <w:bottom w:w="0" w:type="dxa"/>
              <w:right w:w="0" w:type="dxa"/>
            </w:tcMar>
            <w:vAlign w:val="bottom"/>
          </w:tcPr>
          <w:p w14:paraId="3DBBCCDC" w14:textId="77777777" w:rsidR="001614AC" w:rsidRDefault="001614AC"/>
        </w:tc>
        <w:tc>
          <w:tcPr>
            <w:tcW w:w="1080" w:type="dxa"/>
            <w:gridSpan w:val="3"/>
            <w:tcBorders>
              <w:top w:val="single" w:sz="8" w:space="0" w:color="C7C9C7"/>
              <w:left w:val="nil"/>
              <w:bottom w:val="nil"/>
              <w:right w:val="nil"/>
            </w:tcBorders>
            <w:shd w:val="clear" w:color="auto" w:fill="FFFFFF"/>
            <w:tcMar>
              <w:top w:w="0" w:type="dxa"/>
              <w:left w:w="0" w:type="dxa"/>
              <w:bottom w:w="0" w:type="dxa"/>
              <w:right w:w="0" w:type="dxa"/>
            </w:tcMar>
            <w:vAlign w:val="bottom"/>
          </w:tcPr>
          <w:p w14:paraId="68AEE7FD" w14:textId="77777777" w:rsidR="001614AC" w:rsidRDefault="001614AC"/>
        </w:tc>
      </w:tr>
      <w:tr w:rsidR="001614AC" w14:paraId="6F355AF1" w14:textId="77777777">
        <w:trPr>
          <w:cantSplit/>
        </w:trPr>
        <w:tc>
          <w:tcPr>
            <w:tcW w:w="5505" w:type="dxa"/>
            <w:tcBorders>
              <w:top w:val="nil"/>
              <w:left w:val="nil"/>
              <w:bottom w:val="nil"/>
              <w:right w:val="nil"/>
            </w:tcBorders>
            <w:shd w:val="clear" w:color="auto" w:fill="F4F4F4"/>
            <w:tcMar>
              <w:top w:w="0" w:type="dxa"/>
              <w:left w:w="53" w:type="dxa"/>
              <w:bottom w:w="0" w:type="dxa"/>
              <w:right w:w="53" w:type="dxa"/>
            </w:tcMar>
            <w:vAlign w:val="bottom"/>
          </w:tcPr>
          <w:p w14:paraId="35055866" w14:textId="77777777" w:rsidR="001614AC" w:rsidRDefault="004468F9">
            <w:pPr>
              <w:spacing w:before="75" w:after="30" w:line="288" w:lineRule="auto"/>
            </w:pPr>
            <w:r>
              <w:rPr>
                <w:rFonts w:ascii="Arial" w:eastAsia="Arial" w:hAnsi="Arial" w:cs="Arial"/>
                <w:color w:val="000000"/>
                <w:sz w:val="18"/>
              </w:rPr>
              <w:t xml:space="preserve">Total Stockholders’ Equity </w:t>
            </w:r>
          </w:p>
        </w:tc>
        <w:tc>
          <w:tcPr>
            <w:tcW w:w="105" w:type="dxa"/>
            <w:tcBorders>
              <w:top w:val="nil"/>
              <w:left w:val="nil"/>
              <w:bottom w:val="nil"/>
              <w:right w:val="nil"/>
            </w:tcBorders>
            <w:shd w:val="clear" w:color="auto" w:fill="F4F4F4"/>
            <w:tcMar>
              <w:top w:w="0" w:type="dxa"/>
              <w:left w:w="0" w:type="dxa"/>
              <w:bottom w:w="0" w:type="dxa"/>
              <w:right w:w="0" w:type="dxa"/>
            </w:tcMar>
            <w:vAlign w:val="bottom"/>
          </w:tcPr>
          <w:p w14:paraId="291D18CC" w14:textId="77777777" w:rsidR="001614AC" w:rsidRDefault="001614AC"/>
        </w:tc>
        <w:tc>
          <w:tcPr>
            <w:tcW w:w="160" w:type="dxa"/>
            <w:tcBorders>
              <w:top w:val="nil"/>
              <w:left w:val="nil"/>
              <w:bottom w:val="double" w:sz="8" w:space="0" w:color="C7C9C7"/>
              <w:right w:val="nil"/>
            </w:tcBorders>
            <w:shd w:val="clear" w:color="auto" w:fill="F4F4F4"/>
            <w:tcMar>
              <w:top w:w="0" w:type="dxa"/>
              <w:left w:w="53" w:type="dxa"/>
              <w:bottom w:w="0" w:type="dxa"/>
              <w:right w:w="0" w:type="dxa"/>
            </w:tcMar>
            <w:vAlign w:val="bottom"/>
          </w:tcPr>
          <w:p w14:paraId="5C4D187C" w14:textId="77777777" w:rsidR="001614AC" w:rsidRDefault="004468F9">
            <w:pPr>
              <w:spacing w:before="75" w:after="30" w:line="288" w:lineRule="auto"/>
            </w:pPr>
            <w:r>
              <w:rPr>
                <w:rFonts w:ascii="Arial" w:eastAsia="Arial" w:hAnsi="Arial" w:cs="Arial"/>
                <w:color w:val="000000"/>
                <w:sz w:val="18"/>
              </w:rPr>
              <w:t>$</w:t>
            </w:r>
          </w:p>
        </w:tc>
        <w:tc>
          <w:tcPr>
            <w:tcW w:w="820" w:type="dxa"/>
            <w:tcBorders>
              <w:top w:val="nil"/>
              <w:left w:val="nil"/>
              <w:bottom w:val="double" w:sz="8" w:space="0" w:color="C7C9C7"/>
              <w:right w:val="nil"/>
            </w:tcBorders>
            <w:shd w:val="clear" w:color="auto" w:fill="F4F4F4"/>
            <w:tcMar>
              <w:top w:w="0" w:type="dxa"/>
              <w:left w:w="0" w:type="dxa"/>
              <w:bottom w:w="0" w:type="dxa"/>
              <w:right w:w="0" w:type="dxa"/>
            </w:tcMar>
            <w:vAlign w:val="bottom"/>
          </w:tcPr>
          <w:p w14:paraId="14B126BD" w14:textId="77777777" w:rsidR="001614AC" w:rsidRDefault="004468F9">
            <w:pPr>
              <w:spacing w:before="75" w:after="30" w:line="288" w:lineRule="auto"/>
              <w:jc w:val="right"/>
            </w:pPr>
            <w:r>
              <w:rPr>
                <w:rFonts w:ascii="Arial" w:eastAsia="Arial" w:hAnsi="Arial" w:cs="Arial"/>
                <w:color w:val="000000"/>
                <w:sz w:val="18"/>
              </w:rPr>
              <w:t>4,333,833 </w:t>
            </w:r>
          </w:p>
        </w:tc>
        <w:tc>
          <w:tcPr>
            <w:tcW w:w="100" w:type="dxa"/>
            <w:tcBorders>
              <w:top w:val="nil"/>
              <w:left w:val="nil"/>
              <w:bottom w:val="double" w:sz="8" w:space="0" w:color="C7C9C7"/>
              <w:right w:val="nil"/>
            </w:tcBorders>
            <w:shd w:val="clear" w:color="auto" w:fill="F4F4F4"/>
            <w:tcMar>
              <w:top w:w="0" w:type="dxa"/>
              <w:left w:w="0" w:type="dxa"/>
              <w:bottom w:w="0" w:type="dxa"/>
              <w:right w:w="15" w:type="dxa"/>
            </w:tcMar>
            <w:vAlign w:val="bottom"/>
          </w:tcPr>
          <w:p w14:paraId="6B27E465" w14:textId="77777777" w:rsidR="001614AC" w:rsidRDefault="001614AC">
            <w:pPr>
              <w:spacing w:before="75" w:after="30" w:line="288" w:lineRule="auto"/>
              <w:jc w:val="right"/>
            </w:pPr>
          </w:p>
        </w:tc>
        <w:tc>
          <w:tcPr>
            <w:tcW w:w="105" w:type="dxa"/>
            <w:tcBorders>
              <w:top w:val="nil"/>
              <w:left w:val="nil"/>
              <w:bottom w:val="nil"/>
              <w:right w:val="nil"/>
            </w:tcBorders>
            <w:shd w:val="clear" w:color="auto" w:fill="F4F4F4"/>
            <w:tcMar>
              <w:top w:w="0" w:type="dxa"/>
              <w:left w:w="0" w:type="dxa"/>
              <w:bottom w:w="0" w:type="dxa"/>
              <w:right w:w="0" w:type="dxa"/>
            </w:tcMar>
            <w:vAlign w:val="bottom"/>
          </w:tcPr>
          <w:p w14:paraId="7471D852" w14:textId="77777777" w:rsidR="001614AC" w:rsidRDefault="001614AC"/>
        </w:tc>
        <w:tc>
          <w:tcPr>
            <w:tcW w:w="160" w:type="dxa"/>
            <w:tcBorders>
              <w:top w:val="nil"/>
              <w:left w:val="nil"/>
              <w:bottom w:val="double" w:sz="8" w:space="0" w:color="C7C9C7"/>
              <w:right w:val="nil"/>
            </w:tcBorders>
            <w:shd w:val="clear" w:color="auto" w:fill="F4F4F4"/>
            <w:tcMar>
              <w:top w:w="0" w:type="dxa"/>
              <w:left w:w="53" w:type="dxa"/>
              <w:bottom w:w="0" w:type="dxa"/>
              <w:right w:w="0" w:type="dxa"/>
            </w:tcMar>
            <w:vAlign w:val="bottom"/>
          </w:tcPr>
          <w:p w14:paraId="4E84B5B4" w14:textId="77777777" w:rsidR="001614AC" w:rsidRDefault="004468F9">
            <w:pPr>
              <w:spacing w:before="75" w:after="30" w:line="288" w:lineRule="auto"/>
            </w:pPr>
            <w:r>
              <w:rPr>
                <w:rFonts w:ascii="Arial" w:eastAsia="Arial" w:hAnsi="Arial" w:cs="Arial"/>
                <w:color w:val="000000"/>
                <w:sz w:val="18"/>
              </w:rPr>
              <w:t>$</w:t>
            </w:r>
          </w:p>
        </w:tc>
        <w:tc>
          <w:tcPr>
            <w:tcW w:w="820" w:type="dxa"/>
            <w:tcBorders>
              <w:top w:val="nil"/>
              <w:left w:val="nil"/>
              <w:bottom w:val="double" w:sz="8" w:space="0" w:color="C7C9C7"/>
              <w:right w:val="nil"/>
            </w:tcBorders>
            <w:shd w:val="clear" w:color="auto" w:fill="F4F4F4"/>
            <w:tcMar>
              <w:top w:w="0" w:type="dxa"/>
              <w:left w:w="0" w:type="dxa"/>
              <w:bottom w:w="0" w:type="dxa"/>
              <w:right w:w="0" w:type="dxa"/>
            </w:tcMar>
            <w:vAlign w:val="bottom"/>
          </w:tcPr>
          <w:p w14:paraId="543B943B" w14:textId="77777777" w:rsidR="001614AC" w:rsidRDefault="004468F9">
            <w:pPr>
              <w:spacing w:before="75" w:after="30" w:line="288" w:lineRule="auto"/>
              <w:jc w:val="right"/>
            </w:pPr>
            <w:r>
              <w:rPr>
                <w:rFonts w:ascii="Arial" w:eastAsia="Arial" w:hAnsi="Arial" w:cs="Arial"/>
                <w:color w:val="000000"/>
                <w:sz w:val="18"/>
              </w:rPr>
              <w:t>3,986,005 </w:t>
            </w:r>
          </w:p>
        </w:tc>
        <w:tc>
          <w:tcPr>
            <w:tcW w:w="100" w:type="dxa"/>
            <w:tcBorders>
              <w:top w:val="nil"/>
              <w:left w:val="nil"/>
              <w:bottom w:val="double" w:sz="8" w:space="0" w:color="C7C9C7"/>
              <w:right w:val="nil"/>
            </w:tcBorders>
            <w:shd w:val="clear" w:color="auto" w:fill="F4F4F4"/>
            <w:tcMar>
              <w:top w:w="0" w:type="dxa"/>
              <w:left w:w="0" w:type="dxa"/>
              <w:bottom w:w="0" w:type="dxa"/>
              <w:right w:w="15" w:type="dxa"/>
            </w:tcMar>
            <w:vAlign w:val="bottom"/>
          </w:tcPr>
          <w:p w14:paraId="0CB26D1C" w14:textId="77777777" w:rsidR="001614AC" w:rsidRDefault="001614AC">
            <w:pPr>
              <w:spacing w:before="75" w:after="30" w:line="288" w:lineRule="auto"/>
              <w:jc w:val="right"/>
            </w:pPr>
          </w:p>
        </w:tc>
        <w:tc>
          <w:tcPr>
            <w:tcW w:w="105" w:type="dxa"/>
            <w:tcBorders>
              <w:top w:val="nil"/>
              <w:left w:val="nil"/>
              <w:bottom w:val="nil"/>
              <w:right w:val="nil"/>
            </w:tcBorders>
            <w:shd w:val="clear" w:color="auto" w:fill="F4F4F4"/>
            <w:tcMar>
              <w:top w:w="0" w:type="dxa"/>
              <w:left w:w="0" w:type="dxa"/>
              <w:bottom w:w="0" w:type="dxa"/>
              <w:right w:w="0" w:type="dxa"/>
            </w:tcMar>
            <w:vAlign w:val="bottom"/>
          </w:tcPr>
          <w:p w14:paraId="34107E33" w14:textId="77777777" w:rsidR="001614AC" w:rsidRDefault="001614AC"/>
        </w:tc>
        <w:tc>
          <w:tcPr>
            <w:tcW w:w="160" w:type="dxa"/>
            <w:tcBorders>
              <w:top w:val="nil"/>
              <w:left w:val="nil"/>
              <w:bottom w:val="double" w:sz="8" w:space="0" w:color="C7C9C7"/>
              <w:right w:val="nil"/>
            </w:tcBorders>
            <w:shd w:val="clear" w:color="auto" w:fill="F4F4F4"/>
            <w:tcMar>
              <w:top w:w="0" w:type="dxa"/>
              <w:left w:w="53" w:type="dxa"/>
              <w:bottom w:w="0" w:type="dxa"/>
              <w:right w:w="0" w:type="dxa"/>
            </w:tcMar>
            <w:vAlign w:val="bottom"/>
          </w:tcPr>
          <w:p w14:paraId="77C638C0" w14:textId="77777777" w:rsidR="001614AC" w:rsidRDefault="004468F9">
            <w:pPr>
              <w:spacing w:before="75" w:after="30" w:line="288" w:lineRule="auto"/>
            </w:pPr>
            <w:r>
              <w:rPr>
                <w:rFonts w:ascii="Arial" w:eastAsia="Arial" w:hAnsi="Arial" w:cs="Arial"/>
                <w:color w:val="000000"/>
                <w:sz w:val="18"/>
              </w:rPr>
              <w:t>$</w:t>
            </w:r>
          </w:p>
        </w:tc>
        <w:tc>
          <w:tcPr>
            <w:tcW w:w="820" w:type="dxa"/>
            <w:tcBorders>
              <w:top w:val="nil"/>
              <w:left w:val="nil"/>
              <w:bottom w:val="double" w:sz="8" w:space="0" w:color="C7C9C7"/>
              <w:right w:val="nil"/>
            </w:tcBorders>
            <w:shd w:val="clear" w:color="auto" w:fill="F4F4F4"/>
            <w:tcMar>
              <w:top w:w="0" w:type="dxa"/>
              <w:left w:w="0" w:type="dxa"/>
              <w:bottom w:w="0" w:type="dxa"/>
              <w:right w:w="0" w:type="dxa"/>
            </w:tcMar>
            <w:vAlign w:val="bottom"/>
          </w:tcPr>
          <w:p w14:paraId="0A7C0FDF" w14:textId="77777777" w:rsidR="001614AC" w:rsidRDefault="004468F9">
            <w:pPr>
              <w:spacing w:before="75" w:after="30" w:line="288" w:lineRule="auto"/>
              <w:jc w:val="right"/>
            </w:pPr>
            <w:r>
              <w:rPr>
                <w:rFonts w:ascii="Arial" w:eastAsia="Arial" w:hAnsi="Arial" w:cs="Arial"/>
                <w:color w:val="000000"/>
                <w:sz w:val="18"/>
              </w:rPr>
              <w:t>4,333,833 </w:t>
            </w:r>
          </w:p>
        </w:tc>
        <w:tc>
          <w:tcPr>
            <w:tcW w:w="100" w:type="dxa"/>
            <w:tcBorders>
              <w:top w:val="nil"/>
              <w:left w:val="nil"/>
              <w:bottom w:val="double" w:sz="8" w:space="0" w:color="C7C9C7"/>
              <w:right w:val="nil"/>
            </w:tcBorders>
            <w:shd w:val="clear" w:color="auto" w:fill="F4F4F4"/>
            <w:tcMar>
              <w:top w:w="0" w:type="dxa"/>
              <w:left w:w="0" w:type="dxa"/>
              <w:bottom w:w="0" w:type="dxa"/>
              <w:right w:w="15" w:type="dxa"/>
            </w:tcMar>
            <w:vAlign w:val="bottom"/>
          </w:tcPr>
          <w:p w14:paraId="547983B3" w14:textId="77777777" w:rsidR="001614AC" w:rsidRDefault="001614AC">
            <w:pPr>
              <w:spacing w:before="75" w:after="30" w:line="288" w:lineRule="auto"/>
              <w:jc w:val="right"/>
            </w:pPr>
          </w:p>
        </w:tc>
        <w:tc>
          <w:tcPr>
            <w:tcW w:w="105" w:type="dxa"/>
            <w:tcBorders>
              <w:top w:val="nil"/>
              <w:left w:val="nil"/>
              <w:bottom w:val="nil"/>
              <w:right w:val="nil"/>
            </w:tcBorders>
            <w:shd w:val="clear" w:color="auto" w:fill="F4F4F4"/>
            <w:tcMar>
              <w:top w:w="0" w:type="dxa"/>
              <w:left w:w="0" w:type="dxa"/>
              <w:bottom w:w="0" w:type="dxa"/>
              <w:right w:w="0" w:type="dxa"/>
            </w:tcMar>
            <w:vAlign w:val="bottom"/>
          </w:tcPr>
          <w:p w14:paraId="54BE51E1" w14:textId="77777777" w:rsidR="001614AC" w:rsidRDefault="001614AC"/>
        </w:tc>
        <w:tc>
          <w:tcPr>
            <w:tcW w:w="160" w:type="dxa"/>
            <w:tcBorders>
              <w:top w:val="nil"/>
              <w:left w:val="nil"/>
              <w:bottom w:val="double" w:sz="8" w:space="0" w:color="C7C9C7"/>
              <w:right w:val="nil"/>
            </w:tcBorders>
            <w:shd w:val="clear" w:color="auto" w:fill="F4F4F4"/>
            <w:tcMar>
              <w:top w:w="0" w:type="dxa"/>
              <w:left w:w="53" w:type="dxa"/>
              <w:bottom w:w="0" w:type="dxa"/>
              <w:right w:w="0" w:type="dxa"/>
            </w:tcMar>
            <w:vAlign w:val="bottom"/>
          </w:tcPr>
          <w:p w14:paraId="2457F523" w14:textId="77777777" w:rsidR="001614AC" w:rsidRDefault="004468F9">
            <w:pPr>
              <w:spacing w:before="75" w:after="30" w:line="288" w:lineRule="auto"/>
            </w:pPr>
            <w:r>
              <w:rPr>
                <w:rFonts w:ascii="Arial" w:eastAsia="Arial" w:hAnsi="Arial" w:cs="Arial"/>
                <w:color w:val="000000"/>
                <w:sz w:val="18"/>
              </w:rPr>
              <w:t>$</w:t>
            </w:r>
          </w:p>
        </w:tc>
        <w:tc>
          <w:tcPr>
            <w:tcW w:w="820" w:type="dxa"/>
            <w:tcBorders>
              <w:top w:val="nil"/>
              <w:left w:val="nil"/>
              <w:bottom w:val="double" w:sz="8" w:space="0" w:color="C7C9C7"/>
              <w:right w:val="nil"/>
            </w:tcBorders>
            <w:shd w:val="clear" w:color="auto" w:fill="F4F4F4"/>
            <w:tcMar>
              <w:top w:w="0" w:type="dxa"/>
              <w:left w:w="0" w:type="dxa"/>
              <w:bottom w:w="0" w:type="dxa"/>
              <w:right w:w="0" w:type="dxa"/>
            </w:tcMar>
            <w:vAlign w:val="bottom"/>
          </w:tcPr>
          <w:p w14:paraId="5D6415BB" w14:textId="77777777" w:rsidR="001614AC" w:rsidRDefault="004468F9">
            <w:pPr>
              <w:spacing w:before="75" w:after="30" w:line="288" w:lineRule="auto"/>
              <w:jc w:val="right"/>
            </w:pPr>
            <w:r>
              <w:rPr>
                <w:rFonts w:ascii="Arial" w:eastAsia="Arial" w:hAnsi="Arial" w:cs="Arial"/>
                <w:color w:val="000000"/>
                <w:sz w:val="18"/>
              </w:rPr>
              <w:t>3,986,005 </w:t>
            </w:r>
          </w:p>
        </w:tc>
        <w:tc>
          <w:tcPr>
            <w:tcW w:w="100" w:type="dxa"/>
            <w:tcBorders>
              <w:top w:val="nil"/>
              <w:left w:val="nil"/>
              <w:bottom w:val="double" w:sz="8" w:space="0" w:color="C7C9C7"/>
              <w:right w:val="nil"/>
            </w:tcBorders>
            <w:shd w:val="clear" w:color="auto" w:fill="F4F4F4"/>
            <w:tcMar>
              <w:top w:w="0" w:type="dxa"/>
              <w:left w:w="0" w:type="dxa"/>
              <w:bottom w:w="0" w:type="dxa"/>
              <w:right w:w="15" w:type="dxa"/>
            </w:tcMar>
            <w:vAlign w:val="bottom"/>
          </w:tcPr>
          <w:p w14:paraId="63A294DA" w14:textId="77777777" w:rsidR="001614AC" w:rsidRDefault="001614AC">
            <w:pPr>
              <w:spacing w:before="75" w:after="30" w:line="288" w:lineRule="auto"/>
              <w:jc w:val="right"/>
            </w:pPr>
          </w:p>
        </w:tc>
      </w:tr>
    </w:tbl>
    <w:p w14:paraId="6CEEB108" w14:textId="77777777" w:rsidR="001614AC" w:rsidRDefault="001614AC">
      <w:pPr>
        <w:spacing w:line="288" w:lineRule="auto"/>
        <w:rPr>
          <w:rFonts w:ascii="Arial" w:eastAsia="Arial" w:hAnsi="Arial" w:cs="Arial"/>
          <w:b/>
          <w:sz w:val="22"/>
        </w:rPr>
      </w:pPr>
    </w:p>
    <w:p w14:paraId="1C0A65E3" w14:textId="77777777" w:rsidR="001614AC" w:rsidRDefault="001614AC">
      <w:pPr>
        <w:spacing w:line="288" w:lineRule="auto"/>
        <w:rPr>
          <w:rFonts w:ascii="Arial" w:eastAsia="Arial" w:hAnsi="Arial" w:cs="Arial"/>
          <w:b/>
          <w:sz w:val="22"/>
        </w:rPr>
        <w:sectPr w:rsidR="001614AC">
          <w:footerReference w:type="default" r:id="rId20"/>
          <w:pgSz w:w="12240" w:h="15840"/>
          <w:pgMar w:top="990" w:right="990" w:bottom="1260" w:left="990" w:header="270" w:footer="270" w:gutter="0"/>
          <w:cols w:space="708"/>
        </w:sectPr>
      </w:pPr>
    </w:p>
    <w:p w14:paraId="55F3712F" w14:textId="77777777" w:rsidR="001614AC" w:rsidRDefault="004468F9">
      <w:pPr>
        <w:spacing w:after="120" w:line="288" w:lineRule="auto"/>
        <w:rPr>
          <w:rFonts w:ascii="Arial" w:eastAsia="Arial" w:hAnsi="Arial" w:cs="Arial"/>
          <w:b/>
          <w:color w:val="4D6B80"/>
          <w:sz w:val="22"/>
        </w:rPr>
      </w:pPr>
      <w:bookmarkStart w:id="10" w:name="Section11"/>
      <w:bookmarkEnd w:id="10"/>
      <w:r>
        <w:rPr>
          <w:rFonts w:ascii="Arial" w:eastAsia="Arial" w:hAnsi="Arial" w:cs="Arial"/>
          <w:b/>
          <w:color w:val="4D6B80"/>
          <w:sz w:val="22"/>
        </w:rPr>
        <w:lastRenderedPageBreak/>
        <w:t>Radian Group Inc. and Subsidiaries</w:t>
      </w:r>
      <w:r>
        <w:rPr>
          <w:rFonts w:ascii="Arial" w:eastAsia="Arial" w:hAnsi="Arial" w:cs="Arial"/>
          <w:b/>
          <w:color w:val="4D6B80"/>
          <w:sz w:val="22"/>
        </w:rPr>
        <w:br/>
        <w:t xml:space="preserve">Condensed Consolidated </w:t>
      </w:r>
      <w:r>
        <w:rPr>
          <w:rFonts w:ascii="Arial" w:eastAsia="Arial" w:hAnsi="Arial" w:cs="Arial"/>
          <w:b/>
          <w:color w:val="4D6B80"/>
          <w:sz w:val="22"/>
        </w:rPr>
        <w:t>Statements of Cash Flows (Unaudited)</w:t>
      </w:r>
    </w:p>
    <w:tbl>
      <w:tblPr>
        <w:tblW w:w="102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18"/>
        <w:gridCol w:w="106"/>
        <w:gridCol w:w="161"/>
        <w:gridCol w:w="707"/>
        <w:gridCol w:w="101"/>
        <w:gridCol w:w="106"/>
        <w:gridCol w:w="175"/>
        <w:gridCol w:w="807"/>
        <w:gridCol w:w="101"/>
      </w:tblGrid>
      <w:tr w:rsidR="001614AC" w14:paraId="3FCA41B8" w14:textId="77777777">
        <w:trPr>
          <w:cantSplit/>
          <w:tblHeader/>
        </w:trPr>
        <w:tc>
          <w:tcPr>
            <w:tcW w:w="7950" w:type="dxa"/>
            <w:tcBorders>
              <w:top w:val="nil"/>
              <w:left w:val="nil"/>
              <w:bottom w:val="single" w:sz="8" w:space="0" w:color="FFFFFF"/>
              <w:right w:val="nil"/>
            </w:tcBorders>
            <w:tcMar>
              <w:top w:w="0" w:type="dxa"/>
              <w:left w:w="0" w:type="dxa"/>
              <w:bottom w:w="0" w:type="dxa"/>
              <w:right w:w="0" w:type="dxa"/>
            </w:tcMar>
            <w:vAlign w:val="bottom"/>
          </w:tcPr>
          <w:p w14:paraId="7749E8FE" w14:textId="77777777" w:rsidR="001614AC" w:rsidRDefault="001614AC"/>
        </w:tc>
        <w:tc>
          <w:tcPr>
            <w:tcW w:w="105" w:type="dxa"/>
            <w:tcBorders>
              <w:top w:val="nil"/>
              <w:left w:val="nil"/>
              <w:bottom w:val="nil"/>
              <w:right w:val="nil"/>
            </w:tcBorders>
            <w:tcMar>
              <w:top w:w="0" w:type="dxa"/>
              <w:left w:w="0" w:type="dxa"/>
              <w:bottom w:w="0" w:type="dxa"/>
              <w:right w:w="0" w:type="dxa"/>
            </w:tcMar>
            <w:vAlign w:val="bottom"/>
          </w:tcPr>
          <w:p w14:paraId="697C5F11" w14:textId="77777777" w:rsidR="001614AC" w:rsidRDefault="001614AC"/>
        </w:tc>
        <w:tc>
          <w:tcPr>
            <w:tcW w:w="2025" w:type="dxa"/>
            <w:gridSpan w:val="7"/>
            <w:tcBorders>
              <w:top w:val="nil"/>
              <w:left w:val="nil"/>
              <w:bottom w:val="single" w:sz="8" w:space="0" w:color="FFFFFF"/>
              <w:right w:val="nil"/>
            </w:tcBorders>
            <w:shd w:val="clear" w:color="auto" w:fill="F4F4F4"/>
            <w:tcMar>
              <w:top w:w="0" w:type="dxa"/>
              <w:left w:w="53" w:type="dxa"/>
              <w:bottom w:w="0" w:type="dxa"/>
              <w:right w:w="53" w:type="dxa"/>
            </w:tcMar>
            <w:vAlign w:val="bottom"/>
          </w:tcPr>
          <w:p w14:paraId="635806AF" w14:textId="77777777" w:rsidR="001614AC" w:rsidRDefault="004468F9">
            <w:pPr>
              <w:spacing w:before="75" w:line="288" w:lineRule="auto"/>
              <w:jc w:val="center"/>
            </w:pPr>
            <w:r>
              <w:rPr>
                <w:rFonts w:ascii="Arial" w:eastAsia="Arial" w:hAnsi="Arial" w:cs="Arial"/>
                <w:b/>
                <w:color w:val="00BAB3"/>
                <w:sz w:val="18"/>
              </w:rPr>
              <w:t>Six Months Ended</w:t>
            </w:r>
          </w:p>
          <w:p w14:paraId="43055CE9" w14:textId="77777777" w:rsidR="001614AC" w:rsidRDefault="004468F9">
            <w:pPr>
              <w:spacing w:after="30" w:line="288" w:lineRule="auto"/>
              <w:jc w:val="center"/>
            </w:pPr>
            <w:r>
              <w:rPr>
                <w:rFonts w:ascii="Arial" w:eastAsia="Arial" w:hAnsi="Arial" w:cs="Arial"/>
                <w:b/>
                <w:color w:val="00BAB3"/>
                <w:sz w:val="18"/>
              </w:rPr>
              <w:t>June 30,</w:t>
            </w:r>
          </w:p>
        </w:tc>
      </w:tr>
      <w:tr w:rsidR="001614AC" w14:paraId="430727E1" w14:textId="77777777">
        <w:trPr>
          <w:cantSplit/>
          <w:tblHeader/>
        </w:trPr>
        <w:tc>
          <w:tcPr>
            <w:tcW w:w="7950" w:type="dxa"/>
            <w:tcBorders>
              <w:top w:val="single" w:sz="8" w:space="0" w:color="FFFFFF"/>
              <w:left w:val="nil"/>
              <w:bottom w:val="nil"/>
              <w:right w:val="nil"/>
            </w:tcBorders>
            <w:tcMar>
              <w:top w:w="0" w:type="dxa"/>
              <w:left w:w="53" w:type="dxa"/>
              <w:bottom w:w="0" w:type="dxa"/>
              <w:right w:w="53" w:type="dxa"/>
            </w:tcMar>
            <w:vAlign w:val="bottom"/>
          </w:tcPr>
          <w:p w14:paraId="4D47F8F9" w14:textId="77777777" w:rsidR="001614AC" w:rsidRDefault="004468F9">
            <w:pPr>
              <w:spacing w:before="55" w:after="30" w:line="288" w:lineRule="auto"/>
            </w:pPr>
            <w:r>
              <w:rPr>
                <w:rFonts w:ascii="Arial" w:eastAsia="Arial" w:hAnsi="Arial" w:cs="Arial"/>
                <w:color w:val="8B8886"/>
                <w:sz w:val="16"/>
              </w:rPr>
              <w:t>(In thousands)</w:t>
            </w:r>
          </w:p>
        </w:tc>
        <w:tc>
          <w:tcPr>
            <w:tcW w:w="105" w:type="dxa"/>
            <w:tcBorders>
              <w:top w:val="nil"/>
              <w:left w:val="nil"/>
              <w:bottom w:val="nil"/>
              <w:right w:val="nil"/>
            </w:tcBorders>
            <w:tcMar>
              <w:top w:w="0" w:type="dxa"/>
              <w:left w:w="0" w:type="dxa"/>
              <w:bottom w:w="0" w:type="dxa"/>
              <w:right w:w="0" w:type="dxa"/>
            </w:tcMar>
            <w:vAlign w:val="bottom"/>
          </w:tcPr>
          <w:p w14:paraId="5D274D16" w14:textId="77777777" w:rsidR="001614AC" w:rsidRDefault="001614AC"/>
        </w:tc>
        <w:tc>
          <w:tcPr>
            <w:tcW w:w="915" w:type="dxa"/>
            <w:gridSpan w:val="3"/>
            <w:tcBorders>
              <w:top w:val="nil"/>
              <w:left w:val="nil"/>
              <w:bottom w:val="nil"/>
              <w:right w:val="nil"/>
            </w:tcBorders>
            <w:shd w:val="clear" w:color="auto" w:fill="E6F8F8"/>
            <w:tcMar>
              <w:top w:w="0" w:type="dxa"/>
              <w:left w:w="53" w:type="dxa"/>
              <w:bottom w:w="0" w:type="dxa"/>
              <w:right w:w="53" w:type="dxa"/>
            </w:tcMar>
            <w:vAlign w:val="bottom"/>
          </w:tcPr>
          <w:p w14:paraId="47C51CA8" w14:textId="77777777" w:rsidR="001614AC" w:rsidRDefault="004468F9">
            <w:pPr>
              <w:spacing w:before="55" w:after="30" w:line="288" w:lineRule="auto"/>
              <w:jc w:val="center"/>
            </w:pPr>
            <w:r>
              <w:rPr>
                <w:rFonts w:ascii="Arial" w:eastAsia="Arial" w:hAnsi="Arial" w:cs="Arial"/>
                <w:b/>
                <w:color w:val="00BAB3"/>
                <w:sz w:val="18"/>
              </w:rPr>
              <w:t>2021</w:t>
            </w:r>
          </w:p>
        </w:tc>
        <w:tc>
          <w:tcPr>
            <w:tcW w:w="105" w:type="dxa"/>
            <w:tcBorders>
              <w:top w:val="single" w:sz="8" w:space="0" w:color="FFFFFF"/>
              <w:left w:val="nil"/>
              <w:bottom w:val="nil"/>
              <w:right w:val="nil"/>
            </w:tcBorders>
            <w:tcMar>
              <w:top w:w="0" w:type="dxa"/>
              <w:left w:w="0" w:type="dxa"/>
              <w:bottom w:w="0" w:type="dxa"/>
              <w:right w:w="0" w:type="dxa"/>
            </w:tcMar>
            <w:vAlign w:val="bottom"/>
          </w:tcPr>
          <w:p w14:paraId="6FE946CC" w14:textId="77777777" w:rsidR="001614AC" w:rsidRDefault="001614AC"/>
        </w:tc>
        <w:tc>
          <w:tcPr>
            <w:tcW w:w="1005" w:type="dxa"/>
            <w:gridSpan w:val="3"/>
            <w:tcBorders>
              <w:top w:val="single" w:sz="8" w:space="0" w:color="FFFFFF"/>
              <w:left w:val="nil"/>
              <w:bottom w:val="nil"/>
              <w:right w:val="nil"/>
            </w:tcBorders>
            <w:tcMar>
              <w:top w:w="0" w:type="dxa"/>
              <w:left w:w="53" w:type="dxa"/>
              <w:bottom w:w="0" w:type="dxa"/>
              <w:right w:w="53" w:type="dxa"/>
            </w:tcMar>
            <w:vAlign w:val="bottom"/>
          </w:tcPr>
          <w:p w14:paraId="634E0448" w14:textId="77777777" w:rsidR="001614AC" w:rsidRDefault="004468F9">
            <w:pPr>
              <w:spacing w:before="55" w:after="30" w:line="288" w:lineRule="auto"/>
              <w:jc w:val="center"/>
            </w:pPr>
            <w:r>
              <w:rPr>
                <w:rFonts w:ascii="Arial" w:eastAsia="Arial" w:hAnsi="Arial" w:cs="Arial"/>
                <w:b/>
                <w:color w:val="00BAB3"/>
                <w:sz w:val="18"/>
              </w:rPr>
              <w:t>2020</w:t>
            </w:r>
          </w:p>
        </w:tc>
      </w:tr>
      <w:tr w:rsidR="001614AC" w14:paraId="13ADB0E5" w14:textId="77777777">
        <w:trPr>
          <w:cantSplit/>
          <w:tblHeader/>
        </w:trPr>
        <w:tc>
          <w:tcPr>
            <w:tcW w:w="7950" w:type="dxa"/>
            <w:tcBorders>
              <w:top w:val="nil"/>
              <w:left w:val="nil"/>
              <w:bottom w:val="single" w:sz="8" w:space="0" w:color="C7C9C7"/>
              <w:right w:val="nil"/>
            </w:tcBorders>
            <w:shd w:val="clear" w:color="auto" w:fill="F4F4F4"/>
            <w:tcMar>
              <w:top w:w="0" w:type="dxa"/>
              <w:left w:w="53" w:type="dxa"/>
              <w:bottom w:w="0" w:type="dxa"/>
              <w:right w:w="53" w:type="dxa"/>
            </w:tcMar>
            <w:vAlign w:val="bottom"/>
          </w:tcPr>
          <w:p w14:paraId="0491C7E5" w14:textId="77777777" w:rsidR="001614AC" w:rsidRDefault="004468F9">
            <w:pPr>
              <w:spacing w:before="75" w:after="30" w:line="288" w:lineRule="auto"/>
            </w:pPr>
            <w:r>
              <w:rPr>
                <w:rFonts w:ascii="Arial" w:eastAsia="Arial" w:hAnsi="Arial" w:cs="Arial"/>
                <w:b/>
                <w:color w:val="00BAB3"/>
                <w:sz w:val="20"/>
              </w:rPr>
              <w:t>Cash Flows from Operating Activities</w:t>
            </w:r>
          </w:p>
        </w:tc>
        <w:tc>
          <w:tcPr>
            <w:tcW w:w="105" w:type="dxa"/>
            <w:tcBorders>
              <w:top w:val="nil"/>
              <w:left w:val="nil"/>
              <w:bottom w:val="single" w:sz="8" w:space="0" w:color="C7C9C7"/>
              <w:right w:val="nil"/>
            </w:tcBorders>
            <w:shd w:val="clear" w:color="auto" w:fill="F4F4F4"/>
            <w:tcMar>
              <w:top w:w="0" w:type="dxa"/>
              <w:left w:w="0" w:type="dxa"/>
              <w:bottom w:w="0" w:type="dxa"/>
              <w:right w:w="0" w:type="dxa"/>
            </w:tcMar>
            <w:vAlign w:val="bottom"/>
          </w:tcPr>
          <w:p w14:paraId="67AE57E8" w14:textId="77777777" w:rsidR="001614AC" w:rsidRDefault="001614AC"/>
        </w:tc>
        <w:tc>
          <w:tcPr>
            <w:tcW w:w="915" w:type="dxa"/>
            <w:gridSpan w:val="3"/>
            <w:tcBorders>
              <w:top w:val="nil"/>
              <w:left w:val="nil"/>
              <w:bottom w:val="single" w:sz="8" w:space="0" w:color="C7C9C7"/>
              <w:right w:val="nil"/>
            </w:tcBorders>
            <w:shd w:val="clear" w:color="auto" w:fill="F4F4F4"/>
            <w:tcMar>
              <w:top w:w="0" w:type="dxa"/>
              <w:left w:w="0" w:type="dxa"/>
              <w:bottom w:w="0" w:type="dxa"/>
              <w:right w:w="0" w:type="dxa"/>
            </w:tcMar>
            <w:vAlign w:val="bottom"/>
          </w:tcPr>
          <w:p w14:paraId="266F5692" w14:textId="77777777" w:rsidR="001614AC" w:rsidRDefault="001614AC"/>
        </w:tc>
        <w:tc>
          <w:tcPr>
            <w:tcW w:w="105" w:type="dxa"/>
            <w:tcBorders>
              <w:top w:val="nil"/>
              <w:left w:val="nil"/>
              <w:bottom w:val="single" w:sz="8" w:space="0" w:color="C7C9C7"/>
              <w:right w:val="nil"/>
            </w:tcBorders>
            <w:shd w:val="clear" w:color="auto" w:fill="F4F4F4"/>
            <w:tcMar>
              <w:top w:w="0" w:type="dxa"/>
              <w:left w:w="0" w:type="dxa"/>
              <w:bottom w:w="0" w:type="dxa"/>
              <w:right w:w="0" w:type="dxa"/>
            </w:tcMar>
            <w:vAlign w:val="bottom"/>
          </w:tcPr>
          <w:p w14:paraId="1858D91C" w14:textId="77777777" w:rsidR="001614AC" w:rsidRDefault="001614AC"/>
        </w:tc>
        <w:tc>
          <w:tcPr>
            <w:tcW w:w="1005" w:type="dxa"/>
            <w:gridSpan w:val="3"/>
            <w:tcBorders>
              <w:top w:val="nil"/>
              <w:left w:val="nil"/>
              <w:bottom w:val="single" w:sz="8" w:space="0" w:color="C7C9C7"/>
              <w:right w:val="nil"/>
            </w:tcBorders>
            <w:shd w:val="clear" w:color="auto" w:fill="F4F4F4"/>
            <w:tcMar>
              <w:top w:w="0" w:type="dxa"/>
              <w:left w:w="0" w:type="dxa"/>
              <w:bottom w:w="0" w:type="dxa"/>
              <w:right w:w="0" w:type="dxa"/>
            </w:tcMar>
            <w:vAlign w:val="bottom"/>
          </w:tcPr>
          <w:p w14:paraId="238DD83F" w14:textId="77777777" w:rsidR="001614AC" w:rsidRDefault="001614AC"/>
        </w:tc>
      </w:tr>
      <w:tr w:rsidR="001614AC" w14:paraId="7AE7C82C" w14:textId="77777777">
        <w:trPr>
          <w:cantSplit/>
          <w:tblHeader/>
        </w:trPr>
        <w:tc>
          <w:tcPr>
            <w:tcW w:w="7950" w:type="dxa"/>
            <w:tcBorders>
              <w:top w:val="single" w:sz="8" w:space="0" w:color="C7C9C7"/>
              <w:left w:val="nil"/>
              <w:bottom w:val="single" w:sz="8" w:space="0" w:color="F4F4F4"/>
              <w:right w:val="nil"/>
            </w:tcBorders>
            <w:tcMar>
              <w:top w:w="0" w:type="dxa"/>
              <w:left w:w="53" w:type="dxa"/>
              <w:bottom w:w="0" w:type="dxa"/>
              <w:right w:w="53" w:type="dxa"/>
            </w:tcMar>
            <w:vAlign w:val="bottom"/>
          </w:tcPr>
          <w:p w14:paraId="09680A06" w14:textId="77777777" w:rsidR="001614AC" w:rsidRDefault="004468F9">
            <w:pPr>
              <w:spacing w:before="55" w:after="30" w:line="288" w:lineRule="auto"/>
            </w:pPr>
            <w:r>
              <w:rPr>
                <w:rFonts w:ascii="Arial" w:eastAsia="Arial" w:hAnsi="Arial" w:cs="Arial"/>
                <w:color w:val="000000"/>
                <w:sz w:val="18"/>
              </w:rPr>
              <w:t>Net cash provided by (used in) operating activities</w:t>
            </w:r>
          </w:p>
        </w:tc>
        <w:tc>
          <w:tcPr>
            <w:tcW w:w="105" w:type="dxa"/>
            <w:tcBorders>
              <w:top w:val="single" w:sz="8" w:space="0" w:color="C7C9C7"/>
              <w:left w:val="nil"/>
              <w:bottom w:val="nil"/>
              <w:right w:val="nil"/>
            </w:tcBorders>
            <w:tcMar>
              <w:top w:w="0" w:type="dxa"/>
              <w:left w:w="0" w:type="dxa"/>
              <w:bottom w:w="0" w:type="dxa"/>
              <w:right w:w="0" w:type="dxa"/>
            </w:tcMar>
            <w:vAlign w:val="bottom"/>
          </w:tcPr>
          <w:p w14:paraId="775550EF" w14:textId="77777777" w:rsidR="001614AC" w:rsidRDefault="001614AC"/>
        </w:tc>
        <w:tc>
          <w:tcPr>
            <w:tcW w:w="160" w:type="dxa"/>
            <w:tcBorders>
              <w:top w:val="single" w:sz="8" w:space="0" w:color="C7C9C7"/>
              <w:left w:val="nil"/>
              <w:bottom w:val="single" w:sz="8" w:space="0" w:color="C7C9C7"/>
              <w:right w:val="nil"/>
            </w:tcBorders>
            <w:tcMar>
              <w:top w:w="0" w:type="dxa"/>
              <w:left w:w="53" w:type="dxa"/>
              <w:bottom w:w="0" w:type="dxa"/>
              <w:right w:w="0" w:type="dxa"/>
            </w:tcMar>
            <w:vAlign w:val="bottom"/>
          </w:tcPr>
          <w:p w14:paraId="1F0EC8FA" w14:textId="77777777" w:rsidR="001614AC" w:rsidRDefault="004468F9">
            <w:pPr>
              <w:spacing w:before="55" w:after="30" w:line="288" w:lineRule="auto"/>
            </w:pPr>
            <w:r>
              <w:rPr>
                <w:rFonts w:ascii="Arial" w:eastAsia="Arial" w:hAnsi="Arial" w:cs="Arial"/>
                <w:color w:val="000000"/>
                <w:sz w:val="18"/>
              </w:rPr>
              <w:t>$</w:t>
            </w:r>
          </w:p>
        </w:tc>
        <w:tc>
          <w:tcPr>
            <w:tcW w:w="655" w:type="dxa"/>
            <w:tcBorders>
              <w:top w:val="single" w:sz="8" w:space="0" w:color="C7C9C7"/>
              <w:left w:val="nil"/>
              <w:bottom w:val="single" w:sz="8" w:space="0" w:color="C7C9C7"/>
              <w:right w:val="nil"/>
            </w:tcBorders>
            <w:tcMar>
              <w:top w:w="0" w:type="dxa"/>
              <w:left w:w="0" w:type="dxa"/>
              <w:bottom w:w="0" w:type="dxa"/>
              <w:right w:w="0" w:type="dxa"/>
            </w:tcMar>
            <w:vAlign w:val="bottom"/>
          </w:tcPr>
          <w:p w14:paraId="1540E4E2" w14:textId="77777777" w:rsidR="001614AC" w:rsidRDefault="004468F9">
            <w:pPr>
              <w:spacing w:before="55" w:after="30" w:line="288" w:lineRule="auto"/>
              <w:jc w:val="right"/>
            </w:pPr>
            <w:r>
              <w:rPr>
                <w:rFonts w:ascii="Arial" w:eastAsia="Arial" w:hAnsi="Arial" w:cs="Arial"/>
                <w:color w:val="000000"/>
                <w:sz w:val="18"/>
              </w:rPr>
              <w:t>275,896 </w:t>
            </w:r>
          </w:p>
        </w:tc>
        <w:tc>
          <w:tcPr>
            <w:tcW w:w="100" w:type="dxa"/>
            <w:tcBorders>
              <w:top w:val="single" w:sz="8" w:space="0" w:color="C7C9C7"/>
              <w:left w:val="nil"/>
              <w:bottom w:val="single" w:sz="8" w:space="0" w:color="C7C9C7"/>
              <w:right w:val="nil"/>
            </w:tcBorders>
            <w:tcMar>
              <w:top w:w="0" w:type="dxa"/>
              <w:left w:w="0" w:type="dxa"/>
              <w:bottom w:w="0" w:type="dxa"/>
              <w:right w:w="15" w:type="dxa"/>
            </w:tcMar>
            <w:vAlign w:val="bottom"/>
          </w:tcPr>
          <w:p w14:paraId="75995F35" w14:textId="77777777" w:rsidR="001614AC" w:rsidRDefault="001614AC">
            <w:pPr>
              <w:spacing w:before="55" w:after="30" w:line="288" w:lineRule="auto"/>
              <w:jc w:val="right"/>
            </w:pPr>
          </w:p>
        </w:tc>
        <w:tc>
          <w:tcPr>
            <w:tcW w:w="105" w:type="dxa"/>
            <w:tcBorders>
              <w:top w:val="single" w:sz="8" w:space="0" w:color="C7C9C7"/>
              <w:left w:val="nil"/>
              <w:bottom w:val="nil"/>
              <w:right w:val="nil"/>
            </w:tcBorders>
            <w:tcMar>
              <w:top w:w="0" w:type="dxa"/>
              <w:left w:w="0" w:type="dxa"/>
              <w:bottom w:w="0" w:type="dxa"/>
              <w:right w:w="0" w:type="dxa"/>
            </w:tcMar>
            <w:vAlign w:val="bottom"/>
          </w:tcPr>
          <w:p w14:paraId="17E65B6F" w14:textId="77777777" w:rsidR="001614AC" w:rsidRDefault="001614AC"/>
        </w:tc>
        <w:tc>
          <w:tcPr>
            <w:tcW w:w="160" w:type="dxa"/>
            <w:tcBorders>
              <w:top w:val="single" w:sz="8" w:space="0" w:color="C7C9C7"/>
              <w:left w:val="nil"/>
              <w:bottom w:val="single" w:sz="8" w:space="0" w:color="C7C9C7"/>
              <w:right w:val="nil"/>
            </w:tcBorders>
            <w:tcMar>
              <w:top w:w="0" w:type="dxa"/>
              <w:left w:w="53" w:type="dxa"/>
              <w:bottom w:w="0" w:type="dxa"/>
              <w:right w:w="0" w:type="dxa"/>
            </w:tcMar>
            <w:vAlign w:val="bottom"/>
          </w:tcPr>
          <w:p w14:paraId="7B4E6971" w14:textId="77777777" w:rsidR="001614AC" w:rsidRDefault="004468F9">
            <w:pPr>
              <w:spacing w:before="55" w:after="30" w:line="288" w:lineRule="auto"/>
            </w:pPr>
            <w:r>
              <w:rPr>
                <w:rFonts w:ascii="Arial" w:eastAsia="Arial" w:hAnsi="Arial" w:cs="Arial"/>
                <w:color w:val="000000"/>
                <w:sz w:val="18"/>
              </w:rPr>
              <w:t>$</w:t>
            </w:r>
          </w:p>
        </w:tc>
        <w:tc>
          <w:tcPr>
            <w:tcW w:w="745" w:type="dxa"/>
            <w:tcBorders>
              <w:top w:val="single" w:sz="8" w:space="0" w:color="C7C9C7"/>
              <w:left w:val="nil"/>
              <w:bottom w:val="single" w:sz="8" w:space="0" w:color="C7C9C7"/>
              <w:right w:val="nil"/>
            </w:tcBorders>
            <w:tcMar>
              <w:top w:w="0" w:type="dxa"/>
              <w:left w:w="0" w:type="dxa"/>
              <w:bottom w:w="0" w:type="dxa"/>
              <w:right w:w="0" w:type="dxa"/>
            </w:tcMar>
            <w:vAlign w:val="bottom"/>
          </w:tcPr>
          <w:p w14:paraId="0A301621" w14:textId="77777777" w:rsidR="001614AC" w:rsidRDefault="004468F9">
            <w:pPr>
              <w:spacing w:before="55" w:after="30" w:line="288" w:lineRule="auto"/>
              <w:jc w:val="right"/>
            </w:pPr>
            <w:r>
              <w:rPr>
                <w:rFonts w:ascii="Arial" w:eastAsia="Arial" w:hAnsi="Arial" w:cs="Arial"/>
                <w:color w:val="000000"/>
                <w:sz w:val="18"/>
              </w:rPr>
              <w:t>305,291 </w:t>
            </w:r>
          </w:p>
        </w:tc>
        <w:tc>
          <w:tcPr>
            <w:tcW w:w="100" w:type="dxa"/>
            <w:tcBorders>
              <w:top w:val="single" w:sz="8" w:space="0" w:color="C7C9C7"/>
              <w:left w:val="nil"/>
              <w:bottom w:val="single" w:sz="8" w:space="0" w:color="C7C9C7"/>
              <w:right w:val="nil"/>
            </w:tcBorders>
            <w:tcMar>
              <w:top w:w="0" w:type="dxa"/>
              <w:left w:w="0" w:type="dxa"/>
              <w:bottom w:w="0" w:type="dxa"/>
              <w:right w:w="15" w:type="dxa"/>
            </w:tcMar>
            <w:vAlign w:val="bottom"/>
          </w:tcPr>
          <w:p w14:paraId="71CDB00D" w14:textId="77777777" w:rsidR="001614AC" w:rsidRDefault="001614AC">
            <w:pPr>
              <w:spacing w:before="55" w:after="30" w:line="288" w:lineRule="auto"/>
              <w:jc w:val="right"/>
            </w:pPr>
          </w:p>
        </w:tc>
      </w:tr>
      <w:tr w:rsidR="001614AC" w14:paraId="4977276E" w14:textId="77777777">
        <w:trPr>
          <w:cantSplit/>
          <w:tblHeader/>
        </w:trPr>
        <w:tc>
          <w:tcPr>
            <w:tcW w:w="7950" w:type="dxa"/>
            <w:tcBorders>
              <w:top w:val="single" w:sz="8" w:space="0" w:color="F4F4F4"/>
              <w:left w:val="nil"/>
              <w:bottom w:val="nil"/>
              <w:right w:val="nil"/>
            </w:tcBorders>
            <w:tcMar>
              <w:top w:w="0" w:type="dxa"/>
              <w:left w:w="0" w:type="dxa"/>
              <w:bottom w:w="0" w:type="dxa"/>
              <w:right w:w="0" w:type="dxa"/>
            </w:tcMar>
            <w:vAlign w:val="bottom"/>
          </w:tcPr>
          <w:p w14:paraId="28F73E17" w14:textId="77777777" w:rsidR="001614AC" w:rsidRDefault="001614AC"/>
        </w:tc>
        <w:tc>
          <w:tcPr>
            <w:tcW w:w="105" w:type="dxa"/>
            <w:tcBorders>
              <w:top w:val="nil"/>
              <w:left w:val="nil"/>
              <w:bottom w:val="nil"/>
              <w:right w:val="nil"/>
            </w:tcBorders>
            <w:tcMar>
              <w:top w:w="0" w:type="dxa"/>
              <w:left w:w="0" w:type="dxa"/>
              <w:bottom w:w="0" w:type="dxa"/>
              <w:right w:w="0" w:type="dxa"/>
            </w:tcMar>
            <w:vAlign w:val="bottom"/>
          </w:tcPr>
          <w:p w14:paraId="3015C6CF" w14:textId="77777777" w:rsidR="001614AC" w:rsidRDefault="001614AC"/>
        </w:tc>
        <w:tc>
          <w:tcPr>
            <w:tcW w:w="915" w:type="dxa"/>
            <w:gridSpan w:val="3"/>
            <w:tcBorders>
              <w:top w:val="single" w:sz="8" w:space="0" w:color="C7C9C7"/>
              <w:left w:val="nil"/>
              <w:bottom w:val="nil"/>
              <w:right w:val="nil"/>
            </w:tcBorders>
            <w:tcMar>
              <w:top w:w="0" w:type="dxa"/>
              <w:left w:w="0" w:type="dxa"/>
              <w:bottom w:w="0" w:type="dxa"/>
              <w:right w:w="0" w:type="dxa"/>
            </w:tcMar>
            <w:vAlign w:val="bottom"/>
          </w:tcPr>
          <w:p w14:paraId="4E78AD7E" w14:textId="77777777" w:rsidR="001614AC" w:rsidRDefault="001614AC"/>
        </w:tc>
        <w:tc>
          <w:tcPr>
            <w:tcW w:w="105" w:type="dxa"/>
            <w:tcBorders>
              <w:top w:val="nil"/>
              <w:left w:val="nil"/>
              <w:bottom w:val="nil"/>
              <w:right w:val="nil"/>
            </w:tcBorders>
            <w:tcMar>
              <w:top w:w="0" w:type="dxa"/>
              <w:left w:w="0" w:type="dxa"/>
              <w:bottom w:w="0" w:type="dxa"/>
              <w:right w:w="0" w:type="dxa"/>
            </w:tcMar>
            <w:vAlign w:val="bottom"/>
          </w:tcPr>
          <w:p w14:paraId="06A4A0C1" w14:textId="77777777" w:rsidR="001614AC" w:rsidRDefault="001614AC"/>
        </w:tc>
        <w:tc>
          <w:tcPr>
            <w:tcW w:w="1005" w:type="dxa"/>
            <w:gridSpan w:val="3"/>
            <w:tcBorders>
              <w:top w:val="single" w:sz="8" w:space="0" w:color="C7C9C7"/>
              <w:left w:val="nil"/>
              <w:bottom w:val="nil"/>
              <w:right w:val="nil"/>
            </w:tcBorders>
            <w:tcMar>
              <w:top w:w="0" w:type="dxa"/>
              <w:left w:w="0" w:type="dxa"/>
              <w:bottom w:w="0" w:type="dxa"/>
              <w:right w:w="0" w:type="dxa"/>
            </w:tcMar>
            <w:vAlign w:val="bottom"/>
          </w:tcPr>
          <w:p w14:paraId="74B7C7C1" w14:textId="77777777" w:rsidR="001614AC" w:rsidRDefault="001614AC"/>
        </w:tc>
      </w:tr>
      <w:tr w:rsidR="001614AC" w14:paraId="6053C176" w14:textId="77777777">
        <w:trPr>
          <w:cantSplit/>
        </w:trPr>
        <w:tc>
          <w:tcPr>
            <w:tcW w:w="7950" w:type="dxa"/>
            <w:tcBorders>
              <w:top w:val="nil"/>
              <w:left w:val="nil"/>
              <w:bottom w:val="single" w:sz="8" w:space="0" w:color="C7C9C7"/>
              <w:right w:val="nil"/>
            </w:tcBorders>
            <w:shd w:val="clear" w:color="auto" w:fill="F4F4F4"/>
            <w:tcMar>
              <w:top w:w="0" w:type="dxa"/>
              <w:left w:w="53" w:type="dxa"/>
              <w:bottom w:w="0" w:type="dxa"/>
              <w:right w:w="53" w:type="dxa"/>
            </w:tcMar>
            <w:vAlign w:val="bottom"/>
          </w:tcPr>
          <w:p w14:paraId="7B308B96" w14:textId="77777777" w:rsidR="001614AC" w:rsidRDefault="004468F9">
            <w:pPr>
              <w:spacing w:before="75" w:after="30" w:line="288" w:lineRule="auto"/>
            </w:pPr>
            <w:r>
              <w:rPr>
                <w:rFonts w:ascii="Arial" w:eastAsia="Arial" w:hAnsi="Arial" w:cs="Arial"/>
                <w:b/>
                <w:color w:val="00BAB3"/>
                <w:sz w:val="20"/>
              </w:rPr>
              <w:t>Cash Flows from Investing Activities</w:t>
            </w:r>
          </w:p>
        </w:tc>
        <w:tc>
          <w:tcPr>
            <w:tcW w:w="105" w:type="dxa"/>
            <w:tcBorders>
              <w:top w:val="nil"/>
              <w:left w:val="nil"/>
              <w:bottom w:val="single" w:sz="8" w:space="0" w:color="C7C9C7"/>
              <w:right w:val="nil"/>
            </w:tcBorders>
            <w:shd w:val="clear" w:color="auto" w:fill="F4F4F4"/>
            <w:tcMar>
              <w:top w:w="0" w:type="dxa"/>
              <w:left w:w="0" w:type="dxa"/>
              <w:bottom w:w="0" w:type="dxa"/>
              <w:right w:w="0" w:type="dxa"/>
            </w:tcMar>
            <w:vAlign w:val="bottom"/>
          </w:tcPr>
          <w:p w14:paraId="1067F786" w14:textId="77777777" w:rsidR="001614AC" w:rsidRDefault="001614AC"/>
        </w:tc>
        <w:tc>
          <w:tcPr>
            <w:tcW w:w="915" w:type="dxa"/>
            <w:gridSpan w:val="3"/>
            <w:tcBorders>
              <w:top w:val="nil"/>
              <w:left w:val="nil"/>
              <w:bottom w:val="single" w:sz="8" w:space="0" w:color="C7C9C7"/>
              <w:right w:val="nil"/>
            </w:tcBorders>
            <w:shd w:val="clear" w:color="auto" w:fill="F4F4F4"/>
            <w:tcMar>
              <w:top w:w="0" w:type="dxa"/>
              <w:left w:w="0" w:type="dxa"/>
              <w:bottom w:w="0" w:type="dxa"/>
              <w:right w:w="0" w:type="dxa"/>
            </w:tcMar>
            <w:vAlign w:val="bottom"/>
          </w:tcPr>
          <w:p w14:paraId="7F8F973C" w14:textId="77777777" w:rsidR="001614AC" w:rsidRDefault="001614AC"/>
        </w:tc>
        <w:tc>
          <w:tcPr>
            <w:tcW w:w="105" w:type="dxa"/>
            <w:tcBorders>
              <w:top w:val="nil"/>
              <w:left w:val="nil"/>
              <w:bottom w:val="single" w:sz="8" w:space="0" w:color="C7C9C7"/>
              <w:right w:val="nil"/>
            </w:tcBorders>
            <w:shd w:val="clear" w:color="auto" w:fill="F4F4F4"/>
            <w:tcMar>
              <w:top w:w="0" w:type="dxa"/>
              <w:left w:w="0" w:type="dxa"/>
              <w:bottom w:w="0" w:type="dxa"/>
              <w:right w:w="0" w:type="dxa"/>
            </w:tcMar>
            <w:vAlign w:val="bottom"/>
          </w:tcPr>
          <w:p w14:paraId="42A9C48B" w14:textId="77777777" w:rsidR="001614AC" w:rsidRDefault="001614AC"/>
        </w:tc>
        <w:tc>
          <w:tcPr>
            <w:tcW w:w="1005" w:type="dxa"/>
            <w:gridSpan w:val="3"/>
            <w:tcBorders>
              <w:top w:val="nil"/>
              <w:left w:val="nil"/>
              <w:bottom w:val="single" w:sz="8" w:space="0" w:color="C7C9C7"/>
              <w:right w:val="nil"/>
            </w:tcBorders>
            <w:shd w:val="clear" w:color="auto" w:fill="F4F4F4"/>
            <w:tcMar>
              <w:top w:w="0" w:type="dxa"/>
              <w:left w:w="0" w:type="dxa"/>
              <w:bottom w:w="0" w:type="dxa"/>
              <w:right w:w="0" w:type="dxa"/>
            </w:tcMar>
            <w:vAlign w:val="bottom"/>
          </w:tcPr>
          <w:p w14:paraId="05E5EA22" w14:textId="77777777" w:rsidR="001614AC" w:rsidRDefault="001614AC"/>
        </w:tc>
      </w:tr>
      <w:tr w:rsidR="001614AC" w14:paraId="2448F25B" w14:textId="77777777">
        <w:trPr>
          <w:cantSplit/>
        </w:trPr>
        <w:tc>
          <w:tcPr>
            <w:tcW w:w="7950" w:type="dxa"/>
            <w:tcBorders>
              <w:top w:val="single" w:sz="8" w:space="0" w:color="C7C9C7"/>
              <w:left w:val="nil"/>
              <w:bottom w:val="single" w:sz="8" w:space="0" w:color="F4F4F4"/>
              <w:right w:val="nil"/>
            </w:tcBorders>
            <w:tcMar>
              <w:top w:w="0" w:type="dxa"/>
              <w:left w:w="53" w:type="dxa"/>
              <w:bottom w:w="0" w:type="dxa"/>
              <w:right w:w="53" w:type="dxa"/>
            </w:tcMar>
            <w:vAlign w:val="bottom"/>
          </w:tcPr>
          <w:p w14:paraId="0831C508" w14:textId="77777777" w:rsidR="001614AC" w:rsidRDefault="004468F9">
            <w:pPr>
              <w:spacing w:before="55" w:after="30" w:line="288" w:lineRule="auto"/>
            </w:pPr>
            <w:r>
              <w:rPr>
                <w:rFonts w:ascii="Arial" w:eastAsia="Arial" w:hAnsi="Arial" w:cs="Arial"/>
                <w:color w:val="000000"/>
                <w:sz w:val="18"/>
              </w:rPr>
              <w:t>Proceeds from sales of:</w:t>
            </w:r>
          </w:p>
        </w:tc>
        <w:tc>
          <w:tcPr>
            <w:tcW w:w="105" w:type="dxa"/>
            <w:tcBorders>
              <w:top w:val="single" w:sz="8" w:space="0" w:color="C7C9C7"/>
              <w:left w:val="nil"/>
              <w:bottom w:val="nil"/>
              <w:right w:val="nil"/>
            </w:tcBorders>
            <w:tcMar>
              <w:top w:w="0" w:type="dxa"/>
              <w:left w:w="0" w:type="dxa"/>
              <w:bottom w:w="0" w:type="dxa"/>
              <w:right w:w="0" w:type="dxa"/>
            </w:tcMar>
            <w:vAlign w:val="bottom"/>
          </w:tcPr>
          <w:p w14:paraId="78606C5D" w14:textId="77777777" w:rsidR="001614AC" w:rsidRDefault="001614AC"/>
        </w:tc>
        <w:tc>
          <w:tcPr>
            <w:tcW w:w="915" w:type="dxa"/>
            <w:gridSpan w:val="3"/>
            <w:tcBorders>
              <w:top w:val="single" w:sz="8" w:space="0" w:color="C7C9C7"/>
              <w:left w:val="nil"/>
              <w:bottom w:val="single" w:sz="8" w:space="0" w:color="F4F4F4"/>
              <w:right w:val="nil"/>
            </w:tcBorders>
            <w:tcMar>
              <w:top w:w="0" w:type="dxa"/>
              <w:left w:w="0" w:type="dxa"/>
              <w:bottom w:w="0" w:type="dxa"/>
              <w:right w:w="0" w:type="dxa"/>
            </w:tcMar>
            <w:vAlign w:val="bottom"/>
          </w:tcPr>
          <w:p w14:paraId="262A2F49" w14:textId="77777777" w:rsidR="001614AC" w:rsidRDefault="001614AC"/>
        </w:tc>
        <w:tc>
          <w:tcPr>
            <w:tcW w:w="105" w:type="dxa"/>
            <w:tcBorders>
              <w:top w:val="single" w:sz="8" w:space="0" w:color="C7C9C7"/>
              <w:left w:val="nil"/>
              <w:bottom w:val="nil"/>
              <w:right w:val="nil"/>
            </w:tcBorders>
            <w:tcMar>
              <w:top w:w="0" w:type="dxa"/>
              <w:left w:w="0" w:type="dxa"/>
              <w:bottom w:w="0" w:type="dxa"/>
              <w:right w:w="0" w:type="dxa"/>
            </w:tcMar>
            <w:vAlign w:val="bottom"/>
          </w:tcPr>
          <w:p w14:paraId="3B64D4F8" w14:textId="77777777" w:rsidR="001614AC" w:rsidRDefault="001614AC"/>
        </w:tc>
        <w:tc>
          <w:tcPr>
            <w:tcW w:w="1005" w:type="dxa"/>
            <w:gridSpan w:val="3"/>
            <w:tcBorders>
              <w:top w:val="single" w:sz="8" w:space="0" w:color="C7C9C7"/>
              <w:left w:val="nil"/>
              <w:bottom w:val="single" w:sz="8" w:space="0" w:color="F4F4F4"/>
              <w:right w:val="nil"/>
            </w:tcBorders>
            <w:tcMar>
              <w:top w:w="0" w:type="dxa"/>
              <w:left w:w="0" w:type="dxa"/>
              <w:bottom w:w="0" w:type="dxa"/>
              <w:right w:w="0" w:type="dxa"/>
            </w:tcMar>
            <w:vAlign w:val="bottom"/>
          </w:tcPr>
          <w:p w14:paraId="264AF295" w14:textId="77777777" w:rsidR="001614AC" w:rsidRDefault="001614AC"/>
        </w:tc>
      </w:tr>
      <w:tr w:rsidR="001614AC" w14:paraId="034C58C2" w14:textId="77777777">
        <w:trPr>
          <w:cantSplit/>
        </w:trPr>
        <w:tc>
          <w:tcPr>
            <w:tcW w:w="7950" w:type="dxa"/>
            <w:tcBorders>
              <w:top w:val="single" w:sz="8" w:space="0" w:color="F4F4F4"/>
              <w:left w:val="nil"/>
              <w:bottom w:val="single" w:sz="8" w:space="0" w:color="F4F4F4"/>
              <w:right w:val="nil"/>
            </w:tcBorders>
            <w:tcMar>
              <w:top w:w="0" w:type="dxa"/>
              <w:left w:w="53" w:type="dxa"/>
              <w:bottom w:w="0" w:type="dxa"/>
              <w:right w:w="53" w:type="dxa"/>
            </w:tcMar>
            <w:vAlign w:val="bottom"/>
          </w:tcPr>
          <w:p w14:paraId="1D8657B1" w14:textId="77777777" w:rsidR="001614AC" w:rsidRDefault="004468F9">
            <w:pPr>
              <w:spacing w:before="55" w:after="30" w:line="288" w:lineRule="auto"/>
              <w:ind w:left="240"/>
            </w:pPr>
            <w:r>
              <w:rPr>
                <w:rFonts w:ascii="Arial" w:eastAsia="Arial" w:hAnsi="Arial" w:cs="Arial"/>
                <w:color w:val="000000"/>
                <w:sz w:val="18"/>
              </w:rPr>
              <w:t>Fixed-maturities available for sale</w:t>
            </w:r>
          </w:p>
        </w:tc>
        <w:tc>
          <w:tcPr>
            <w:tcW w:w="105" w:type="dxa"/>
            <w:tcBorders>
              <w:top w:val="nil"/>
              <w:left w:val="nil"/>
              <w:bottom w:val="nil"/>
              <w:right w:val="nil"/>
            </w:tcBorders>
            <w:tcMar>
              <w:top w:w="0" w:type="dxa"/>
              <w:left w:w="0" w:type="dxa"/>
              <w:bottom w:w="0" w:type="dxa"/>
              <w:right w:w="0" w:type="dxa"/>
            </w:tcMar>
            <w:vAlign w:val="bottom"/>
          </w:tcPr>
          <w:p w14:paraId="45DED17B" w14:textId="77777777" w:rsidR="001614AC" w:rsidRDefault="001614AC"/>
        </w:tc>
        <w:tc>
          <w:tcPr>
            <w:tcW w:w="815"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10172DA9" w14:textId="77777777" w:rsidR="001614AC" w:rsidRDefault="004468F9">
            <w:pPr>
              <w:spacing w:before="55" w:after="30" w:line="288" w:lineRule="auto"/>
              <w:jc w:val="right"/>
            </w:pPr>
            <w:r>
              <w:rPr>
                <w:rFonts w:ascii="Arial" w:eastAsia="Arial" w:hAnsi="Arial" w:cs="Arial"/>
                <w:color w:val="000000"/>
                <w:sz w:val="18"/>
              </w:rPr>
              <w:t>329,072 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643F54EE" w14:textId="77777777" w:rsidR="001614AC" w:rsidRDefault="001614AC">
            <w:pPr>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6CAA1290" w14:textId="77777777" w:rsidR="001614AC" w:rsidRDefault="001614AC"/>
        </w:tc>
        <w:tc>
          <w:tcPr>
            <w:tcW w:w="905"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539711ED" w14:textId="77777777" w:rsidR="001614AC" w:rsidRDefault="004468F9">
            <w:pPr>
              <w:spacing w:before="55" w:after="30" w:line="288" w:lineRule="auto"/>
              <w:jc w:val="right"/>
            </w:pPr>
            <w:r>
              <w:rPr>
                <w:rFonts w:ascii="Arial" w:eastAsia="Arial" w:hAnsi="Arial" w:cs="Arial"/>
                <w:color w:val="000000"/>
                <w:sz w:val="18"/>
              </w:rPr>
              <w:t>735,154 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6597956D" w14:textId="77777777" w:rsidR="001614AC" w:rsidRDefault="001614AC">
            <w:pPr>
              <w:spacing w:before="55" w:after="30" w:line="288" w:lineRule="auto"/>
              <w:jc w:val="right"/>
            </w:pPr>
          </w:p>
        </w:tc>
      </w:tr>
      <w:tr w:rsidR="001614AC" w14:paraId="520E0AE6" w14:textId="77777777">
        <w:trPr>
          <w:cantSplit/>
        </w:trPr>
        <w:tc>
          <w:tcPr>
            <w:tcW w:w="7950" w:type="dxa"/>
            <w:tcBorders>
              <w:top w:val="single" w:sz="8" w:space="0" w:color="F4F4F4"/>
              <w:left w:val="nil"/>
              <w:bottom w:val="single" w:sz="8" w:space="0" w:color="F4F4F4"/>
              <w:right w:val="nil"/>
            </w:tcBorders>
            <w:tcMar>
              <w:top w:w="0" w:type="dxa"/>
              <w:left w:w="53" w:type="dxa"/>
              <w:bottom w:w="0" w:type="dxa"/>
              <w:right w:w="53" w:type="dxa"/>
            </w:tcMar>
            <w:vAlign w:val="bottom"/>
          </w:tcPr>
          <w:p w14:paraId="22F5BC02" w14:textId="77777777" w:rsidR="001614AC" w:rsidRDefault="004468F9">
            <w:pPr>
              <w:spacing w:before="55" w:after="30" w:line="288" w:lineRule="auto"/>
              <w:ind w:left="240"/>
            </w:pPr>
            <w:r>
              <w:rPr>
                <w:rFonts w:ascii="Arial" w:eastAsia="Arial" w:hAnsi="Arial" w:cs="Arial"/>
                <w:color w:val="000000"/>
                <w:sz w:val="18"/>
              </w:rPr>
              <w:t>Trading securities</w:t>
            </w:r>
          </w:p>
        </w:tc>
        <w:tc>
          <w:tcPr>
            <w:tcW w:w="105" w:type="dxa"/>
            <w:tcBorders>
              <w:top w:val="nil"/>
              <w:left w:val="nil"/>
              <w:bottom w:val="nil"/>
              <w:right w:val="nil"/>
            </w:tcBorders>
            <w:tcMar>
              <w:top w:w="0" w:type="dxa"/>
              <w:left w:w="0" w:type="dxa"/>
              <w:bottom w:w="0" w:type="dxa"/>
              <w:right w:w="0" w:type="dxa"/>
            </w:tcMar>
            <w:vAlign w:val="bottom"/>
          </w:tcPr>
          <w:p w14:paraId="483A4EAD" w14:textId="77777777" w:rsidR="001614AC" w:rsidRDefault="001614AC"/>
        </w:tc>
        <w:tc>
          <w:tcPr>
            <w:tcW w:w="815"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7FE92B4B" w14:textId="77777777" w:rsidR="001614AC" w:rsidRDefault="004468F9">
            <w:pPr>
              <w:spacing w:before="55" w:after="30" w:line="288" w:lineRule="auto"/>
              <w:jc w:val="right"/>
            </w:pPr>
            <w:r>
              <w:rPr>
                <w:rFonts w:ascii="Arial" w:eastAsia="Arial" w:hAnsi="Arial" w:cs="Arial"/>
                <w:color w:val="000000"/>
                <w:sz w:val="18"/>
              </w:rPr>
              <w:t>7,952 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2F2EE464" w14:textId="77777777" w:rsidR="001614AC" w:rsidRDefault="001614AC">
            <w:pPr>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34FCABD1" w14:textId="77777777" w:rsidR="001614AC" w:rsidRDefault="001614AC"/>
        </w:tc>
        <w:tc>
          <w:tcPr>
            <w:tcW w:w="905"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5C584272" w14:textId="77777777" w:rsidR="001614AC" w:rsidRDefault="004468F9">
            <w:pPr>
              <w:spacing w:before="55" w:after="30" w:line="288" w:lineRule="auto"/>
              <w:jc w:val="right"/>
            </w:pPr>
            <w:r>
              <w:rPr>
                <w:rFonts w:ascii="Arial" w:eastAsia="Arial" w:hAnsi="Arial" w:cs="Arial"/>
                <w:color w:val="000000"/>
                <w:sz w:val="18"/>
              </w:rPr>
              <w:t>11,602 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40FA013B" w14:textId="77777777" w:rsidR="001614AC" w:rsidRDefault="001614AC">
            <w:pPr>
              <w:spacing w:before="55" w:after="30" w:line="288" w:lineRule="auto"/>
              <w:jc w:val="right"/>
            </w:pPr>
          </w:p>
        </w:tc>
      </w:tr>
      <w:tr w:rsidR="001614AC" w14:paraId="0CEE698D" w14:textId="77777777">
        <w:trPr>
          <w:cantSplit/>
        </w:trPr>
        <w:tc>
          <w:tcPr>
            <w:tcW w:w="7950" w:type="dxa"/>
            <w:tcBorders>
              <w:top w:val="single" w:sz="8" w:space="0" w:color="F4F4F4"/>
              <w:left w:val="nil"/>
              <w:bottom w:val="single" w:sz="8" w:space="0" w:color="F4F4F4"/>
              <w:right w:val="nil"/>
            </w:tcBorders>
            <w:tcMar>
              <w:top w:w="0" w:type="dxa"/>
              <w:left w:w="53" w:type="dxa"/>
              <w:bottom w:w="0" w:type="dxa"/>
              <w:right w:w="53" w:type="dxa"/>
            </w:tcMar>
            <w:vAlign w:val="bottom"/>
          </w:tcPr>
          <w:p w14:paraId="7FC50AEB" w14:textId="77777777" w:rsidR="001614AC" w:rsidRDefault="004468F9">
            <w:pPr>
              <w:spacing w:before="55" w:after="30" w:line="288" w:lineRule="auto"/>
              <w:ind w:left="240"/>
            </w:pPr>
            <w:r>
              <w:rPr>
                <w:rFonts w:ascii="Arial" w:eastAsia="Arial" w:hAnsi="Arial" w:cs="Arial"/>
                <w:color w:val="000000"/>
                <w:sz w:val="18"/>
              </w:rPr>
              <w:t xml:space="preserve">Equity securities </w:t>
            </w:r>
          </w:p>
        </w:tc>
        <w:tc>
          <w:tcPr>
            <w:tcW w:w="105" w:type="dxa"/>
            <w:tcBorders>
              <w:top w:val="nil"/>
              <w:left w:val="nil"/>
              <w:bottom w:val="nil"/>
              <w:right w:val="nil"/>
            </w:tcBorders>
            <w:tcMar>
              <w:top w:w="0" w:type="dxa"/>
              <w:left w:w="0" w:type="dxa"/>
              <w:bottom w:w="0" w:type="dxa"/>
              <w:right w:w="0" w:type="dxa"/>
            </w:tcMar>
            <w:vAlign w:val="bottom"/>
          </w:tcPr>
          <w:p w14:paraId="4540D2C1" w14:textId="77777777" w:rsidR="001614AC" w:rsidRDefault="001614AC"/>
        </w:tc>
        <w:tc>
          <w:tcPr>
            <w:tcW w:w="815"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62E219D7" w14:textId="77777777" w:rsidR="001614AC" w:rsidRDefault="004468F9">
            <w:pPr>
              <w:spacing w:before="55" w:after="30" w:line="288" w:lineRule="auto"/>
              <w:jc w:val="right"/>
            </w:pPr>
            <w:r>
              <w:rPr>
                <w:rFonts w:ascii="Arial" w:eastAsia="Arial" w:hAnsi="Arial" w:cs="Arial"/>
                <w:color w:val="000000"/>
                <w:sz w:val="18"/>
              </w:rPr>
              <w:t>4,440 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1706443F" w14:textId="77777777" w:rsidR="001614AC" w:rsidRDefault="001614AC">
            <w:pPr>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6674D104" w14:textId="77777777" w:rsidR="001614AC" w:rsidRDefault="001614AC"/>
        </w:tc>
        <w:tc>
          <w:tcPr>
            <w:tcW w:w="905"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2A838622" w14:textId="77777777" w:rsidR="001614AC" w:rsidRDefault="004468F9">
            <w:pPr>
              <w:spacing w:before="55" w:after="30" w:line="288" w:lineRule="auto"/>
              <w:jc w:val="right"/>
            </w:pPr>
            <w:r>
              <w:rPr>
                <w:rFonts w:ascii="Arial" w:eastAsia="Arial" w:hAnsi="Arial" w:cs="Arial"/>
                <w:color w:val="000000"/>
                <w:sz w:val="18"/>
              </w:rPr>
              <w:t>75,793 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12BD8D9D" w14:textId="77777777" w:rsidR="001614AC" w:rsidRDefault="001614AC">
            <w:pPr>
              <w:spacing w:before="55" w:after="30" w:line="288" w:lineRule="auto"/>
              <w:jc w:val="right"/>
            </w:pPr>
          </w:p>
        </w:tc>
      </w:tr>
      <w:tr w:rsidR="001614AC" w14:paraId="10845564" w14:textId="77777777">
        <w:trPr>
          <w:cantSplit/>
        </w:trPr>
        <w:tc>
          <w:tcPr>
            <w:tcW w:w="7950" w:type="dxa"/>
            <w:tcBorders>
              <w:top w:val="single" w:sz="8" w:space="0" w:color="F4F4F4"/>
              <w:left w:val="nil"/>
              <w:bottom w:val="single" w:sz="8" w:space="0" w:color="F4F4F4"/>
              <w:right w:val="nil"/>
            </w:tcBorders>
            <w:tcMar>
              <w:top w:w="0" w:type="dxa"/>
              <w:left w:w="53" w:type="dxa"/>
              <w:bottom w:w="0" w:type="dxa"/>
              <w:right w:w="53" w:type="dxa"/>
            </w:tcMar>
            <w:vAlign w:val="bottom"/>
          </w:tcPr>
          <w:p w14:paraId="3153EB77" w14:textId="77777777" w:rsidR="001614AC" w:rsidRDefault="004468F9">
            <w:pPr>
              <w:spacing w:before="55" w:after="30" w:line="288" w:lineRule="auto"/>
            </w:pPr>
            <w:r>
              <w:rPr>
                <w:rFonts w:ascii="Arial" w:eastAsia="Arial" w:hAnsi="Arial" w:cs="Arial"/>
                <w:color w:val="000000"/>
                <w:sz w:val="18"/>
              </w:rPr>
              <w:t xml:space="preserve">Proceeds from </w:t>
            </w:r>
            <w:r>
              <w:rPr>
                <w:rFonts w:ascii="Arial" w:eastAsia="Arial" w:hAnsi="Arial" w:cs="Arial"/>
                <w:color w:val="000000"/>
                <w:sz w:val="18"/>
              </w:rPr>
              <w:t>redemptions of:</w:t>
            </w:r>
          </w:p>
        </w:tc>
        <w:tc>
          <w:tcPr>
            <w:tcW w:w="105" w:type="dxa"/>
            <w:tcBorders>
              <w:top w:val="nil"/>
              <w:left w:val="nil"/>
              <w:bottom w:val="nil"/>
              <w:right w:val="nil"/>
            </w:tcBorders>
            <w:tcMar>
              <w:top w:w="0" w:type="dxa"/>
              <w:left w:w="0" w:type="dxa"/>
              <w:bottom w:w="0" w:type="dxa"/>
              <w:right w:w="0" w:type="dxa"/>
            </w:tcMar>
            <w:vAlign w:val="bottom"/>
          </w:tcPr>
          <w:p w14:paraId="7B7CF245" w14:textId="77777777" w:rsidR="001614AC" w:rsidRDefault="001614AC"/>
        </w:tc>
        <w:tc>
          <w:tcPr>
            <w:tcW w:w="915" w:type="dxa"/>
            <w:gridSpan w:val="3"/>
            <w:tcBorders>
              <w:top w:val="single" w:sz="8" w:space="0" w:color="F4F4F4"/>
              <w:left w:val="nil"/>
              <w:bottom w:val="single" w:sz="8" w:space="0" w:color="F4F4F4"/>
              <w:right w:val="nil"/>
            </w:tcBorders>
            <w:tcMar>
              <w:top w:w="0" w:type="dxa"/>
              <w:left w:w="0" w:type="dxa"/>
              <w:bottom w:w="0" w:type="dxa"/>
              <w:right w:w="0" w:type="dxa"/>
            </w:tcMar>
            <w:vAlign w:val="bottom"/>
          </w:tcPr>
          <w:p w14:paraId="03672A32" w14:textId="77777777" w:rsidR="001614AC" w:rsidRDefault="001614AC"/>
        </w:tc>
        <w:tc>
          <w:tcPr>
            <w:tcW w:w="105" w:type="dxa"/>
            <w:tcBorders>
              <w:top w:val="nil"/>
              <w:left w:val="nil"/>
              <w:bottom w:val="nil"/>
              <w:right w:val="nil"/>
            </w:tcBorders>
            <w:tcMar>
              <w:top w:w="0" w:type="dxa"/>
              <w:left w:w="0" w:type="dxa"/>
              <w:bottom w:w="0" w:type="dxa"/>
              <w:right w:w="0" w:type="dxa"/>
            </w:tcMar>
            <w:vAlign w:val="bottom"/>
          </w:tcPr>
          <w:p w14:paraId="27CA6DA6" w14:textId="77777777" w:rsidR="001614AC" w:rsidRDefault="001614AC"/>
        </w:tc>
        <w:tc>
          <w:tcPr>
            <w:tcW w:w="1005" w:type="dxa"/>
            <w:gridSpan w:val="3"/>
            <w:tcBorders>
              <w:top w:val="single" w:sz="8" w:space="0" w:color="F4F4F4"/>
              <w:left w:val="nil"/>
              <w:bottom w:val="single" w:sz="8" w:space="0" w:color="F4F4F4"/>
              <w:right w:val="nil"/>
            </w:tcBorders>
            <w:tcMar>
              <w:top w:w="0" w:type="dxa"/>
              <w:left w:w="0" w:type="dxa"/>
              <w:bottom w:w="0" w:type="dxa"/>
              <w:right w:w="0" w:type="dxa"/>
            </w:tcMar>
            <w:vAlign w:val="bottom"/>
          </w:tcPr>
          <w:p w14:paraId="1BDD3699" w14:textId="77777777" w:rsidR="001614AC" w:rsidRDefault="001614AC"/>
        </w:tc>
      </w:tr>
      <w:tr w:rsidR="001614AC" w14:paraId="0311E4D1" w14:textId="77777777">
        <w:trPr>
          <w:cantSplit/>
        </w:trPr>
        <w:tc>
          <w:tcPr>
            <w:tcW w:w="7950" w:type="dxa"/>
            <w:tcBorders>
              <w:top w:val="single" w:sz="8" w:space="0" w:color="F4F4F4"/>
              <w:left w:val="nil"/>
              <w:bottom w:val="single" w:sz="8" w:space="0" w:color="F4F4F4"/>
              <w:right w:val="nil"/>
            </w:tcBorders>
            <w:tcMar>
              <w:top w:w="0" w:type="dxa"/>
              <w:left w:w="53" w:type="dxa"/>
              <w:bottom w:w="0" w:type="dxa"/>
              <w:right w:w="53" w:type="dxa"/>
            </w:tcMar>
            <w:vAlign w:val="bottom"/>
          </w:tcPr>
          <w:p w14:paraId="3FCC8D95" w14:textId="77777777" w:rsidR="001614AC" w:rsidRDefault="004468F9">
            <w:pPr>
              <w:spacing w:before="55" w:after="30" w:line="288" w:lineRule="auto"/>
              <w:ind w:left="240"/>
            </w:pPr>
            <w:r>
              <w:rPr>
                <w:rFonts w:ascii="Arial" w:eastAsia="Arial" w:hAnsi="Arial" w:cs="Arial"/>
                <w:color w:val="000000"/>
                <w:sz w:val="18"/>
              </w:rPr>
              <w:t>Fixed-maturities available for sale</w:t>
            </w:r>
          </w:p>
        </w:tc>
        <w:tc>
          <w:tcPr>
            <w:tcW w:w="105" w:type="dxa"/>
            <w:tcBorders>
              <w:top w:val="nil"/>
              <w:left w:val="nil"/>
              <w:bottom w:val="nil"/>
              <w:right w:val="nil"/>
            </w:tcBorders>
            <w:tcMar>
              <w:top w:w="0" w:type="dxa"/>
              <w:left w:w="0" w:type="dxa"/>
              <w:bottom w:w="0" w:type="dxa"/>
              <w:right w:w="0" w:type="dxa"/>
            </w:tcMar>
            <w:vAlign w:val="bottom"/>
          </w:tcPr>
          <w:p w14:paraId="25606612" w14:textId="77777777" w:rsidR="001614AC" w:rsidRDefault="001614AC"/>
        </w:tc>
        <w:tc>
          <w:tcPr>
            <w:tcW w:w="815"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7E388B50" w14:textId="77777777" w:rsidR="001614AC" w:rsidRDefault="004468F9">
            <w:pPr>
              <w:spacing w:before="55" w:after="30" w:line="288" w:lineRule="auto"/>
              <w:jc w:val="right"/>
            </w:pPr>
            <w:r>
              <w:rPr>
                <w:rFonts w:ascii="Arial" w:eastAsia="Arial" w:hAnsi="Arial" w:cs="Arial"/>
                <w:color w:val="000000"/>
                <w:sz w:val="18"/>
              </w:rPr>
              <w:t>619,265 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5A4586E7" w14:textId="77777777" w:rsidR="001614AC" w:rsidRDefault="001614AC">
            <w:pPr>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38553C16" w14:textId="77777777" w:rsidR="001614AC" w:rsidRDefault="001614AC"/>
        </w:tc>
        <w:tc>
          <w:tcPr>
            <w:tcW w:w="905"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38EEEE9C" w14:textId="77777777" w:rsidR="001614AC" w:rsidRDefault="004468F9">
            <w:pPr>
              <w:spacing w:before="55" w:after="30" w:line="288" w:lineRule="auto"/>
              <w:jc w:val="right"/>
            </w:pPr>
            <w:r>
              <w:rPr>
                <w:rFonts w:ascii="Arial" w:eastAsia="Arial" w:hAnsi="Arial" w:cs="Arial"/>
                <w:color w:val="000000"/>
                <w:sz w:val="18"/>
              </w:rPr>
              <w:t>271,477 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4144AF9D" w14:textId="77777777" w:rsidR="001614AC" w:rsidRDefault="001614AC">
            <w:pPr>
              <w:spacing w:before="55" w:after="30" w:line="288" w:lineRule="auto"/>
              <w:jc w:val="right"/>
            </w:pPr>
          </w:p>
        </w:tc>
      </w:tr>
      <w:tr w:rsidR="001614AC" w14:paraId="1CAED316" w14:textId="77777777">
        <w:trPr>
          <w:cantSplit/>
        </w:trPr>
        <w:tc>
          <w:tcPr>
            <w:tcW w:w="7950" w:type="dxa"/>
            <w:tcBorders>
              <w:top w:val="single" w:sz="8" w:space="0" w:color="F4F4F4"/>
              <w:left w:val="nil"/>
              <w:bottom w:val="single" w:sz="8" w:space="0" w:color="F4F4F4"/>
              <w:right w:val="nil"/>
            </w:tcBorders>
            <w:tcMar>
              <w:top w:w="0" w:type="dxa"/>
              <w:left w:w="53" w:type="dxa"/>
              <w:bottom w:w="0" w:type="dxa"/>
              <w:right w:w="53" w:type="dxa"/>
            </w:tcMar>
            <w:vAlign w:val="bottom"/>
          </w:tcPr>
          <w:p w14:paraId="6083E40A" w14:textId="77777777" w:rsidR="001614AC" w:rsidRDefault="004468F9">
            <w:pPr>
              <w:spacing w:before="55" w:after="30" w:line="288" w:lineRule="auto"/>
              <w:ind w:left="240"/>
            </w:pPr>
            <w:r>
              <w:rPr>
                <w:rFonts w:ascii="Arial" w:eastAsia="Arial" w:hAnsi="Arial" w:cs="Arial"/>
                <w:color w:val="000000"/>
                <w:sz w:val="18"/>
              </w:rPr>
              <w:t>Trading securities</w:t>
            </w:r>
          </w:p>
        </w:tc>
        <w:tc>
          <w:tcPr>
            <w:tcW w:w="105" w:type="dxa"/>
            <w:tcBorders>
              <w:top w:val="nil"/>
              <w:left w:val="nil"/>
              <w:bottom w:val="nil"/>
              <w:right w:val="nil"/>
            </w:tcBorders>
            <w:tcMar>
              <w:top w:w="0" w:type="dxa"/>
              <w:left w:w="0" w:type="dxa"/>
              <w:bottom w:w="0" w:type="dxa"/>
              <w:right w:w="0" w:type="dxa"/>
            </w:tcMar>
            <w:vAlign w:val="bottom"/>
          </w:tcPr>
          <w:p w14:paraId="3ED043BA" w14:textId="77777777" w:rsidR="001614AC" w:rsidRDefault="001614AC"/>
        </w:tc>
        <w:tc>
          <w:tcPr>
            <w:tcW w:w="815"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56C31D39" w14:textId="77777777" w:rsidR="001614AC" w:rsidRDefault="004468F9">
            <w:pPr>
              <w:spacing w:before="55" w:after="30" w:line="288" w:lineRule="auto"/>
              <w:jc w:val="right"/>
            </w:pPr>
            <w:r>
              <w:rPr>
                <w:rFonts w:ascii="Arial" w:eastAsia="Arial" w:hAnsi="Arial" w:cs="Arial"/>
                <w:color w:val="000000"/>
                <w:sz w:val="18"/>
              </w:rPr>
              <w:t>10,606 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1644E7B4" w14:textId="77777777" w:rsidR="001614AC" w:rsidRDefault="001614AC">
            <w:pPr>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6C79AF9E" w14:textId="77777777" w:rsidR="001614AC" w:rsidRDefault="001614AC"/>
        </w:tc>
        <w:tc>
          <w:tcPr>
            <w:tcW w:w="905"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13532854" w14:textId="77777777" w:rsidR="001614AC" w:rsidRDefault="004468F9">
            <w:pPr>
              <w:spacing w:before="55" w:after="30" w:line="288" w:lineRule="auto"/>
              <w:jc w:val="right"/>
            </w:pPr>
            <w:r>
              <w:rPr>
                <w:rFonts w:ascii="Arial" w:eastAsia="Arial" w:hAnsi="Arial" w:cs="Arial"/>
                <w:color w:val="000000"/>
                <w:sz w:val="18"/>
              </w:rPr>
              <w:t>17,810 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783ECF97" w14:textId="77777777" w:rsidR="001614AC" w:rsidRDefault="001614AC">
            <w:pPr>
              <w:spacing w:before="55" w:after="30" w:line="288" w:lineRule="auto"/>
              <w:jc w:val="right"/>
            </w:pPr>
          </w:p>
        </w:tc>
      </w:tr>
      <w:tr w:rsidR="001614AC" w14:paraId="7C5451EB" w14:textId="77777777">
        <w:trPr>
          <w:cantSplit/>
        </w:trPr>
        <w:tc>
          <w:tcPr>
            <w:tcW w:w="7950" w:type="dxa"/>
            <w:tcBorders>
              <w:top w:val="single" w:sz="8" w:space="0" w:color="F4F4F4"/>
              <w:left w:val="nil"/>
              <w:bottom w:val="single" w:sz="8" w:space="0" w:color="F4F4F4"/>
              <w:right w:val="nil"/>
            </w:tcBorders>
            <w:tcMar>
              <w:top w:w="0" w:type="dxa"/>
              <w:left w:w="53" w:type="dxa"/>
              <w:bottom w:w="0" w:type="dxa"/>
              <w:right w:w="53" w:type="dxa"/>
            </w:tcMar>
            <w:vAlign w:val="bottom"/>
          </w:tcPr>
          <w:p w14:paraId="79E4B6F3" w14:textId="77777777" w:rsidR="001614AC" w:rsidRDefault="004468F9">
            <w:pPr>
              <w:spacing w:before="55" w:after="30" w:line="288" w:lineRule="auto"/>
            </w:pPr>
            <w:r>
              <w:rPr>
                <w:rFonts w:ascii="Arial" w:eastAsia="Arial" w:hAnsi="Arial" w:cs="Arial"/>
                <w:color w:val="000000"/>
                <w:sz w:val="18"/>
              </w:rPr>
              <w:t>Purchases of:</w:t>
            </w:r>
          </w:p>
        </w:tc>
        <w:tc>
          <w:tcPr>
            <w:tcW w:w="105" w:type="dxa"/>
            <w:tcBorders>
              <w:top w:val="nil"/>
              <w:left w:val="nil"/>
              <w:bottom w:val="nil"/>
              <w:right w:val="nil"/>
            </w:tcBorders>
            <w:tcMar>
              <w:top w:w="0" w:type="dxa"/>
              <w:left w:w="0" w:type="dxa"/>
              <w:bottom w:w="0" w:type="dxa"/>
              <w:right w:w="0" w:type="dxa"/>
            </w:tcMar>
            <w:vAlign w:val="bottom"/>
          </w:tcPr>
          <w:p w14:paraId="564B7ED0" w14:textId="77777777" w:rsidR="001614AC" w:rsidRDefault="001614AC"/>
        </w:tc>
        <w:tc>
          <w:tcPr>
            <w:tcW w:w="915" w:type="dxa"/>
            <w:gridSpan w:val="3"/>
            <w:tcBorders>
              <w:top w:val="single" w:sz="8" w:space="0" w:color="F4F4F4"/>
              <w:left w:val="nil"/>
              <w:bottom w:val="single" w:sz="8" w:space="0" w:color="F4F4F4"/>
              <w:right w:val="nil"/>
            </w:tcBorders>
            <w:tcMar>
              <w:top w:w="0" w:type="dxa"/>
              <w:left w:w="0" w:type="dxa"/>
              <w:bottom w:w="0" w:type="dxa"/>
              <w:right w:w="0" w:type="dxa"/>
            </w:tcMar>
            <w:vAlign w:val="bottom"/>
          </w:tcPr>
          <w:p w14:paraId="294CD931" w14:textId="77777777" w:rsidR="001614AC" w:rsidRDefault="001614AC"/>
        </w:tc>
        <w:tc>
          <w:tcPr>
            <w:tcW w:w="105" w:type="dxa"/>
            <w:tcBorders>
              <w:top w:val="nil"/>
              <w:left w:val="nil"/>
              <w:bottom w:val="nil"/>
              <w:right w:val="nil"/>
            </w:tcBorders>
            <w:tcMar>
              <w:top w:w="0" w:type="dxa"/>
              <w:left w:w="0" w:type="dxa"/>
              <w:bottom w:w="0" w:type="dxa"/>
              <w:right w:w="0" w:type="dxa"/>
            </w:tcMar>
            <w:vAlign w:val="bottom"/>
          </w:tcPr>
          <w:p w14:paraId="0434E84C" w14:textId="77777777" w:rsidR="001614AC" w:rsidRDefault="001614AC"/>
        </w:tc>
        <w:tc>
          <w:tcPr>
            <w:tcW w:w="1005" w:type="dxa"/>
            <w:gridSpan w:val="3"/>
            <w:tcBorders>
              <w:top w:val="single" w:sz="8" w:space="0" w:color="F4F4F4"/>
              <w:left w:val="nil"/>
              <w:bottom w:val="single" w:sz="8" w:space="0" w:color="F4F4F4"/>
              <w:right w:val="nil"/>
            </w:tcBorders>
            <w:tcMar>
              <w:top w:w="0" w:type="dxa"/>
              <w:left w:w="0" w:type="dxa"/>
              <w:bottom w:w="0" w:type="dxa"/>
              <w:right w:w="0" w:type="dxa"/>
            </w:tcMar>
            <w:vAlign w:val="bottom"/>
          </w:tcPr>
          <w:p w14:paraId="7CC067A0" w14:textId="77777777" w:rsidR="001614AC" w:rsidRDefault="001614AC"/>
        </w:tc>
      </w:tr>
      <w:tr w:rsidR="001614AC" w14:paraId="1D2B4F82" w14:textId="77777777">
        <w:trPr>
          <w:cantSplit/>
        </w:trPr>
        <w:tc>
          <w:tcPr>
            <w:tcW w:w="7950" w:type="dxa"/>
            <w:tcBorders>
              <w:top w:val="single" w:sz="8" w:space="0" w:color="F4F4F4"/>
              <w:left w:val="nil"/>
              <w:bottom w:val="single" w:sz="8" w:space="0" w:color="F4F4F4"/>
              <w:right w:val="nil"/>
            </w:tcBorders>
            <w:tcMar>
              <w:top w:w="0" w:type="dxa"/>
              <w:left w:w="53" w:type="dxa"/>
              <w:bottom w:w="0" w:type="dxa"/>
              <w:right w:w="53" w:type="dxa"/>
            </w:tcMar>
            <w:vAlign w:val="bottom"/>
          </w:tcPr>
          <w:p w14:paraId="49D79AAF" w14:textId="77777777" w:rsidR="001614AC" w:rsidRDefault="004468F9">
            <w:pPr>
              <w:spacing w:before="55" w:after="30" w:line="288" w:lineRule="auto"/>
              <w:ind w:left="240"/>
            </w:pPr>
            <w:r>
              <w:rPr>
                <w:rFonts w:ascii="Arial" w:eastAsia="Arial" w:hAnsi="Arial" w:cs="Arial"/>
                <w:color w:val="000000"/>
                <w:sz w:val="18"/>
              </w:rPr>
              <w:t>Fixed-maturities available for sale</w:t>
            </w:r>
          </w:p>
        </w:tc>
        <w:tc>
          <w:tcPr>
            <w:tcW w:w="105" w:type="dxa"/>
            <w:tcBorders>
              <w:top w:val="nil"/>
              <w:left w:val="nil"/>
              <w:bottom w:val="nil"/>
              <w:right w:val="nil"/>
            </w:tcBorders>
            <w:tcMar>
              <w:top w:w="0" w:type="dxa"/>
              <w:left w:w="0" w:type="dxa"/>
              <w:bottom w:w="0" w:type="dxa"/>
              <w:right w:w="0" w:type="dxa"/>
            </w:tcMar>
            <w:vAlign w:val="bottom"/>
          </w:tcPr>
          <w:p w14:paraId="6F55FE38" w14:textId="77777777" w:rsidR="001614AC" w:rsidRDefault="001614AC"/>
        </w:tc>
        <w:tc>
          <w:tcPr>
            <w:tcW w:w="815"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51069198" w14:textId="77777777" w:rsidR="001614AC" w:rsidRDefault="004468F9">
            <w:pPr>
              <w:spacing w:before="55" w:after="30" w:line="288" w:lineRule="auto"/>
              <w:jc w:val="right"/>
            </w:pPr>
            <w:r>
              <w:rPr>
                <w:rFonts w:ascii="Arial" w:eastAsia="Arial" w:hAnsi="Arial" w:cs="Arial"/>
                <w:color w:val="000000"/>
                <w:sz w:val="18"/>
              </w:rPr>
              <w:t>(944,618)</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040C59C0" w14:textId="77777777" w:rsidR="001614AC" w:rsidRDefault="001614AC">
            <w:pPr>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68DBD2F2" w14:textId="77777777" w:rsidR="001614AC" w:rsidRDefault="001614AC"/>
        </w:tc>
        <w:tc>
          <w:tcPr>
            <w:tcW w:w="905"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54387098" w14:textId="77777777" w:rsidR="001614AC" w:rsidRDefault="004468F9">
            <w:pPr>
              <w:spacing w:before="55" w:after="30" w:line="288" w:lineRule="auto"/>
              <w:jc w:val="right"/>
            </w:pPr>
            <w:r>
              <w:rPr>
                <w:rFonts w:ascii="Arial" w:eastAsia="Arial" w:hAnsi="Arial" w:cs="Arial"/>
                <w:color w:val="000000"/>
                <w:sz w:val="18"/>
              </w:rPr>
              <w:t>(1,216,333)</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14445987" w14:textId="77777777" w:rsidR="001614AC" w:rsidRDefault="001614AC">
            <w:pPr>
              <w:spacing w:before="55" w:after="30" w:line="288" w:lineRule="auto"/>
              <w:jc w:val="right"/>
            </w:pPr>
          </w:p>
        </w:tc>
      </w:tr>
      <w:tr w:rsidR="001614AC" w14:paraId="158512B9" w14:textId="77777777">
        <w:trPr>
          <w:cantSplit/>
        </w:trPr>
        <w:tc>
          <w:tcPr>
            <w:tcW w:w="7950" w:type="dxa"/>
            <w:tcBorders>
              <w:top w:val="single" w:sz="8" w:space="0" w:color="F4F4F4"/>
              <w:left w:val="nil"/>
              <w:bottom w:val="single" w:sz="8" w:space="0" w:color="F4F4F4"/>
              <w:right w:val="nil"/>
            </w:tcBorders>
            <w:tcMar>
              <w:top w:w="0" w:type="dxa"/>
              <w:left w:w="53" w:type="dxa"/>
              <w:bottom w:w="0" w:type="dxa"/>
              <w:right w:w="53" w:type="dxa"/>
            </w:tcMar>
            <w:vAlign w:val="bottom"/>
          </w:tcPr>
          <w:p w14:paraId="2196024C" w14:textId="77777777" w:rsidR="001614AC" w:rsidRDefault="004468F9">
            <w:pPr>
              <w:spacing w:before="55" w:after="30" w:line="288" w:lineRule="auto"/>
              <w:ind w:left="240"/>
            </w:pPr>
            <w:r>
              <w:rPr>
                <w:rFonts w:ascii="Arial" w:eastAsia="Arial" w:hAnsi="Arial" w:cs="Arial"/>
                <w:color w:val="000000"/>
                <w:sz w:val="18"/>
              </w:rPr>
              <w:t xml:space="preserve">Equity securities </w:t>
            </w:r>
          </w:p>
        </w:tc>
        <w:tc>
          <w:tcPr>
            <w:tcW w:w="105" w:type="dxa"/>
            <w:tcBorders>
              <w:top w:val="nil"/>
              <w:left w:val="nil"/>
              <w:bottom w:val="nil"/>
              <w:right w:val="nil"/>
            </w:tcBorders>
            <w:tcMar>
              <w:top w:w="0" w:type="dxa"/>
              <w:left w:w="0" w:type="dxa"/>
              <w:bottom w:w="0" w:type="dxa"/>
              <w:right w:w="0" w:type="dxa"/>
            </w:tcMar>
            <w:vAlign w:val="bottom"/>
          </w:tcPr>
          <w:p w14:paraId="12E2EFCF" w14:textId="77777777" w:rsidR="001614AC" w:rsidRDefault="001614AC"/>
        </w:tc>
        <w:tc>
          <w:tcPr>
            <w:tcW w:w="815"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271695A4" w14:textId="77777777" w:rsidR="001614AC" w:rsidRDefault="004468F9">
            <w:pPr>
              <w:spacing w:before="55" w:after="30" w:line="288" w:lineRule="auto"/>
              <w:jc w:val="right"/>
            </w:pPr>
            <w:r>
              <w:rPr>
                <w:rFonts w:ascii="Arial" w:eastAsia="Arial" w:hAnsi="Arial" w:cs="Arial"/>
                <w:color w:val="000000"/>
                <w:sz w:val="18"/>
              </w:rPr>
              <w:t>(61,235)</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28778C52" w14:textId="77777777" w:rsidR="001614AC" w:rsidRDefault="001614AC">
            <w:pPr>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0D4EF42B" w14:textId="77777777" w:rsidR="001614AC" w:rsidRDefault="001614AC"/>
        </w:tc>
        <w:tc>
          <w:tcPr>
            <w:tcW w:w="905"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28F9C8F3" w14:textId="77777777" w:rsidR="001614AC" w:rsidRDefault="004468F9">
            <w:pPr>
              <w:spacing w:before="55" w:after="30" w:line="288" w:lineRule="auto"/>
              <w:jc w:val="right"/>
            </w:pPr>
            <w:r>
              <w:rPr>
                <w:rFonts w:ascii="Arial" w:eastAsia="Arial" w:hAnsi="Arial" w:cs="Arial"/>
                <w:color w:val="000000"/>
                <w:sz w:val="18"/>
              </w:rPr>
              <w:t>(65,427)</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119ED604" w14:textId="77777777" w:rsidR="001614AC" w:rsidRDefault="001614AC">
            <w:pPr>
              <w:spacing w:before="55" w:after="30" w:line="288" w:lineRule="auto"/>
              <w:jc w:val="right"/>
            </w:pPr>
          </w:p>
        </w:tc>
      </w:tr>
      <w:tr w:rsidR="001614AC" w14:paraId="34C6898D" w14:textId="77777777">
        <w:trPr>
          <w:cantSplit/>
        </w:trPr>
        <w:tc>
          <w:tcPr>
            <w:tcW w:w="7950" w:type="dxa"/>
            <w:tcBorders>
              <w:top w:val="single" w:sz="8" w:space="0" w:color="F4F4F4"/>
              <w:left w:val="nil"/>
              <w:bottom w:val="single" w:sz="8" w:space="0" w:color="F4F4F4"/>
              <w:right w:val="nil"/>
            </w:tcBorders>
            <w:tcMar>
              <w:top w:w="0" w:type="dxa"/>
              <w:left w:w="53" w:type="dxa"/>
              <w:bottom w:w="0" w:type="dxa"/>
              <w:right w:w="53" w:type="dxa"/>
            </w:tcMar>
            <w:vAlign w:val="bottom"/>
          </w:tcPr>
          <w:p w14:paraId="2D2C10AF" w14:textId="77777777" w:rsidR="001614AC" w:rsidRDefault="004468F9">
            <w:pPr>
              <w:spacing w:before="55" w:after="30" w:line="288" w:lineRule="auto"/>
            </w:pPr>
            <w:r>
              <w:rPr>
                <w:rFonts w:ascii="Arial" w:eastAsia="Arial" w:hAnsi="Arial" w:cs="Arial"/>
                <w:color w:val="000000"/>
                <w:sz w:val="18"/>
              </w:rPr>
              <w:t xml:space="preserve">Sales, </w:t>
            </w:r>
            <w:r>
              <w:rPr>
                <w:rFonts w:ascii="Arial" w:eastAsia="Arial" w:hAnsi="Arial" w:cs="Arial"/>
                <w:color w:val="000000"/>
                <w:sz w:val="18"/>
              </w:rPr>
              <w:t>redemptions and (purchases) of:</w:t>
            </w:r>
          </w:p>
        </w:tc>
        <w:tc>
          <w:tcPr>
            <w:tcW w:w="105" w:type="dxa"/>
            <w:tcBorders>
              <w:top w:val="nil"/>
              <w:left w:val="nil"/>
              <w:bottom w:val="nil"/>
              <w:right w:val="nil"/>
            </w:tcBorders>
            <w:tcMar>
              <w:top w:w="0" w:type="dxa"/>
              <w:left w:w="0" w:type="dxa"/>
              <w:bottom w:w="0" w:type="dxa"/>
              <w:right w:w="0" w:type="dxa"/>
            </w:tcMar>
            <w:vAlign w:val="bottom"/>
          </w:tcPr>
          <w:p w14:paraId="0E88DC60" w14:textId="77777777" w:rsidR="001614AC" w:rsidRDefault="001614AC"/>
        </w:tc>
        <w:tc>
          <w:tcPr>
            <w:tcW w:w="915" w:type="dxa"/>
            <w:gridSpan w:val="3"/>
            <w:tcBorders>
              <w:top w:val="single" w:sz="8" w:space="0" w:color="F4F4F4"/>
              <w:left w:val="nil"/>
              <w:bottom w:val="single" w:sz="8" w:space="0" w:color="F4F4F4"/>
              <w:right w:val="nil"/>
            </w:tcBorders>
            <w:tcMar>
              <w:top w:w="0" w:type="dxa"/>
              <w:left w:w="0" w:type="dxa"/>
              <w:bottom w:w="0" w:type="dxa"/>
              <w:right w:w="0" w:type="dxa"/>
            </w:tcMar>
            <w:vAlign w:val="bottom"/>
          </w:tcPr>
          <w:p w14:paraId="337AF756" w14:textId="77777777" w:rsidR="001614AC" w:rsidRDefault="001614AC"/>
        </w:tc>
        <w:tc>
          <w:tcPr>
            <w:tcW w:w="105" w:type="dxa"/>
            <w:tcBorders>
              <w:top w:val="nil"/>
              <w:left w:val="nil"/>
              <w:bottom w:val="nil"/>
              <w:right w:val="nil"/>
            </w:tcBorders>
            <w:tcMar>
              <w:top w:w="0" w:type="dxa"/>
              <w:left w:w="0" w:type="dxa"/>
              <w:bottom w:w="0" w:type="dxa"/>
              <w:right w:w="0" w:type="dxa"/>
            </w:tcMar>
            <w:vAlign w:val="bottom"/>
          </w:tcPr>
          <w:p w14:paraId="0F6F7B62" w14:textId="77777777" w:rsidR="001614AC" w:rsidRDefault="001614AC"/>
        </w:tc>
        <w:tc>
          <w:tcPr>
            <w:tcW w:w="1005" w:type="dxa"/>
            <w:gridSpan w:val="3"/>
            <w:tcBorders>
              <w:top w:val="single" w:sz="8" w:space="0" w:color="F4F4F4"/>
              <w:left w:val="nil"/>
              <w:bottom w:val="single" w:sz="8" w:space="0" w:color="F4F4F4"/>
              <w:right w:val="nil"/>
            </w:tcBorders>
            <w:tcMar>
              <w:top w:w="0" w:type="dxa"/>
              <w:left w:w="0" w:type="dxa"/>
              <w:bottom w:w="0" w:type="dxa"/>
              <w:right w:w="0" w:type="dxa"/>
            </w:tcMar>
            <w:vAlign w:val="bottom"/>
          </w:tcPr>
          <w:p w14:paraId="42DD099C" w14:textId="77777777" w:rsidR="001614AC" w:rsidRDefault="001614AC"/>
        </w:tc>
      </w:tr>
      <w:tr w:rsidR="001614AC" w14:paraId="0CA2C6B9" w14:textId="77777777">
        <w:trPr>
          <w:cantSplit/>
        </w:trPr>
        <w:tc>
          <w:tcPr>
            <w:tcW w:w="7950" w:type="dxa"/>
            <w:tcBorders>
              <w:top w:val="single" w:sz="8" w:space="0" w:color="F4F4F4"/>
              <w:left w:val="nil"/>
              <w:bottom w:val="single" w:sz="8" w:space="0" w:color="F4F4F4"/>
              <w:right w:val="nil"/>
            </w:tcBorders>
            <w:tcMar>
              <w:top w:w="0" w:type="dxa"/>
              <w:left w:w="53" w:type="dxa"/>
              <w:bottom w:w="0" w:type="dxa"/>
              <w:right w:w="53" w:type="dxa"/>
            </w:tcMar>
            <w:vAlign w:val="bottom"/>
          </w:tcPr>
          <w:p w14:paraId="3F97C4EF" w14:textId="77777777" w:rsidR="001614AC" w:rsidRDefault="004468F9">
            <w:pPr>
              <w:spacing w:before="55" w:after="30" w:line="288" w:lineRule="auto"/>
              <w:ind w:left="240"/>
            </w:pPr>
            <w:r>
              <w:rPr>
                <w:rFonts w:ascii="Arial" w:eastAsia="Arial" w:hAnsi="Arial" w:cs="Arial"/>
                <w:color w:val="000000"/>
                <w:sz w:val="18"/>
              </w:rPr>
              <w:t>Short-term investments, net</w:t>
            </w:r>
          </w:p>
        </w:tc>
        <w:tc>
          <w:tcPr>
            <w:tcW w:w="105" w:type="dxa"/>
            <w:tcBorders>
              <w:top w:val="nil"/>
              <w:left w:val="nil"/>
              <w:bottom w:val="nil"/>
              <w:right w:val="nil"/>
            </w:tcBorders>
            <w:tcMar>
              <w:top w:w="0" w:type="dxa"/>
              <w:left w:w="0" w:type="dxa"/>
              <w:bottom w:w="0" w:type="dxa"/>
              <w:right w:w="0" w:type="dxa"/>
            </w:tcMar>
            <w:vAlign w:val="bottom"/>
          </w:tcPr>
          <w:p w14:paraId="3C6ACF14" w14:textId="77777777" w:rsidR="001614AC" w:rsidRDefault="001614AC"/>
        </w:tc>
        <w:tc>
          <w:tcPr>
            <w:tcW w:w="815"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68970C54" w14:textId="77777777" w:rsidR="001614AC" w:rsidRDefault="004468F9">
            <w:pPr>
              <w:spacing w:before="55" w:after="30" w:line="288" w:lineRule="auto"/>
              <w:jc w:val="right"/>
            </w:pPr>
            <w:r>
              <w:rPr>
                <w:rFonts w:ascii="Arial" w:eastAsia="Arial" w:hAnsi="Arial" w:cs="Arial"/>
                <w:color w:val="000000"/>
                <w:sz w:val="18"/>
              </w:rPr>
              <w:t>(41,925)</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05C0D919" w14:textId="77777777" w:rsidR="001614AC" w:rsidRDefault="001614AC">
            <w:pPr>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52553ABF" w14:textId="77777777" w:rsidR="001614AC" w:rsidRDefault="001614AC"/>
        </w:tc>
        <w:tc>
          <w:tcPr>
            <w:tcW w:w="905"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2ABB80BD" w14:textId="77777777" w:rsidR="001614AC" w:rsidRDefault="004468F9">
            <w:pPr>
              <w:spacing w:before="55" w:after="30" w:line="288" w:lineRule="auto"/>
              <w:jc w:val="right"/>
            </w:pPr>
            <w:r>
              <w:rPr>
                <w:rFonts w:ascii="Arial" w:eastAsia="Arial" w:hAnsi="Arial" w:cs="Arial"/>
                <w:color w:val="000000"/>
                <w:sz w:val="18"/>
              </w:rPr>
              <w:t>(418,744)</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764693D8" w14:textId="77777777" w:rsidR="001614AC" w:rsidRDefault="001614AC">
            <w:pPr>
              <w:spacing w:before="55" w:after="30" w:line="288" w:lineRule="auto"/>
              <w:jc w:val="right"/>
            </w:pPr>
          </w:p>
        </w:tc>
      </w:tr>
      <w:tr w:rsidR="001614AC" w14:paraId="5268DD94" w14:textId="77777777">
        <w:trPr>
          <w:cantSplit/>
        </w:trPr>
        <w:tc>
          <w:tcPr>
            <w:tcW w:w="7950" w:type="dxa"/>
            <w:tcBorders>
              <w:top w:val="single" w:sz="8" w:space="0" w:color="F4F4F4"/>
              <w:left w:val="nil"/>
              <w:bottom w:val="single" w:sz="8" w:space="0" w:color="F4F4F4"/>
              <w:right w:val="nil"/>
            </w:tcBorders>
            <w:tcMar>
              <w:top w:w="0" w:type="dxa"/>
              <w:left w:w="53" w:type="dxa"/>
              <w:bottom w:w="0" w:type="dxa"/>
              <w:right w:w="53" w:type="dxa"/>
            </w:tcMar>
            <w:vAlign w:val="bottom"/>
          </w:tcPr>
          <w:p w14:paraId="5BAE676B" w14:textId="77777777" w:rsidR="001614AC" w:rsidRDefault="004468F9">
            <w:pPr>
              <w:spacing w:before="55" w:after="30" w:line="288" w:lineRule="auto"/>
              <w:ind w:left="240"/>
            </w:pPr>
            <w:r>
              <w:rPr>
                <w:rFonts w:ascii="Arial" w:eastAsia="Arial" w:hAnsi="Arial" w:cs="Arial"/>
                <w:color w:val="000000"/>
                <w:sz w:val="18"/>
              </w:rPr>
              <w:t>Other assets and other invested assets, net</w:t>
            </w:r>
          </w:p>
        </w:tc>
        <w:tc>
          <w:tcPr>
            <w:tcW w:w="105" w:type="dxa"/>
            <w:tcBorders>
              <w:top w:val="nil"/>
              <w:left w:val="nil"/>
              <w:bottom w:val="nil"/>
              <w:right w:val="nil"/>
            </w:tcBorders>
            <w:tcMar>
              <w:top w:w="0" w:type="dxa"/>
              <w:left w:w="0" w:type="dxa"/>
              <w:bottom w:w="0" w:type="dxa"/>
              <w:right w:w="0" w:type="dxa"/>
            </w:tcMar>
            <w:vAlign w:val="bottom"/>
          </w:tcPr>
          <w:p w14:paraId="4CC26743" w14:textId="77777777" w:rsidR="001614AC" w:rsidRDefault="001614AC"/>
        </w:tc>
        <w:tc>
          <w:tcPr>
            <w:tcW w:w="815"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590044B0" w14:textId="77777777" w:rsidR="001614AC" w:rsidRDefault="004468F9">
            <w:pPr>
              <w:spacing w:before="55" w:after="30" w:line="288" w:lineRule="auto"/>
              <w:jc w:val="right"/>
            </w:pPr>
            <w:r>
              <w:rPr>
                <w:rFonts w:ascii="Arial" w:eastAsia="Arial" w:hAnsi="Arial" w:cs="Arial"/>
                <w:color w:val="000000"/>
                <w:sz w:val="18"/>
              </w:rPr>
              <w:t>5,043 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7A57FB7C" w14:textId="77777777" w:rsidR="001614AC" w:rsidRDefault="001614AC">
            <w:pPr>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1C57C54D" w14:textId="77777777" w:rsidR="001614AC" w:rsidRDefault="001614AC"/>
        </w:tc>
        <w:tc>
          <w:tcPr>
            <w:tcW w:w="905"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6E38DB2F" w14:textId="77777777" w:rsidR="001614AC" w:rsidRDefault="004468F9">
            <w:pPr>
              <w:spacing w:before="55" w:after="30" w:line="288" w:lineRule="auto"/>
              <w:jc w:val="right"/>
            </w:pPr>
            <w:r>
              <w:rPr>
                <w:rFonts w:ascii="Arial" w:eastAsia="Arial" w:hAnsi="Arial" w:cs="Arial"/>
                <w:color w:val="000000"/>
                <w:sz w:val="18"/>
              </w:rPr>
              <w:t>2,346 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163D8D77" w14:textId="77777777" w:rsidR="001614AC" w:rsidRDefault="001614AC">
            <w:pPr>
              <w:spacing w:before="55" w:after="30" w:line="288" w:lineRule="auto"/>
              <w:jc w:val="right"/>
            </w:pPr>
          </w:p>
        </w:tc>
      </w:tr>
      <w:tr w:rsidR="001614AC" w14:paraId="4F483C0C" w14:textId="77777777">
        <w:trPr>
          <w:cantSplit/>
        </w:trPr>
        <w:tc>
          <w:tcPr>
            <w:tcW w:w="7950" w:type="dxa"/>
            <w:tcBorders>
              <w:top w:val="single" w:sz="8" w:space="0" w:color="F4F4F4"/>
              <w:left w:val="nil"/>
              <w:bottom w:val="single" w:sz="8" w:space="0" w:color="F4F4F4"/>
              <w:right w:val="nil"/>
            </w:tcBorders>
            <w:tcMar>
              <w:top w:w="0" w:type="dxa"/>
              <w:left w:w="53" w:type="dxa"/>
              <w:bottom w:w="0" w:type="dxa"/>
              <w:right w:w="53" w:type="dxa"/>
            </w:tcMar>
            <w:vAlign w:val="bottom"/>
          </w:tcPr>
          <w:p w14:paraId="1C095E52" w14:textId="77777777" w:rsidR="001614AC" w:rsidRDefault="004468F9">
            <w:pPr>
              <w:spacing w:before="55" w:after="30" w:line="288" w:lineRule="auto"/>
            </w:pPr>
            <w:r>
              <w:rPr>
                <w:rFonts w:ascii="Arial" w:eastAsia="Arial" w:hAnsi="Arial" w:cs="Arial"/>
                <w:color w:val="000000"/>
                <w:sz w:val="18"/>
              </w:rPr>
              <w:t>Proceeds from sale of subsidiary, net of cash sold</w:t>
            </w:r>
          </w:p>
        </w:tc>
        <w:tc>
          <w:tcPr>
            <w:tcW w:w="105" w:type="dxa"/>
            <w:tcBorders>
              <w:top w:val="nil"/>
              <w:left w:val="nil"/>
              <w:bottom w:val="nil"/>
              <w:right w:val="nil"/>
            </w:tcBorders>
            <w:tcMar>
              <w:top w:w="0" w:type="dxa"/>
              <w:left w:w="0" w:type="dxa"/>
              <w:bottom w:w="0" w:type="dxa"/>
              <w:right w:w="0" w:type="dxa"/>
            </w:tcMar>
            <w:vAlign w:val="bottom"/>
          </w:tcPr>
          <w:p w14:paraId="2E742451" w14:textId="77777777" w:rsidR="001614AC" w:rsidRDefault="001614AC"/>
        </w:tc>
        <w:tc>
          <w:tcPr>
            <w:tcW w:w="815"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38A1F791" w14:textId="77777777" w:rsidR="001614AC" w:rsidRDefault="004468F9">
            <w:pPr>
              <w:spacing w:before="55" w:after="30" w:line="288" w:lineRule="auto"/>
              <w:jc w:val="right"/>
            </w:pPr>
            <w:r>
              <w:rPr>
                <w:rFonts w:ascii="Arial" w:eastAsia="Arial" w:hAnsi="Arial" w:cs="Arial"/>
                <w:color w:val="000000"/>
                <w:sz w:val="18"/>
              </w:rPr>
              <w:t>—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38A33BBC" w14:textId="77777777" w:rsidR="001614AC" w:rsidRDefault="001614AC">
            <w:pPr>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69376EC4" w14:textId="77777777" w:rsidR="001614AC" w:rsidRDefault="001614AC"/>
        </w:tc>
        <w:tc>
          <w:tcPr>
            <w:tcW w:w="905"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0EA13C62" w14:textId="77777777" w:rsidR="001614AC" w:rsidRDefault="004468F9">
            <w:pPr>
              <w:spacing w:before="55" w:after="30" w:line="288" w:lineRule="auto"/>
              <w:jc w:val="right"/>
            </w:pPr>
            <w:r>
              <w:rPr>
                <w:rFonts w:ascii="Arial" w:eastAsia="Arial" w:hAnsi="Arial" w:cs="Arial"/>
                <w:color w:val="000000"/>
                <w:sz w:val="18"/>
              </w:rPr>
              <w:t>16,481 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5A9633A6" w14:textId="77777777" w:rsidR="001614AC" w:rsidRDefault="001614AC">
            <w:pPr>
              <w:spacing w:before="55" w:after="30" w:line="288" w:lineRule="auto"/>
              <w:jc w:val="right"/>
            </w:pPr>
          </w:p>
        </w:tc>
      </w:tr>
      <w:tr w:rsidR="001614AC" w14:paraId="69A2EA70" w14:textId="77777777">
        <w:trPr>
          <w:cantSplit/>
        </w:trPr>
        <w:tc>
          <w:tcPr>
            <w:tcW w:w="7950" w:type="dxa"/>
            <w:tcBorders>
              <w:top w:val="single" w:sz="8" w:space="0" w:color="F4F4F4"/>
              <w:left w:val="nil"/>
              <w:bottom w:val="nil"/>
              <w:right w:val="nil"/>
            </w:tcBorders>
            <w:tcMar>
              <w:top w:w="0" w:type="dxa"/>
              <w:left w:w="53" w:type="dxa"/>
              <w:bottom w:w="0" w:type="dxa"/>
              <w:right w:w="53" w:type="dxa"/>
            </w:tcMar>
            <w:vAlign w:val="bottom"/>
          </w:tcPr>
          <w:p w14:paraId="213482E9" w14:textId="77777777" w:rsidR="001614AC" w:rsidRDefault="004468F9">
            <w:pPr>
              <w:spacing w:before="55" w:after="30" w:line="288" w:lineRule="auto"/>
            </w:pPr>
            <w:r>
              <w:rPr>
                <w:rFonts w:ascii="Arial" w:eastAsia="Arial" w:hAnsi="Arial" w:cs="Arial"/>
                <w:color w:val="000000"/>
                <w:sz w:val="18"/>
              </w:rPr>
              <w:t xml:space="preserve">Purchases of property and </w:t>
            </w:r>
            <w:r>
              <w:rPr>
                <w:rFonts w:ascii="Arial" w:eastAsia="Arial" w:hAnsi="Arial" w:cs="Arial"/>
                <w:color w:val="000000"/>
                <w:sz w:val="18"/>
              </w:rPr>
              <w:t>equipment</w:t>
            </w:r>
          </w:p>
        </w:tc>
        <w:tc>
          <w:tcPr>
            <w:tcW w:w="105" w:type="dxa"/>
            <w:tcBorders>
              <w:top w:val="nil"/>
              <w:left w:val="nil"/>
              <w:bottom w:val="nil"/>
              <w:right w:val="nil"/>
            </w:tcBorders>
            <w:tcMar>
              <w:top w:w="0" w:type="dxa"/>
              <w:left w:w="0" w:type="dxa"/>
              <w:bottom w:w="0" w:type="dxa"/>
              <w:right w:w="0" w:type="dxa"/>
            </w:tcMar>
            <w:vAlign w:val="bottom"/>
          </w:tcPr>
          <w:p w14:paraId="768EE35B" w14:textId="77777777" w:rsidR="001614AC" w:rsidRDefault="001614AC"/>
        </w:tc>
        <w:tc>
          <w:tcPr>
            <w:tcW w:w="815" w:type="dxa"/>
            <w:gridSpan w:val="2"/>
            <w:tcBorders>
              <w:top w:val="single" w:sz="8" w:space="0" w:color="F4F4F4"/>
              <w:left w:val="nil"/>
              <w:bottom w:val="nil"/>
              <w:right w:val="nil"/>
            </w:tcBorders>
            <w:tcMar>
              <w:top w:w="0" w:type="dxa"/>
              <w:left w:w="53" w:type="dxa"/>
              <w:bottom w:w="0" w:type="dxa"/>
              <w:right w:w="0" w:type="dxa"/>
            </w:tcMar>
            <w:vAlign w:val="bottom"/>
          </w:tcPr>
          <w:p w14:paraId="62B51B88" w14:textId="77777777" w:rsidR="001614AC" w:rsidRDefault="004468F9">
            <w:pPr>
              <w:spacing w:before="55" w:after="30" w:line="288" w:lineRule="auto"/>
              <w:jc w:val="right"/>
            </w:pPr>
            <w:r>
              <w:rPr>
                <w:rFonts w:ascii="Arial" w:eastAsia="Arial" w:hAnsi="Arial" w:cs="Arial"/>
                <w:color w:val="000000"/>
                <w:sz w:val="18"/>
              </w:rPr>
              <w:t>(4,993)</w:t>
            </w:r>
          </w:p>
        </w:tc>
        <w:tc>
          <w:tcPr>
            <w:tcW w:w="100" w:type="dxa"/>
            <w:tcBorders>
              <w:top w:val="single" w:sz="8" w:space="0" w:color="F4F4F4"/>
              <w:left w:val="nil"/>
              <w:bottom w:val="nil"/>
              <w:right w:val="nil"/>
            </w:tcBorders>
            <w:tcMar>
              <w:top w:w="0" w:type="dxa"/>
              <w:left w:w="0" w:type="dxa"/>
              <w:bottom w:w="0" w:type="dxa"/>
              <w:right w:w="15" w:type="dxa"/>
            </w:tcMar>
            <w:vAlign w:val="bottom"/>
          </w:tcPr>
          <w:p w14:paraId="58EE2BD0" w14:textId="77777777" w:rsidR="001614AC" w:rsidRDefault="001614AC">
            <w:pPr>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4413AA9F" w14:textId="77777777" w:rsidR="001614AC" w:rsidRDefault="001614AC"/>
        </w:tc>
        <w:tc>
          <w:tcPr>
            <w:tcW w:w="905" w:type="dxa"/>
            <w:gridSpan w:val="2"/>
            <w:tcBorders>
              <w:top w:val="single" w:sz="8" w:space="0" w:color="F4F4F4"/>
              <w:left w:val="nil"/>
              <w:bottom w:val="nil"/>
              <w:right w:val="nil"/>
            </w:tcBorders>
            <w:tcMar>
              <w:top w:w="0" w:type="dxa"/>
              <w:left w:w="53" w:type="dxa"/>
              <w:bottom w:w="0" w:type="dxa"/>
              <w:right w:w="0" w:type="dxa"/>
            </w:tcMar>
            <w:vAlign w:val="bottom"/>
          </w:tcPr>
          <w:p w14:paraId="41856A5B" w14:textId="77777777" w:rsidR="001614AC" w:rsidRDefault="004468F9">
            <w:pPr>
              <w:spacing w:before="55" w:after="30" w:line="288" w:lineRule="auto"/>
              <w:jc w:val="right"/>
            </w:pPr>
            <w:r>
              <w:rPr>
                <w:rFonts w:ascii="Arial" w:eastAsia="Arial" w:hAnsi="Arial" w:cs="Arial"/>
                <w:color w:val="000000"/>
                <w:sz w:val="18"/>
              </w:rPr>
              <w:t>(10,594)</w:t>
            </w:r>
          </w:p>
        </w:tc>
        <w:tc>
          <w:tcPr>
            <w:tcW w:w="100" w:type="dxa"/>
            <w:tcBorders>
              <w:top w:val="single" w:sz="8" w:space="0" w:color="F4F4F4"/>
              <w:left w:val="nil"/>
              <w:bottom w:val="nil"/>
              <w:right w:val="nil"/>
            </w:tcBorders>
            <w:tcMar>
              <w:top w:w="0" w:type="dxa"/>
              <w:left w:w="0" w:type="dxa"/>
              <w:bottom w:w="0" w:type="dxa"/>
              <w:right w:w="15" w:type="dxa"/>
            </w:tcMar>
            <w:vAlign w:val="bottom"/>
          </w:tcPr>
          <w:p w14:paraId="364E01AC" w14:textId="77777777" w:rsidR="001614AC" w:rsidRDefault="001614AC">
            <w:pPr>
              <w:spacing w:before="55" w:after="30" w:line="288" w:lineRule="auto"/>
              <w:jc w:val="right"/>
            </w:pPr>
          </w:p>
        </w:tc>
      </w:tr>
      <w:tr w:rsidR="001614AC" w14:paraId="06B2E894" w14:textId="77777777">
        <w:trPr>
          <w:cantSplit/>
        </w:trPr>
        <w:tc>
          <w:tcPr>
            <w:tcW w:w="7950" w:type="dxa"/>
            <w:tcBorders>
              <w:top w:val="single" w:sz="8" w:space="0" w:color="F4F4F4"/>
              <w:left w:val="nil"/>
              <w:bottom w:val="nil"/>
              <w:right w:val="nil"/>
            </w:tcBorders>
            <w:shd w:val="clear" w:color="auto" w:fill="F4F4F4"/>
            <w:tcMar>
              <w:top w:w="0" w:type="dxa"/>
              <w:left w:w="53" w:type="dxa"/>
              <w:bottom w:w="0" w:type="dxa"/>
              <w:right w:w="53" w:type="dxa"/>
            </w:tcMar>
            <w:vAlign w:val="bottom"/>
          </w:tcPr>
          <w:p w14:paraId="2A08CB6A" w14:textId="77777777" w:rsidR="001614AC" w:rsidRDefault="004468F9">
            <w:pPr>
              <w:spacing w:before="55" w:after="30" w:line="288" w:lineRule="auto"/>
            </w:pPr>
            <w:r>
              <w:rPr>
                <w:rFonts w:ascii="Arial" w:eastAsia="Arial" w:hAnsi="Arial" w:cs="Arial"/>
                <w:color w:val="000000"/>
                <w:sz w:val="18"/>
              </w:rPr>
              <w:t>Net cash provided by (used in) investing activities</w:t>
            </w:r>
          </w:p>
        </w:tc>
        <w:tc>
          <w:tcPr>
            <w:tcW w:w="105" w:type="dxa"/>
            <w:tcBorders>
              <w:top w:val="nil"/>
              <w:left w:val="nil"/>
              <w:bottom w:val="nil"/>
              <w:right w:val="nil"/>
            </w:tcBorders>
            <w:shd w:val="clear" w:color="auto" w:fill="F4F4F4"/>
            <w:tcMar>
              <w:top w:w="0" w:type="dxa"/>
              <w:left w:w="0" w:type="dxa"/>
              <w:bottom w:w="0" w:type="dxa"/>
              <w:right w:w="0" w:type="dxa"/>
            </w:tcMar>
            <w:vAlign w:val="bottom"/>
          </w:tcPr>
          <w:p w14:paraId="2E707D99" w14:textId="77777777" w:rsidR="001614AC" w:rsidRDefault="001614AC"/>
        </w:tc>
        <w:tc>
          <w:tcPr>
            <w:tcW w:w="815" w:type="dxa"/>
            <w:gridSpan w:val="2"/>
            <w:tcBorders>
              <w:top w:val="single" w:sz="8" w:space="0" w:color="F4F4F4"/>
              <w:left w:val="nil"/>
              <w:bottom w:val="single" w:sz="8" w:space="0" w:color="C7C9C7"/>
              <w:right w:val="nil"/>
            </w:tcBorders>
            <w:shd w:val="clear" w:color="auto" w:fill="F4F4F4"/>
            <w:tcMar>
              <w:top w:w="0" w:type="dxa"/>
              <w:left w:w="53" w:type="dxa"/>
              <w:bottom w:w="0" w:type="dxa"/>
              <w:right w:w="0" w:type="dxa"/>
            </w:tcMar>
            <w:vAlign w:val="bottom"/>
          </w:tcPr>
          <w:p w14:paraId="2C8F1320" w14:textId="77777777" w:rsidR="001614AC" w:rsidRDefault="004468F9">
            <w:pPr>
              <w:spacing w:before="55" w:after="30" w:line="288" w:lineRule="auto"/>
              <w:jc w:val="right"/>
            </w:pPr>
            <w:r>
              <w:rPr>
                <w:rFonts w:ascii="Arial" w:eastAsia="Arial" w:hAnsi="Arial" w:cs="Arial"/>
                <w:color w:val="000000"/>
                <w:sz w:val="18"/>
              </w:rPr>
              <w:t>(76,393)</w:t>
            </w:r>
          </w:p>
        </w:tc>
        <w:tc>
          <w:tcPr>
            <w:tcW w:w="100" w:type="dxa"/>
            <w:tcBorders>
              <w:top w:val="single" w:sz="8" w:space="0" w:color="F4F4F4"/>
              <w:left w:val="nil"/>
              <w:bottom w:val="single" w:sz="8" w:space="0" w:color="C7C9C7"/>
              <w:right w:val="nil"/>
            </w:tcBorders>
            <w:shd w:val="clear" w:color="auto" w:fill="F4F4F4"/>
            <w:tcMar>
              <w:top w:w="0" w:type="dxa"/>
              <w:left w:w="0" w:type="dxa"/>
              <w:bottom w:w="0" w:type="dxa"/>
              <w:right w:w="15" w:type="dxa"/>
            </w:tcMar>
            <w:vAlign w:val="bottom"/>
          </w:tcPr>
          <w:p w14:paraId="07DD837A" w14:textId="77777777" w:rsidR="001614AC" w:rsidRDefault="001614AC">
            <w:pPr>
              <w:spacing w:before="55" w:after="30" w:line="288" w:lineRule="auto"/>
              <w:jc w:val="right"/>
            </w:pPr>
          </w:p>
        </w:tc>
        <w:tc>
          <w:tcPr>
            <w:tcW w:w="105" w:type="dxa"/>
            <w:tcBorders>
              <w:top w:val="nil"/>
              <w:left w:val="nil"/>
              <w:bottom w:val="nil"/>
              <w:right w:val="nil"/>
            </w:tcBorders>
            <w:shd w:val="clear" w:color="auto" w:fill="F4F4F4"/>
            <w:tcMar>
              <w:top w:w="0" w:type="dxa"/>
              <w:left w:w="0" w:type="dxa"/>
              <w:bottom w:w="0" w:type="dxa"/>
              <w:right w:w="0" w:type="dxa"/>
            </w:tcMar>
            <w:vAlign w:val="bottom"/>
          </w:tcPr>
          <w:p w14:paraId="5809926C" w14:textId="77777777" w:rsidR="001614AC" w:rsidRDefault="001614AC"/>
        </w:tc>
        <w:tc>
          <w:tcPr>
            <w:tcW w:w="905" w:type="dxa"/>
            <w:gridSpan w:val="2"/>
            <w:tcBorders>
              <w:top w:val="single" w:sz="8" w:space="0" w:color="F4F4F4"/>
              <w:left w:val="nil"/>
              <w:bottom w:val="single" w:sz="8" w:space="0" w:color="C7C9C7"/>
              <w:right w:val="nil"/>
            </w:tcBorders>
            <w:shd w:val="clear" w:color="auto" w:fill="F4F4F4"/>
            <w:tcMar>
              <w:top w:w="0" w:type="dxa"/>
              <w:left w:w="53" w:type="dxa"/>
              <w:bottom w:w="0" w:type="dxa"/>
              <w:right w:w="0" w:type="dxa"/>
            </w:tcMar>
            <w:vAlign w:val="bottom"/>
          </w:tcPr>
          <w:p w14:paraId="02430E6F" w14:textId="77777777" w:rsidR="001614AC" w:rsidRDefault="004468F9">
            <w:pPr>
              <w:spacing w:before="55" w:after="30" w:line="288" w:lineRule="auto"/>
              <w:jc w:val="right"/>
            </w:pPr>
            <w:r>
              <w:rPr>
                <w:rFonts w:ascii="Arial" w:eastAsia="Arial" w:hAnsi="Arial" w:cs="Arial"/>
                <w:color w:val="000000"/>
                <w:sz w:val="18"/>
              </w:rPr>
              <w:t>(580,435)</w:t>
            </w:r>
          </w:p>
        </w:tc>
        <w:tc>
          <w:tcPr>
            <w:tcW w:w="100" w:type="dxa"/>
            <w:tcBorders>
              <w:top w:val="single" w:sz="8" w:space="0" w:color="F4F4F4"/>
              <w:left w:val="nil"/>
              <w:bottom w:val="single" w:sz="8" w:space="0" w:color="C7C9C7"/>
              <w:right w:val="nil"/>
            </w:tcBorders>
            <w:shd w:val="clear" w:color="auto" w:fill="F4F4F4"/>
            <w:tcMar>
              <w:top w:w="0" w:type="dxa"/>
              <w:left w:w="0" w:type="dxa"/>
              <w:bottom w:w="0" w:type="dxa"/>
              <w:right w:w="15" w:type="dxa"/>
            </w:tcMar>
            <w:vAlign w:val="bottom"/>
          </w:tcPr>
          <w:p w14:paraId="618D5997" w14:textId="77777777" w:rsidR="001614AC" w:rsidRDefault="001614AC">
            <w:pPr>
              <w:spacing w:before="55" w:after="30" w:line="288" w:lineRule="auto"/>
              <w:jc w:val="right"/>
            </w:pPr>
          </w:p>
        </w:tc>
      </w:tr>
      <w:tr w:rsidR="001614AC" w14:paraId="4D0F602F" w14:textId="77777777">
        <w:trPr>
          <w:cantSplit/>
        </w:trPr>
        <w:tc>
          <w:tcPr>
            <w:tcW w:w="7950" w:type="dxa"/>
            <w:tcBorders>
              <w:top w:val="nil"/>
              <w:left w:val="nil"/>
              <w:bottom w:val="nil"/>
              <w:right w:val="nil"/>
            </w:tcBorders>
            <w:tcMar>
              <w:top w:w="0" w:type="dxa"/>
              <w:left w:w="0" w:type="dxa"/>
              <w:bottom w:w="0" w:type="dxa"/>
              <w:right w:w="0" w:type="dxa"/>
            </w:tcMar>
            <w:vAlign w:val="bottom"/>
          </w:tcPr>
          <w:p w14:paraId="18911D68" w14:textId="77777777" w:rsidR="001614AC" w:rsidRDefault="001614AC"/>
        </w:tc>
        <w:tc>
          <w:tcPr>
            <w:tcW w:w="105" w:type="dxa"/>
            <w:tcBorders>
              <w:top w:val="nil"/>
              <w:left w:val="nil"/>
              <w:bottom w:val="nil"/>
              <w:right w:val="nil"/>
            </w:tcBorders>
            <w:tcMar>
              <w:top w:w="0" w:type="dxa"/>
              <w:left w:w="0" w:type="dxa"/>
              <w:bottom w:w="0" w:type="dxa"/>
              <w:right w:w="0" w:type="dxa"/>
            </w:tcMar>
            <w:vAlign w:val="bottom"/>
          </w:tcPr>
          <w:p w14:paraId="1221D5A2" w14:textId="77777777" w:rsidR="001614AC" w:rsidRDefault="001614AC"/>
        </w:tc>
        <w:tc>
          <w:tcPr>
            <w:tcW w:w="915" w:type="dxa"/>
            <w:gridSpan w:val="3"/>
            <w:tcBorders>
              <w:top w:val="single" w:sz="8" w:space="0" w:color="C7C9C7"/>
              <w:left w:val="nil"/>
              <w:bottom w:val="nil"/>
              <w:right w:val="nil"/>
            </w:tcBorders>
            <w:tcMar>
              <w:top w:w="0" w:type="dxa"/>
              <w:left w:w="0" w:type="dxa"/>
              <w:bottom w:w="0" w:type="dxa"/>
              <w:right w:w="0" w:type="dxa"/>
            </w:tcMar>
            <w:vAlign w:val="bottom"/>
          </w:tcPr>
          <w:p w14:paraId="370D59D4" w14:textId="77777777" w:rsidR="001614AC" w:rsidRDefault="001614AC"/>
        </w:tc>
        <w:tc>
          <w:tcPr>
            <w:tcW w:w="105" w:type="dxa"/>
            <w:tcBorders>
              <w:top w:val="nil"/>
              <w:left w:val="nil"/>
              <w:bottom w:val="nil"/>
              <w:right w:val="nil"/>
            </w:tcBorders>
            <w:tcMar>
              <w:top w:w="0" w:type="dxa"/>
              <w:left w:w="0" w:type="dxa"/>
              <w:bottom w:w="0" w:type="dxa"/>
              <w:right w:w="0" w:type="dxa"/>
            </w:tcMar>
            <w:vAlign w:val="bottom"/>
          </w:tcPr>
          <w:p w14:paraId="163BF9C7" w14:textId="77777777" w:rsidR="001614AC" w:rsidRDefault="001614AC"/>
        </w:tc>
        <w:tc>
          <w:tcPr>
            <w:tcW w:w="1005" w:type="dxa"/>
            <w:gridSpan w:val="3"/>
            <w:tcBorders>
              <w:top w:val="single" w:sz="8" w:space="0" w:color="C7C9C7"/>
              <w:left w:val="nil"/>
              <w:bottom w:val="nil"/>
              <w:right w:val="nil"/>
            </w:tcBorders>
            <w:tcMar>
              <w:top w:w="0" w:type="dxa"/>
              <w:left w:w="0" w:type="dxa"/>
              <w:bottom w:w="0" w:type="dxa"/>
              <w:right w:w="0" w:type="dxa"/>
            </w:tcMar>
            <w:vAlign w:val="bottom"/>
          </w:tcPr>
          <w:p w14:paraId="15EA0004" w14:textId="77777777" w:rsidR="001614AC" w:rsidRDefault="001614AC"/>
        </w:tc>
      </w:tr>
      <w:tr w:rsidR="001614AC" w14:paraId="504DD32F" w14:textId="77777777">
        <w:trPr>
          <w:cantSplit/>
        </w:trPr>
        <w:tc>
          <w:tcPr>
            <w:tcW w:w="7950" w:type="dxa"/>
            <w:tcBorders>
              <w:top w:val="nil"/>
              <w:left w:val="nil"/>
              <w:bottom w:val="single" w:sz="8" w:space="0" w:color="C7C9C7"/>
              <w:right w:val="nil"/>
            </w:tcBorders>
            <w:shd w:val="clear" w:color="auto" w:fill="F4F4F4"/>
            <w:tcMar>
              <w:top w:w="0" w:type="dxa"/>
              <w:left w:w="53" w:type="dxa"/>
              <w:bottom w:w="0" w:type="dxa"/>
              <w:right w:w="53" w:type="dxa"/>
            </w:tcMar>
            <w:vAlign w:val="bottom"/>
          </w:tcPr>
          <w:p w14:paraId="61E9D6E5" w14:textId="77777777" w:rsidR="001614AC" w:rsidRDefault="004468F9">
            <w:pPr>
              <w:spacing w:before="75" w:after="30" w:line="288" w:lineRule="auto"/>
            </w:pPr>
            <w:r>
              <w:rPr>
                <w:rFonts w:ascii="Arial" w:eastAsia="Arial" w:hAnsi="Arial" w:cs="Arial"/>
                <w:b/>
                <w:color w:val="00BAB3"/>
                <w:sz w:val="20"/>
              </w:rPr>
              <w:t>Cash Flows from Financing Activities</w:t>
            </w:r>
          </w:p>
        </w:tc>
        <w:tc>
          <w:tcPr>
            <w:tcW w:w="105" w:type="dxa"/>
            <w:tcBorders>
              <w:top w:val="nil"/>
              <w:left w:val="nil"/>
              <w:bottom w:val="single" w:sz="8" w:space="0" w:color="C7C9C7"/>
              <w:right w:val="nil"/>
            </w:tcBorders>
            <w:shd w:val="clear" w:color="auto" w:fill="F4F4F4"/>
            <w:tcMar>
              <w:top w:w="0" w:type="dxa"/>
              <w:left w:w="0" w:type="dxa"/>
              <w:bottom w:w="0" w:type="dxa"/>
              <w:right w:w="0" w:type="dxa"/>
            </w:tcMar>
            <w:vAlign w:val="bottom"/>
          </w:tcPr>
          <w:p w14:paraId="62E5F7A4" w14:textId="77777777" w:rsidR="001614AC" w:rsidRDefault="001614AC"/>
        </w:tc>
        <w:tc>
          <w:tcPr>
            <w:tcW w:w="915" w:type="dxa"/>
            <w:gridSpan w:val="3"/>
            <w:tcBorders>
              <w:top w:val="nil"/>
              <w:left w:val="nil"/>
              <w:bottom w:val="single" w:sz="8" w:space="0" w:color="C7C9C7"/>
              <w:right w:val="nil"/>
            </w:tcBorders>
            <w:shd w:val="clear" w:color="auto" w:fill="F4F4F4"/>
            <w:tcMar>
              <w:top w:w="0" w:type="dxa"/>
              <w:left w:w="0" w:type="dxa"/>
              <w:bottom w:w="0" w:type="dxa"/>
              <w:right w:w="0" w:type="dxa"/>
            </w:tcMar>
            <w:vAlign w:val="bottom"/>
          </w:tcPr>
          <w:p w14:paraId="2B5A305C" w14:textId="77777777" w:rsidR="001614AC" w:rsidRDefault="001614AC"/>
        </w:tc>
        <w:tc>
          <w:tcPr>
            <w:tcW w:w="105" w:type="dxa"/>
            <w:tcBorders>
              <w:top w:val="nil"/>
              <w:left w:val="nil"/>
              <w:bottom w:val="single" w:sz="8" w:space="0" w:color="C7C9C7"/>
              <w:right w:val="nil"/>
            </w:tcBorders>
            <w:shd w:val="clear" w:color="auto" w:fill="F4F4F4"/>
            <w:tcMar>
              <w:top w:w="0" w:type="dxa"/>
              <w:left w:w="0" w:type="dxa"/>
              <w:bottom w:w="0" w:type="dxa"/>
              <w:right w:w="0" w:type="dxa"/>
            </w:tcMar>
            <w:vAlign w:val="bottom"/>
          </w:tcPr>
          <w:p w14:paraId="3DFE14D6" w14:textId="77777777" w:rsidR="001614AC" w:rsidRDefault="001614AC"/>
        </w:tc>
        <w:tc>
          <w:tcPr>
            <w:tcW w:w="1005" w:type="dxa"/>
            <w:gridSpan w:val="3"/>
            <w:tcBorders>
              <w:top w:val="nil"/>
              <w:left w:val="nil"/>
              <w:bottom w:val="single" w:sz="8" w:space="0" w:color="C7C9C7"/>
              <w:right w:val="nil"/>
            </w:tcBorders>
            <w:shd w:val="clear" w:color="auto" w:fill="F4F4F4"/>
            <w:tcMar>
              <w:top w:w="0" w:type="dxa"/>
              <w:left w:w="0" w:type="dxa"/>
              <w:bottom w:w="0" w:type="dxa"/>
              <w:right w:w="0" w:type="dxa"/>
            </w:tcMar>
            <w:vAlign w:val="bottom"/>
          </w:tcPr>
          <w:p w14:paraId="5772204B" w14:textId="77777777" w:rsidR="001614AC" w:rsidRDefault="001614AC"/>
        </w:tc>
      </w:tr>
      <w:tr w:rsidR="001614AC" w14:paraId="02201773" w14:textId="77777777">
        <w:trPr>
          <w:cantSplit/>
        </w:trPr>
        <w:tc>
          <w:tcPr>
            <w:tcW w:w="7950" w:type="dxa"/>
            <w:tcBorders>
              <w:top w:val="single" w:sz="8" w:space="0" w:color="C7C9C7"/>
              <w:left w:val="nil"/>
              <w:bottom w:val="single" w:sz="8" w:space="0" w:color="F4F4F4"/>
              <w:right w:val="nil"/>
            </w:tcBorders>
            <w:tcMar>
              <w:top w:w="0" w:type="dxa"/>
              <w:left w:w="53" w:type="dxa"/>
              <w:bottom w:w="0" w:type="dxa"/>
              <w:right w:w="53" w:type="dxa"/>
            </w:tcMar>
            <w:vAlign w:val="bottom"/>
          </w:tcPr>
          <w:p w14:paraId="54AB882A" w14:textId="77777777" w:rsidR="001614AC" w:rsidRDefault="004468F9">
            <w:pPr>
              <w:spacing w:before="55" w:after="30" w:line="288" w:lineRule="auto"/>
            </w:pPr>
            <w:r>
              <w:rPr>
                <w:rFonts w:ascii="Arial" w:eastAsia="Arial" w:hAnsi="Arial" w:cs="Arial"/>
                <w:color w:val="000000"/>
                <w:sz w:val="18"/>
              </w:rPr>
              <w:t>Dividends and dividend equivalents paid</w:t>
            </w:r>
          </w:p>
        </w:tc>
        <w:tc>
          <w:tcPr>
            <w:tcW w:w="105" w:type="dxa"/>
            <w:tcBorders>
              <w:top w:val="single" w:sz="8" w:space="0" w:color="C7C9C7"/>
              <w:left w:val="nil"/>
              <w:bottom w:val="nil"/>
              <w:right w:val="nil"/>
            </w:tcBorders>
            <w:tcMar>
              <w:top w:w="0" w:type="dxa"/>
              <w:left w:w="0" w:type="dxa"/>
              <w:bottom w:w="0" w:type="dxa"/>
              <w:right w:w="0" w:type="dxa"/>
            </w:tcMar>
            <w:vAlign w:val="bottom"/>
          </w:tcPr>
          <w:p w14:paraId="5393A825" w14:textId="77777777" w:rsidR="001614AC" w:rsidRDefault="001614AC"/>
        </w:tc>
        <w:tc>
          <w:tcPr>
            <w:tcW w:w="815" w:type="dxa"/>
            <w:gridSpan w:val="2"/>
            <w:tcBorders>
              <w:top w:val="single" w:sz="8" w:space="0" w:color="C7C9C7"/>
              <w:left w:val="nil"/>
              <w:bottom w:val="single" w:sz="8" w:space="0" w:color="F4F4F4"/>
              <w:right w:val="nil"/>
            </w:tcBorders>
            <w:tcMar>
              <w:top w:w="0" w:type="dxa"/>
              <w:left w:w="53" w:type="dxa"/>
              <w:bottom w:w="0" w:type="dxa"/>
              <w:right w:w="0" w:type="dxa"/>
            </w:tcMar>
            <w:vAlign w:val="bottom"/>
          </w:tcPr>
          <w:p w14:paraId="62A67B11" w14:textId="77777777" w:rsidR="001614AC" w:rsidRDefault="004468F9">
            <w:pPr>
              <w:spacing w:before="55" w:after="30" w:line="288" w:lineRule="auto"/>
              <w:jc w:val="right"/>
            </w:pPr>
            <w:r>
              <w:rPr>
                <w:rFonts w:ascii="Arial" w:eastAsia="Arial" w:hAnsi="Arial" w:cs="Arial"/>
                <w:color w:val="000000"/>
                <w:sz w:val="18"/>
              </w:rPr>
              <w:t>(52,036)</w:t>
            </w:r>
          </w:p>
        </w:tc>
        <w:tc>
          <w:tcPr>
            <w:tcW w:w="100" w:type="dxa"/>
            <w:tcBorders>
              <w:top w:val="single" w:sz="8" w:space="0" w:color="C7C9C7"/>
              <w:left w:val="nil"/>
              <w:bottom w:val="single" w:sz="8" w:space="0" w:color="F4F4F4"/>
              <w:right w:val="nil"/>
            </w:tcBorders>
            <w:tcMar>
              <w:top w:w="0" w:type="dxa"/>
              <w:left w:w="0" w:type="dxa"/>
              <w:bottom w:w="0" w:type="dxa"/>
              <w:right w:w="15" w:type="dxa"/>
            </w:tcMar>
            <w:vAlign w:val="bottom"/>
          </w:tcPr>
          <w:p w14:paraId="27CC1D09" w14:textId="77777777" w:rsidR="001614AC" w:rsidRDefault="001614AC">
            <w:pPr>
              <w:spacing w:before="55" w:after="30" w:line="288" w:lineRule="auto"/>
              <w:jc w:val="right"/>
            </w:pPr>
          </w:p>
        </w:tc>
        <w:tc>
          <w:tcPr>
            <w:tcW w:w="105" w:type="dxa"/>
            <w:tcBorders>
              <w:top w:val="single" w:sz="8" w:space="0" w:color="C7C9C7"/>
              <w:left w:val="nil"/>
              <w:bottom w:val="nil"/>
              <w:right w:val="nil"/>
            </w:tcBorders>
            <w:tcMar>
              <w:top w:w="0" w:type="dxa"/>
              <w:left w:w="0" w:type="dxa"/>
              <w:bottom w:w="0" w:type="dxa"/>
              <w:right w:w="0" w:type="dxa"/>
            </w:tcMar>
            <w:vAlign w:val="bottom"/>
          </w:tcPr>
          <w:p w14:paraId="5C829E49" w14:textId="77777777" w:rsidR="001614AC" w:rsidRDefault="001614AC"/>
        </w:tc>
        <w:tc>
          <w:tcPr>
            <w:tcW w:w="905" w:type="dxa"/>
            <w:gridSpan w:val="2"/>
            <w:tcBorders>
              <w:top w:val="single" w:sz="8" w:space="0" w:color="C7C9C7"/>
              <w:left w:val="nil"/>
              <w:bottom w:val="single" w:sz="8" w:space="0" w:color="F4F4F4"/>
              <w:right w:val="nil"/>
            </w:tcBorders>
            <w:tcMar>
              <w:top w:w="0" w:type="dxa"/>
              <w:left w:w="53" w:type="dxa"/>
              <w:bottom w:w="0" w:type="dxa"/>
              <w:right w:w="0" w:type="dxa"/>
            </w:tcMar>
            <w:vAlign w:val="bottom"/>
          </w:tcPr>
          <w:p w14:paraId="19FF4351" w14:textId="77777777" w:rsidR="001614AC" w:rsidRDefault="004468F9">
            <w:pPr>
              <w:spacing w:before="55" w:after="30" w:line="288" w:lineRule="auto"/>
              <w:jc w:val="right"/>
            </w:pPr>
            <w:r>
              <w:rPr>
                <w:rFonts w:ascii="Arial" w:eastAsia="Arial" w:hAnsi="Arial" w:cs="Arial"/>
                <w:color w:val="000000"/>
                <w:sz w:val="18"/>
              </w:rPr>
              <w:t>(49,301)</w:t>
            </w:r>
          </w:p>
        </w:tc>
        <w:tc>
          <w:tcPr>
            <w:tcW w:w="100" w:type="dxa"/>
            <w:tcBorders>
              <w:top w:val="single" w:sz="8" w:space="0" w:color="C7C9C7"/>
              <w:left w:val="nil"/>
              <w:bottom w:val="single" w:sz="8" w:space="0" w:color="F4F4F4"/>
              <w:right w:val="nil"/>
            </w:tcBorders>
            <w:tcMar>
              <w:top w:w="0" w:type="dxa"/>
              <w:left w:w="0" w:type="dxa"/>
              <w:bottom w:w="0" w:type="dxa"/>
              <w:right w:w="15" w:type="dxa"/>
            </w:tcMar>
            <w:vAlign w:val="bottom"/>
          </w:tcPr>
          <w:p w14:paraId="70C64A5F" w14:textId="77777777" w:rsidR="001614AC" w:rsidRDefault="001614AC">
            <w:pPr>
              <w:spacing w:before="55" w:after="30" w:line="288" w:lineRule="auto"/>
              <w:jc w:val="right"/>
            </w:pPr>
          </w:p>
        </w:tc>
      </w:tr>
      <w:tr w:rsidR="001614AC" w14:paraId="65A25173" w14:textId="77777777">
        <w:trPr>
          <w:cantSplit/>
        </w:trPr>
        <w:tc>
          <w:tcPr>
            <w:tcW w:w="7950" w:type="dxa"/>
            <w:tcBorders>
              <w:top w:val="single" w:sz="8" w:space="0" w:color="F4F4F4"/>
              <w:left w:val="nil"/>
              <w:bottom w:val="nil"/>
              <w:right w:val="nil"/>
            </w:tcBorders>
            <w:tcMar>
              <w:top w:w="0" w:type="dxa"/>
              <w:left w:w="53" w:type="dxa"/>
              <w:bottom w:w="0" w:type="dxa"/>
              <w:right w:w="53" w:type="dxa"/>
            </w:tcMar>
            <w:vAlign w:val="bottom"/>
          </w:tcPr>
          <w:p w14:paraId="243050D9" w14:textId="77777777" w:rsidR="001614AC" w:rsidRDefault="004468F9">
            <w:pPr>
              <w:spacing w:before="55" w:after="30" w:line="288" w:lineRule="auto"/>
            </w:pPr>
            <w:r>
              <w:rPr>
                <w:rFonts w:ascii="Arial" w:eastAsia="Arial" w:hAnsi="Arial" w:cs="Arial"/>
                <w:color w:val="000000"/>
                <w:sz w:val="18"/>
              </w:rPr>
              <w:t>Issuance of senior notes, net</w:t>
            </w:r>
          </w:p>
        </w:tc>
        <w:tc>
          <w:tcPr>
            <w:tcW w:w="105" w:type="dxa"/>
            <w:tcBorders>
              <w:top w:val="nil"/>
              <w:left w:val="nil"/>
              <w:bottom w:val="nil"/>
              <w:right w:val="nil"/>
            </w:tcBorders>
            <w:tcMar>
              <w:top w:w="0" w:type="dxa"/>
              <w:left w:w="0" w:type="dxa"/>
              <w:bottom w:w="0" w:type="dxa"/>
              <w:right w:w="0" w:type="dxa"/>
            </w:tcMar>
            <w:vAlign w:val="bottom"/>
          </w:tcPr>
          <w:p w14:paraId="6C9A65E8" w14:textId="77777777" w:rsidR="001614AC" w:rsidRDefault="001614AC"/>
        </w:tc>
        <w:tc>
          <w:tcPr>
            <w:tcW w:w="815" w:type="dxa"/>
            <w:gridSpan w:val="2"/>
            <w:tcBorders>
              <w:top w:val="single" w:sz="8" w:space="0" w:color="F4F4F4"/>
              <w:left w:val="nil"/>
              <w:bottom w:val="nil"/>
              <w:right w:val="nil"/>
            </w:tcBorders>
            <w:tcMar>
              <w:top w:w="0" w:type="dxa"/>
              <w:left w:w="53" w:type="dxa"/>
              <w:bottom w:w="0" w:type="dxa"/>
              <w:right w:w="0" w:type="dxa"/>
            </w:tcMar>
            <w:vAlign w:val="bottom"/>
          </w:tcPr>
          <w:p w14:paraId="7A445449" w14:textId="77777777" w:rsidR="001614AC" w:rsidRDefault="004468F9">
            <w:pPr>
              <w:spacing w:before="55" w:after="30" w:line="288" w:lineRule="auto"/>
              <w:jc w:val="right"/>
            </w:pPr>
            <w:r>
              <w:rPr>
                <w:rFonts w:ascii="Arial" w:eastAsia="Arial" w:hAnsi="Arial" w:cs="Arial"/>
                <w:color w:val="000000"/>
                <w:sz w:val="18"/>
              </w:rPr>
              <w:t>— </w:t>
            </w:r>
          </w:p>
        </w:tc>
        <w:tc>
          <w:tcPr>
            <w:tcW w:w="100" w:type="dxa"/>
            <w:tcBorders>
              <w:top w:val="single" w:sz="8" w:space="0" w:color="F4F4F4"/>
              <w:left w:val="nil"/>
              <w:bottom w:val="nil"/>
              <w:right w:val="nil"/>
            </w:tcBorders>
            <w:tcMar>
              <w:top w:w="0" w:type="dxa"/>
              <w:left w:w="0" w:type="dxa"/>
              <w:bottom w:w="0" w:type="dxa"/>
              <w:right w:w="15" w:type="dxa"/>
            </w:tcMar>
            <w:vAlign w:val="bottom"/>
          </w:tcPr>
          <w:p w14:paraId="2A628103" w14:textId="77777777" w:rsidR="001614AC" w:rsidRDefault="001614AC">
            <w:pPr>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1FFC19BF" w14:textId="77777777" w:rsidR="001614AC" w:rsidRDefault="001614AC"/>
        </w:tc>
        <w:tc>
          <w:tcPr>
            <w:tcW w:w="905" w:type="dxa"/>
            <w:gridSpan w:val="2"/>
            <w:tcBorders>
              <w:top w:val="single" w:sz="8" w:space="0" w:color="F4F4F4"/>
              <w:left w:val="nil"/>
              <w:bottom w:val="nil"/>
              <w:right w:val="nil"/>
            </w:tcBorders>
            <w:tcMar>
              <w:top w:w="0" w:type="dxa"/>
              <w:left w:w="53" w:type="dxa"/>
              <w:bottom w:w="0" w:type="dxa"/>
              <w:right w:w="0" w:type="dxa"/>
            </w:tcMar>
            <w:vAlign w:val="bottom"/>
          </w:tcPr>
          <w:p w14:paraId="25747D12" w14:textId="77777777" w:rsidR="001614AC" w:rsidRDefault="004468F9">
            <w:pPr>
              <w:spacing w:before="55" w:after="30" w:line="288" w:lineRule="auto"/>
              <w:jc w:val="right"/>
            </w:pPr>
            <w:r>
              <w:rPr>
                <w:rFonts w:ascii="Arial" w:eastAsia="Arial" w:hAnsi="Arial" w:cs="Arial"/>
                <w:color w:val="000000"/>
                <w:sz w:val="18"/>
              </w:rPr>
              <w:t>516,083 </w:t>
            </w:r>
          </w:p>
        </w:tc>
        <w:tc>
          <w:tcPr>
            <w:tcW w:w="100" w:type="dxa"/>
            <w:tcBorders>
              <w:top w:val="single" w:sz="8" w:space="0" w:color="F4F4F4"/>
              <w:left w:val="nil"/>
              <w:bottom w:val="nil"/>
              <w:right w:val="nil"/>
            </w:tcBorders>
            <w:tcMar>
              <w:top w:w="0" w:type="dxa"/>
              <w:left w:w="0" w:type="dxa"/>
              <w:bottom w:w="0" w:type="dxa"/>
              <w:right w:w="15" w:type="dxa"/>
            </w:tcMar>
            <w:vAlign w:val="bottom"/>
          </w:tcPr>
          <w:p w14:paraId="00EED65D" w14:textId="77777777" w:rsidR="001614AC" w:rsidRDefault="001614AC">
            <w:pPr>
              <w:spacing w:before="55" w:after="30" w:line="288" w:lineRule="auto"/>
              <w:jc w:val="right"/>
            </w:pPr>
          </w:p>
        </w:tc>
      </w:tr>
      <w:tr w:rsidR="001614AC" w14:paraId="7828C0AF" w14:textId="77777777">
        <w:trPr>
          <w:cantSplit/>
        </w:trPr>
        <w:tc>
          <w:tcPr>
            <w:tcW w:w="7950" w:type="dxa"/>
            <w:tcBorders>
              <w:top w:val="single" w:sz="8" w:space="0" w:color="F4F4F4"/>
              <w:left w:val="nil"/>
              <w:bottom w:val="single" w:sz="8" w:space="0" w:color="F4F4F4"/>
              <w:right w:val="nil"/>
            </w:tcBorders>
            <w:tcMar>
              <w:top w:w="0" w:type="dxa"/>
              <w:left w:w="53" w:type="dxa"/>
              <w:bottom w:w="0" w:type="dxa"/>
              <w:right w:w="53" w:type="dxa"/>
            </w:tcMar>
            <w:vAlign w:val="bottom"/>
          </w:tcPr>
          <w:p w14:paraId="1F1B944E" w14:textId="77777777" w:rsidR="001614AC" w:rsidRDefault="004468F9">
            <w:pPr>
              <w:spacing w:before="55" w:after="30" w:line="288" w:lineRule="auto"/>
            </w:pPr>
            <w:r>
              <w:rPr>
                <w:rFonts w:ascii="Arial" w:eastAsia="Arial" w:hAnsi="Arial" w:cs="Arial"/>
                <w:color w:val="000000"/>
                <w:sz w:val="18"/>
              </w:rPr>
              <w:t>Issuance of common stock</w:t>
            </w:r>
          </w:p>
        </w:tc>
        <w:tc>
          <w:tcPr>
            <w:tcW w:w="105" w:type="dxa"/>
            <w:tcBorders>
              <w:top w:val="nil"/>
              <w:left w:val="nil"/>
              <w:bottom w:val="nil"/>
              <w:right w:val="nil"/>
            </w:tcBorders>
            <w:tcMar>
              <w:top w:w="0" w:type="dxa"/>
              <w:left w:w="0" w:type="dxa"/>
              <w:bottom w:w="0" w:type="dxa"/>
              <w:right w:w="0" w:type="dxa"/>
            </w:tcMar>
            <w:vAlign w:val="bottom"/>
          </w:tcPr>
          <w:p w14:paraId="00152605" w14:textId="77777777" w:rsidR="001614AC" w:rsidRDefault="001614AC"/>
        </w:tc>
        <w:tc>
          <w:tcPr>
            <w:tcW w:w="815"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46602B57" w14:textId="77777777" w:rsidR="001614AC" w:rsidRDefault="004468F9">
            <w:pPr>
              <w:spacing w:before="55" w:after="30" w:line="288" w:lineRule="auto"/>
              <w:jc w:val="right"/>
            </w:pPr>
            <w:r>
              <w:rPr>
                <w:rFonts w:ascii="Arial" w:eastAsia="Arial" w:hAnsi="Arial" w:cs="Arial"/>
                <w:color w:val="000000"/>
                <w:sz w:val="18"/>
              </w:rPr>
              <w:t>1,112 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726B71CF" w14:textId="77777777" w:rsidR="001614AC" w:rsidRDefault="001614AC">
            <w:pPr>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1EFA0B70" w14:textId="77777777" w:rsidR="001614AC" w:rsidRDefault="001614AC"/>
        </w:tc>
        <w:tc>
          <w:tcPr>
            <w:tcW w:w="905"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79957744" w14:textId="77777777" w:rsidR="001614AC" w:rsidRDefault="004468F9">
            <w:pPr>
              <w:spacing w:before="55" w:after="30" w:line="288" w:lineRule="auto"/>
              <w:jc w:val="right"/>
            </w:pPr>
            <w:r>
              <w:rPr>
                <w:rFonts w:ascii="Arial" w:eastAsia="Arial" w:hAnsi="Arial" w:cs="Arial"/>
                <w:color w:val="000000"/>
                <w:sz w:val="18"/>
              </w:rPr>
              <w:t>1,480 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760D52A7" w14:textId="77777777" w:rsidR="001614AC" w:rsidRDefault="001614AC">
            <w:pPr>
              <w:spacing w:before="55" w:after="30" w:line="288" w:lineRule="auto"/>
              <w:jc w:val="right"/>
            </w:pPr>
          </w:p>
        </w:tc>
      </w:tr>
      <w:tr w:rsidR="001614AC" w14:paraId="300A53F0" w14:textId="77777777">
        <w:trPr>
          <w:cantSplit/>
        </w:trPr>
        <w:tc>
          <w:tcPr>
            <w:tcW w:w="7950" w:type="dxa"/>
            <w:tcBorders>
              <w:top w:val="single" w:sz="8" w:space="0" w:color="F4F4F4"/>
              <w:left w:val="nil"/>
              <w:bottom w:val="single" w:sz="8" w:space="0" w:color="F4F4F4"/>
              <w:right w:val="nil"/>
            </w:tcBorders>
            <w:tcMar>
              <w:top w:w="0" w:type="dxa"/>
              <w:left w:w="53" w:type="dxa"/>
              <w:bottom w:w="0" w:type="dxa"/>
              <w:right w:w="53" w:type="dxa"/>
            </w:tcMar>
            <w:vAlign w:val="bottom"/>
          </w:tcPr>
          <w:p w14:paraId="4E74E8B1" w14:textId="77777777" w:rsidR="001614AC" w:rsidRDefault="004468F9">
            <w:pPr>
              <w:spacing w:before="55" w:after="30" w:line="288" w:lineRule="auto"/>
            </w:pPr>
            <w:r>
              <w:rPr>
                <w:rFonts w:ascii="Arial" w:eastAsia="Arial" w:hAnsi="Arial" w:cs="Arial"/>
                <w:color w:val="000000"/>
                <w:sz w:val="18"/>
              </w:rPr>
              <w:t xml:space="preserve">Repurchases of </w:t>
            </w:r>
            <w:r>
              <w:rPr>
                <w:rFonts w:ascii="Arial" w:eastAsia="Arial" w:hAnsi="Arial" w:cs="Arial"/>
                <w:color w:val="000000"/>
                <w:sz w:val="18"/>
              </w:rPr>
              <w:t>common shares</w:t>
            </w:r>
          </w:p>
        </w:tc>
        <w:tc>
          <w:tcPr>
            <w:tcW w:w="105" w:type="dxa"/>
            <w:tcBorders>
              <w:top w:val="nil"/>
              <w:left w:val="nil"/>
              <w:bottom w:val="nil"/>
              <w:right w:val="nil"/>
            </w:tcBorders>
            <w:tcMar>
              <w:top w:w="0" w:type="dxa"/>
              <w:left w:w="0" w:type="dxa"/>
              <w:bottom w:w="0" w:type="dxa"/>
              <w:right w:w="0" w:type="dxa"/>
            </w:tcMar>
            <w:vAlign w:val="bottom"/>
          </w:tcPr>
          <w:p w14:paraId="760FB686" w14:textId="77777777" w:rsidR="001614AC" w:rsidRDefault="001614AC"/>
        </w:tc>
        <w:tc>
          <w:tcPr>
            <w:tcW w:w="815"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53DA25EB" w14:textId="77777777" w:rsidR="001614AC" w:rsidRDefault="004468F9">
            <w:pPr>
              <w:spacing w:before="55" w:after="30" w:line="288" w:lineRule="auto"/>
              <w:jc w:val="right"/>
            </w:pPr>
            <w:r>
              <w:rPr>
                <w:rFonts w:ascii="Arial" w:eastAsia="Arial" w:hAnsi="Arial" w:cs="Arial"/>
                <w:color w:val="000000"/>
                <w:sz w:val="18"/>
              </w:rPr>
              <w:t>(98,695)</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72ED904B" w14:textId="77777777" w:rsidR="001614AC" w:rsidRDefault="001614AC">
            <w:pPr>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1EC58AFA" w14:textId="77777777" w:rsidR="001614AC" w:rsidRDefault="001614AC"/>
        </w:tc>
        <w:tc>
          <w:tcPr>
            <w:tcW w:w="905"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1B716ADF" w14:textId="77777777" w:rsidR="001614AC" w:rsidRDefault="004468F9">
            <w:pPr>
              <w:spacing w:before="55" w:after="30" w:line="288" w:lineRule="auto"/>
              <w:jc w:val="right"/>
            </w:pPr>
            <w:r>
              <w:rPr>
                <w:rFonts w:ascii="Arial" w:eastAsia="Arial" w:hAnsi="Arial" w:cs="Arial"/>
                <w:color w:val="000000"/>
                <w:sz w:val="18"/>
              </w:rPr>
              <w:t>(226,305)</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691D9C84" w14:textId="77777777" w:rsidR="001614AC" w:rsidRDefault="001614AC">
            <w:pPr>
              <w:spacing w:before="55" w:after="30" w:line="288" w:lineRule="auto"/>
              <w:jc w:val="right"/>
            </w:pPr>
          </w:p>
        </w:tc>
      </w:tr>
      <w:tr w:rsidR="001614AC" w14:paraId="51BF4340" w14:textId="77777777">
        <w:trPr>
          <w:cantSplit/>
        </w:trPr>
        <w:tc>
          <w:tcPr>
            <w:tcW w:w="7950" w:type="dxa"/>
            <w:tcBorders>
              <w:top w:val="single" w:sz="8" w:space="0" w:color="F4F4F4"/>
              <w:left w:val="nil"/>
              <w:bottom w:val="single" w:sz="8" w:space="0" w:color="F4F4F4"/>
              <w:right w:val="nil"/>
            </w:tcBorders>
            <w:tcMar>
              <w:top w:w="0" w:type="dxa"/>
              <w:left w:w="53" w:type="dxa"/>
              <w:bottom w:w="0" w:type="dxa"/>
              <w:right w:w="53" w:type="dxa"/>
            </w:tcMar>
            <w:vAlign w:val="bottom"/>
          </w:tcPr>
          <w:p w14:paraId="1742EBD1" w14:textId="77777777" w:rsidR="001614AC" w:rsidRDefault="004468F9">
            <w:pPr>
              <w:spacing w:before="55" w:after="30" w:line="288" w:lineRule="auto"/>
            </w:pPr>
            <w:r>
              <w:rPr>
                <w:rFonts w:ascii="Arial" w:eastAsia="Arial" w:hAnsi="Arial" w:cs="Arial"/>
                <w:color w:val="000000"/>
                <w:sz w:val="18"/>
              </w:rPr>
              <w:t>Credit facility commitment fees paid</w:t>
            </w:r>
          </w:p>
        </w:tc>
        <w:tc>
          <w:tcPr>
            <w:tcW w:w="105" w:type="dxa"/>
            <w:tcBorders>
              <w:top w:val="nil"/>
              <w:left w:val="nil"/>
              <w:bottom w:val="nil"/>
              <w:right w:val="nil"/>
            </w:tcBorders>
            <w:tcMar>
              <w:top w:w="0" w:type="dxa"/>
              <w:left w:w="0" w:type="dxa"/>
              <w:bottom w:w="0" w:type="dxa"/>
              <w:right w:w="0" w:type="dxa"/>
            </w:tcMar>
            <w:vAlign w:val="bottom"/>
          </w:tcPr>
          <w:p w14:paraId="7D5D6B4B" w14:textId="77777777" w:rsidR="001614AC" w:rsidRDefault="001614AC"/>
        </w:tc>
        <w:tc>
          <w:tcPr>
            <w:tcW w:w="815"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03EA0932" w14:textId="77777777" w:rsidR="001614AC" w:rsidRDefault="004468F9">
            <w:pPr>
              <w:spacing w:before="55" w:after="30" w:line="288" w:lineRule="auto"/>
              <w:jc w:val="right"/>
            </w:pPr>
            <w:r>
              <w:rPr>
                <w:rFonts w:ascii="Arial" w:eastAsia="Arial" w:hAnsi="Arial" w:cs="Arial"/>
                <w:color w:val="000000"/>
                <w:sz w:val="18"/>
              </w:rPr>
              <w:t>(471)</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446F7AD6" w14:textId="77777777" w:rsidR="001614AC" w:rsidRDefault="001614AC">
            <w:pPr>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03C83C03" w14:textId="77777777" w:rsidR="001614AC" w:rsidRDefault="001614AC"/>
        </w:tc>
        <w:tc>
          <w:tcPr>
            <w:tcW w:w="905"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33B2F185" w14:textId="77777777" w:rsidR="001614AC" w:rsidRDefault="004468F9">
            <w:pPr>
              <w:spacing w:before="55" w:after="30" w:line="288" w:lineRule="auto"/>
              <w:jc w:val="right"/>
            </w:pPr>
            <w:r>
              <w:rPr>
                <w:rFonts w:ascii="Arial" w:eastAsia="Arial" w:hAnsi="Arial" w:cs="Arial"/>
                <w:color w:val="000000"/>
                <w:sz w:val="18"/>
              </w:rPr>
              <w:t>(1,754)</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72E83828" w14:textId="77777777" w:rsidR="001614AC" w:rsidRDefault="001614AC">
            <w:pPr>
              <w:spacing w:before="55" w:after="30" w:line="288" w:lineRule="auto"/>
              <w:jc w:val="right"/>
            </w:pPr>
          </w:p>
        </w:tc>
      </w:tr>
      <w:tr w:rsidR="001614AC" w14:paraId="2EE7A40A" w14:textId="77777777">
        <w:trPr>
          <w:cantSplit/>
        </w:trPr>
        <w:tc>
          <w:tcPr>
            <w:tcW w:w="7950" w:type="dxa"/>
            <w:tcBorders>
              <w:top w:val="single" w:sz="8" w:space="0" w:color="F4F4F4"/>
              <w:left w:val="nil"/>
              <w:bottom w:val="single" w:sz="8" w:space="0" w:color="F4F4F4"/>
              <w:right w:val="nil"/>
            </w:tcBorders>
            <w:tcMar>
              <w:top w:w="0" w:type="dxa"/>
              <w:left w:w="53" w:type="dxa"/>
              <w:bottom w:w="0" w:type="dxa"/>
              <w:right w:w="53" w:type="dxa"/>
            </w:tcMar>
            <w:vAlign w:val="bottom"/>
          </w:tcPr>
          <w:p w14:paraId="3183DDAB" w14:textId="77777777" w:rsidR="001614AC" w:rsidRDefault="004468F9">
            <w:pPr>
              <w:spacing w:before="55" w:after="30" w:line="288" w:lineRule="auto"/>
            </w:pPr>
            <w:r>
              <w:rPr>
                <w:rFonts w:ascii="Arial" w:eastAsia="Arial" w:hAnsi="Arial" w:cs="Arial"/>
                <w:color w:val="000000"/>
                <w:sz w:val="18"/>
              </w:rPr>
              <w:t>Change in secured borrowings, net (with terms three months or less)</w:t>
            </w:r>
          </w:p>
        </w:tc>
        <w:tc>
          <w:tcPr>
            <w:tcW w:w="105" w:type="dxa"/>
            <w:tcBorders>
              <w:top w:val="nil"/>
              <w:left w:val="nil"/>
              <w:bottom w:val="nil"/>
              <w:right w:val="nil"/>
            </w:tcBorders>
            <w:tcMar>
              <w:top w:w="0" w:type="dxa"/>
              <w:left w:w="0" w:type="dxa"/>
              <w:bottom w:w="0" w:type="dxa"/>
              <w:right w:w="0" w:type="dxa"/>
            </w:tcMar>
            <w:vAlign w:val="bottom"/>
          </w:tcPr>
          <w:p w14:paraId="2ADBC6C8" w14:textId="77777777" w:rsidR="001614AC" w:rsidRDefault="001614AC"/>
        </w:tc>
        <w:tc>
          <w:tcPr>
            <w:tcW w:w="815"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4C65C271" w14:textId="77777777" w:rsidR="001614AC" w:rsidRDefault="004468F9">
            <w:pPr>
              <w:spacing w:before="55" w:after="30" w:line="288" w:lineRule="auto"/>
              <w:jc w:val="right"/>
            </w:pPr>
            <w:r>
              <w:rPr>
                <w:rFonts w:ascii="Arial" w:eastAsia="Arial" w:hAnsi="Arial" w:cs="Arial"/>
                <w:color w:val="000000"/>
                <w:sz w:val="18"/>
              </w:rPr>
              <w:t>4,348 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76E15671" w14:textId="77777777" w:rsidR="001614AC" w:rsidRDefault="001614AC">
            <w:pPr>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3DBE34BF" w14:textId="77777777" w:rsidR="001614AC" w:rsidRDefault="001614AC"/>
        </w:tc>
        <w:tc>
          <w:tcPr>
            <w:tcW w:w="905"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44FA5B6D" w14:textId="77777777" w:rsidR="001614AC" w:rsidRDefault="004468F9">
            <w:pPr>
              <w:spacing w:before="55" w:after="30" w:line="288" w:lineRule="auto"/>
              <w:jc w:val="right"/>
            </w:pPr>
            <w:r>
              <w:rPr>
                <w:rFonts w:ascii="Arial" w:eastAsia="Arial" w:hAnsi="Arial" w:cs="Arial"/>
                <w:color w:val="000000"/>
                <w:sz w:val="18"/>
              </w:rPr>
              <w:t>(17,535)</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53924ED8" w14:textId="77777777" w:rsidR="001614AC" w:rsidRDefault="001614AC">
            <w:pPr>
              <w:spacing w:before="55" w:after="30" w:line="288" w:lineRule="auto"/>
              <w:jc w:val="right"/>
            </w:pPr>
          </w:p>
        </w:tc>
      </w:tr>
      <w:tr w:rsidR="001614AC" w14:paraId="71713D7A" w14:textId="77777777">
        <w:trPr>
          <w:cantSplit/>
        </w:trPr>
        <w:tc>
          <w:tcPr>
            <w:tcW w:w="7950" w:type="dxa"/>
            <w:tcBorders>
              <w:top w:val="single" w:sz="8" w:space="0" w:color="F4F4F4"/>
              <w:left w:val="nil"/>
              <w:bottom w:val="single" w:sz="8" w:space="0" w:color="F4F4F4"/>
              <w:right w:val="nil"/>
            </w:tcBorders>
            <w:tcMar>
              <w:top w:w="0" w:type="dxa"/>
              <w:left w:w="53" w:type="dxa"/>
              <w:bottom w:w="0" w:type="dxa"/>
              <w:right w:w="53" w:type="dxa"/>
            </w:tcMar>
            <w:vAlign w:val="bottom"/>
          </w:tcPr>
          <w:p w14:paraId="078CD8DF" w14:textId="77777777" w:rsidR="001614AC" w:rsidRDefault="004468F9">
            <w:pPr>
              <w:spacing w:before="55" w:after="30" w:line="288" w:lineRule="auto"/>
            </w:pPr>
            <w:r>
              <w:rPr>
                <w:rFonts w:ascii="Arial" w:eastAsia="Arial" w:hAnsi="Arial" w:cs="Arial"/>
                <w:color w:val="000000"/>
                <w:sz w:val="18"/>
              </w:rPr>
              <w:t xml:space="preserve">Proceeds from secured borrowings (with terms greater than three </w:t>
            </w:r>
            <w:r>
              <w:rPr>
                <w:rFonts w:ascii="Arial" w:eastAsia="Arial" w:hAnsi="Arial" w:cs="Arial"/>
                <w:color w:val="000000"/>
                <w:sz w:val="18"/>
              </w:rPr>
              <w:t>months)</w:t>
            </w:r>
          </w:p>
        </w:tc>
        <w:tc>
          <w:tcPr>
            <w:tcW w:w="105" w:type="dxa"/>
            <w:tcBorders>
              <w:top w:val="nil"/>
              <w:left w:val="nil"/>
              <w:bottom w:val="nil"/>
              <w:right w:val="nil"/>
            </w:tcBorders>
            <w:tcMar>
              <w:top w:w="0" w:type="dxa"/>
              <w:left w:w="0" w:type="dxa"/>
              <w:bottom w:w="0" w:type="dxa"/>
              <w:right w:w="0" w:type="dxa"/>
            </w:tcMar>
            <w:vAlign w:val="bottom"/>
          </w:tcPr>
          <w:p w14:paraId="41689032" w14:textId="77777777" w:rsidR="001614AC" w:rsidRDefault="001614AC"/>
        </w:tc>
        <w:tc>
          <w:tcPr>
            <w:tcW w:w="815"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637095F2" w14:textId="77777777" w:rsidR="001614AC" w:rsidRDefault="004468F9">
            <w:pPr>
              <w:spacing w:before="55" w:after="30" w:line="288" w:lineRule="auto"/>
              <w:jc w:val="right"/>
            </w:pPr>
            <w:r>
              <w:rPr>
                <w:rFonts w:ascii="Arial" w:eastAsia="Arial" w:hAnsi="Arial" w:cs="Arial"/>
                <w:color w:val="000000"/>
                <w:sz w:val="18"/>
              </w:rPr>
              <w:t>32,000 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71353F33" w14:textId="77777777" w:rsidR="001614AC" w:rsidRDefault="001614AC">
            <w:pPr>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22C68303" w14:textId="77777777" w:rsidR="001614AC" w:rsidRDefault="001614AC"/>
        </w:tc>
        <w:tc>
          <w:tcPr>
            <w:tcW w:w="905"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349CCAC1" w14:textId="77777777" w:rsidR="001614AC" w:rsidRDefault="004468F9">
            <w:pPr>
              <w:spacing w:before="55" w:after="30" w:line="288" w:lineRule="auto"/>
              <w:jc w:val="right"/>
            </w:pPr>
            <w:r>
              <w:rPr>
                <w:rFonts w:ascii="Arial" w:eastAsia="Arial" w:hAnsi="Arial" w:cs="Arial"/>
                <w:color w:val="000000"/>
                <w:sz w:val="18"/>
              </w:rPr>
              <w:t>106,960 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7E1B1E95" w14:textId="77777777" w:rsidR="001614AC" w:rsidRDefault="001614AC">
            <w:pPr>
              <w:spacing w:before="55" w:after="30" w:line="288" w:lineRule="auto"/>
              <w:jc w:val="right"/>
            </w:pPr>
          </w:p>
        </w:tc>
      </w:tr>
      <w:tr w:rsidR="001614AC" w14:paraId="27674C78" w14:textId="77777777">
        <w:trPr>
          <w:cantSplit/>
          <w:trHeight w:hRule="exact" w:val="285"/>
        </w:trPr>
        <w:tc>
          <w:tcPr>
            <w:tcW w:w="7950" w:type="dxa"/>
            <w:tcBorders>
              <w:top w:val="single" w:sz="8" w:space="0" w:color="F4F4F4"/>
              <w:left w:val="nil"/>
              <w:bottom w:val="single" w:sz="8" w:space="0" w:color="F4F4F4"/>
              <w:right w:val="nil"/>
            </w:tcBorders>
            <w:tcMar>
              <w:top w:w="0" w:type="dxa"/>
              <w:left w:w="53" w:type="dxa"/>
              <w:bottom w:w="0" w:type="dxa"/>
              <w:right w:w="53" w:type="dxa"/>
            </w:tcMar>
            <w:vAlign w:val="bottom"/>
          </w:tcPr>
          <w:p w14:paraId="20505B32" w14:textId="77777777" w:rsidR="001614AC" w:rsidRDefault="004468F9">
            <w:pPr>
              <w:spacing w:before="55" w:after="30" w:line="288" w:lineRule="auto"/>
            </w:pPr>
            <w:r>
              <w:rPr>
                <w:rFonts w:ascii="Arial" w:eastAsia="Arial" w:hAnsi="Arial" w:cs="Arial"/>
                <w:color w:val="000000"/>
                <w:sz w:val="18"/>
              </w:rPr>
              <w:t>Repayments of secured borrowings (with terms greater than three months)</w:t>
            </w:r>
          </w:p>
        </w:tc>
        <w:tc>
          <w:tcPr>
            <w:tcW w:w="105" w:type="dxa"/>
            <w:tcBorders>
              <w:top w:val="nil"/>
              <w:left w:val="nil"/>
              <w:bottom w:val="nil"/>
              <w:right w:val="nil"/>
            </w:tcBorders>
            <w:tcMar>
              <w:top w:w="0" w:type="dxa"/>
              <w:left w:w="0" w:type="dxa"/>
              <w:bottom w:w="0" w:type="dxa"/>
              <w:right w:w="0" w:type="dxa"/>
            </w:tcMar>
            <w:vAlign w:val="bottom"/>
          </w:tcPr>
          <w:p w14:paraId="45C759F7" w14:textId="77777777" w:rsidR="001614AC" w:rsidRDefault="001614AC"/>
        </w:tc>
        <w:tc>
          <w:tcPr>
            <w:tcW w:w="815"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0BD3398B" w14:textId="77777777" w:rsidR="001614AC" w:rsidRDefault="004468F9">
            <w:pPr>
              <w:spacing w:before="55" w:after="30" w:line="288" w:lineRule="auto"/>
              <w:jc w:val="right"/>
            </w:pPr>
            <w:r>
              <w:rPr>
                <w:rFonts w:ascii="Arial" w:eastAsia="Arial" w:hAnsi="Arial" w:cs="Arial"/>
                <w:color w:val="000000"/>
                <w:sz w:val="18"/>
              </w:rPr>
              <w:t>(42,000)</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415330AF" w14:textId="77777777" w:rsidR="001614AC" w:rsidRDefault="001614AC">
            <w:pPr>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2F7F8357" w14:textId="77777777" w:rsidR="001614AC" w:rsidRDefault="001614AC"/>
        </w:tc>
        <w:tc>
          <w:tcPr>
            <w:tcW w:w="905"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49DE6B4F" w14:textId="77777777" w:rsidR="001614AC" w:rsidRDefault="004468F9">
            <w:pPr>
              <w:spacing w:before="55" w:after="30" w:line="288" w:lineRule="auto"/>
              <w:jc w:val="right"/>
            </w:pPr>
            <w:r>
              <w:rPr>
                <w:rFonts w:ascii="Arial" w:eastAsia="Arial" w:hAnsi="Arial" w:cs="Arial"/>
                <w:color w:val="000000"/>
                <w:sz w:val="18"/>
              </w:rPr>
              <w:t>(66,013)</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74C79335" w14:textId="77777777" w:rsidR="001614AC" w:rsidRDefault="001614AC">
            <w:pPr>
              <w:spacing w:before="55" w:after="30" w:line="288" w:lineRule="auto"/>
              <w:jc w:val="right"/>
            </w:pPr>
          </w:p>
        </w:tc>
      </w:tr>
      <w:tr w:rsidR="001614AC" w14:paraId="6E21E9F6" w14:textId="77777777">
        <w:trPr>
          <w:cantSplit/>
        </w:trPr>
        <w:tc>
          <w:tcPr>
            <w:tcW w:w="7950" w:type="dxa"/>
            <w:tcBorders>
              <w:top w:val="single" w:sz="8" w:space="0" w:color="F4F4F4"/>
              <w:left w:val="nil"/>
              <w:bottom w:val="nil"/>
              <w:right w:val="nil"/>
            </w:tcBorders>
            <w:tcMar>
              <w:top w:w="0" w:type="dxa"/>
              <w:left w:w="53" w:type="dxa"/>
              <w:bottom w:w="0" w:type="dxa"/>
              <w:right w:w="53" w:type="dxa"/>
            </w:tcMar>
            <w:vAlign w:val="bottom"/>
          </w:tcPr>
          <w:p w14:paraId="40ED66F1" w14:textId="77777777" w:rsidR="001614AC" w:rsidRDefault="004468F9">
            <w:pPr>
              <w:spacing w:before="55" w:after="30" w:line="288" w:lineRule="auto"/>
            </w:pPr>
            <w:r>
              <w:rPr>
                <w:rFonts w:ascii="Arial" w:eastAsia="Arial" w:hAnsi="Arial" w:cs="Arial"/>
                <w:color w:val="000000"/>
                <w:sz w:val="18"/>
              </w:rPr>
              <w:t>Repayments of other borrowings</w:t>
            </w:r>
          </w:p>
        </w:tc>
        <w:tc>
          <w:tcPr>
            <w:tcW w:w="105" w:type="dxa"/>
            <w:tcBorders>
              <w:top w:val="nil"/>
              <w:left w:val="nil"/>
              <w:bottom w:val="nil"/>
              <w:right w:val="nil"/>
            </w:tcBorders>
            <w:tcMar>
              <w:top w:w="0" w:type="dxa"/>
              <w:left w:w="0" w:type="dxa"/>
              <w:bottom w:w="0" w:type="dxa"/>
              <w:right w:w="0" w:type="dxa"/>
            </w:tcMar>
            <w:vAlign w:val="bottom"/>
          </w:tcPr>
          <w:p w14:paraId="6E931319" w14:textId="77777777" w:rsidR="001614AC" w:rsidRDefault="001614AC"/>
        </w:tc>
        <w:tc>
          <w:tcPr>
            <w:tcW w:w="815" w:type="dxa"/>
            <w:gridSpan w:val="2"/>
            <w:tcBorders>
              <w:top w:val="single" w:sz="8" w:space="0" w:color="F4F4F4"/>
              <w:left w:val="nil"/>
              <w:bottom w:val="single" w:sz="8" w:space="0" w:color="C7C9C7"/>
              <w:right w:val="nil"/>
            </w:tcBorders>
            <w:tcMar>
              <w:top w:w="0" w:type="dxa"/>
              <w:left w:w="53" w:type="dxa"/>
              <w:bottom w:w="0" w:type="dxa"/>
              <w:right w:w="0" w:type="dxa"/>
            </w:tcMar>
            <w:vAlign w:val="bottom"/>
          </w:tcPr>
          <w:p w14:paraId="1B50A756" w14:textId="77777777" w:rsidR="001614AC" w:rsidRDefault="004468F9">
            <w:pPr>
              <w:spacing w:before="55" w:after="30" w:line="288" w:lineRule="auto"/>
              <w:jc w:val="right"/>
            </w:pPr>
            <w:r>
              <w:rPr>
                <w:rFonts w:ascii="Arial" w:eastAsia="Arial" w:hAnsi="Arial" w:cs="Arial"/>
                <w:color w:val="000000"/>
                <w:sz w:val="18"/>
              </w:rPr>
              <w:t>— </w:t>
            </w:r>
          </w:p>
        </w:tc>
        <w:tc>
          <w:tcPr>
            <w:tcW w:w="100" w:type="dxa"/>
            <w:tcBorders>
              <w:top w:val="single" w:sz="8" w:space="0" w:color="F4F4F4"/>
              <w:left w:val="nil"/>
              <w:bottom w:val="single" w:sz="8" w:space="0" w:color="C7C9C7"/>
              <w:right w:val="nil"/>
            </w:tcBorders>
            <w:tcMar>
              <w:top w:w="0" w:type="dxa"/>
              <w:left w:w="0" w:type="dxa"/>
              <w:bottom w:w="0" w:type="dxa"/>
              <w:right w:w="15" w:type="dxa"/>
            </w:tcMar>
            <w:vAlign w:val="bottom"/>
          </w:tcPr>
          <w:p w14:paraId="00304E76" w14:textId="77777777" w:rsidR="001614AC" w:rsidRDefault="001614AC">
            <w:pPr>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583EAB87" w14:textId="77777777" w:rsidR="001614AC" w:rsidRDefault="001614AC"/>
        </w:tc>
        <w:tc>
          <w:tcPr>
            <w:tcW w:w="905" w:type="dxa"/>
            <w:gridSpan w:val="2"/>
            <w:tcBorders>
              <w:top w:val="single" w:sz="8" w:space="0" w:color="F4F4F4"/>
              <w:left w:val="nil"/>
              <w:bottom w:val="single" w:sz="8" w:space="0" w:color="C7C9C7"/>
              <w:right w:val="nil"/>
            </w:tcBorders>
            <w:tcMar>
              <w:top w:w="0" w:type="dxa"/>
              <w:left w:w="53" w:type="dxa"/>
              <w:bottom w:w="0" w:type="dxa"/>
              <w:right w:w="0" w:type="dxa"/>
            </w:tcMar>
            <w:vAlign w:val="bottom"/>
          </w:tcPr>
          <w:p w14:paraId="77474FC1" w14:textId="77777777" w:rsidR="001614AC" w:rsidRDefault="004468F9">
            <w:pPr>
              <w:spacing w:before="55" w:after="30" w:line="288" w:lineRule="auto"/>
              <w:jc w:val="right"/>
            </w:pPr>
            <w:r>
              <w:rPr>
                <w:rFonts w:ascii="Arial" w:eastAsia="Arial" w:hAnsi="Arial" w:cs="Arial"/>
                <w:color w:val="000000"/>
                <w:sz w:val="18"/>
              </w:rPr>
              <w:t>(79)</w:t>
            </w:r>
          </w:p>
        </w:tc>
        <w:tc>
          <w:tcPr>
            <w:tcW w:w="100" w:type="dxa"/>
            <w:tcBorders>
              <w:top w:val="single" w:sz="8" w:space="0" w:color="F4F4F4"/>
              <w:left w:val="nil"/>
              <w:bottom w:val="single" w:sz="8" w:space="0" w:color="C7C9C7"/>
              <w:right w:val="nil"/>
            </w:tcBorders>
            <w:tcMar>
              <w:top w:w="0" w:type="dxa"/>
              <w:left w:w="0" w:type="dxa"/>
              <w:bottom w:w="0" w:type="dxa"/>
              <w:right w:w="15" w:type="dxa"/>
            </w:tcMar>
            <w:vAlign w:val="bottom"/>
          </w:tcPr>
          <w:p w14:paraId="05CB950E" w14:textId="77777777" w:rsidR="001614AC" w:rsidRDefault="001614AC">
            <w:pPr>
              <w:spacing w:before="55" w:after="30" w:line="288" w:lineRule="auto"/>
              <w:jc w:val="right"/>
            </w:pPr>
          </w:p>
        </w:tc>
      </w:tr>
      <w:tr w:rsidR="001614AC" w14:paraId="40ED6634" w14:textId="77777777">
        <w:trPr>
          <w:cantSplit/>
        </w:trPr>
        <w:tc>
          <w:tcPr>
            <w:tcW w:w="7950" w:type="dxa"/>
            <w:tcBorders>
              <w:top w:val="nil"/>
              <w:left w:val="nil"/>
              <w:bottom w:val="nil"/>
              <w:right w:val="nil"/>
            </w:tcBorders>
            <w:shd w:val="clear" w:color="auto" w:fill="F4F4F4"/>
            <w:tcMar>
              <w:top w:w="0" w:type="dxa"/>
              <w:left w:w="53" w:type="dxa"/>
              <w:bottom w:w="0" w:type="dxa"/>
              <w:right w:w="53" w:type="dxa"/>
            </w:tcMar>
            <w:vAlign w:val="bottom"/>
          </w:tcPr>
          <w:p w14:paraId="26198532" w14:textId="77777777" w:rsidR="001614AC" w:rsidRDefault="004468F9">
            <w:pPr>
              <w:spacing w:before="75" w:after="30" w:line="288" w:lineRule="auto"/>
            </w:pPr>
            <w:r>
              <w:rPr>
                <w:rFonts w:ascii="Arial" w:eastAsia="Arial" w:hAnsi="Arial" w:cs="Arial"/>
                <w:color w:val="000000"/>
                <w:sz w:val="18"/>
              </w:rPr>
              <w:t>Net ca</w:t>
            </w:r>
            <w:r>
              <w:rPr>
                <w:rFonts w:ascii="Arial" w:eastAsia="Arial" w:hAnsi="Arial" w:cs="Arial"/>
                <w:color w:val="000000"/>
                <w:sz w:val="18"/>
              </w:rPr>
              <w:t>sh provided by (used in) financing activities</w:t>
            </w:r>
          </w:p>
        </w:tc>
        <w:tc>
          <w:tcPr>
            <w:tcW w:w="105" w:type="dxa"/>
            <w:tcBorders>
              <w:top w:val="nil"/>
              <w:left w:val="nil"/>
              <w:bottom w:val="nil"/>
              <w:right w:val="nil"/>
            </w:tcBorders>
            <w:shd w:val="clear" w:color="auto" w:fill="F4F4F4"/>
            <w:tcMar>
              <w:top w:w="0" w:type="dxa"/>
              <w:left w:w="0" w:type="dxa"/>
              <w:bottom w:w="0" w:type="dxa"/>
              <w:right w:w="0" w:type="dxa"/>
            </w:tcMar>
            <w:vAlign w:val="bottom"/>
          </w:tcPr>
          <w:p w14:paraId="3C178856" w14:textId="77777777" w:rsidR="001614AC" w:rsidRDefault="001614AC"/>
        </w:tc>
        <w:tc>
          <w:tcPr>
            <w:tcW w:w="815" w:type="dxa"/>
            <w:gridSpan w:val="2"/>
            <w:tcBorders>
              <w:top w:val="single" w:sz="8" w:space="0" w:color="C7C9C7"/>
              <w:left w:val="nil"/>
              <w:bottom w:val="nil"/>
              <w:right w:val="nil"/>
            </w:tcBorders>
            <w:shd w:val="clear" w:color="auto" w:fill="F4F4F4"/>
            <w:tcMar>
              <w:top w:w="0" w:type="dxa"/>
              <w:left w:w="53" w:type="dxa"/>
              <w:bottom w:w="0" w:type="dxa"/>
              <w:right w:w="0" w:type="dxa"/>
            </w:tcMar>
            <w:vAlign w:val="bottom"/>
          </w:tcPr>
          <w:p w14:paraId="6DD6156B" w14:textId="77777777" w:rsidR="001614AC" w:rsidRDefault="004468F9">
            <w:pPr>
              <w:spacing w:before="55" w:after="30" w:line="288" w:lineRule="auto"/>
              <w:jc w:val="right"/>
            </w:pPr>
            <w:r>
              <w:rPr>
                <w:rFonts w:ascii="Arial" w:eastAsia="Arial" w:hAnsi="Arial" w:cs="Arial"/>
                <w:color w:val="000000"/>
                <w:sz w:val="18"/>
              </w:rPr>
              <w:t>(155,742)</w:t>
            </w:r>
          </w:p>
        </w:tc>
        <w:tc>
          <w:tcPr>
            <w:tcW w:w="100" w:type="dxa"/>
            <w:tcBorders>
              <w:top w:val="single" w:sz="8" w:space="0" w:color="C7C9C7"/>
              <w:left w:val="nil"/>
              <w:bottom w:val="nil"/>
              <w:right w:val="nil"/>
            </w:tcBorders>
            <w:shd w:val="clear" w:color="auto" w:fill="F4F4F4"/>
            <w:tcMar>
              <w:top w:w="0" w:type="dxa"/>
              <w:left w:w="0" w:type="dxa"/>
              <w:bottom w:w="0" w:type="dxa"/>
              <w:right w:w="15" w:type="dxa"/>
            </w:tcMar>
            <w:vAlign w:val="bottom"/>
          </w:tcPr>
          <w:p w14:paraId="4900A354" w14:textId="77777777" w:rsidR="001614AC" w:rsidRDefault="001614AC">
            <w:pPr>
              <w:spacing w:before="55" w:after="30" w:line="288" w:lineRule="auto"/>
              <w:jc w:val="right"/>
            </w:pPr>
          </w:p>
        </w:tc>
        <w:tc>
          <w:tcPr>
            <w:tcW w:w="105" w:type="dxa"/>
            <w:tcBorders>
              <w:top w:val="nil"/>
              <w:left w:val="nil"/>
              <w:bottom w:val="nil"/>
              <w:right w:val="nil"/>
            </w:tcBorders>
            <w:shd w:val="clear" w:color="auto" w:fill="F4F4F4"/>
            <w:tcMar>
              <w:top w:w="0" w:type="dxa"/>
              <w:left w:w="0" w:type="dxa"/>
              <w:bottom w:w="0" w:type="dxa"/>
              <w:right w:w="0" w:type="dxa"/>
            </w:tcMar>
            <w:vAlign w:val="bottom"/>
          </w:tcPr>
          <w:p w14:paraId="3886B84A" w14:textId="77777777" w:rsidR="001614AC" w:rsidRDefault="001614AC"/>
        </w:tc>
        <w:tc>
          <w:tcPr>
            <w:tcW w:w="905" w:type="dxa"/>
            <w:gridSpan w:val="2"/>
            <w:tcBorders>
              <w:top w:val="single" w:sz="8" w:space="0" w:color="C7C9C7"/>
              <w:left w:val="nil"/>
              <w:bottom w:val="nil"/>
              <w:right w:val="nil"/>
            </w:tcBorders>
            <w:shd w:val="clear" w:color="auto" w:fill="F4F4F4"/>
            <w:tcMar>
              <w:top w:w="0" w:type="dxa"/>
              <w:left w:w="53" w:type="dxa"/>
              <w:bottom w:w="0" w:type="dxa"/>
              <w:right w:w="0" w:type="dxa"/>
            </w:tcMar>
            <w:vAlign w:val="bottom"/>
          </w:tcPr>
          <w:p w14:paraId="2358C281" w14:textId="77777777" w:rsidR="001614AC" w:rsidRDefault="004468F9">
            <w:pPr>
              <w:spacing w:before="55" w:after="30" w:line="288" w:lineRule="auto"/>
              <w:jc w:val="right"/>
            </w:pPr>
            <w:r>
              <w:rPr>
                <w:rFonts w:ascii="Arial" w:eastAsia="Arial" w:hAnsi="Arial" w:cs="Arial"/>
                <w:color w:val="000000"/>
                <w:sz w:val="18"/>
              </w:rPr>
              <w:t>263,536 </w:t>
            </w:r>
          </w:p>
        </w:tc>
        <w:tc>
          <w:tcPr>
            <w:tcW w:w="100" w:type="dxa"/>
            <w:tcBorders>
              <w:top w:val="single" w:sz="8" w:space="0" w:color="C7C9C7"/>
              <w:left w:val="nil"/>
              <w:bottom w:val="nil"/>
              <w:right w:val="nil"/>
            </w:tcBorders>
            <w:shd w:val="clear" w:color="auto" w:fill="F4F4F4"/>
            <w:tcMar>
              <w:top w:w="0" w:type="dxa"/>
              <w:left w:w="0" w:type="dxa"/>
              <w:bottom w:w="0" w:type="dxa"/>
              <w:right w:w="15" w:type="dxa"/>
            </w:tcMar>
            <w:vAlign w:val="bottom"/>
          </w:tcPr>
          <w:p w14:paraId="1F2A9D9E" w14:textId="77777777" w:rsidR="001614AC" w:rsidRDefault="001614AC">
            <w:pPr>
              <w:spacing w:before="55" w:after="30" w:line="288" w:lineRule="auto"/>
              <w:jc w:val="right"/>
            </w:pPr>
          </w:p>
        </w:tc>
      </w:tr>
      <w:tr w:rsidR="001614AC" w14:paraId="59C75E34" w14:textId="77777777">
        <w:trPr>
          <w:cantSplit/>
        </w:trPr>
        <w:tc>
          <w:tcPr>
            <w:tcW w:w="7950" w:type="dxa"/>
            <w:tcBorders>
              <w:top w:val="single" w:sz="8" w:space="0" w:color="FFFFFF"/>
              <w:left w:val="nil"/>
              <w:bottom w:val="single" w:sz="8" w:space="0" w:color="F4F4F4"/>
              <w:right w:val="nil"/>
            </w:tcBorders>
            <w:tcMar>
              <w:top w:w="0" w:type="dxa"/>
              <w:left w:w="53" w:type="dxa"/>
              <w:bottom w:w="0" w:type="dxa"/>
              <w:right w:w="53" w:type="dxa"/>
            </w:tcMar>
            <w:vAlign w:val="bottom"/>
          </w:tcPr>
          <w:p w14:paraId="6E76AE62" w14:textId="77777777" w:rsidR="001614AC" w:rsidRDefault="004468F9">
            <w:pPr>
              <w:spacing w:before="55" w:after="30" w:line="288" w:lineRule="auto"/>
            </w:pPr>
            <w:r>
              <w:rPr>
                <w:rFonts w:ascii="Arial" w:eastAsia="Arial" w:hAnsi="Arial" w:cs="Arial"/>
                <w:color w:val="000000"/>
                <w:sz w:val="18"/>
              </w:rPr>
              <w:lastRenderedPageBreak/>
              <w:t>Increase (decrease) in cash and restricted cash</w:t>
            </w:r>
          </w:p>
        </w:tc>
        <w:tc>
          <w:tcPr>
            <w:tcW w:w="105" w:type="dxa"/>
            <w:tcBorders>
              <w:top w:val="single" w:sz="8" w:space="0" w:color="FFFFFF"/>
              <w:left w:val="nil"/>
              <w:bottom w:val="nil"/>
              <w:right w:val="nil"/>
            </w:tcBorders>
            <w:tcMar>
              <w:top w:w="0" w:type="dxa"/>
              <w:left w:w="0" w:type="dxa"/>
              <w:bottom w:w="0" w:type="dxa"/>
              <w:right w:w="0" w:type="dxa"/>
            </w:tcMar>
            <w:vAlign w:val="bottom"/>
          </w:tcPr>
          <w:p w14:paraId="5A0CC91B" w14:textId="77777777" w:rsidR="001614AC" w:rsidRDefault="001614AC"/>
        </w:tc>
        <w:tc>
          <w:tcPr>
            <w:tcW w:w="815" w:type="dxa"/>
            <w:gridSpan w:val="2"/>
            <w:tcBorders>
              <w:top w:val="single" w:sz="8" w:space="0" w:color="C7C9C7"/>
              <w:left w:val="nil"/>
              <w:bottom w:val="single" w:sz="8" w:space="0" w:color="F4F4F4"/>
              <w:right w:val="nil"/>
            </w:tcBorders>
            <w:tcMar>
              <w:top w:w="0" w:type="dxa"/>
              <w:left w:w="53" w:type="dxa"/>
              <w:bottom w:w="0" w:type="dxa"/>
              <w:right w:w="0" w:type="dxa"/>
            </w:tcMar>
            <w:vAlign w:val="bottom"/>
          </w:tcPr>
          <w:p w14:paraId="378BF30A" w14:textId="77777777" w:rsidR="001614AC" w:rsidRDefault="004468F9">
            <w:pPr>
              <w:spacing w:before="55" w:after="30" w:line="288" w:lineRule="auto"/>
              <w:jc w:val="right"/>
            </w:pPr>
            <w:r>
              <w:rPr>
                <w:rFonts w:ascii="Arial" w:eastAsia="Arial" w:hAnsi="Arial" w:cs="Arial"/>
                <w:color w:val="000000"/>
                <w:sz w:val="18"/>
              </w:rPr>
              <w:t>43,761 </w:t>
            </w:r>
          </w:p>
        </w:tc>
        <w:tc>
          <w:tcPr>
            <w:tcW w:w="100" w:type="dxa"/>
            <w:tcBorders>
              <w:top w:val="single" w:sz="8" w:space="0" w:color="C7C9C7"/>
              <w:left w:val="nil"/>
              <w:bottom w:val="single" w:sz="8" w:space="0" w:color="F4F4F4"/>
              <w:right w:val="nil"/>
            </w:tcBorders>
            <w:tcMar>
              <w:top w:w="0" w:type="dxa"/>
              <w:left w:w="0" w:type="dxa"/>
              <w:bottom w:w="0" w:type="dxa"/>
              <w:right w:w="15" w:type="dxa"/>
            </w:tcMar>
            <w:vAlign w:val="bottom"/>
          </w:tcPr>
          <w:p w14:paraId="0EF7A57F" w14:textId="77777777" w:rsidR="001614AC" w:rsidRDefault="001614AC">
            <w:pPr>
              <w:spacing w:before="55" w:after="30" w:line="288" w:lineRule="auto"/>
              <w:jc w:val="right"/>
            </w:pPr>
          </w:p>
        </w:tc>
        <w:tc>
          <w:tcPr>
            <w:tcW w:w="105" w:type="dxa"/>
            <w:tcBorders>
              <w:top w:val="single" w:sz="8" w:space="0" w:color="FFFFFF"/>
              <w:left w:val="nil"/>
              <w:bottom w:val="nil"/>
              <w:right w:val="nil"/>
            </w:tcBorders>
            <w:tcMar>
              <w:top w:w="0" w:type="dxa"/>
              <w:left w:w="0" w:type="dxa"/>
              <w:bottom w:w="0" w:type="dxa"/>
              <w:right w:w="0" w:type="dxa"/>
            </w:tcMar>
            <w:vAlign w:val="bottom"/>
          </w:tcPr>
          <w:p w14:paraId="4D94AAF7" w14:textId="77777777" w:rsidR="001614AC" w:rsidRDefault="001614AC"/>
        </w:tc>
        <w:tc>
          <w:tcPr>
            <w:tcW w:w="905" w:type="dxa"/>
            <w:gridSpan w:val="2"/>
            <w:tcBorders>
              <w:top w:val="single" w:sz="8" w:space="0" w:color="C7C9C7"/>
              <w:left w:val="nil"/>
              <w:bottom w:val="single" w:sz="8" w:space="0" w:color="F4F4F4"/>
              <w:right w:val="nil"/>
            </w:tcBorders>
            <w:tcMar>
              <w:top w:w="0" w:type="dxa"/>
              <w:left w:w="53" w:type="dxa"/>
              <w:bottom w:w="0" w:type="dxa"/>
              <w:right w:w="0" w:type="dxa"/>
            </w:tcMar>
            <w:vAlign w:val="bottom"/>
          </w:tcPr>
          <w:p w14:paraId="5B6F978D" w14:textId="77777777" w:rsidR="001614AC" w:rsidRDefault="004468F9">
            <w:pPr>
              <w:spacing w:before="55" w:after="30" w:line="288" w:lineRule="auto"/>
              <w:jc w:val="right"/>
            </w:pPr>
            <w:r>
              <w:rPr>
                <w:rFonts w:ascii="Arial" w:eastAsia="Arial" w:hAnsi="Arial" w:cs="Arial"/>
                <w:color w:val="000000"/>
                <w:sz w:val="18"/>
              </w:rPr>
              <w:t>(11,608)</w:t>
            </w:r>
          </w:p>
        </w:tc>
        <w:tc>
          <w:tcPr>
            <w:tcW w:w="100" w:type="dxa"/>
            <w:tcBorders>
              <w:top w:val="single" w:sz="8" w:space="0" w:color="C7C9C7"/>
              <w:left w:val="nil"/>
              <w:bottom w:val="single" w:sz="8" w:space="0" w:color="F4F4F4"/>
              <w:right w:val="nil"/>
            </w:tcBorders>
            <w:tcMar>
              <w:top w:w="0" w:type="dxa"/>
              <w:left w:w="0" w:type="dxa"/>
              <w:bottom w:w="0" w:type="dxa"/>
              <w:right w:w="15" w:type="dxa"/>
            </w:tcMar>
            <w:vAlign w:val="bottom"/>
          </w:tcPr>
          <w:p w14:paraId="6315E38C" w14:textId="77777777" w:rsidR="001614AC" w:rsidRDefault="001614AC">
            <w:pPr>
              <w:spacing w:before="55" w:after="30" w:line="288" w:lineRule="auto"/>
              <w:jc w:val="right"/>
            </w:pPr>
          </w:p>
        </w:tc>
      </w:tr>
      <w:tr w:rsidR="001614AC" w14:paraId="0C1D2011" w14:textId="77777777">
        <w:trPr>
          <w:cantSplit/>
        </w:trPr>
        <w:tc>
          <w:tcPr>
            <w:tcW w:w="7950" w:type="dxa"/>
            <w:tcBorders>
              <w:top w:val="single" w:sz="8" w:space="0" w:color="F4F4F4"/>
              <w:left w:val="nil"/>
              <w:bottom w:val="nil"/>
              <w:right w:val="nil"/>
            </w:tcBorders>
            <w:tcMar>
              <w:top w:w="0" w:type="dxa"/>
              <w:left w:w="53" w:type="dxa"/>
              <w:bottom w:w="0" w:type="dxa"/>
              <w:right w:w="53" w:type="dxa"/>
            </w:tcMar>
            <w:vAlign w:val="bottom"/>
          </w:tcPr>
          <w:p w14:paraId="5075E3C1" w14:textId="77777777" w:rsidR="001614AC" w:rsidRDefault="004468F9">
            <w:pPr>
              <w:spacing w:before="55" w:after="30" w:line="288" w:lineRule="auto"/>
            </w:pPr>
            <w:r>
              <w:rPr>
                <w:rFonts w:ascii="Arial" w:eastAsia="Arial" w:hAnsi="Arial" w:cs="Arial"/>
                <w:color w:val="000000"/>
                <w:sz w:val="18"/>
              </w:rPr>
              <w:t>Cash and restricted cash, beginning of period</w:t>
            </w:r>
          </w:p>
        </w:tc>
        <w:tc>
          <w:tcPr>
            <w:tcW w:w="105" w:type="dxa"/>
            <w:tcBorders>
              <w:top w:val="nil"/>
              <w:left w:val="nil"/>
              <w:bottom w:val="nil"/>
              <w:right w:val="nil"/>
            </w:tcBorders>
            <w:tcMar>
              <w:top w:w="0" w:type="dxa"/>
              <w:left w:w="0" w:type="dxa"/>
              <w:bottom w:w="0" w:type="dxa"/>
              <w:right w:w="0" w:type="dxa"/>
            </w:tcMar>
            <w:vAlign w:val="bottom"/>
          </w:tcPr>
          <w:p w14:paraId="55AF4E69" w14:textId="77777777" w:rsidR="001614AC" w:rsidRDefault="001614AC"/>
        </w:tc>
        <w:tc>
          <w:tcPr>
            <w:tcW w:w="815" w:type="dxa"/>
            <w:gridSpan w:val="2"/>
            <w:tcBorders>
              <w:top w:val="single" w:sz="8" w:space="0" w:color="F4F4F4"/>
              <w:left w:val="nil"/>
              <w:bottom w:val="single" w:sz="8" w:space="0" w:color="C7C9C7"/>
              <w:right w:val="nil"/>
            </w:tcBorders>
            <w:tcMar>
              <w:top w:w="0" w:type="dxa"/>
              <w:left w:w="53" w:type="dxa"/>
              <w:bottom w:w="0" w:type="dxa"/>
              <w:right w:w="0" w:type="dxa"/>
            </w:tcMar>
            <w:vAlign w:val="bottom"/>
          </w:tcPr>
          <w:p w14:paraId="415FF02E" w14:textId="77777777" w:rsidR="001614AC" w:rsidRDefault="004468F9">
            <w:pPr>
              <w:spacing w:before="55" w:after="30" w:line="288" w:lineRule="auto"/>
              <w:jc w:val="right"/>
            </w:pPr>
            <w:r>
              <w:rPr>
                <w:rFonts w:ascii="Arial" w:eastAsia="Arial" w:hAnsi="Arial" w:cs="Arial"/>
                <w:color w:val="000000"/>
                <w:sz w:val="18"/>
              </w:rPr>
              <w:t>94,146 </w:t>
            </w:r>
          </w:p>
        </w:tc>
        <w:tc>
          <w:tcPr>
            <w:tcW w:w="100" w:type="dxa"/>
            <w:tcBorders>
              <w:top w:val="single" w:sz="8" w:space="0" w:color="F4F4F4"/>
              <w:left w:val="nil"/>
              <w:bottom w:val="single" w:sz="8" w:space="0" w:color="C7C9C7"/>
              <w:right w:val="nil"/>
            </w:tcBorders>
            <w:tcMar>
              <w:top w:w="0" w:type="dxa"/>
              <w:left w:w="0" w:type="dxa"/>
              <w:bottom w:w="0" w:type="dxa"/>
              <w:right w:w="15" w:type="dxa"/>
            </w:tcMar>
            <w:vAlign w:val="bottom"/>
          </w:tcPr>
          <w:p w14:paraId="188DECFB" w14:textId="77777777" w:rsidR="001614AC" w:rsidRDefault="001614AC">
            <w:pPr>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17C90B9D" w14:textId="77777777" w:rsidR="001614AC" w:rsidRDefault="001614AC"/>
        </w:tc>
        <w:tc>
          <w:tcPr>
            <w:tcW w:w="905" w:type="dxa"/>
            <w:gridSpan w:val="2"/>
            <w:tcBorders>
              <w:top w:val="single" w:sz="8" w:space="0" w:color="F4F4F4"/>
              <w:left w:val="nil"/>
              <w:bottom w:val="single" w:sz="8" w:space="0" w:color="C7C9C7"/>
              <w:right w:val="nil"/>
            </w:tcBorders>
            <w:tcMar>
              <w:top w:w="0" w:type="dxa"/>
              <w:left w:w="53" w:type="dxa"/>
              <w:bottom w:w="0" w:type="dxa"/>
              <w:right w:w="0" w:type="dxa"/>
            </w:tcMar>
            <w:vAlign w:val="bottom"/>
          </w:tcPr>
          <w:p w14:paraId="16CF42E1" w14:textId="77777777" w:rsidR="001614AC" w:rsidRDefault="004468F9">
            <w:pPr>
              <w:spacing w:before="55" w:after="30" w:line="288" w:lineRule="auto"/>
              <w:jc w:val="right"/>
            </w:pPr>
            <w:r>
              <w:rPr>
                <w:rFonts w:ascii="Arial" w:eastAsia="Arial" w:hAnsi="Arial" w:cs="Arial"/>
                <w:color w:val="000000"/>
                <w:sz w:val="18"/>
              </w:rPr>
              <w:t>96,274 </w:t>
            </w:r>
          </w:p>
        </w:tc>
        <w:tc>
          <w:tcPr>
            <w:tcW w:w="100" w:type="dxa"/>
            <w:tcBorders>
              <w:top w:val="single" w:sz="8" w:space="0" w:color="F4F4F4"/>
              <w:left w:val="nil"/>
              <w:bottom w:val="single" w:sz="8" w:space="0" w:color="C7C9C7"/>
              <w:right w:val="nil"/>
            </w:tcBorders>
            <w:tcMar>
              <w:top w:w="0" w:type="dxa"/>
              <w:left w:w="0" w:type="dxa"/>
              <w:bottom w:w="0" w:type="dxa"/>
              <w:right w:w="15" w:type="dxa"/>
            </w:tcMar>
            <w:vAlign w:val="bottom"/>
          </w:tcPr>
          <w:p w14:paraId="28457819" w14:textId="77777777" w:rsidR="001614AC" w:rsidRDefault="001614AC">
            <w:pPr>
              <w:spacing w:before="55" w:after="30" w:line="288" w:lineRule="auto"/>
              <w:jc w:val="right"/>
            </w:pPr>
          </w:p>
        </w:tc>
      </w:tr>
      <w:tr w:rsidR="001614AC" w14:paraId="560B2540" w14:textId="77777777">
        <w:trPr>
          <w:cantSplit/>
        </w:trPr>
        <w:tc>
          <w:tcPr>
            <w:tcW w:w="7950" w:type="dxa"/>
            <w:tcBorders>
              <w:top w:val="nil"/>
              <w:left w:val="nil"/>
              <w:bottom w:val="nil"/>
              <w:right w:val="nil"/>
            </w:tcBorders>
            <w:shd w:val="clear" w:color="auto" w:fill="F4F4F4"/>
            <w:tcMar>
              <w:top w:w="0" w:type="dxa"/>
              <w:left w:w="53" w:type="dxa"/>
              <w:bottom w:w="0" w:type="dxa"/>
              <w:right w:w="53" w:type="dxa"/>
            </w:tcMar>
            <w:vAlign w:val="bottom"/>
          </w:tcPr>
          <w:p w14:paraId="5463DC81" w14:textId="77777777" w:rsidR="001614AC" w:rsidRDefault="004468F9">
            <w:pPr>
              <w:spacing w:before="75" w:after="30" w:line="288" w:lineRule="auto"/>
            </w:pPr>
            <w:r>
              <w:rPr>
                <w:rFonts w:ascii="Arial" w:eastAsia="Arial" w:hAnsi="Arial" w:cs="Arial"/>
                <w:color w:val="000000"/>
                <w:sz w:val="18"/>
              </w:rPr>
              <w:t>Cash and restricted cash, end of period</w:t>
            </w:r>
          </w:p>
        </w:tc>
        <w:tc>
          <w:tcPr>
            <w:tcW w:w="105" w:type="dxa"/>
            <w:tcBorders>
              <w:top w:val="nil"/>
              <w:left w:val="nil"/>
              <w:bottom w:val="nil"/>
              <w:right w:val="nil"/>
            </w:tcBorders>
            <w:shd w:val="clear" w:color="auto" w:fill="F4F4F4"/>
            <w:tcMar>
              <w:top w:w="0" w:type="dxa"/>
              <w:left w:w="0" w:type="dxa"/>
              <w:bottom w:w="0" w:type="dxa"/>
              <w:right w:w="0" w:type="dxa"/>
            </w:tcMar>
            <w:vAlign w:val="bottom"/>
          </w:tcPr>
          <w:p w14:paraId="160F20C6" w14:textId="77777777" w:rsidR="001614AC" w:rsidRDefault="001614AC"/>
        </w:tc>
        <w:tc>
          <w:tcPr>
            <w:tcW w:w="160" w:type="dxa"/>
            <w:tcBorders>
              <w:top w:val="single" w:sz="8" w:space="0" w:color="C7C9C7"/>
              <w:left w:val="nil"/>
              <w:bottom w:val="double" w:sz="8" w:space="0" w:color="C7C9C7"/>
              <w:right w:val="nil"/>
            </w:tcBorders>
            <w:shd w:val="clear" w:color="auto" w:fill="F4F4F4"/>
            <w:tcMar>
              <w:top w:w="0" w:type="dxa"/>
              <w:left w:w="53" w:type="dxa"/>
              <w:bottom w:w="0" w:type="dxa"/>
              <w:right w:w="0" w:type="dxa"/>
            </w:tcMar>
            <w:vAlign w:val="bottom"/>
          </w:tcPr>
          <w:p w14:paraId="5D691296" w14:textId="77777777" w:rsidR="001614AC" w:rsidRDefault="004468F9">
            <w:pPr>
              <w:spacing w:before="55" w:after="30" w:line="288" w:lineRule="auto"/>
            </w:pPr>
            <w:r>
              <w:rPr>
                <w:rFonts w:ascii="Arial" w:eastAsia="Arial" w:hAnsi="Arial" w:cs="Arial"/>
                <w:color w:val="000000"/>
                <w:sz w:val="18"/>
              </w:rPr>
              <w:t>$</w:t>
            </w:r>
          </w:p>
        </w:tc>
        <w:tc>
          <w:tcPr>
            <w:tcW w:w="655" w:type="dxa"/>
            <w:tcBorders>
              <w:top w:val="single" w:sz="8" w:space="0" w:color="C7C9C7"/>
              <w:left w:val="nil"/>
              <w:bottom w:val="double" w:sz="8" w:space="0" w:color="C7C9C7"/>
              <w:right w:val="nil"/>
            </w:tcBorders>
            <w:shd w:val="clear" w:color="auto" w:fill="F4F4F4"/>
            <w:tcMar>
              <w:top w:w="0" w:type="dxa"/>
              <w:left w:w="0" w:type="dxa"/>
              <w:bottom w:w="0" w:type="dxa"/>
              <w:right w:w="0" w:type="dxa"/>
            </w:tcMar>
            <w:vAlign w:val="bottom"/>
          </w:tcPr>
          <w:p w14:paraId="22FAE959" w14:textId="77777777" w:rsidR="001614AC" w:rsidRDefault="004468F9">
            <w:pPr>
              <w:spacing w:before="55" w:after="30" w:line="288" w:lineRule="auto"/>
              <w:jc w:val="right"/>
            </w:pPr>
            <w:r>
              <w:rPr>
                <w:rFonts w:ascii="Arial" w:eastAsia="Arial" w:hAnsi="Arial" w:cs="Arial"/>
                <w:color w:val="000000"/>
                <w:sz w:val="18"/>
              </w:rPr>
              <w:t>137,907 </w:t>
            </w:r>
          </w:p>
        </w:tc>
        <w:tc>
          <w:tcPr>
            <w:tcW w:w="100" w:type="dxa"/>
            <w:tcBorders>
              <w:top w:val="single" w:sz="8" w:space="0" w:color="C7C9C7"/>
              <w:left w:val="nil"/>
              <w:bottom w:val="double" w:sz="8" w:space="0" w:color="C7C9C7"/>
              <w:right w:val="nil"/>
            </w:tcBorders>
            <w:shd w:val="clear" w:color="auto" w:fill="F4F4F4"/>
            <w:tcMar>
              <w:top w:w="0" w:type="dxa"/>
              <w:left w:w="0" w:type="dxa"/>
              <w:bottom w:w="0" w:type="dxa"/>
              <w:right w:w="15" w:type="dxa"/>
            </w:tcMar>
            <w:vAlign w:val="bottom"/>
          </w:tcPr>
          <w:p w14:paraId="0ED6C18B" w14:textId="77777777" w:rsidR="001614AC" w:rsidRDefault="001614AC">
            <w:pPr>
              <w:spacing w:before="55" w:after="30" w:line="288" w:lineRule="auto"/>
              <w:jc w:val="right"/>
            </w:pPr>
          </w:p>
        </w:tc>
        <w:tc>
          <w:tcPr>
            <w:tcW w:w="105" w:type="dxa"/>
            <w:tcBorders>
              <w:top w:val="nil"/>
              <w:left w:val="nil"/>
              <w:bottom w:val="nil"/>
              <w:right w:val="nil"/>
            </w:tcBorders>
            <w:shd w:val="clear" w:color="auto" w:fill="F4F4F4"/>
            <w:tcMar>
              <w:top w:w="0" w:type="dxa"/>
              <w:left w:w="0" w:type="dxa"/>
              <w:bottom w:w="0" w:type="dxa"/>
              <w:right w:w="0" w:type="dxa"/>
            </w:tcMar>
            <w:vAlign w:val="bottom"/>
          </w:tcPr>
          <w:p w14:paraId="5FCBAC8A" w14:textId="77777777" w:rsidR="001614AC" w:rsidRDefault="001614AC"/>
        </w:tc>
        <w:tc>
          <w:tcPr>
            <w:tcW w:w="160" w:type="dxa"/>
            <w:tcBorders>
              <w:top w:val="single" w:sz="8" w:space="0" w:color="C7C9C7"/>
              <w:left w:val="nil"/>
              <w:bottom w:val="double" w:sz="8" w:space="0" w:color="C7C9C7"/>
              <w:right w:val="nil"/>
            </w:tcBorders>
            <w:shd w:val="clear" w:color="auto" w:fill="F4F4F4"/>
            <w:tcMar>
              <w:top w:w="0" w:type="dxa"/>
              <w:left w:w="53" w:type="dxa"/>
              <w:bottom w:w="0" w:type="dxa"/>
              <w:right w:w="0" w:type="dxa"/>
            </w:tcMar>
            <w:vAlign w:val="bottom"/>
          </w:tcPr>
          <w:p w14:paraId="23A70912" w14:textId="77777777" w:rsidR="001614AC" w:rsidRDefault="004468F9">
            <w:pPr>
              <w:spacing w:before="55" w:after="30" w:line="288" w:lineRule="auto"/>
            </w:pPr>
            <w:r>
              <w:rPr>
                <w:rFonts w:ascii="Arial" w:eastAsia="Arial" w:hAnsi="Arial" w:cs="Arial"/>
                <w:color w:val="000000"/>
                <w:sz w:val="18"/>
              </w:rPr>
              <w:t>$</w:t>
            </w:r>
          </w:p>
        </w:tc>
        <w:tc>
          <w:tcPr>
            <w:tcW w:w="745" w:type="dxa"/>
            <w:tcBorders>
              <w:top w:val="single" w:sz="8" w:space="0" w:color="C7C9C7"/>
              <w:left w:val="nil"/>
              <w:bottom w:val="double" w:sz="8" w:space="0" w:color="C7C9C7"/>
              <w:right w:val="nil"/>
            </w:tcBorders>
            <w:shd w:val="clear" w:color="auto" w:fill="F4F4F4"/>
            <w:tcMar>
              <w:top w:w="0" w:type="dxa"/>
              <w:left w:w="0" w:type="dxa"/>
              <w:bottom w:w="0" w:type="dxa"/>
              <w:right w:w="0" w:type="dxa"/>
            </w:tcMar>
            <w:vAlign w:val="bottom"/>
          </w:tcPr>
          <w:p w14:paraId="5A13B055" w14:textId="77777777" w:rsidR="001614AC" w:rsidRDefault="004468F9">
            <w:pPr>
              <w:spacing w:before="55" w:after="30" w:line="288" w:lineRule="auto"/>
              <w:jc w:val="right"/>
            </w:pPr>
            <w:r>
              <w:rPr>
                <w:rFonts w:ascii="Arial" w:eastAsia="Arial" w:hAnsi="Arial" w:cs="Arial"/>
                <w:color w:val="000000"/>
                <w:sz w:val="18"/>
              </w:rPr>
              <w:t>84,666 </w:t>
            </w:r>
          </w:p>
        </w:tc>
        <w:tc>
          <w:tcPr>
            <w:tcW w:w="100" w:type="dxa"/>
            <w:tcBorders>
              <w:top w:val="single" w:sz="8" w:space="0" w:color="C7C9C7"/>
              <w:left w:val="nil"/>
              <w:bottom w:val="double" w:sz="8" w:space="0" w:color="C7C9C7"/>
              <w:right w:val="nil"/>
            </w:tcBorders>
            <w:shd w:val="clear" w:color="auto" w:fill="F4F4F4"/>
            <w:tcMar>
              <w:top w:w="0" w:type="dxa"/>
              <w:left w:w="0" w:type="dxa"/>
              <w:bottom w:w="0" w:type="dxa"/>
              <w:right w:w="15" w:type="dxa"/>
            </w:tcMar>
            <w:vAlign w:val="bottom"/>
          </w:tcPr>
          <w:p w14:paraId="4060A0F1" w14:textId="77777777" w:rsidR="001614AC" w:rsidRDefault="001614AC">
            <w:pPr>
              <w:spacing w:before="55" w:after="30" w:line="288" w:lineRule="auto"/>
              <w:jc w:val="right"/>
            </w:pPr>
          </w:p>
        </w:tc>
      </w:tr>
    </w:tbl>
    <w:p w14:paraId="04A0F114" w14:textId="77777777" w:rsidR="001614AC" w:rsidRDefault="001614AC">
      <w:pPr>
        <w:spacing w:line="288" w:lineRule="auto"/>
        <w:rPr>
          <w:rFonts w:ascii="Arial" w:eastAsia="Arial" w:hAnsi="Arial" w:cs="Arial"/>
          <w:b/>
          <w:sz w:val="22"/>
        </w:rPr>
      </w:pPr>
    </w:p>
    <w:p w14:paraId="2D4D442A" w14:textId="77777777" w:rsidR="001614AC" w:rsidRDefault="001614AC">
      <w:pPr>
        <w:spacing w:line="288" w:lineRule="auto"/>
        <w:rPr>
          <w:rFonts w:ascii="Arial" w:eastAsia="Arial" w:hAnsi="Arial" w:cs="Arial"/>
          <w:b/>
          <w:sz w:val="22"/>
        </w:rPr>
        <w:sectPr w:rsidR="001614AC">
          <w:footerReference w:type="default" r:id="rId21"/>
          <w:pgSz w:w="12240" w:h="15840"/>
          <w:pgMar w:top="990" w:right="1080" w:bottom="1260" w:left="1080" w:header="270" w:footer="270" w:gutter="0"/>
          <w:cols w:space="708"/>
        </w:sectPr>
      </w:pPr>
    </w:p>
    <w:p w14:paraId="083CC612" w14:textId="77777777" w:rsidR="001614AC" w:rsidRDefault="004468F9">
      <w:pPr>
        <w:spacing w:line="288" w:lineRule="auto"/>
        <w:ind w:firstLine="450"/>
        <w:rPr>
          <w:rFonts w:ascii="Arial" w:eastAsia="Arial" w:hAnsi="Arial" w:cs="Arial"/>
          <w:b/>
          <w:sz w:val="12"/>
        </w:rPr>
      </w:pPr>
      <w:bookmarkStart w:id="11" w:name="Section12"/>
      <w:bookmarkEnd w:id="11"/>
      <w:r>
        <w:rPr>
          <w:rFonts w:ascii="Arial" w:eastAsia="Arial" w:hAnsi="Arial" w:cs="Arial"/>
          <w:b/>
          <w:sz w:val="12"/>
        </w:rPr>
        <w:lastRenderedPageBreak/>
        <w:t xml:space="preserve"> </w:t>
      </w:r>
    </w:p>
    <w:p w14:paraId="1E87469B" w14:textId="77777777" w:rsidR="001614AC" w:rsidRDefault="001614AC">
      <w:pPr>
        <w:spacing w:line="288" w:lineRule="auto"/>
        <w:ind w:firstLine="450"/>
        <w:sectPr w:rsidR="001614AC">
          <w:headerReference w:type="default" r:id="rId22"/>
          <w:footerReference w:type="default" r:id="rId23"/>
          <w:pgSz w:w="12240" w:h="15840"/>
          <w:pgMar w:top="1260" w:right="1080" w:bottom="1080" w:left="1080" w:header="270" w:footer="270" w:gutter="0"/>
          <w:cols w:space="708"/>
        </w:sectPr>
      </w:pPr>
    </w:p>
    <w:p w14:paraId="46AC6646" w14:textId="77777777" w:rsidR="001614AC" w:rsidRDefault="004468F9">
      <w:pPr>
        <w:spacing w:before="100" w:after="160" w:line="288" w:lineRule="auto"/>
        <w:ind w:left="360" w:hanging="360"/>
        <w:outlineLvl w:val="3"/>
        <w:rPr>
          <w:rFonts w:ascii="Arial" w:eastAsia="Arial" w:hAnsi="Arial" w:cs="Arial"/>
          <w:b/>
          <w:color w:val="4D6B80"/>
          <w:sz w:val="30"/>
        </w:rPr>
      </w:pPr>
      <w:bookmarkStart w:id="12" w:name="Section13"/>
      <w:bookmarkEnd w:id="12"/>
      <w:r>
        <w:rPr>
          <w:rFonts w:ascii="Arial" w:eastAsia="Arial" w:hAnsi="Arial" w:cs="Arial"/>
          <w:b/>
          <w:color w:val="4D6B80"/>
          <w:sz w:val="30"/>
        </w:rPr>
        <w:t>1. Description of Business</w:t>
      </w:r>
    </w:p>
    <w:p w14:paraId="5EDC6D96" w14:textId="77777777" w:rsidR="001614AC" w:rsidRDefault="004468F9">
      <w:pPr>
        <w:spacing w:before="100" w:after="100" w:line="288" w:lineRule="auto"/>
        <w:ind w:firstLine="450"/>
        <w:rPr>
          <w:rFonts w:ascii="Arial" w:eastAsia="Arial" w:hAnsi="Arial" w:cs="Arial"/>
          <w:b/>
          <w:color w:val="4D6B80"/>
          <w:sz w:val="18"/>
        </w:rPr>
      </w:pPr>
      <w:r>
        <w:rPr>
          <w:rFonts w:ascii="Arial" w:eastAsia="Arial" w:hAnsi="Arial" w:cs="Arial"/>
          <w:sz w:val="18"/>
        </w:rPr>
        <w:t xml:space="preserve">We are a diversified mortgage and real estate business, providing both credit-related mortgage insurance coverage and a broad array of </w:t>
      </w:r>
      <w:r>
        <w:rPr>
          <w:rFonts w:ascii="Arial" w:eastAsia="Arial" w:hAnsi="Arial" w:cs="Arial"/>
          <w:sz w:val="18"/>
        </w:rPr>
        <w:t>other mortgage, risk, title, valuation, asset management, SaaS and other real estate services. We have two reportable business segments—Mortgage and homegenius. Our homegenius segment was previously named “Real Estate” and during the second quarter of 2021</w:t>
      </w:r>
      <w:r>
        <w:rPr>
          <w:rFonts w:ascii="Arial" w:eastAsia="Arial" w:hAnsi="Arial" w:cs="Arial"/>
          <w:sz w:val="18"/>
        </w:rPr>
        <w:t xml:space="preserve"> we renamed it “homegenius” to align with updates to our branding strategy for the segment’s products and services.</w:t>
      </w:r>
    </w:p>
    <w:p w14:paraId="4964EB62" w14:textId="77777777" w:rsidR="001614AC" w:rsidRDefault="004468F9">
      <w:pPr>
        <w:keepNext/>
        <w:spacing w:before="160" w:after="120" w:line="288" w:lineRule="auto"/>
        <w:rPr>
          <w:rFonts w:ascii="Arial" w:eastAsia="Arial" w:hAnsi="Arial" w:cs="Arial"/>
          <w:b/>
          <w:color w:val="4D6B80"/>
          <w:sz w:val="22"/>
        </w:rPr>
      </w:pPr>
      <w:r>
        <w:rPr>
          <w:rFonts w:ascii="Arial" w:eastAsia="Arial" w:hAnsi="Arial" w:cs="Arial"/>
          <w:b/>
          <w:color w:val="4D6B80"/>
          <w:sz w:val="22"/>
        </w:rPr>
        <w:t>Mortgage</w:t>
      </w:r>
    </w:p>
    <w:p w14:paraId="3FA6EAEA" w14:textId="77777777" w:rsidR="001614AC" w:rsidRDefault="004468F9">
      <w:pPr>
        <w:spacing w:before="100" w:after="100" w:line="288" w:lineRule="auto"/>
        <w:ind w:firstLine="450"/>
        <w:rPr>
          <w:rFonts w:ascii="Arial" w:eastAsia="Arial" w:hAnsi="Arial" w:cs="Arial"/>
          <w:b/>
          <w:color w:val="4D6B80"/>
          <w:sz w:val="18"/>
        </w:rPr>
      </w:pPr>
      <w:r>
        <w:rPr>
          <w:rFonts w:ascii="Arial" w:eastAsia="Arial" w:hAnsi="Arial" w:cs="Arial"/>
          <w:sz w:val="18"/>
        </w:rPr>
        <w:t>Our Mortgage segment provides credit-related insurance coverage, principally through private mortgage insurance on residential firs</w:t>
      </w:r>
      <w:r>
        <w:rPr>
          <w:rFonts w:ascii="Arial" w:eastAsia="Arial" w:hAnsi="Arial" w:cs="Arial"/>
          <w:sz w:val="18"/>
        </w:rPr>
        <w:t>t-lien mortgage loans, as well as other credit risk management, contract underwriting and fulfillment solutions, to mortgage lending institutions and mortgage credit investors. We provide our mortgage insurance products and services mainly through our whol</w:t>
      </w:r>
      <w:r>
        <w:rPr>
          <w:rFonts w:ascii="Arial" w:eastAsia="Arial" w:hAnsi="Arial" w:cs="Arial"/>
          <w:sz w:val="18"/>
        </w:rPr>
        <w:t>ly-owned subsidiary, Radian Guaranty. Private mortgage insurance plays an important role in the U.S. housing finance system because it promotes affordable home ownership and helps protect mortgage lenders and investors, as well as other beneficiaries, by m</w:t>
      </w:r>
      <w:r>
        <w:rPr>
          <w:rFonts w:ascii="Arial" w:eastAsia="Arial" w:hAnsi="Arial" w:cs="Arial"/>
          <w:sz w:val="18"/>
        </w:rPr>
        <w:t>itigating default-related losses on residential mortgage loans. Generally, these loans are made to homebuyers who make down payments of less than 20% of the purchase price for their home or, in the case of refinancings, have less than 20% equity in their h</w:t>
      </w:r>
      <w:r>
        <w:rPr>
          <w:rFonts w:ascii="Arial" w:eastAsia="Arial" w:hAnsi="Arial" w:cs="Arial"/>
          <w:sz w:val="18"/>
        </w:rPr>
        <w:t>ome. Private mortgage insurance also facilitates the sale of these low down payment loans in the secondary mortgage market, most of which are currently sold to the GSEs. Our total direct primary mortgage IIF and RIF were $237.3 billion and $58.0 billion, r</w:t>
      </w:r>
      <w:r>
        <w:rPr>
          <w:rFonts w:ascii="Arial" w:eastAsia="Arial" w:hAnsi="Arial" w:cs="Arial"/>
          <w:sz w:val="18"/>
        </w:rPr>
        <w:t>espectively, as of June 30, 2021, compared to $246.1 billion and $60.7 billion, respectively, as of December 31, 2020. In addition to providing private mortgage insurance, we participate in credit risk transfer programs developed by the GSEs as part of the</w:t>
      </w:r>
      <w:r>
        <w:rPr>
          <w:rFonts w:ascii="Arial" w:eastAsia="Arial" w:hAnsi="Arial" w:cs="Arial"/>
          <w:sz w:val="18"/>
        </w:rPr>
        <w:t>ir initiative to distribute mortgage credit risk and increase the role of private capital in the mortgage market. Our additional RIF under credit risk transfer transactions, resulting from our participation in these programs with the GSEs, totaled $434.7 m</w:t>
      </w:r>
      <w:r>
        <w:rPr>
          <w:rFonts w:ascii="Arial" w:eastAsia="Arial" w:hAnsi="Arial" w:cs="Arial"/>
          <w:sz w:val="18"/>
        </w:rPr>
        <w:t xml:space="preserve">illion as of June 30, 2021 compared to $392.0 million as of December 31, 2020. </w:t>
      </w:r>
    </w:p>
    <w:p w14:paraId="018EE476" w14:textId="77777777" w:rsidR="001614AC" w:rsidRDefault="004468F9">
      <w:pPr>
        <w:spacing w:before="100" w:after="100" w:line="288" w:lineRule="auto"/>
        <w:ind w:firstLine="450"/>
        <w:rPr>
          <w:rFonts w:ascii="Arial" w:eastAsia="Arial" w:hAnsi="Arial" w:cs="Arial"/>
          <w:b/>
          <w:color w:val="4D6B80"/>
          <w:sz w:val="18"/>
        </w:rPr>
      </w:pPr>
      <w:r>
        <w:rPr>
          <w:rFonts w:ascii="Arial" w:eastAsia="Arial" w:hAnsi="Arial" w:cs="Arial"/>
          <w:sz w:val="18"/>
        </w:rPr>
        <w:t>The GSEs and state insurance regulators impose various capital and financial requirements on our mortgage insurance subsidiaries. These include Risk-to-capital, other risk-base</w:t>
      </w:r>
      <w:r>
        <w:rPr>
          <w:rFonts w:ascii="Arial" w:eastAsia="Arial" w:hAnsi="Arial" w:cs="Arial"/>
          <w:sz w:val="18"/>
        </w:rPr>
        <w:t>d capital measures and surplus requirements, as well as the PMIERs financial requirements. Failure to comply with these capital and financial requirements may limit the amount of insurance that our mortgage insurance subsidiaries write or may prohibit them</w:t>
      </w:r>
      <w:r>
        <w:rPr>
          <w:rFonts w:ascii="Arial" w:eastAsia="Arial" w:hAnsi="Arial" w:cs="Arial"/>
          <w:sz w:val="18"/>
        </w:rPr>
        <w:t xml:space="preserve"> from writing insurance altogether. The GSEs and state insurance regulators possess significant discretion with respect to our mortgage insurance subsidiaries and all aspects of their business. See Note 16 for additional information on PMIERs and other reg</w:t>
      </w:r>
      <w:r>
        <w:rPr>
          <w:rFonts w:ascii="Arial" w:eastAsia="Arial" w:hAnsi="Arial" w:cs="Arial"/>
          <w:sz w:val="18"/>
        </w:rPr>
        <w:t>ulatory information, and “—Recent Developments” below for a discussion of the elevated risks posed by the COVID-19 pandemic, which has led to an increase in mortgage defaults in our insured portfolio and a resulting increase in our Minimum Required Assets.</w:t>
      </w:r>
      <w:r>
        <w:rPr>
          <w:rFonts w:ascii="Arial" w:eastAsia="Arial" w:hAnsi="Arial" w:cs="Arial"/>
          <w:sz w:val="18"/>
        </w:rPr>
        <w:t xml:space="preserve"> </w:t>
      </w:r>
    </w:p>
    <w:p w14:paraId="61DF20FD" w14:textId="77777777" w:rsidR="001614AC" w:rsidRDefault="004468F9">
      <w:pPr>
        <w:keepNext/>
        <w:spacing w:before="160" w:after="120" w:line="288" w:lineRule="auto"/>
        <w:rPr>
          <w:rFonts w:ascii="Arial" w:eastAsia="Arial" w:hAnsi="Arial" w:cs="Arial"/>
          <w:b/>
          <w:color w:val="4D6B80"/>
          <w:sz w:val="22"/>
        </w:rPr>
      </w:pPr>
      <w:r>
        <w:rPr>
          <w:rFonts w:ascii="Arial" w:eastAsia="Arial" w:hAnsi="Arial" w:cs="Arial"/>
          <w:b/>
          <w:color w:val="4D6B80"/>
          <w:sz w:val="22"/>
        </w:rPr>
        <w:t>homegenius</w:t>
      </w:r>
    </w:p>
    <w:p w14:paraId="48016480" w14:textId="77777777" w:rsidR="001614AC" w:rsidRDefault="004468F9">
      <w:pPr>
        <w:spacing w:before="100" w:after="100" w:line="288" w:lineRule="auto"/>
        <w:ind w:firstLine="450"/>
        <w:rPr>
          <w:rFonts w:ascii="Arial" w:eastAsia="Arial" w:hAnsi="Arial" w:cs="Arial"/>
          <w:b/>
          <w:color w:val="4D6B80"/>
          <w:sz w:val="18"/>
        </w:rPr>
      </w:pPr>
      <w:r>
        <w:rPr>
          <w:rFonts w:ascii="Arial" w:eastAsia="Arial" w:hAnsi="Arial" w:cs="Arial"/>
          <w:sz w:val="18"/>
        </w:rPr>
        <w:t>Our homegenius segment is primarily a fee-for-service business that offers a broad array of products and services to market participants across the real estate value chain. Our homegenius products and services include title, valuation, asset m</w:t>
      </w:r>
      <w:r>
        <w:rPr>
          <w:rFonts w:ascii="Arial" w:eastAsia="Arial" w:hAnsi="Arial" w:cs="Arial"/>
          <w:sz w:val="18"/>
        </w:rPr>
        <w:t xml:space="preserve">anagement, SaaS and other real estate services offered primarily to mortgage lenders, mortgage and real estate investors, GSEs, real estate brokers and agents. These products and services help lenders, investors, consumers and real estate agents evaluate, </w:t>
      </w:r>
      <w:r>
        <w:rPr>
          <w:rFonts w:ascii="Arial" w:eastAsia="Arial" w:hAnsi="Arial" w:cs="Arial"/>
          <w:sz w:val="18"/>
        </w:rPr>
        <w:t>manage, monitor, acquire and sell properties. These products and services include SaaS solutions and platforms, as well as managed services, such as real estate owned asset management, single family rental services and real estate valuation services. In ad</w:t>
      </w:r>
      <w:r>
        <w:rPr>
          <w:rFonts w:ascii="Arial" w:eastAsia="Arial" w:hAnsi="Arial" w:cs="Arial"/>
          <w:sz w:val="18"/>
        </w:rPr>
        <w:t>dition, we provide title insurance and non-insurance title, closing and settlement services to mortgage lenders, GSEs and mortgage investors, as well as directly to consumers for residential mortgage loans.</w:t>
      </w:r>
    </w:p>
    <w:p w14:paraId="78795897" w14:textId="77777777" w:rsidR="001614AC" w:rsidRDefault="004468F9">
      <w:pPr>
        <w:spacing w:before="100" w:after="100" w:line="288" w:lineRule="auto"/>
        <w:ind w:firstLine="450"/>
        <w:rPr>
          <w:rFonts w:ascii="Arial" w:eastAsia="Arial" w:hAnsi="Arial" w:cs="Arial"/>
          <w:b/>
          <w:color w:val="4D6B80"/>
          <w:sz w:val="18"/>
        </w:rPr>
      </w:pPr>
      <w:r>
        <w:rPr>
          <w:rFonts w:ascii="Arial" w:eastAsia="Arial" w:hAnsi="Arial" w:cs="Arial"/>
          <w:sz w:val="18"/>
        </w:rPr>
        <w:t>See Note 4 for additional information about our r</w:t>
      </w:r>
      <w:r>
        <w:rPr>
          <w:rFonts w:ascii="Arial" w:eastAsia="Arial" w:hAnsi="Arial" w:cs="Arial"/>
          <w:sz w:val="18"/>
        </w:rPr>
        <w:t>eportable segments and All Other business activities.</w:t>
      </w:r>
    </w:p>
    <w:p w14:paraId="62488DBE" w14:textId="77777777" w:rsidR="001614AC" w:rsidRDefault="004468F9">
      <w:pPr>
        <w:keepNext/>
        <w:spacing w:before="180" w:after="140" w:line="288" w:lineRule="auto"/>
        <w:rPr>
          <w:rFonts w:ascii="Arial" w:eastAsia="Arial" w:hAnsi="Arial" w:cs="Arial"/>
          <w:b/>
          <w:color w:val="002B49"/>
          <w:sz w:val="26"/>
        </w:rPr>
      </w:pPr>
      <w:r>
        <w:rPr>
          <w:rFonts w:ascii="Arial" w:eastAsia="Arial" w:hAnsi="Arial" w:cs="Arial"/>
          <w:b/>
          <w:color w:val="002B49"/>
          <w:sz w:val="26"/>
        </w:rPr>
        <w:t>Recent Developments</w:t>
      </w:r>
    </w:p>
    <w:p w14:paraId="147299A7" w14:textId="77777777" w:rsidR="001614AC" w:rsidRDefault="004468F9">
      <w:pPr>
        <w:spacing w:before="100" w:after="100" w:line="288" w:lineRule="auto"/>
        <w:ind w:firstLine="450"/>
        <w:rPr>
          <w:rFonts w:ascii="Arial" w:eastAsia="Arial" w:hAnsi="Arial" w:cs="Arial"/>
          <w:b/>
          <w:color w:val="4D6B80"/>
          <w:sz w:val="18"/>
        </w:rPr>
      </w:pPr>
      <w:r>
        <w:rPr>
          <w:rFonts w:ascii="Arial" w:eastAsia="Arial" w:hAnsi="Arial" w:cs="Arial"/>
          <w:sz w:val="18"/>
        </w:rPr>
        <w:t xml:space="preserve">As a seller of mortgage credit protection, our results are subject to macroeconomic conditions and specific events that impact the housing finance and real estate markets, including </w:t>
      </w:r>
      <w:r>
        <w:rPr>
          <w:rFonts w:ascii="Arial" w:eastAsia="Arial" w:hAnsi="Arial" w:cs="Arial"/>
          <w:sz w:val="18"/>
        </w:rPr>
        <w:t>events that impact mortgage originations and the credit performance of our RIF. Many of these conditions are beyond our control, including housing prices, unemployment, interest rate changes, the availability of credit and other factors that may be derived</w:t>
      </w:r>
      <w:r>
        <w:rPr>
          <w:rFonts w:ascii="Arial" w:eastAsia="Arial" w:hAnsi="Arial" w:cs="Arial"/>
          <w:sz w:val="18"/>
        </w:rPr>
        <w:t xml:space="preserve"> from national and regional economic conditions. In general, a deterioration in economic conditions increases the likelihood that borrowers will be unable to satisfy their mortgage obligations. A deteriorating economy can adversely affect housing values, w</w:t>
      </w:r>
      <w:r>
        <w:rPr>
          <w:rFonts w:ascii="Arial" w:eastAsia="Arial" w:hAnsi="Arial" w:cs="Arial"/>
          <w:sz w:val="18"/>
        </w:rPr>
        <w:t>hich in turn can influence the willingness of borrowers to continue to make mortgage payments regardless of whether they have the financial resources to do so. Mortgage defaults can also occur due to a variety of specific events affecting borrowers, includ</w:t>
      </w:r>
      <w:r>
        <w:rPr>
          <w:rFonts w:ascii="Arial" w:eastAsia="Arial" w:hAnsi="Arial" w:cs="Arial"/>
          <w:sz w:val="18"/>
        </w:rPr>
        <w:t xml:space="preserve">ing death or illness, divorce or other family problems, unemployment, or other events. In addition, factors impacting regional economic conditions, acts of terrorism, war or other severe conflicts, event-specific economic depressions or other catastrophic </w:t>
      </w:r>
      <w:r>
        <w:rPr>
          <w:rFonts w:ascii="Arial" w:eastAsia="Arial" w:hAnsi="Arial" w:cs="Arial"/>
          <w:sz w:val="18"/>
        </w:rPr>
        <w:t>events such as natural disasters and pandemics could result in increased defaults due to the impact of such events on the ability of borrowers to satisfy their mortgage obligations and on the value of affected homes.</w:t>
      </w:r>
    </w:p>
    <w:p w14:paraId="0B7D572A" w14:textId="77777777" w:rsidR="001614AC" w:rsidRDefault="004468F9">
      <w:pPr>
        <w:spacing w:before="100" w:after="100" w:line="288" w:lineRule="auto"/>
        <w:ind w:firstLine="450"/>
        <w:rPr>
          <w:b/>
          <w:i/>
          <w:color w:val="4D6B80"/>
          <w:shd w:val="clear" w:color="auto" w:fill="FFFF00"/>
        </w:rPr>
      </w:pPr>
      <w:r>
        <w:rPr>
          <w:rFonts w:ascii="Arial" w:eastAsia="Arial" w:hAnsi="Arial" w:cs="Arial"/>
          <w:sz w:val="18"/>
        </w:rPr>
        <w:lastRenderedPageBreak/>
        <w:t>The unprecedented and continually evolv</w:t>
      </w:r>
      <w:r>
        <w:rPr>
          <w:rFonts w:ascii="Arial" w:eastAsia="Arial" w:hAnsi="Arial" w:cs="Arial"/>
          <w:sz w:val="18"/>
        </w:rPr>
        <w:t>ing social and economic impacts associated with the COVID-19 pandemic on the U.S. and global economies generally, and in particular on the U.S. housing, real estate and housing finance markets, had a negative effect on our business and our financial result</w:t>
      </w:r>
      <w:r>
        <w:rPr>
          <w:rFonts w:ascii="Arial" w:eastAsia="Arial" w:hAnsi="Arial" w:cs="Arial"/>
          <w:sz w:val="18"/>
        </w:rPr>
        <w:t>s for the second quarter of 2020, and since then to a lesser extent. Specifically, and primarily as a result of an increase in the number of new defaults since the start of the pandemic, our financial results have included: (i) an increase in provision for</w:t>
      </w:r>
      <w:r>
        <w:rPr>
          <w:rFonts w:ascii="Arial" w:eastAsia="Arial" w:hAnsi="Arial" w:cs="Arial"/>
          <w:sz w:val="18"/>
        </w:rPr>
        <w:t xml:space="preserve"> losses and (ii) an increase in our Minimum Required Assets under the PMIERs. While the number of new defaults increased significantly during the second quarter of 2020, they have subsequently trended down. See Note 11 for additional information on our res</w:t>
      </w:r>
      <w:r>
        <w:rPr>
          <w:rFonts w:ascii="Arial" w:eastAsia="Arial" w:hAnsi="Arial" w:cs="Arial"/>
          <w:sz w:val="18"/>
        </w:rPr>
        <w:t xml:space="preserve">erve for losses. </w:t>
      </w:r>
    </w:p>
    <w:p w14:paraId="6285A246" w14:textId="77777777" w:rsidR="001614AC" w:rsidRDefault="004468F9">
      <w:pPr>
        <w:spacing w:before="100" w:line="288" w:lineRule="auto"/>
        <w:ind w:firstLine="450"/>
        <w:rPr>
          <w:rFonts w:ascii="Arial" w:eastAsia="Arial" w:hAnsi="Arial" w:cs="Arial"/>
          <w:b/>
          <w:color w:val="4D6B80"/>
          <w:sz w:val="28"/>
        </w:rPr>
      </w:pPr>
      <w:r>
        <w:rPr>
          <w:rFonts w:ascii="Arial" w:eastAsia="Arial" w:hAnsi="Arial" w:cs="Arial"/>
          <w:sz w:val="18"/>
        </w:rPr>
        <w:t>We expect that certain future developments, such as anticipated increases in our claims paid once current foreclosure moratoriums are lifted, will have an adverse impact on aspects of our business in future periods. The long-term impact o</w:t>
      </w:r>
      <w:r>
        <w:rPr>
          <w:rFonts w:ascii="Arial" w:eastAsia="Arial" w:hAnsi="Arial" w:cs="Arial"/>
          <w:sz w:val="18"/>
        </w:rPr>
        <w:t>f the COVID-19 pandemic on our businesses will depend on, among other things: the extent and duration of the pandemic, the severity of illness and number of people infected with the virus and the acceptance and long-term effectiveness of anti-viral treatme</w:t>
      </w:r>
      <w:r>
        <w:rPr>
          <w:rFonts w:ascii="Arial" w:eastAsia="Arial" w:hAnsi="Arial" w:cs="Arial"/>
          <w:sz w:val="18"/>
        </w:rPr>
        <w:t>nts and vaccines, especially as new strains of COVID-19 have emerged; the wider economic effects of the pandemic and the scope and duration of governmental and other third-party measures restricting day-to-day life and business operations; the impact of ec</w:t>
      </w:r>
      <w:r>
        <w:rPr>
          <w:rFonts w:ascii="Arial" w:eastAsia="Arial" w:hAnsi="Arial" w:cs="Arial"/>
          <w:sz w:val="18"/>
        </w:rPr>
        <w:t>onomic stimulus efforts to support the economy through the pandemic; and governmental and GSE programs implemented to assist borrowers experiencing a COVID-19-related hardship, including forbearance programs and suspensions of foreclosures and evictions. A</w:t>
      </w:r>
      <w:r>
        <w:rPr>
          <w:rFonts w:ascii="Arial" w:eastAsia="Arial" w:hAnsi="Arial" w:cs="Arial"/>
          <w:sz w:val="18"/>
        </w:rPr>
        <w:t>lthough we are uncertain of the potential magnitude or duration of the business and economic impacts of the COVID-19 pandemic, these and other factors, including those discussed in our 2020 Form 10-K, could continue to have a material negative effect on th</w:t>
      </w:r>
      <w:r>
        <w:rPr>
          <w:rFonts w:ascii="Arial" w:eastAsia="Arial" w:hAnsi="Arial" w:cs="Arial"/>
          <w:sz w:val="18"/>
        </w:rPr>
        <w:t>e Company’s business, liquidity, results of operations and financial condition.</w:t>
      </w:r>
    </w:p>
    <w:p w14:paraId="3BAF443A" w14:textId="77777777" w:rsidR="001614AC" w:rsidRDefault="001614AC">
      <w:pPr>
        <w:spacing w:before="100" w:line="288" w:lineRule="auto"/>
        <w:ind w:firstLine="450"/>
        <w:rPr>
          <w:rFonts w:ascii="Arial" w:eastAsia="Arial" w:hAnsi="Arial" w:cs="Arial"/>
          <w:b/>
          <w:color w:val="4D6B80"/>
          <w:sz w:val="30"/>
        </w:rPr>
        <w:sectPr w:rsidR="001614AC">
          <w:headerReference w:type="default" r:id="rId24"/>
          <w:type w:val="continuous"/>
          <w:pgSz w:w="12240" w:h="15840"/>
          <w:pgMar w:top="1260" w:right="1080" w:bottom="1080" w:left="1080" w:header="270" w:footer="270" w:gutter="0"/>
          <w:cols w:space="708"/>
        </w:sectPr>
      </w:pPr>
    </w:p>
    <w:p w14:paraId="4DD93505" w14:textId="77777777" w:rsidR="001614AC" w:rsidRDefault="004468F9">
      <w:pPr>
        <w:keepNext/>
        <w:tabs>
          <w:tab w:val="left" w:pos="360"/>
        </w:tabs>
        <w:spacing w:before="200" w:after="160" w:line="288" w:lineRule="auto"/>
        <w:ind w:left="360" w:hanging="360"/>
        <w:outlineLvl w:val="3"/>
        <w:rPr>
          <w:rFonts w:ascii="Arial" w:eastAsia="Arial" w:hAnsi="Arial" w:cs="Arial"/>
          <w:b/>
          <w:color w:val="4D6B80"/>
          <w:sz w:val="30"/>
        </w:rPr>
      </w:pPr>
      <w:bookmarkStart w:id="13" w:name="Section14"/>
      <w:bookmarkEnd w:id="13"/>
      <w:r>
        <w:rPr>
          <w:rFonts w:ascii="Arial" w:eastAsia="Arial" w:hAnsi="Arial" w:cs="Arial"/>
          <w:b/>
          <w:color w:val="4D6B80"/>
          <w:sz w:val="30"/>
        </w:rPr>
        <w:t>2. Significant Accounting Policies</w:t>
      </w:r>
    </w:p>
    <w:p w14:paraId="20D3D364" w14:textId="77777777" w:rsidR="001614AC" w:rsidRDefault="004468F9">
      <w:pPr>
        <w:keepNext/>
        <w:spacing w:before="180" w:after="140" w:line="288" w:lineRule="auto"/>
        <w:rPr>
          <w:rFonts w:ascii="Arial" w:eastAsia="Arial" w:hAnsi="Arial" w:cs="Arial"/>
          <w:b/>
          <w:color w:val="002B49"/>
          <w:sz w:val="26"/>
        </w:rPr>
      </w:pPr>
      <w:r>
        <w:rPr>
          <w:rFonts w:ascii="Arial" w:eastAsia="Arial" w:hAnsi="Arial" w:cs="Arial"/>
          <w:b/>
          <w:color w:val="002B49"/>
          <w:sz w:val="26"/>
        </w:rPr>
        <w:t>Basis of Presentation</w:t>
      </w:r>
    </w:p>
    <w:p w14:paraId="79615D3F" w14:textId="77777777" w:rsidR="001614AC" w:rsidRDefault="004468F9">
      <w:pPr>
        <w:spacing w:before="100" w:after="100" w:line="288" w:lineRule="auto"/>
        <w:ind w:firstLine="450"/>
        <w:rPr>
          <w:rFonts w:ascii="Arial" w:eastAsia="Arial" w:hAnsi="Arial" w:cs="Arial"/>
          <w:b/>
          <w:color w:val="4D6B80"/>
          <w:sz w:val="18"/>
        </w:rPr>
      </w:pPr>
      <w:r>
        <w:rPr>
          <w:rFonts w:ascii="Arial" w:eastAsia="Arial" w:hAnsi="Arial" w:cs="Arial"/>
          <w:sz w:val="18"/>
        </w:rPr>
        <w:t xml:space="preserve">Our condensed consolidated financial statements are prepared in accordance with GAAP and include the accounts of Radian Group Inc. and its subsidiaries. All intercompany accounts and transactions, and intercompany profits and losses, have been eliminated. </w:t>
      </w:r>
      <w:r>
        <w:rPr>
          <w:rFonts w:ascii="Arial" w:eastAsia="Arial" w:hAnsi="Arial" w:cs="Arial"/>
          <w:sz w:val="18"/>
        </w:rPr>
        <w:t xml:space="preserve">We have condensed or omitted certain information and footnote disclosures normally included in consolidated financial statements prepared in accordance with GAAP pursuant to the instructions set forth in Article 10 of Regulation S-X of the SEC. </w:t>
      </w:r>
    </w:p>
    <w:p w14:paraId="27432363" w14:textId="77777777" w:rsidR="001614AC" w:rsidRDefault="004468F9">
      <w:pPr>
        <w:spacing w:before="100" w:after="100" w:line="288" w:lineRule="auto"/>
        <w:ind w:firstLine="450"/>
        <w:rPr>
          <w:rFonts w:ascii="Arial" w:eastAsia="Arial" w:hAnsi="Arial" w:cs="Arial"/>
          <w:b/>
          <w:color w:val="4D6B80"/>
          <w:sz w:val="18"/>
        </w:rPr>
      </w:pPr>
      <w:r>
        <w:rPr>
          <w:rFonts w:ascii="Arial" w:eastAsia="Arial" w:hAnsi="Arial" w:cs="Arial"/>
          <w:sz w:val="18"/>
        </w:rPr>
        <w:t>We refer to Radian Group Inc. together with its consolidated subsidiaries as “Radian,” the “Company,” “we,” “us” or “our,” unless the context requires otherwise. We generally refer to Radian Group Inc. alone, without its consolidated subsidiaries, as “Radi</w:t>
      </w:r>
      <w:r>
        <w:rPr>
          <w:rFonts w:ascii="Arial" w:eastAsia="Arial" w:hAnsi="Arial" w:cs="Arial"/>
          <w:sz w:val="18"/>
        </w:rPr>
        <w:t>an Group.” Unless otherwise defined in this report, certain terms and acronyms used throughout this report are defined in the Glossary of Abbreviations and Acronyms included as part of this report.</w:t>
      </w:r>
    </w:p>
    <w:p w14:paraId="55B15D36" w14:textId="77777777" w:rsidR="001614AC" w:rsidRDefault="004468F9">
      <w:pPr>
        <w:spacing w:before="100" w:after="100" w:line="288" w:lineRule="auto"/>
        <w:ind w:firstLine="450"/>
        <w:rPr>
          <w:rFonts w:ascii="Arial" w:eastAsia="Arial" w:hAnsi="Arial" w:cs="Arial"/>
          <w:b/>
          <w:color w:val="4D6B80"/>
          <w:sz w:val="18"/>
        </w:rPr>
      </w:pPr>
      <w:r>
        <w:rPr>
          <w:rFonts w:ascii="Arial" w:eastAsia="Arial" w:hAnsi="Arial" w:cs="Arial"/>
          <w:sz w:val="18"/>
        </w:rPr>
        <w:t>The financial information presented for interim periods is</w:t>
      </w:r>
      <w:r>
        <w:rPr>
          <w:rFonts w:ascii="Arial" w:eastAsia="Arial" w:hAnsi="Arial" w:cs="Arial"/>
          <w:sz w:val="18"/>
        </w:rPr>
        <w:t xml:space="preserve"> unaudited; however, such information reflects all adjustments that are, in the opinion of management, necessary for the fair statement of the financial position, results of operations, comprehensive income (loss) and cash flows for the interim periods pre</w:t>
      </w:r>
      <w:r>
        <w:rPr>
          <w:rFonts w:ascii="Arial" w:eastAsia="Arial" w:hAnsi="Arial" w:cs="Arial"/>
          <w:sz w:val="18"/>
        </w:rPr>
        <w:t xml:space="preserve">sented. Such adjustments are of a normal recurring nature. The year-end condensed balance sheet data was derived from our audited financial statements, but does not include all disclosures required by GAAP. </w:t>
      </w:r>
    </w:p>
    <w:p w14:paraId="1051CF11" w14:textId="77777777" w:rsidR="001614AC" w:rsidRDefault="004468F9">
      <w:pPr>
        <w:spacing w:before="100" w:after="100" w:line="288" w:lineRule="auto"/>
        <w:ind w:firstLine="450"/>
        <w:rPr>
          <w:rFonts w:ascii="Arial" w:eastAsia="Arial" w:hAnsi="Arial" w:cs="Arial"/>
          <w:b/>
          <w:color w:val="4D6B80"/>
          <w:sz w:val="18"/>
        </w:rPr>
      </w:pPr>
      <w:r>
        <w:rPr>
          <w:rFonts w:ascii="Arial" w:eastAsia="Arial" w:hAnsi="Arial" w:cs="Arial"/>
          <w:sz w:val="18"/>
        </w:rPr>
        <w:t>To fully understand the basis of presentation, t</w:t>
      </w:r>
      <w:r>
        <w:rPr>
          <w:rFonts w:ascii="Arial" w:eastAsia="Arial" w:hAnsi="Arial" w:cs="Arial"/>
          <w:sz w:val="18"/>
        </w:rPr>
        <w:t>hese interim financial statements and related notes contained herein should be read in conjunction with the audited financial statements and notes thereto included in our 2020 Form 10-K. The results of operations for interim periods are not necessarily ind</w:t>
      </w:r>
      <w:r>
        <w:rPr>
          <w:rFonts w:ascii="Arial" w:eastAsia="Arial" w:hAnsi="Arial" w:cs="Arial"/>
          <w:sz w:val="18"/>
        </w:rPr>
        <w:t xml:space="preserve">icative of results to be expected for the full year or for any other period. See Note 1 for discussion of the elevated risks to our future business, liquidity, results of operations and financial condition due to the COVID-19 pandemic. </w:t>
      </w:r>
    </w:p>
    <w:p w14:paraId="2D81689D" w14:textId="77777777" w:rsidR="001614AC" w:rsidRDefault="004468F9">
      <w:pPr>
        <w:spacing w:before="100" w:after="100" w:line="288" w:lineRule="auto"/>
        <w:ind w:firstLine="450"/>
        <w:rPr>
          <w:rFonts w:ascii="Arial" w:eastAsia="Arial" w:hAnsi="Arial" w:cs="Arial"/>
          <w:b/>
          <w:color w:val="4D6B80"/>
          <w:sz w:val="18"/>
        </w:rPr>
      </w:pPr>
      <w:r>
        <w:rPr>
          <w:rFonts w:ascii="Arial" w:eastAsia="Arial" w:hAnsi="Arial" w:cs="Arial"/>
          <w:sz w:val="18"/>
        </w:rPr>
        <w:t>Certain prior perio</w:t>
      </w:r>
      <w:r>
        <w:rPr>
          <w:rFonts w:ascii="Arial" w:eastAsia="Arial" w:hAnsi="Arial" w:cs="Arial"/>
          <w:sz w:val="18"/>
        </w:rPr>
        <w:t>d amounts have been reclassified to conform to current period presentation, including: (i) certain balance sheet line items now reported in other assets and (ii) certain segment reporting balances due to changes in the composition of our segments during 20</w:t>
      </w:r>
      <w:r>
        <w:rPr>
          <w:rFonts w:ascii="Arial" w:eastAsia="Arial" w:hAnsi="Arial" w:cs="Arial"/>
          <w:sz w:val="18"/>
        </w:rPr>
        <w:t>20.</w:t>
      </w:r>
    </w:p>
    <w:p w14:paraId="589713AB" w14:textId="77777777" w:rsidR="001614AC" w:rsidRDefault="004468F9">
      <w:pPr>
        <w:keepNext/>
        <w:spacing w:before="180" w:after="140" w:line="288" w:lineRule="auto"/>
        <w:rPr>
          <w:rFonts w:ascii="Arial" w:eastAsia="Arial" w:hAnsi="Arial" w:cs="Arial"/>
          <w:b/>
          <w:color w:val="002B49"/>
          <w:sz w:val="26"/>
        </w:rPr>
      </w:pPr>
      <w:r>
        <w:rPr>
          <w:rFonts w:ascii="Arial" w:eastAsia="Arial" w:hAnsi="Arial" w:cs="Arial"/>
          <w:b/>
          <w:color w:val="002B49"/>
          <w:sz w:val="26"/>
        </w:rPr>
        <w:t>Use of Estimates</w:t>
      </w:r>
    </w:p>
    <w:p w14:paraId="36DA6FA6" w14:textId="77777777" w:rsidR="001614AC" w:rsidRDefault="004468F9">
      <w:pPr>
        <w:spacing w:before="100" w:after="100" w:line="288" w:lineRule="auto"/>
        <w:ind w:firstLine="450"/>
        <w:rPr>
          <w:rFonts w:ascii="Arial" w:eastAsia="Arial" w:hAnsi="Arial" w:cs="Arial"/>
          <w:b/>
          <w:color w:val="4D6B80"/>
          <w:sz w:val="18"/>
        </w:rPr>
      </w:pPr>
      <w:r>
        <w:rPr>
          <w:rFonts w:ascii="Arial" w:eastAsia="Arial" w:hAnsi="Arial" w:cs="Arial"/>
          <w:sz w:val="18"/>
        </w:rPr>
        <w:t>The preparation of financial statements in conformity with GAAP requires us to make estimates and assumptions that affect the reported amounts of assets and liabilities and disclosure of our contingent assets and liabilities at the dat</w:t>
      </w:r>
      <w:r>
        <w:rPr>
          <w:rFonts w:ascii="Arial" w:eastAsia="Arial" w:hAnsi="Arial" w:cs="Arial"/>
          <w:sz w:val="18"/>
        </w:rPr>
        <w:t xml:space="preserve">es of the financial statements, as well as the reported amounts of revenues and expenses during the reporting periods. While the amounts included in our condensed consolidated financial statements include our best estimates and assumptions, actual results </w:t>
      </w:r>
      <w:r>
        <w:rPr>
          <w:rFonts w:ascii="Arial" w:eastAsia="Arial" w:hAnsi="Arial" w:cs="Arial"/>
          <w:sz w:val="18"/>
        </w:rPr>
        <w:t>may vary materially.</w:t>
      </w:r>
    </w:p>
    <w:p w14:paraId="74F9F5B0" w14:textId="77777777" w:rsidR="001614AC" w:rsidRDefault="004468F9">
      <w:pPr>
        <w:keepNext/>
        <w:spacing w:before="180" w:after="140" w:line="288" w:lineRule="auto"/>
        <w:rPr>
          <w:rFonts w:ascii="Arial" w:eastAsia="Arial" w:hAnsi="Arial" w:cs="Arial"/>
          <w:b/>
          <w:color w:val="002B49"/>
          <w:sz w:val="26"/>
        </w:rPr>
      </w:pPr>
      <w:r>
        <w:rPr>
          <w:rFonts w:ascii="Arial" w:eastAsia="Arial" w:hAnsi="Arial" w:cs="Arial"/>
          <w:b/>
          <w:color w:val="002B49"/>
          <w:sz w:val="26"/>
        </w:rPr>
        <w:t>Other Significant Accounting Policies</w:t>
      </w:r>
    </w:p>
    <w:p w14:paraId="34535E98" w14:textId="77777777" w:rsidR="001614AC" w:rsidRDefault="004468F9">
      <w:pPr>
        <w:spacing w:before="100" w:after="100" w:line="288" w:lineRule="auto"/>
        <w:ind w:firstLine="450"/>
        <w:rPr>
          <w:rFonts w:ascii="Arial" w:eastAsia="Arial" w:hAnsi="Arial" w:cs="Arial"/>
          <w:b/>
          <w:color w:val="4D6B80"/>
          <w:sz w:val="18"/>
        </w:rPr>
      </w:pPr>
      <w:r>
        <w:rPr>
          <w:rFonts w:ascii="Arial" w:eastAsia="Arial" w:hAnsi="Arial" w:cs="Arial"/>
          <w:sz w:val="18"/>
        </w:rPr>
        <w:t>See Note 2 of Notes to Consolidated Financial Statements in our 2020 Form 10-K for information regarding other significant accounting policies. There have been no significant changes in our signifi</w:t>
      </w:r>
      <w:r>
        <w:rPr>
          <w:rFonts w:ascii="Arial" w:eastAsia="Arial" w:hAnsi="Arial" w:cs="Arial"/>
          <w:sz w:val="18"/>
        </w:rPr>
        <w:t xml:space="preserve">cant accounting policies from those </w:t>
      </w:r>
      <w:r>
        <w:rPr>
          <w:rFonts w:ascii="Arial" w:eastAsia="Arial" w:hAnsi="Arial" w:cs="Arial"/>
          <w:sz w:val="18"/>
        </w:rPr>
        <w:lastRenderedPageBreak/>
        <w:t>discussed in our 2020 Form 10-K, other than described below in “—Recent Accounting Pronouncements—Accounting Standards Adopted During 2021.”</w:t>
      </w:r>
    </w:p>
    <w:p w14:paraId="7D60B838" w14:textId="77777777" w:rsidR="001614AC" w:rsidRDefault="004468F9">
      <w:pPr>
        <w:keepNext/>
        <w:spacing w:before="180" w:after="140" w:line="288" w:lineRule="auto"/>
        <w:rPr>
          <w:rFonts w:ascii="Arial" w:eastAsia="Arial" w:hAnsi="Arial" w:cs="Arial"/>
          <w:b/>
          <w:color w:val="002B49"/>
          <w:sz w:val="26"/>
        </w:rPr>
      </w:pPr>
      <w:r>
        <w:rPr>
          <w:rFonts w:ascii="Arial" w:eastAsia="Arial" w:hAnsi="Arial" w:cs="Arial"/>
          <w:b/>
          <w:color w:val="002B49"/>
          <w:sz w:val="26"/>
        </w:rPr>
        <w:t>Recent Accounting Pronouncements</w:t>
      </w:r>
    </w:p>
    <w:p w14:paraId="028835BB" w14:textId="77777777" w:rsidR="001614AC" w:rsidRDefault="004468F9">
      <w:pPr>
        <w:keepNext/>
        <w:spacing w:before="160" w:after="120" w:line="288" w:lineRule="auto"/>
        <w:rPr>
          <w:rFonts w:ascii="Arial" w:eastAsia="Arial" w:hAnsi="Arial" w:cs="Arial"/>
          <w:b/>
          <w:color w:val="4D6B80"/>
          <w:sz w:val="22"/>
        </w:rPr>
      </w:pPr>
      <w:r>
        <w:rPr>
          <w:rFonts w:ascii="Arial" w:eastAsia="Arial" w:hAnsi="Arial" w:cs="Arial"/>
          <w:b/>
          <w:color w:val="4D6B80"/>
          <w:sz w:val="22"/>
        </w:rPr>
        <w:t xml:space="preserve">Accounting Standards Adopted During 2021 </w:t>
      </w:r>
    </w:p>
    <w:p w14:paraId="3E82044D" w14:textId="77777777" w:rsidR="001614AC" w:rsidRDefault="004468F9">
      <w:pPr>
        <w:spacing w:before="100" w:after="100" w:line="288" w:lineRule="auto"/>
        <w:ind w:firstLine="450"/>
        <w:rPr>
          <w:rFonts w:ascii="Arial" w:eastAsia="Arial" w:hAnsi="Arial" w:cs="Arial"/>
          <w:b/>
          <w:i/>
          <w:color w:val="4D6B80"/>
          <w:sz w:val="18"/>
        </w:rPr>
      </w:pPr>
      <w:r>
        <w:rPr>
          <w:rFonts w:ascii="Arial" w:eastAsia="Arial" w:hAnsi="Arial" w:cs="Arial"/>
          <w:sz w:val="18"/>
        </w:rPr>
        <w:t>In D</w:t>
      </w:r>
      <w:r>
        <w:rPr>
          <w:rFonts w:ascii="Arial" w:eastAsia="Arial" w:hAnsi="Arial" w:cs="Arial"/>
          <w:sz w:val="18"/>
        </w:rPr>
        <w:t>ecember 2019, the FASB issued ASU 2019-12, Income Taxes—Simplifying the Accounting for Income Taxes. This update simplifies the accounting for income taxes by removing certain exceptions to the general principles of ASC Topic 740 in GAAP and clarifies cert</w:t>
      </w:r>
      <w:r>
        <w:rPr>
          <w:rFonts w:ascii="Arial" w:eastAsia="Arial" w:hAnsi="Arial" w:cs="Arial"/>
          <w:sz w:val="18"/>
        </w:rPr>
        <w:t xml:space="preserve">ain aspects to promote consistency among reporting entities. We adopted this update effective January 1, 2021. The adoption of this update did not have an impact on our financial statements and disclosures. </w:t>
      </w:r>
    </w:p>
    <w:p w14:paraId="1CEBCEC0" w14:textId="77777777" w:rsidR="001614AC" w:rsidRDefault="004468F9">
      <w:pPr>
        <w:spacing w:before="100" w:after="100" w:line="288" w:lineRule="auto"/>
        <w:ind w:firstLine="450"/>
        <w:rPr>
          <w:rFonts w:ascii="Arial" w:eastAsia="Arial" w:hAnsi="Arial" w:cs="Arial"/>
          <w:b/>
          <w:color w:val="4D6B80"/>
          <w:sz w:val="18"/>
        </w:rPr>
      </w:pPr>
      <w:r>
        <w:rPr>
          <w:rFonts w:ascii="Arial" w:eastAsia="Arial" w:hAnsi="Arial" w:cs="Arial"/>
          <w:sz w:val="18"/>
        </w:rPr>
        <w:t>In October 2020, the FASB issued ASU 2020-08, Co</w:t>
      </w:r>
      <w:r>
        <w:rPr>
          <w:rFonts w:ascii="Arial" w:eastAsia="Arial" w:hAnsi="Arial" w:cs="Arial"/>
          <w:sz w:val="18"/>
        </w:rPr>
        <w:t>dification Improvements to Subtopic 310-20, Receivables—Nonrefundable Fees and Other Costs. This update clarifies that, for each reporting period, to the extent the amortized cost basis of an individual callable debt security exceeds the amount repayable b</w:t>
      </w:r>
      <w:r>
        <w:rPr>
          <w:rFonts w:ascii="Arial" w:eastAsia="Arial" w:hAnsi="Arial" w:cs="Arial"/>
          <w:sz w:val="18"/>
        </w:rPr>
        <w:t>y the issuer at the next call date, the excess (i.e., the premium) should be amortized to the next call date. We adopted ASU 2020-08 on January 1, 2021 on a prospective basis. The adoption of this update did not have a material impact on our financial stat</w:t>
      </w:r>
      <w:r>
        <w:rPr>
          <w:rFonts w:ascii="Arial" w:eastAsia="Arial" w:hAnsi="Arial" w:cs="Arial"/>
          <w:sz w:val="18"/>
        </w:rPr>
        <w:t>ements and disclosures.</w:t>
      </w:r>
    </w:p>
    <w:p w14:paraId="1D675EE3" w14:textId="77777777" w:rsidR="001614AC" w:rsidRDefault="004468F9">
      <w:pPr>
        <w:spacing w:before="160" w:after="120" w:line="288" w:lineRule="auto"/>
        <w:rPr>
          <w:rFonts w:ascii="Arial" w:eastAsia="Arial" w:hAnsi="Arial" w:cs="Arial"/>
          <w:b/>
          <w:color w:val="4D6B80"/>
          <w:sz w:val="22"/>
        </w:rPr>
      </w:pPr>
      <w:r>
        <w:rPr>
          <w:rFonts w:ascii="Arial" w:eastAsia="Arial" w:hAnsi="Arial" w:cs="Arial"/>
          <w:b/>
          <w:color w:val="4D6B80"/>
          <w:sz w:val="22"/>
        </w:rPr>
        <w:t xml:space="preserve">Accounting Standards Not Yet Adopted </w:t>
      </w:r>
    </w:p>
    <w:p w14:paraId="21AFFAB7" w14:textId="77777777" w:rsidR="001614AC" w:rsidRDefault="004468F9">
      <w:pPr>
        <w:spacing w:before="100" w:after="100" w:line="288" w:lineRule="auto"/>
        <w:ind w:firstLine="450"/>
        <w:rPr>
          <w:rFonts w:ascii="Arial" w:eastAsia="Arial" w:hAnsi="Arial" w:cs="Arial"/>
          <w:b/>
          <w:i/>
          <w:color w:val="4D6B80"/>
          <w:sz w:val="18"/>
        </w:rPr>
      </w:pPr>
      <w:r>
        <w:rPr>
          <w:rFonts w:ascii="Arial" w:eastAsia="Arial" w:hAnsi="Arial" w:cs="Arial"/>
          <w:sz w:val="18"/>
        </w:rPr>
        <w:t>In August 2018, the FASB issued ASU 2018-12, Financial Services—Insurance. The new standard: (i) requires that assumptions used to measure the liability for future policy benefits be reviewed at</w:t>
      </w:r>
      <w:r>
        <w:rPr>
          <w:rFonts w:ascii="Arial" w:eastAsia="Arial" w:hAnsi="Arial" w:cs="Arial"/>
          <w:sz w:val="18"/>
        </w:rPr>
        <w:t xml:space="preserve"> least annually; (ii) defines and simplifies the measurement of market risk benefits; (iii) simplifies the amortization of deferred acquisition costs; and (iv) enhances the required disclosures about long-duration contracts. This update is effective for fi</w:t>
      </w:r>
      <w:r>
        <w:rPr>
          <w:rFonts w:ascii="Arial" w:eastAsia="Arial" w:hAnsi="Arial" w:cs="Arial"/>
          <w:sz w:val="18"/>
        </w:rPr>
        <w:t>scal years beginning after December 15, 2022, including interim periods within those fiscal years. Early adoption is permitted. We are currently evaluating the impact on our financial statements and future disclosures as a result of this update.</w:t>
      </w:r>
    </w:p>
    <w:p w14:paraId="7732068F" w14:textId="77777777" w:rsidR="001614AC" w:rsidRDefault="004468F9">
      <w:pPr>
        <w:spacing w:before="100" w:line="288" w:lineRule="auto"/>
        <w:ind w:firstLine="450"/>
        <w:rPr>
          <w:rFonts w:ascii="Arial" w:eastAsia="Arial" w:hAnsi="Arial" w:cs="Arial"/>
          <w:b/>
          <w:color w:val="4D6B80"/>
          <w:sz w:val="18"/>
        </w:rPr>
      </w:pPr>
      <w:r>
        <w:rPr>
          <w:rFonts w:ascii="Arial" w:eastAsia="Arial" w:hAnsi="Arial" w:cs="Arial"/>
          <w:sz w:val="18"/>
        </w:rPr>
        <w:t>In March 2</w:t>
      </w:r>
      <w:r>
        <w:rPr>
          <w:rFonts w:ascii="Arial" w:eastAsia="Arial" w:hAnsi="Arial" w:cs="Arial"/>
          <w:sz w:val="18"/>
        </w:rPr>
        <w:t>020, the FASB issued ASU 2020-04, Reference Rate Reform—Facilitation of the Effects of Reference Reform on Financial Reporting. This update provides optional expedients and exceptions for applying GAAP to contracts, hedging relationships, and other transac</w:t>
      </w:r>
      <w:r>
        <w:rPr>
          <w:rFonts w:ascii="Arial" w:eastAsia="Arial" w:hAnsi="Arial" w:cs="Arial"/>
          <w:sz w:val="18"/>
        </w:rPr>
        <w:t>tions affected by reference rate reform. The amendments in this update are optional and may be elected from the date of issuance through December 31, 2022, as reference rate reform activities occur. We are currently evaluating the impact of the guidance an</w:t>
      </w:r>
      <w:r>
        <w:rPr>
          <w:rFonts w:ascii="Arial" w:eastAsia="Arial" w:hAnsi="Arial" w:cs="Arial"/>
          <w:sz w:val="18"/>
        </w:rPr>
        <w:t>d our options related to the practical expedients.</w:t>
      </w:r>
    </w:p>
    <w:p w14:paraId="5532921C" w14:textId="77777777" w:rsidR="001614AC" w:rsidRDefault="001614AC">
      <w:pPr>
        <w:spacing w:before="100" w:line="288" w:lineRule="auto"/>
        <w:ind w:firstLine="450"/>
        <w:rPr>
          <w:rFonts w:ascii="Arial" w:eastAsia="Arial" w:hAnsi="Arial" w:cs="Arial"/>
          <w:b/>
          <w:color w:val="4D6B80"/>
          <w:sz w:val="30"/>
        </w:rPr>
        <w:sectPr w:rsidR="001614AC">
          <w:headerReference w:type="default" r:id="rId25"/>
          <w:type w:val="continuous"/>
          <w:pgSz w:w="12240" w:h="15840"/>
          <w:pgMar w:top="1260" w:right="1080" w:bottom="1080" w:left="1080" w:header="270" w:footer="270" w:gutter="0"/>
          <w:cols w:space="708"/>
        </w:sectPr>
      </w:pPr>
    </w:p>
    <w:p w14:paraId="101C273F" w14:textId="77777777" w:rsidR="001614AC" w:rsidRDefault="004468F9">
      <w:pPr>
        <w:keepNext/>
        <w:tabs>
          <w:tab w:val="left" w:pos="360"/>
        </w:tabs>
        <w:spacing w:after="160" w:line="288" w:lineRule="auto"/>
        <w:ind w:left="360" w:hanging="360"/>
        <w:outlineLvl w:val="3"/>
        <w:rPr>
          <w:rFonts w:ascii="Arial" w:eastAsia="Arial" w:hAnsi="Arial" w:cs="Arial"/>
          <w:b/>
          <w:color w:val="4D6B80"/>
          <w:sz w:val="30"/>
        </w:rPr>
      </w:pPr>
      <w:bookmarkStart w:id="14" w:name="Section15"/>
      <w:bookmarkEnd w:id="14"/>
      <w:r>
        <w:rPr>
          <w:rFonts w:ascii="Arial" w:eastAsia="Arial" w:hAnsi="Arial" w:cs="Arial"/>
          <w:b/>
          <w:color w:val="4D6B80"/>
          <w:sz w:val="30"/>
        </w:rPr>
        <w:lastRenderedPageBreak/>
        <w:t xml:space="preserve">3. Net Income </w:t>
      </w:r>
      <w:r>
        <w:rPr>
          <w:rFonts w:ascii="Arial" w:eastAsia="Arial" w:hAnsi="Arial" w:cs="Arial"/>
          <w:b/>
          <w:color w:val="4D6B80"/>
          <w:sz w:val="30"/>
        </w:rPr>
        <w:t>(Loss) Per Share</w:t>
      </w:r>
    </w:p>
    <w:p w14:paraId="231A6505" w14:textId="77777777" w:rsidR="001614AC" w:rsidRDefault="004468F9">
      <w:pPr>
        <w:spacing w:before="100" w:after="100" w:line="288" w:lineRule="auto"/>
        <w:ind w:firstLine="450"/>
        <w:rPr>
          <w:rFonts w:ascii="Arial" w:eastAsia="Arial" w:hAnsi="Arial" w:cs="Arial"/>
          <w:b/>
          <w:color w:val="4D6B80"/>
          <w:sz w:val="18"/>
          <w:shd w:val="clear" w:color="auto" w:fill="DBDBDB"/>
        </w:rPr>
      </w:pPr>
      <w:r>
        <w:rPr>
          <w:rFonts w:ascii="Arial" w:eastAsia="Arial" w:hAnsi="Arial" w:cs="Arial"/>
          <w:sz w:val="18"/>
        </w:rPr>
        <w:t>Basic net income (loss) per share is computed by dividing net income (loss) by the weighted-average number of common shares outstanding, while diluted net income (loss) per share is computed by dividing net income (loss) attributable to co</w:t>
      </w:r>
      <w:r>
        <w:rPr>
          <w:rFonts w:ascii="Arial" w:eastAsia="Arial" w:hAnsi="Arial" w:cs="Arial"/>
          <w:sz w:val="18"/>
        </w:rPr>
        <w:t>mmon stockholders by the sum of the weighted-average number of common shares outstanding and the weighted-average number of dilutive potential common shares. Dilutive potential common shares relate to our share-based compensation arrangements.</w:t>
      </w:r>
    </w:p>
    <w:p w14:paraId="46A22F15" w14:textId="77777777" w:rsidR="001614AC" w:rsidRDefault="004468F9">
      <w:pPr>
        <w:keepNext/>
        <w:spacing w:before="100" w:after="100" w:line="288" w:lineRule="auto"/>
        <w:ind w:firstLine="450"/>
        <w:rPr>
          <w:rFonts w:ascii="Arial" w:eastAsia="Arial" w:hAnsi="Arial" w:cs="Arial"/>
          <w:b/>
          <w:color w:val="4D6B80"/>
          <w:sz w:val="18"/>
        </w:rPr>
      </w:pPr>
      <w:r>
        <w:rPr>
          <w:rFonts w:ascii="Arial" w:eastAsia="Arial" w:hAnsi="Arial" w:cs="Arial"/>
          <w:sz w:val="18"/>
        </w:rPr>
        <w:t>The calculat</w:t>
      </w:r>
      <w:r>
        <w:rPr>
          <w:rFonts w:ascii="Arial" w:eastAsia="Arial" w:hAnsi="Arial" w:cs="Arial"/>
          <w:sz w:val="18"/>
        </w:rPr>
        <w:t xml:space="preserve">ion of basic and diluted net income (loss) per share is as follows. </w:t>
      </w:r>
    </w:p>
    <w:tbl>
      <w:tblPr>
        <w:tblW w:w="102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54"/>
        <w:gridCol w:w="107"/>
        <w:gridCol w:w="163"/>
        <w:gridCol w:w="760"/>
        <w:gridCol w:w="102"/>
        <w:gridCol w:w="107"/>
        <w:gridCol w:w="163"/>
        <w:gridCol w:w="760"/>
        <w:gridCol w:w="102"/>
        <w:gridCol w:w="107"/>
        <w:gridCol w:w="163"/>
        <w:gridCol w:w="760"/>
        <w:gridCol w:w="102"/>
        <w:gridCol w:w="107"/>
        <w:gridCol w:w="163"/>
        <w:gridCol w:w="760"/>
        <w:gridCol w:w="102"/>
      </w:tblGrid>
      <w:tr w:rsidR="001614AC" w14:paraId="127EFB05" w14:textId="77777777">
        <w:trPr>
          <w:cantSplit/>
          <w:tblHeader/>
        </w:trPr>
        <w:tc>
          <w:tcPr>
            <w:tcW w:w="10080" w:type="dxa"/>
            <w:gridSpan w:val="17"/>
            <w:tcBorders>
              <w:top w:val="nil"/>
              <w:left w:val="nil"/>
              <w:bottom w:val="single" w:sz="12" w:space="0" w:color="99AAB6"/>
              <w:right w:val="nil"/>
            </w:tcBorders>
            <w:tcMar>
              <w:top w:w="0" w:type="dxa"/>
              <w:left w:w="53" w:type="dxa"/>
              <w:bottom w:w="0" w:type="dxa"/>
              <w:right w:w="53" w:type="dxa"/>
            </w:tcMar>
            <w:vAlign w:val="bottom"/>
          </w:tcPr>
          <w:p w14:paraId="56F5104B" w14:textId="77777777" w:rsidR="001614AC" w:rsidRDefault="004468F9">
            <w:pPr>
              <w:keepNext/>
              <w:spacing w:before="75" w:after="30" w:line="288" w:lineRule="auto"/>
            </w:pPr>
            <w:r>
              <w:rPr>
                <w:rFonts w:ascii="Arial" w:eastAsia="Arial" w:hAnsi="Arial" w:cs="Arial"/>
                <w:b/>
                <w:color w:val="000000"/>
                <w:sz w:val="20"/>
              </w:rPr>
              <w:t>Net income (loss) per share</w:t>
            </w:r>
          </w:p>
        </w:tc>
      </w:tr>
      <w:tr w:rsidR="001614AC" w14:paraId="089DF0CF" w14:textId="77777777">
        <w:trPr>
          <w:cantSplit/>
          <w:trHeight w:hRule="exact" w:val="135"/>
          <w:tblHeader/>
        </w:trPr>
        <w:tc>
          <w:tcPr>
            <w:tcW w:w="5640" w:type="dxa"/>
            <w:tcBorders>
              <w:top w:val="nil"/>
              <w:left w:val="nil"/>
              <w:bottom w:val="nil"/>
              <w:right w:val="nil"/>
            </w:tcBorders>
            <w:tcMar>
              <w:top w:w="0" w:type="dxa"/>
              <w:left w:w="0" w:type="dxa"/>
              <w:bottom w:w="0" w:type="dxa"/>
              <w:right w:w="0" w:type="dxa"/>
            </w:tcMar>
            <w:vAlign w:val="bottom"/>
          </w:tcPr>
          <w:p w14:paraId="2C70A644" w14:textId="77777777" w:rsidR="001614AC" w:rsidRDefault="001614AC">
            <w:pPr>
              <w:keepNext/>
            </w:pPr>
          </w:p>
        </w:tc>
        <w:tc>
          <w:tcPr>
            <w:tcW w:w="105" w:type="dxa"/>
            <w:tcBorders>
              <w:top w:val="single" w:sz="12" w:space="0" w:color="99AAB6"/>
              <w:left w:val="nil"/>
              <w:bottom w:val="nil"/>
              <w:right w:val="nil"/>
            </w:tcBorders>
            <w:tcMar>
              <w:top w:w="0" w:type="dxa"/>
              <w:left w:w="0" w:type="dxa"/>
              <w:bottom w:w="0" w:type="dxa"/>
              <w:right w:w="0" w:type="dxa"/>
            </w:tcMar>
            <w:vAlign w:val="bottom"/>
          </w:tcPr>
          <w:p w14:paraId="78A7420F" w14:textId="77777777" w:rsidR="001614AC" w:rsidRDefault="001614AC">
            <w:pPr>
              <w:keepNext/>
            </w:pPr>
          </w:p>
        </w:tc>
        <w:tc>
          <w:tcPr>
            <w:tcW w:w="1005" w:type="dxa"/>
            <w:gridSpan w:val="3"/>
            <w:tcBorders>
              <w:top w:val="single" w:sz="12" w:space="0" w:color="99AAB6"/>
              <w:left w:val="nil"/>
              <w:bottom w:val="nil"/>
              <w:right w:val="nil"/>
            </w:tcBorders>
            <w:tcMar>
              <w:top w:w="0" w:type="dxa"/>
              <w:left w:w="0" w:type="dxa"/>
              <w:bottom w:w="0" w:type="dxa"/>
              <w:right w:w="0" w:type="dxa"/>
            </w:tcMar>
            <w:vAlign w:val="bottom"/>
          </w:tcPr>
          <w:p w14:paraId="439E44F7" w14:textId="77777777" w:rsidR="001614AC" w:rsidRDefault="001614AC">
            <w:pPr>
              <w:keepNext/>
            </w:pPr>
          </w:p>
        </w:tc>
        <w:tc>
          <w:tcPr>
            <w:tcW w:w="105" w:type="dxa"/>
            <w:tcBorders>
              <w:top w:val="single" w:sz="12" w:space="0" w:color="99AAB6"/>
              <w:left w:val="nil"/>
              <w:bottom w:val="nil"/>
              <w:right w:val="nil"/>
            </w:tcBorders>
            <w:tcMar>
              <w:top w:w="0" w:type="dxa"/>
              <w:left w:w="0" w:type="dxa"/>
              <w:bottom w:w="0" w:type="dxa"/>
              <w:right w:w="0" w:type="dxa"/>
            </w:tcMar>
            <w:vAlign w:val="bottom"/>
          </w:tcPr>
          <w:p w14:paraId="29C899F7" w14:textId="77777777" w:rsidR="001614AC" w:rsidRDefault="001614AC">
            <w:pPr>
              <w:keepNext/>
            </w:pPr>
          </w:p>
        </w:tc>
        <w:tc>
          <w:tcPr>
            <w:tcW w:w="1005" w:type="dxa"/>
            <w:gridSpan w:val="3"/>
            <w:tcBorders>
              <w:top w:val="single" w:sz="12" w:space="0" w:color="99AAB6"/>
              <w:left w:val="nil"/>
              <w:bottom w:val="nil"/>
              <w:right w:val="nil"/>
            </w:tcBorders>
            <w:tcMar>
              <w:top w:w="0" w:type="dxa"/>
              <w:left w:w="0" w:type="dxa"/>
              <w:bottom w:w="0" w:type="dxa"/>
              <w:right w:w="0" w:type="dxa"/>
            </w:tcMar>
            <w:vAlign w:val="bottom"/>
          </w:tcPr>
          <w:p w14:paraId="0FC7513B" w14:textId="77777777" w:rsidR="001614AC" w:rsidRDefault="001614AC">
            <w:pPr>
              <w:keepNext/>
            </w:pPr>
          </w:p>
        </w:tc>
        <w:tc>
          <w:tcPr>
            <w:tcW w:w="105" w:type="dxa"/>
            <w:tcBorders>
              <w:top w:val="single" w:sz="12" w:space="0" w:color="99AAB6"/>
              <w:left w:val="nil"/>
              <w:bottom w:val="nil"/>
              <w:right w:val="nil"/>
            </w:tcBorders>
            <w:tcMar>
              <w:top w:w="0" w:type="dxa"/>
              <w:left w:w="0" w:type="dxa"/>
              <w:bottom w:w="0" w:type="dxa"/>
              <w:right w:w="0" w:type="dxa"/>
            </w:tcMar>
            <w:vAlign w:val="bottom"/>
          </w:tcPr>
          <w:p w14:paraId="6C83F642" w14:textId="77777777" w:rsidR="001614AC" w:rsidRDefault="001614AC">
            <w:pPr>
              <w:keepNext/>
            </w:pPr>
          </w:p>
        </w:tc>
        <w:tc>
          <w:tcPr>
            <w:tcW w:w="1005" w:type="dxa"/>
            <w:gridSpan w:val="3"/>
            <w:tcBorders>
              <w:top w:val="single" w:sz="12" w:space="0" w:color="99AAB6"/>
              <w:left w:val="nil"/>
              <w:bottom w:val="nil"/>
              <w:right w:val="nil"/>
            </w:tcBorders>
            <w:tcMar>
              <w:top w:w="0" w:type="dxa"/>
              <w:left w:w="0" w:type="dxa"/>
              <w:bottom w:w="0" w:type="dxa"/>
              <w:right w:w="0" w:type="dxa"/>
            </w:tcMar>
            <w:vAlign w:val="bottom"/>
          </w:tcPr>
          <w:p w14:paraId="1D8B3A2A" w14:textId="77777777" w:rsidR="001614AC" w:rsidRDefault="001614AC">
            <w:pPr>
              <w:keepNext/>
            </w:pPr>
          </w:p>
        </w:tc>
        <w:tc>
          <w:tcPr>
            <w:tcW w:w="105" w:type="dxa"/>
            <w:tcBorders>
              <w:top w:val="single" w:sz="12" w:space="0" w:color="99AAB6"/>
              <w:left w:val="nil"/>
              <w:bottom w:val="nil"/>
              <w:right w:val="nil"/>
            </w:tcBorders>
            <w:tcMar>
              <w:top w:w="0" w:type="dxa"/>
              <w:left w:w="0" w:type="dxa"/>
              <w:bottom w:w="0" w:type="dxa"/>
              <w:right w:w="0" w:type="dxa"/>
            </w:tcMar>
            <w:vAlign w:val="bottom"/>
          </w:tcPr>
          <w:p w14:paraId="01431E3A" w14:textId="77777777" w:rsidR="001614AC" w:rsidRDefault="001614AC">
            <w:pPr>
              <w:keepNext/>
            </w:pPr>
          </w:p>
        </w:tc>
        <w:tc>
          <w:tcPr>
            <w:tcW w:w="1005" w:type="dxa"/>
            <w:gridSpan w:val="3"/>
            <w:tcBorders>
              <w:top w:val="single" w:sz="12" w:space="0" w:color="99AAB6"/>
              <w:left w:val="nil"/>
              <w:bottom w:val="nil"/>
              <w:right w:val="nil"/>
            </w:tcBorders>
            <w:tcMar>
              <w:top w:w="0" w:type="dxa"/>
              <w:left w:w="0" w:type="dxa"/>
              <w:bottom w:w="0" w:type="dxa"/>
              <w:right w:w="0" w:type="dxa"/>
            </w:tcMar>
            <w:vAlign w:val="bottom"/>
          </w:tcPr>
          <w:p w14:paraId="06EB36B2" w14:textId="77777777" w:rsidR="001614AC" w:rsidRDefault="001614AC">
            <w:pPr>
              <w:keepNext/>
            </w:pPr>
          </w:p>
        </w:tc>
      </w:tr>
      <w:tr w:rsidR="001614AC" w14:paraId="2C57F511" w14:textId="77777777">
        <w:trPr>
          <w:cantSplit/>
        </w:trPr>
        <w:tc>
          <w:tcPr>
            <w:tcW w:w="5640" w:type="dxa"/>
            <w:tcBorders>
              <w:top w:val="nil"/>
              <w:left w:val="nil"/>
              <w:bottom w:val="single" w:sz="8" w:space="0" w:color="FFFFFF"/>
              <w:right w:val="nil"/>
            </w:tcBorders>
            <w:tcMar>
              <w:top w:w="0" w:type="dxa"/>
              <w:left w:w="0" w:type="dxa"/>
              <w:bottom w:w="0" w:type="dxa"/>
              <w:right w:w="0" w:type="dxa"/>
            </w:tcMar>
            <w:vAlign w:val="bottom"/>
          </w:tcPr>
          <w:p w14:paraId="2E2BDF46" w14:textId="77777777" w:rsidR="001614AC" w:rsidRDefault="001614AC">
            <w:pPr>
              <w:keepNext/>
            </w:pPr>
          </w:p>
        </w:tc>
        <w:tc>
          <w:tcPr>
            <w:tcW w:w="105" w:type="dxa"/>
            <w:tcBorders>
              <w:top w:val="nil"/>
              <w:left w:val="nil"/>
              <w:bottom w:val="nil"/>
              <w:right w:val="nil"/>
            </w:tcBorders>
            <w:tcMar>
              <w:top w:w="0" w:type="dxa"/>
              <w:left w:w="0" w:type="dxa"/>
              <w:bottom w:w="0" w:type="dxa"/>
              <w:right w:w="0" w:type="dxa"/>
            </w:tcMar>
            <w:vAlign w:val="bottom"/>
          </w:tcPr>
          <w:p w14:paraId="642146BF" w14:textId="77777777" w:rsidR="001614AC" w:rsidRDefault="001614AC">
            <w:pPr>
              <w:keepNext/>
            </w:pPr>
          </w:p>
        </w:tc>
        <w:tc>
          <w:tcPr>
            <w:tcW w:w="2115" w:type="dxa"/>
            <w:gridSpan w:val="7"/>
            <w:tcBorders>
              <w:top w:val="nil"/>
              <w:left w:val="nil"/>
              <w:bottom w:val="single" w:sz="8" w:space="0" w:color="FFFFFF"/>
              <w:right w:val="nil"/>
            </w:tcBorders>
            <w:tcMar>
              <w:top w:w="0" w:type="dxa"/>
              <w:left w:w="53" w:type="dxa"/>
              <w:bottom w:w="0" w:type="dxa"/>
              <w:right w:w="53" w:type="dxa"/>
            </w:tcMar>
            <w:vAlign w:val="bottom"/>
          </w:tcPr>
          <w:p w14:paraId="6BA40C6D" w14:textId="77777777" w:rsidR="001614AC" w:rsidRDefault="004468F9">
            <w:pPr>
              <w:keepNext/>
              <w:spacing w:before="75" w:line="288" w:lineRule="auto"/>
              <w:jc w:val="center"/>
            </w:pPr>
            <w:r>
              <w:rPr>
                <w:rFonts w:ascii="Arial" w:eastAsia="Arial" w:hAnsi="Arial" w:cs="Arial"/>
                <w:b/>
                <w:color w:val="00BAB3"/>
                <w:sz w:val="18"/>
              </w:rPr>
              <w:t>Three Months Ended</w:t>
            </w:r>
          </w:p>
          <w:p w14:paraId="0F7D9D7F" w14:textId="77777777" w:rsidR="001614AC" w:rsidRDefault="004468F9">
            <w:pPr>
              <w:spacing w:after="30" w:line="288" w:lineRule="auto"/>
              <w:jc w:val="center"/>
            </w:pPr>
            <w:r>
              <w:rPr>
                <w:rFonts w:ascii="Arial" w:eastAsia="Arial" w:hAnsi="Arial" w:cs="Arial"/>
                <w:b/>
                <w:color w:val="00BAB3"/>
                <w:sz w:val="18"/>
              </w:rPr>
              <w:t>June 30,</w:t>
            </w:r>
          </w:p>
        </w:tc>
        <w:tc>
          <w:tcPr>
            <w:tcW w:w="105" w:type="dxa"/>
            <w:tcBorders>
              <w:top w:val="nil"/>
              <w:left w:val="nil"/>
              <w:bottom w:val="single" w:sz="8" w:space="0" w:color="FFFFFF"/>
              <w:right w:val="nil"/>
            </w:tcBorders>
            <w:tcMar>
              <w:top w:w="0" w:type="dxa"/>
              <w:left w:w="0" w:type="dxa"/>
              <w:bottom w:w="0" w:type="dxa"/>
              <w:right w:w="0" w:type="dxa"/>
            </w:tcMar>
            <w:vAlign w:val="bottom"/>
          </w:tcPr>
          <w:p w14:paraId="610FDA31" w14:textId="77777777" w:rsidR="001614AC" w:rsidRDefault="001614AC">
            <w:pPr>
              <w:keepNext/>
            </w:pPr>
          </w:p>
        </w:tc>
        <w:tc>
          <w:tcPr>
            <w:tcW w:w="2115" w:type="dxa"/>
            <w:gridSpan w:val="7"/>
            <w:tcBorders>
              <w:top w:val="nil"/>
              <w:left w:val="nil"/>
              <w:bottom w:val="nil"/>
              <w:right w:val="nil"/>
            </w:tcBorders>
            <w:tcMar>
              <w:top w:w="0" w:type="dxa"/>
              <w:left w:w="53" w:type="dxa"/>
              <w:bottom w:w="0" w:type="dxa"/>
              <w:right w:w="53" w:type="dxa"/>
            </w:tcMar>
            <w:vAlign w:val="bottom"/>
          </w:tcPr>
          <w:p w14:paraId="38326776" w14:textId="77777777" w:rsidR="001614AC" w:rsidRDefault="004468F9">
            <w:pPr>
              <w:keepNext/>
              <w:spacing w:before="75" w:line="288" w:lineRule="auto"/>
              <w:jc w:val="center"/>
            </w:pPr>
            <w:r>
              <w:rPr>
                <w:rFonts w:ascii="Arial" w:eastAsia="Arial" w:hAnsi="Arial" w:cs="Arial"/>
                <w:b/>
                <w:color w:val="00BAB3"/>
                <w:sz w:val="18"/>
              </w:rPr>
              <w:t>Six Months Ended</w:t>
            </w:r>
          </w:p>
          <w:p w14:paraId="00B7F5A9" w14:textId="77777777" w:rsidR="001614AC" w:rsidRDefault="004468F9">
            <w:pPr>
              <w:spacing w:after="30" w:line="288" w:lineRule="auto"/>
              <w:jc w:val="center"/>
            </w:pPr>
            <w:r>
              <w:rPr>
                <w:rFonts w:ascii="Arial" w:eastAsia="Arial" w:hAnsi="Arial" w:cs="Arial"/>
                <w:b/>
                <w:color w:val="00BAB3"/>
                <w:sz w:val="18"/>
              </w:rPr>
              <w:t>June 30,</w:t>
            </w:r>
          </w:p>
        </w:tc>
      </w:tr>
      <w:tr w:rsidR="001614AC" w14:paraId="7872E143" w14:textId="77777777">
        <w:trPr>
          <w:cantSplit/>
        </w:trPr>
        <w:tc>
          <w:tcPr>
            <w:tcW w:w="5640" w:type="dxa"/>
            <w:tcBorders>
              <w:top w:val="single" w:sz="8" w:space="0" w:color="FFFFFF"/>
              <w:left w:val="nil"/>
              <w:bottom w:val="single" w:sz="8" w:space="0" w:color="C7C9C7"/>
              <w:right w:val="nil"/>
            </w:tcBorders>
            <w:tcMar>
              <w:top w:w="0" w:type="dxa"/>
              <w:left w:w="53" w:type="dxa"/>
              <w:bottom w:w="0" w:type="dxa"/>
              <w:right w:w="53" w:type="dxa"/>
            </w:tcMar>
            <w:vAlign w:val="bottom"/>
          </w:tcPr>
          <w:p w14:paraId="45614825" w14:textId="77777777" w:rsidR="001614AC" w:rsidRDefault="004468F9">
            <w:pPr>
              <w:keepNext/>
              <w:spacing w:before="55" w:after="30" w:line="288" w:lineRule="auto"/>
            </w:pPr>
            <w:r>
              <w:rPr>
                <w:rFonts w:ascii="Arial" w:eastAsia="Arial" w:hAnsi="Arial" w:cs="Arial"/>
                <w:color w:val="8B8886"/>
                <w:sz w:val="16"/>
              </w:rPr>
              <w:t>(In thousands, except per-share amounts)</w:t>
            </w:r>
          </w:p>
        </w:tc>
        <w:tc>
          <w:tcPr>
            <w:tcW w:w="105" w:type="dxa"/>
            <w:tcBorders>
              <w:top w:val="nil"/>
              <w:left w:val="nil"/>
              <w:bottom w:val="single" w:sz="8" w:space="0" w:color="C7C9C7"/>
              <w:right w:val="nil"/>
            </w:tcBorders>
            <w:tcMar>
              <w:top w:w="0" w:type="dxa"/>
              <w:left w:w="0" w:type="dxa"/>
              <w:bottom w:w="0" w:type="dxa"/>
              <w:right w:w="0" w:type="dxa"/>
            </w:tcMar>
            <w:vAlign w:val="bottom"/>
          </w:tcPr>
          <w:p w14:paraId="401996E9" w14:textId="77777777" w:rsidR="001614AC" w:rsidRDefault="001614AC">
            <w:pPr>
              <w:keepNext/>
            </w:pPr>
          </w:p>
        </w:tc>
        <w:tc>
          <w:tcPr>
            <w:tcW w:w="1005" w:type="dxa"/>
            <w:gridSpan w:val="3"/>
            <w:tcBorders>
              <w:top w:val="nil"/>
              <w:left w:val="nil"/>
              <w:bottom w:val="single" w:sz="8" w:space="0" w:color="C7C9C7"/>
              <w:right w:val="nil"/>
            </w:tcBorders>
            <w:shd w:val="clear" w:color="auto" w:fill="E6F8F8"/>
            <w:tcMar>
              <w:top w:w="0" w:type="dxa"/>
              <w:left w:w="53" w:type="dxa"/>
              <w:bottom w:w="0" w:type="dxa"/>
              <w:right w:w="53" w:type="dxa"/>
            </w:tcMar>
            <w:vAlign w:val="bottom"/>
          </w:tcPr>
          <w:p w14:paraId="30BF342C" w14:textId="77777777" w:rsidR="001614AC" w:rsidRDefault="004468F9">
            <w:pPr>
              <w:keepNext/>
              <w:spacing w:before="55" w:after="30" w:line="288" w:lineRule="auto"/>
              <w:jc w:val="center"/>
            </w:pPr>
            <w:r>
              <w:rPr>
                <w:rFonts w:ascii="Arial" w:eastAsia="Arial" w:hAnsi="Arial" w:cs="Arial"/>
                <w:b/>
                <w:color w:val="00BAB3"/>
                <w:sz w:val="18"/>
              </w:rPr>
              <w:t>2021</w:t>
            </w:r>
          </w:p>
        </w:tc>
        <w:tc>
          <w:tcPr>
            <w:tcW w:w="105" w:type="dxa"/>
            <w:tcBorders>
              <w:top w:val="single" w:sz="8" w:space="0" w:color="FFFFFF"/>
              <w:left w:val="nil"/>
              <w:bottom w:val="single" w:sz="8" w:space="0" w:color="C7C9C7"/>
              <w:right w:val="nil"/>
            </w:tcBorders>
            <w:tcMar>
              <w:top w:w="0" w:type="dxa"/>
              <w:left w:w="0" w:type="dxa"/>
              <w:bottom w:w="0" w:type="dxa"/>
              <w:right w:w="0" w:type="dxa"/>
            </w:tcMar>
            <w:vAlign w:val="bottom"/>
          </w:tcPr>
          <w:p w14:paraId="3241596C" w14:textId="77777777" w:rsidR="001614AC" w:rsidRDefault="001614AC">
            <w:pPr>
              <w:keepNext/>
            </w:pPr>
          </w:p>
        </w:tc>
        <w:tc>
          <w:tcPr>
            <w:tcW w:w="1005" w:type="dxa"/>
            <w:gridSpan w:val="3"/>
            <w:tcBorders>
              <w:top w:val="single" w:sz="8" w:space="0" w:color="FFFFFF"/>
              <w:left w:val="nil"/>
              <w:bottom w:val="single" w:sz="8" w:space="0" w:color="C7C9C7"/>
              <w:right w:val="nil"/>
            </w:tcBorders>
            <w:shd w:val="clear" w:color="auto" w:fill="F4F4F4"/>
            <w:tcMar>
              <w:top w:w="0" w:type="dxa"/>
              <w:left w:w="53" w:type="dxa"/>
              <w:bottom w:w="0" w:type="dxa"/>
              <w:right w:w="53" w:type="dxa"/>
            </w:tcMar>
            <w:vAlign w:val="bottom"/>
          </w:tcPr>
          <w:p w14:paraId="10104B1F" w14:textId="77777777" w:rsidR="001614AC" w:rsidRDefault="004468F9">
            <w:pPr>
              <w:keepNext/>
              <w:spacing w:before="55" w:after="30" w:line="288" w:lineRule="auto"/>
              <w:jc w:val="center"/>
            </w:pPr>
            <w:r>
              <w:rPr>
                <w:rFonts w:ascii="Arial" w:eastAsia="Arial" w:hAnsi="Arial" w:cs="Arial"/>
                <w:b/>
                <w:color w:val="00BAB3"/>
                <w:sz w:val="18"/>
              </w:rPr>
              <w:t>2020</w:t>
            </w:r>
          </w:p>
        </w:tc>
        <w:tc>
          <w:tcPr>
            <w:tcW w:w="105" w:type="dxa"/>
            <w:tcBorders>
              <w:top w:val="single" w:sz="8" w:space="0" w:color="FFFFFF"/>
              <w:left w:val="nil"/>
              <w:bottom w:val="single" w:sz="8" w:space="0" w:color="C7C9C7"/>
              <w:right w:val="nil"/>
            </w:tcBorders>
            <w:tcMar>
              <w:top w:w="0" w:type="dxa"/>
              <w:left w:w="0" w:type="dxa"/>
              <w:bottom w:w="0" w:type="dxa"/>
              <w:right w:w="0" w:type="dxa"/>
            </w:tcMar>
            <w:vAlign w:val="bottom"/>
          </w:tcPr>
          <w:p w14:paraId="5C1E914B" w14:textId="77777777" w:rsidR="001614AC" w:rsidRDefault="001614AC">
            <w:pPr>
              <w:keepNext/>
            </w:pPr>
          </w:p>
        </w:tc>
        <w:tc>
          <w:tcPr>
            <w:tcW w:w="1005" w:type="dxa"/>
            <w:gridSpan w:val="3"/>
            <w:tcBorders>
              <w:top w:val="single" w:sz="8" w:space="0" w:color="FFFFFF"/>
              <w:left w:val="nil"/>
              <w:bottom w:val="single" w:sz="8" w:space="0" w:color="C7C9C7"/>
              <w:right w:val="nil"/>
            </w:tcBorders>
            <w:shd w:val="clear" w:color="auto" w:fill="E6F8F8"/>
            <w:tcMar>
              <w:top w:w="0" w:type="dxa"/>
              <w:left w:w="53" w:type="dxa"/>
              <w:bottom w:w="0" w:type="dxa"/>
              <w:right w:w="53" w:type="dxa"/>
            </w:tcMar>
            <w:vAlign w:val="bottom"/>
          </w:tcPr>
          <w:p w14:paraId="1BB8CA75" w14:textId="77777777" w:rsidR="001614AC" w:rsidRDefault="004468F9">
            <w:pPr>
              <w:keepNext/>
              <w:spacing w:before="55" w:after="30" w:line="288" w:lineRule="auto"/>
              <w:jc w:val="center"/>
            </w:pPr>
            <w:r>
              <w:rPr>
                <w:rFonts w:ascii="Arial" w:eastAsia="Arial" w:hAnsi="Arial" w:cs="Arial"/>
                <w:b/>
                <w:color w:val="00BAB3"/>
                <w:sz w:val="18"/>
              </w:rPr>
              <w:t>2021</w:t>
            </w:r>
          </w:p>
        </w:tc>
        <w:tc>
          <w:tcPr>
            <w:tcW w:w="105" w:type="dxa"/>
            <w:tcBorders>
              <w:top w:val="single" w:sz="8" w:space="0" w:color="FFFFFF"/>
              <w:left w:val="nil"/>
              <w:bottom w:val="single" w:sz="8" w:space="0" w:color="C7C9C7"/>
              <w:right w:val="nil"/>
            </w:tcBorders>
            <w:tcMar>
              <w:top w:w="0" w:type="dxa"/>
              <w:left w:w="0" w:type="dxa"/>
              <w:bottom w:w="0" w:type="dxa"/>
              <w:right w:w="0" w:type="dxa"/>
            </w:tcMar>
            <w:vAlign w:val="bottom"/>
          </w:tcPr>
          <w:p w14:paraId="1B3BA6AD" w14:textId="77777777" w:rsidR="001614AC" w:rsidRDefault="001614AC">
            <w:pPr>
              <w:keepNext/>
            </w:pPr>
          </w:p>
        </w:tc>
        <w:tc>
          <w:tcPr>
            <w:tcW w:w="1005" w:type="dxa"/>
            <w:gridSpan w:val="3"/>
            <w:tcBorders>
              <w:top w:val="single" w:sz="8" w:space="0" w:color="FFFFFF"/>
              <w:left w:val="nil"/>
              <w:bottom w:val="single" w:sz="8" w:space="0" w:color="C7C9C7"/>
              <w:right w:val="nil"/>
            </w:tcBorders>
            <w:shd w:val="clear" w:color="auto" w:fill="F4F4F4"/>
            <w:tcMar>
              <w:top w:w="0" w:type="dxa"/>
              <w:left w:w="53" w:type="dxa"/>
              <w:bottom w:w="0" w:type="dxa"/>
              <w:right w:w="53" w:type="dxa"/>
            </w:tcMar>
            <w:vAlign w:val="bottom"/>
          </w:tcPr>
          <w:p w14:paraId="5A75E8DA" w14:textId="77777777" w:rsidR="001614AC" w:rsidRDefault="004468F9">
            <w:pPr>
              <w:keepNext/>
              <w:spacing w:before="55" w:after="30" w:line="288" w:lineRule="auto"/>
              <w:jc w:val="center"/>
            </w:pPr>
            <w:r>
              <w:rPr>
                <w:rFonts w:ascii="Arial" w:eastAsia="Arial" w:hAnsi="Arial" w:cs="Arial"/>
                <w:b/>
                <w:color w:val="00BAB3"/>
                <w:sz w:val="18"/>
              </w:rPr>
              <w:t>2020</w:t>
            </w:r>
          </w:p>
        </w:tc>
      </w:tr>
      <w:tr w:rsidR="001614AC" w14:paraId="5F21B588" w14:textId="77777777">
        <w:trPr>
          <w:cantSplit/>
        </w:trPr>
        <w:tc>
          <w:tcPr>
            <w:tcW w:w="5640" w:type="dxa"/>
            <w:tcBorders>
              <w:top w:val="single" w:sz="8" w:space="0" w:color="C7C9C7"/>
              <w:left w:val="nil"/>
              <w:bottom w:val="single" w:sz="8" w:space="0" w:color="E9E9E9"/>
              <w:right w:val="nil"/>
            </w:tcBorders>
            <w:tcMar>
              <w:top w:w="0" w:type="dxa"/>
              <w:left w:w="53" w:type="dxa"/>
              <w:bottom w:w="0" w:type="dxa"/>
              <w:right w:w="53" w:type="dxa"/>
            </w:tcMar>
            <w:vAlign w:val="bottom"/>
          </w:tcPr>
          <w:p w14:paraId="6A38C105" w14:textId="77777777" w:rsidR="001614AC" w:rsidRDefault="004468F9">
            <w:pPr>
              <w:keepNext/>
              <w:spacing w:before="55" w:after="30" w:line="288" w:lineRule="auto"/>
            </w:pPr>
            <w:r>
              <w:rPr>
                <w:rFonts w:ascii="Arial" w:eastAsia="Arial" w:hAnsi="Arial" w:cs="Arial"/>
                <w:color w:val="000000"/>
                <w:sz w:val="18"/>
              </w:rPr>
              <w:t>Net income (loss)—basic and diluted</w:t>
            </w:r>
          </w:p>
        </w:tc>
        <w:tc>
          <w:tcPr>
            <w:tcW w:w="105" w:type="dxa"/>
            <w:tcBorders>
              <w:top w:val="single" w:sz="8" w:space="0" w:color="C7C9C7"/>
              <w:left w:val="nil"/>
              <w:bottom w:val="nil"/>
              <w:right w:val="nil"/>
            </w:tcBorders>
            <w:tcMar>
              <w:top w:w="0" w:type="dxa"/>
              <w:left w:w="0" w:type="dxa"/>
              <w:bottom w:w="0" w:type="dxa"/>
              <w:right w:w="0" w:type="dxa"/>
            </w:tcMar>
            <w:vAlign w:val="bottom"/>
          </w:tcPr>
          <w:p w14:paraId="1E51DC6C" w14:textId="77777777" w:rsidR="001614AC" w:rsidRDefault="001614AC">
            <w:pPr>
              <w:keepNext/>
            </w:pPr>
          </w:p>
        </w:tc>
        <w:tc>
          <w:tcPr>
            <w:tcW w:w="160" w:type="dxa"/>
            <w:tcBorders>
              <w:top w:val="single" w:sz="8" w:space="0" w:color="C7C9C7"/>
              <w:left w:val="nil"/>
              <w:bottom w:val="single" w:sz="8" w:space="0" w:color="E9E9E9"/>
              <w:right w:val="nil"/>
            </w:tcBorders>
            <w:tcMar>
              <w:top w:w="0" w:type="dxa"/>
              <w:left w:w="53" w:type="dxa"/>
              <w:bottom w:w="0" w:type="dxa"/>
              <w:right w:w="0" w:type="dxa"/>
            </w:tcMar>
            <w:vAlign w:val="bottom"/>
          </w:tcPr>
          <w:p w14:paraId="4581DB86" w14:textId="77777777" w:rsidR="001614AC" w:rsidRDefault="004468F9">
            <w:pPr>
              <w:keepNext/>
              <w:spacing w:before="55" w:after="30" w:line="288" w:lineRule="auto"/>
            </w:pPr>
            <w:r>
              <w:rPr>
                <w:rFonts w:ascii="Arial" w:eastAsia="Arial" w:hAnsi="Arial" w:cs="Arial"/>
                <w:color w:val="000000"/>
                <w:sz w:val="18"/>
              </w:rPr>
              <w:t>$</w:t>
            </w:r>
          </w:p>
        </w:tc>
        <w:tc>
          <w:tcPr>
            <w:tcW w:w="745" w:type="dxa"/>
            <w:tcBorders>
              <w:top w:val="single" w:sz="8" w:space="0" w:color="C7C9C7"/>
              <w:left w:val="nil"/>
              <w:bottom w:val="single" w:sz="8" w:space="0" w:color="E9E9E9"/>
              <w:right w:val="nil"/>
            </w:tcBorders>
            <w:tcMar>
              <w:top w:w="0" w:type="dxa"/>
              <w:left w:w="0" w:type="dxa"/>
              <w:bottom w:w="0" w:type="dxa"/>
              <w:right w:w="0" w:type="dxa"/>
            </w:tcMar>
            <w:vAlign w:val="bottom"/>
          </w:tcPr>
          <w:p w14:paraId="21CF77AD" w14:textId="77777777" w:rsidR="001614AC" w:rsidRDefault="004468F9">
            <w:pPr>
              <w:keepNext/>
              <w:spacing w:before="55" w:after="30" w:line="288" w:lineRule="auto"/>
              <w:jc w:val="right"/>
            </w:pPr>
            <w:r>
              <w:rPr>
                <w:rFonts w:ascii="Arial" w:eastAsia="Arial" w:hAnsi="Arial" w:cs="Arial"/>
                <w:color w:val="000000"/>
                <w:sz w:val="18"/>
              </w:rPr>
              <w:t>155,206 </w:t>
            </w:r>
          </w:p>
        </w:tc>
        <w:tc>
          <w:tcPr>
            <w:tcW w:w="100" w:type="dxa"/>
            <w:tcBorders>
              <w:top w:val="single" w:sz="8" w:space="0" w:color="C7C9C7"/>
              <w:left w:val="nil"/>
              <w:bottom w:val="single" w:sz="8" w:space="0" w:color="E9E9E9"/>
              <w:right w:val="nil"/>
            </w:tcBorders>
            <w:tcMar>
              <w:top w:w="0" w:type="dxa"/>
              <w:left w:w="0" w:type="dxa"/>
              <w:bottom w:w="0" w:type="dxa"/>
              <w:right w:w="15" w:type="dxa"/>
            </w:tcMar>
            <w:vAlign w:val="bottom"/>
          </w:tcPr>
          <w:p w14:paraId="2F2EF314" w14:textId="77777777" w:rsidR="001614AC" w:rsidRDefault="001614AC">
            <w:pPr>
              <w:keepNext/>
              <w:spacing w:before="55" w:after="30" w:line="288" w:lineRule="auto"/>
              <w:jc w:val="right"/>
            </w:pPr>
          </w:p>
        </w:tc>
        <w:tc>
          <w:tcPr>
            <w:tcW w:w="105" w:type="dxa"/>
            <w:tcBorders>
              <w:top w:val="single" w:sz="8" w:space="0" w:color="C7C9C7"/>
              <w:left w:val="nil"/>
              <w:bottom w:val="nil"/>
              <w:right w:val="nil"/>
            </w:tcBorders>
            <w:tcMar>
              <w:top w:w="0" w:type="dxa"/>
              <w:left w:w="0" w:type="dxa"/>
              <w:bottom w:w="0" w:type="dxa"/>
              <w:right w:w="0" w:type="dxa"/>
            </w:tcMar>
            <w:vAlign w:val="bottom"/>
          </w:tcPr>
          <w:p w14:paraId="373007D4" w14:textId="77777777" w:rsidR="001614AC" w:rsidRDefault="001614AC">
            <w:pPr>
              <w:keepNext/>
            </w:pPr>
          </w:p>
        </w:tc>
        <w:tc>
          <w:tcPr>
            <w:tcW w:w="160" w:type="dxa"/>
            <w:tcBorders>
              <w:top w:val="single" w:sz="8" w:space="0" w:color="C7C9C7"/>
              <w:left w:val="nil"/>
              <w:bottom w:val="single" w:sz="8" w:space="0" w:color="E9E9E9"/>
              <w:right w:val="nil"/>
            </w:tcBorders>
            <w:tcMar>
              <w:top w:w="0" w:type="dxa"/>
              <w:left w:w="53" w:type="dxa"/>
              <w:bottom w:w="0" w:type="dxa"/>
              <w:right w:w="0" w:type="dxa"/>
            </w:tcMar>
            <w:vAlign w:val="bottom"/>
          </w:tcPr>
          <w:p w14:paraId="48A92762" w14:textId="77777777" w:rsidR="001614AC" w:rsidRDefault="004468F9">
            <w:pPr>
              <w:keepNext/>
              <w:spacing w:before="55" w:after="30" w:line="288" w:lineRule="auto"/>
            </w:pPr>
            <w:r>
              <w:rPr>
                <w:rFonts w:ascii="Arial" w:eastAsia="Arial" w:hAnsi="Arial" w:cs="Arial"/>
                <w:color w:val="000000"/>
                <w:sz w:val="18"/>
              </w:rPr>
              <w:t>$</w:t>
            </w:r>
          </w:p>
        </w:tc>
        <w:tc>
          <w:tcPr>
            <w:tcW w:w="745" w:type="dxa"/>
            <w:tcBorders>
              <w:top w:val="single" w:sz="8" w:space="0" w:color="C7C9C7"/>
              <w:left w:val="nil"/>
              <w:bottom w:val="single" w:sz="8" w:space="0" w:color="E9E9E9"/>
              <w:right w:val="nil"/>
            </w:tcBorders>
            <w:tcMar>
              <w:top w:w="0" w:type="dxa"/>
              <w:left w:w="0" w:type="dxa"/>
              <w:bottom w:w="0" w:type="dxa"/>
              <w:right w:w="0" w:type="dxa"/>
            </w:tcMar>
            <w:vAlign w:val="bottom"/>
          </w:tcPr>
          <w:p w14:paraId="1C58AC80" w14:textId="77777777" w:rsidR="001614AC" w:rsidRDefault="004468F9">
            <w:pPr>
              <w:keepNext/>
              <w:spacing w:before="55" w:after="30" w:line="288" w:lineRule="auto"/>
              <w:jc w:val="right"/>
            </w:pPr>
            <w:r>
              <w:rPr>
                <w:rFonts w:ascii="Arial" w:eastAsia="Arial" w:hAnsi="Arial" w:cs="Arial"/>
                <w:color w:val="000000"/>
                <w:sz w:val="18"/>
              </w:rPr>
              <w:t>(29,951)</w:t>
            </w:r>
          </w:p>
        </w:tc>
        <w:tc>
          <w:tcPr>
            <w:tcW w:w="100" w:type="dxa"/>
            <w:tcBorders>
              <w:top w:val="single" w:sz="8" w:space="0" w:color="C7C9C7"/>
              <w:left w:val="nil"/>
              <w:bottom w:val="single" w:sz="8" w:space="0" w:color="E9E9E9"/>
              <w:right w:val="nil"/>
            </w:tcBorders>
            <w:tcMar>
              <w:top w:w="0" w:type="dxa"/>
              <w:left w:w="0" w:type="dxa"/>
              <w:bottom w:w="0" w:type="dxa"/>
              <w:right w:w="15" w:type="dxa"/>
            </w:tcMar>
            <w:vAlign w:val="bottom"/>
          </w:tcPr>
          <w:p w14:paraId="10DE726F" w14:textId="77777777" w:rsidR="001614AC" w:rsidRDefault="001614AC">
            <w:pPr>
              <w:keepNext/>
              <w:spacing w:before="55" w:after="30" w:line="288" w:lineRule="auto"/>
              <w:jc w:val="right"/>
            </w:pPr>
          </w:p>
        </w:tc>
        <w:tc>
          <w:tcPr>
            <w:tcW w:w="105" w:type="dxa"/>
            <w:tcBorders>
              <w:top w:val="single" w:sz="8" w:space="0" w:color="C7C9C7"/>
              <w:left w:val="nil"/>
              <w:bottom w:val="nil"/>
              <w:right w:val="nil"/>
            </w:tcBorders>
            <w:tcMar>
              <w:top w:w="0" w:type="dxa"/>
              <w:left w:w="0" w:type="dxa"/>
              <w:bottom w:w="0" w:type="dxa"/>
              <w:right w:w="0" w:type="dxa"/>
            </w:tcMar>
            <w:vAlign w:val="bottom"/>
          </w:tcPr>
          <w:p w14:paraId="40D8CE30" w14:textId="77777777" w:rsidR="001614AC" w:rsidRDefault="001614AC">
            <w:pPr>
              <w:keepNext/>
            </w:pPr>
          </w:p>
        </w:tc>
        <w:tc>
          <w:tcPr>
            <w:tcW w:w="160" w:type="dxa"/>
            <w:tcBorders>
              <w:top w:val="single" w:sz="8" w:space="0" w:color="C7C9C7"/>
              <w:left w:val="nil"/>
              <w:bottom w:val="single" w:sz="8" w:space="0" w:color="E9E9E9"/>
              <w:right w:val="nil"/>
            </w:tcBorders>
            <w:tcMar>
              <w:top w:w="0" w:type="dxa"/>
              <w:left w:w="53" w:type="dxa"/>
              <w:bottom w:w="0" w:type="dxa"/>
              <w:right w:w="0" w:type="dxa"/>
            </w:tcMar>
            <w:vAlign w:val="bottom"/>
          </w:tcPr>
          <w:p w14:paraId="586AD450" w14:textId="77777777" w:rsidR="001614AC" w:rsidRDefault="004468F9">
            <w:pPr>
              <w:keepNext/>
              <w:spacing w:before="55" w:after="30" w:line="288" w:lineRule="auto"/>
            </w:pPr>
            <w:r>
              <w:rPr>
                <w:rFonts w:ascii="Arial" w:eastAsia="Arial" w:hAnsi="Arial" w:cs="Arial"/>
                <w:color w:val="000000"/>
                <w:sz w:val="18"/>
              </w:rPr>
              <w:t>$</w:t>
            </w:r>
          </w:p>
        </w:tc>
        <w:tc>
          <w:tcPr>
            <w:tcW w:w="745" w:type="dxa"/>
            <w:tcBorders>
              <w:top w:val="single" w:sz="8" w:space="0" w:color="C7C9C7"/>
              <w:left w:val="nil"/>
              <w:bottom w:val="single" w:sz="8" w:space="0" w:color="E9E9E9"/>
              <w:right w:val="nil"/>
            </w:tcBorders>
            <w:tcMar>
              <w:top w:w="0" w:type="dxa"/>
              <w:left w:w="0" w:type="dxa"/>
              <w:bottom w:w="0" w:type="dxa"/>
              <w:right w:w="0" w:type="dxa"/>
            </w:tcMar>
            <w:vAlign w:val="bottom"/>
          </w:tcPr>
          <w:p w14:paraId="155FE8D7" w14:textId="77777777" w:rsidR="001614AC" w:rsidRDefault="004468F9">
            <w:pPr>
              <w:keepNext/>
              <w:spacing w:before="55" w:after="30" w:line="288" w:lineRule="auto"/>
              <w:jc w:val="right"/>
            </w:pPr>
            <w:r>
              <w:rPr>
                <w:rFonts w:ascii="Arial" w:eastAsia="Arial" w:hAnsi="Arial" w:cs="Arial"/>
                <w:color w:val="000000"/>
                <w:sz w:val="18"/>
              </w:rPr>
              <w:t>280,814 </w:t>
            </w:r>
          </w:p>
        </w:tc>
        <w:tc>
          <w:tcPr>
            <w:tcW w:w="100" w:type="dxa"/>
            <w:tcBorders>
              <w:top w:val="single" w:sz="8" w:space="0" w:color="C7C9C7"/>
              <w:left w:val="nil"/>
              <w:bottom w:val="single" w:sz="8" w:space="0" w:color="E9E9E9"/>
              <w:right w:val="nil"/>
            </w:tcBorders>
            <w:tcMar>
              <w:top w:w="0" w:type="dxa"/>
              <w:left w:w="0" w:type="dxa"/>
              <w:bottom w:w="0" w:type="dxa"/>
              <w:right w:w="15" w:type="dxa"/>
            </w:tcMar>
            <w:vAlign w:val="bottom"/>
          </w:tcPr>
          <w:p w14:paraId="1B74498A" w14:textId="77777777" w:rsidR="001614AC" w:rsidRDefault="001614AC">
            <w:pPr>
              <w:keepNext/>
              <w:spacing w:before="55" w:after="30" w:line="288" w:lineRule="auto"/>
              <w:jc w:val="right"/>
            </w:pPr>
          </w:p>
        </w:tc>
        <w:tc>
          <w:tcPr>
            <w:tcW w:w="105" w:type="dxa"/>
            <w:tcBorders>
              <w:top w:val="single" w:sz="8" w:space="0" w:color="C7C9C7"/>
              <w:left w:val="nil"/>
              <w:bottom w:val="nil"/>
              <w:right w:val="nil"/>
            </w:tcBorders>
            <w:tcMar>
              <w:top w:w="0" w:type="dxa"/>
              <w:left w:w="0" w:type="dxa"/>
              <w:bottom w:w="0" w:type="dxa"/>
              <w:right w:w="0" w:type="dxa"/>
            </w:tcMar>
            <w:vAlign w:val="bottom"/>
          </w:tcPr>
          <w:p w14:paraId="5735E6E8" w14:textId="77777777" w:rsidR="001614AC" w:rsidRDefault="001614AC">
            <w:pPr>
              <w:keepNext/>
            </w:pPr>
          </w:p>
        </w:tc>
        <w:tc>
          <w:tcPr>
            <w:tcW w:w="160" w:type="dxa"/>
            <w:tcBorders>
              <w:top w:val="single" w:sz="8" w:space="0" w:color="C7C9C7"/>
              <w:left w:val="nil"/>
              <w:bottom w:val="single" w:sz="8" w:space="0" w:color="E9E9E9"/>
              <w:right w:val="nil"/>
            </w:tcBorders>
            <w:tcMar>
              <w:top w:w="0" w:type="dxa"/>
              <w:left w:w="53" w:type="dxa"/>
              <w:bottom w:w="0" w:type="dxa"/>
              <w:right w:w="0" w:type="dxa"/>
            </w:tcMar>
            <w:vAlign w:val="bottom"/>
          </w:tcPr>
          <w:p w14:paraId="49E83FD3" w14:textId="77777777" w:rsidR="001614AC" w:rsidRDefault="004468F9">
            <w:pPr>
              <w:keepNext/>
              <w:spacing w:before="55" w:after="30" w:line="288" w:lineRule="auto"/>
            </w:pPr>
            <w:r>
              <w:rPr>
                <w:rFonts w:ascii="Arial" w:eastAsia="Arial" w:hAnsi="Arial" w:cs="Arial"/>
                <w:color w:val="000000"/>
                <w:sz w:val="18"/>
              </w:rPr>
              <w:t>$</w:t>
            </w:r>
          </w:p>
        </w:tc>
        <w:tc>
          <w:tcPr>
            <w:tcW w:w="745" w:type="dxa"/>
            <w:tcBorders>
              <w:top w:val="single" w:sz="8" w:space="0" w:color="C7C9C7"/>
              <w:left w:val="nil"/>
              <w:bottom w:val="single" w:sz="8" w:space="0" w:color="E9E9E9"/>
              <w:right w:val="nil"/>
            </w:tcBorders>
            <w:tcMar>
              <w:top w:w="0" w:type="dxa"/>
              <w:left w:w="0" w:type="dxa"/>
              <w:bottom w:w="0" w:type="dxa"/>
              <w:right w:w="0" w:type="dxa"/>
            </w:tcMar>
            <w:vAlign w:val="bottom"/>
          </w:tcPr>
          <w:p w14:paraId="6DE570EB" w14:textId="77777777" w:rsidR="001614AC" w:rsidRDefault="004468F9">
            <w:pPr>
              <w:keepNext/>
              <w:spacing w:before="55" w:after="30" w:line="288" w:lineRule="auto"/>
              <w:jc w:val="right"/>
            </w:pPr>
            <w:r>
              <w:rPr>
                <w:rFonts w:ascii="Arial" w:eastAsia="Arial" w:hAnsi="Arial" w:cs="Arial"/>
                <w:color w:val="000000"/>
                <w:sz w:val="18"/>
              </w:rPr>
              <w:t>110,510 </w:t>
            </w:r>
          </w:p>
        </w:tc>
        <w:tc>
          <w:tcPr>
            <w:tcW w:w="100" w:type="dxa"/>
            <w:tcBorders>
              <w:top w:val="single" w:sz="8" w:space="0" w:color="C7C9C7"/>
              <w:left w:val="nil"/>
              <w:bottom w:val="single" w:sz="8" w:space="0" w:color="E9E9E9"/>
              <w:right w:val="nil"/>
            </w:tcBorders>
            <w:tcMar>
              <w:top w:w="0" w:type="dxa"/>
              <w:left w:w="0" w:type="dxa"/>
              <w:bottom w:w="0" w:type="dxa"/>
              <w:right w:w="15" w:type="dxa"/>
            </w:tcMar>
            <w:vAlign w:val="bottom"/>
          </w:tcPr>
          <w:p w14:paraId="1629DD76" w14:textId="77777777" w:rsidR="001614AC" w:rsidRDefault="001614AC">
            <w:pPr>
              <w:keepNext/>
              <w:spacing w:before="55" w:after="30" w:line="288" w:lineRule="auto"/>
              <w:jc w:val="right"/>
            </w:pPr>
          </w:p>
        </w:tc>
      </w:tr>
      <w:tr w:rsidR="001614AC" w14:paraId="51EAB2F8" w14:textId="77777777">
        <w:trPr>
          <w:cantSplit/>
        </w:trPr>
        <w:tc>
          <w:tcPr>
            <w:tcW w:w="5640" w:type="dxa"/>
            <w:tcBorders>
              <w:top w:val="single" w:sz="8" w:space="0" w:color="E9E9E9"/>
              <w:left w:val="nil"/>
              <w:bottom w:val="single" w:sz="8" w:space="0" w:color="E9E9E9"/>
              <w:right w:val="nil"/>
            </w:tcBorders>
            <w:tcMar>
              <w:top w:w="0" w:type="dxa"/>
              <w:left w:w="0" w:type="dxa"/>
              <w:bottom w:w="0" w:type="dxa"/>
              <w:right w:w="0" w:type="dxa"/>
            </w:tcMar>
            <w:vAlign w:val="bottom"/>
          </w:tcPr>
          <w:p w14:paraId="2B3E0F0E" w14:textId="77777777" w:rsidR="001614AC" w:rsidRDefault="001614AC">
            <w:pPr>
              <w:keepNext/>
            </w:pPr>
          </w:p>
        </w:tc>
        <w:tc>
          <w:tcPr>
            <w:tcW w:w="105" w:type="dxa"/>
            <w:tcBorders>
              <w:top w:val="nil"/>
              <w:left w:val="nil"/>
              <w:bottom w:val="nil"/>
              <w:right w:val="nil"/>
            </w:tcBorders>
            <w:tcMar>
              <w:top w:w="0" w:type="dxa"/>
              <w:left w:w="0" w:type="dxa"/>
              <w:bottom w:w="0" w:type="dxa"/>
              <w:right w:w="0" w:type="dxa"/>
            </w:tcMar>
            <w:vAlign w:val="bottom"/>
          </w:tcPr>
          <w:p w14:paraId="06D44E1A" w14:textId="77777777" w:rsidR="001614AC" w:rsidRDefault="001614AC">
            <w:pPr>
              <w:keepNext/>
            </w:pPr>
          </w:p>
        </w:tc>
        <w:tc>
          <w:tcPr>
            <w:tcW w:w="1005" w:type="dxa"/>
            <w:gridSpan w:val="3"/>
            <w:tcBorders>
              <w:top w:val="single" w:sz="8" w:space="0" w:color="E9E9E9"/>
              <w:left w:val="nil"/>
              <w:bottom w:val="single" w:sz="8" w:space="0" w:color="E9E9E9"/>
              <w:right w:val="nil"/>
            </w:tcBorders>
            <w:tcMar>
              <w:top w:w="0" w:type="dxa"/>
              <w:left w:w="0" w:type="dxa"/>
              <w:bottom w:w="0" w:type="dxa"/>
              <w:right w:w="0" w:type="dxa"/>
            </w:tcMar>
            <w:vAlign w:val="bottom"/>
          </w:tcPr>
          <w:p w14:paraId="19C4EFE6" w14:textId="77777777" w:rsidR="001614AC" w:rsidRDefault="001614AC">
            <w:pPr>
              <w:keepNext/>
            </w:pPr>
          </w:p>
        </w:tc>
        <w:tc>
          <w:tcPr>
            <w:tcW w:w="105" w:type="dxa"/>
            <w:tcBorders>
              <w:top w:val="nil"/>
              <w:left w:val="nil"/>
              <w:bottom w:val="nil"/>
              <w:right w:val="nil"/>
            </w:tcBorders>
            <w:tcMar>
              <w:top w:w="0" w:type="dxa"/>
              <w:left w:w="0" w:type="dxa"/>
              <w:bottom w:w="0" w:type="dxa"/>
              <w:right w:w="0" w:type="dxa"/>
            </w:tcMar>
            <w:vAlign w:val="bottom"/>
          </w:tcPr>
          <w:p w14:paraId="333403BA" w14:textId="77777777" w:rsidR="001614AC" w:rsidRDefault="001614AC">
            <w:pPr>
              <w:keepNext/>
            </w:pPr>
          </w:p>
        </w:tc>
        <w:tc>
          <w:tcPr>
            <w:tcW w:w="1005" w:type="dxa"/>
            <w:gridSpan w:val="3"/>
            <w:tcBorders>
              <w:top w:val="single" w:sz="8" w:space="0" w:color="E9E9E9"/>
              <w:left w:val="nil"/>
              <w:bottom w:val="single" w:sz="8" w:space="0" w:color="E9E9E9"/>
              <w:right w:val="nil"/>
            </w:tcBorders>
            <w:tcMar>
              <w:top w:w="0" w:type="dxa"/>
              <w:left w:w="0" w:type="dxa"/>
              <w:bottom w:w="0" w:type="dxa"/>
              <w:right w:w="0" w:type="dxa"/>
            </w:tcMar>
            <w:vAlign w:val="bottom"/>
          </w:tcPr>
          <w:p w14:paraId="6D7FC0BF" w14:textId="77777777" w:rsidR="001614AC" w:rsidRDefault="001614AC">
            <w:pPr>
              <w:keepNext/>
            </w:pPr>
          </w:p>
        </w:tc>
        <w:tc>
          <w:tcPr>
            <w:tcW w:w="105" w:type="dxa"/>
            <w:tcBorders>
              <w:top w:val="nil"/>
              <w:left w:val="nil"/>
              <w:bottom w:val="nil"/>
              <w:right w:val="nil"/>
            </w:tcBorders>
            <w:tcMar>
              <w:top w:w="0" w:type="dxa"/>
              <w:left w:w="0" w:type="dxa"/>
              <w:bottom w:w="0" w:type="dxa"/>
              <w:right w:w="0" w:type="dxa"/>
            </w:tcMar>
            <w:vAlign w:val="bottom"/>
          </w:tcPr>
          <w:p w14:paraId="591258D8" w14:textId="77777777" w:rsidR="001614AC" w:rsidRDefault="001614AC">
            <w:pPr>
              <w:keepNext/>
            </w:pPr>
          </w:p>
        </w:tc>
        <w:tc>
          <w:tcPr>
            <w:tcW w:w="1005" w:type="dxa"/>
            <w:gridSpan w:val="3"/>
            <w:tcBorders>
              <w:top w:val="single" w:sz="8" w:space="0" w:color="E9E9E9"/>
              <w:left w:val="nil"/>
              <w:bottom w:val="single" w:sz="8" w:space="0" w:color="E9E9E9"/>
              <w:right w:val="nil"/>
            </w:tcBorders>
            <w:tcMar>
              <w:top w:w="0" w:type="dxa"/>
              <w:left w:w="0" w:type="dxa"/>
              <w:bottom w:w="0" w:type="dxa"/>
              <w:right w:w="0" w:type="dxa"/>
            </w:tcMar>
            <w:vAlign w:val="bottom"/>
          </w:tcPr>
          <w:p w14:paraId="2FE7413E" w14:textId="77777777" w:rsidR="001614AC" w:rsidRDefault="001614AC">
            <w:pPr>
              <w:keepNext/>
            </w:pPr>
          </w:p>
        </w:tc>
        <w:tc>
          <w:tcPr>
            <w:tcW w:w="105" w:type="dxa"/>
            <w:tcBorders>
              <w:top w:val="nil"/>
              <w:left w:val="nil"/>
              <w:bottom w:val="nil"/>
              <w:right w:val="nil"/>
            </w:tcBorders>
            <w:tcMar>
              <w:top w:w="0" w:type="dxa"/>
              <w:left w:w="0" w:type="dxa"/>
              <w:bottom w:w="0" w:type="dxa"/>
              <w:right w:w="0" w:type="dxa"/>
            </w:tcMar>
            <w:vAlign w:val="bottom"/>
          </w:tcPr>
          <w:p w14:paraId="55BEBB24" w14:textId="77777777" w:rsidR="001614AC" w:rsidRDefault="001614AC">
            <w:pPr>
              <w:keepNext/>
            </w:pPr>
          </w:p>
        </w:tc>
        <w:tc>
          <w:tcPr>
            <w:tcW w:w="1005" w:type="dxa"/>
            <w:gridSpan w:val="3"/>
            <w:tcBorders>
              <w:top w:val="single" w:sz="8" w:space="0" w:color="E9E9E9"/>
              <w:left w:val="nil"/>
              <w:bottom w:val="single" w:sz="8" w:space="0" w:color="E9E9E9"/>
              <w:right w:val="nil"/>
            </w:tcBorders>
            <w:tcMar>
              <w:top w:w="0" w:type="dxa"/>
              <w:left w:w="0" w:type="dxa"/>
              <w:bottom w:w="0" w:type="dxa"/>
              <w:right w:w="0" w:type="dxa"/>
            </w:tcMar>
            <w:vAlign w:val="bottom"/>
          </w:tcPr>
          <w:p w14:paraId="111E4932" w14:textId="77777777" w:rsidR="001614AC" w:rsidRDefault="001614AC">
            <w:pPr>
              <w:keepNext/>
            </w:pPr>
          </w:p>
        </w:tc>
      </w:tr>
      <w:tr w:rsidR="001614AC" w14:paraId="3CA74269" w14:textId="77777777">
        <w:trPr>
          <w:cantSplit/>
        </w:trPr>
        <w:tc>
          <w:tcPr>
            <w:tcW w:w="5640" w:type="dxa"/>
            <w:tcBorders>
              <w:top w:val="single" w:sz="8" w:space="0" w:color="E9E9E9"/>
              <w:left w:val="nil"/>
              <w:bottom w:val="single" w:sz="8" w:space="0" w:color="E9E9E9"/>
              <w:right w:val="nil"/>
            </w:tcBorders>
            <w:tcMar>
              <w:top w:w="0" w:type="dxa"/>
              <w:left w:w="53" w:type="dxa"/>
              <w:bottom w:w="0" w:type="dxa"/>
              <w:right w:w="53" w:type="dxa"/>
            </w:tcMar>
            <w:vAlign w:val="bottom"/>
          </w:tcPr>
          <w:p w14:paraId="33E0A997" w14:textId="77777777" w:rsidR="001614AC" w:rsidRDefault="004468F9">
            <w:pPr>
              <w:keepNext/>
              <w:spacing w:before="55" w:after="30" w:line="288" w:lineRule="auto"/>
            </w:pPr>
            <w:r>
              <w:rPr>
                <w:rFonts w:ascii="Arial" w:eastAsia="Arial" w:hAnsi="Arial" w:cs="Arial"/>
                <w:color w:val="000000"/>
                <w:sz w:val="18"/>
              </w:rPr>
              <w:t xml:space="preserve">Average common shares outstanding—basic </w:t>
            </w:r>
          </w:p>
        </w:tc>
        <w:tc>
          <w:tcPr>
            <w:tcW w:w="105" w:type="dxa"/>
            <w:tcBorders>
              <w:top w:val="nil"/>
              <w:left w:val="nil"/>
              <w:bottom w:val="nil"/>
              <w:right w:val="nil"/>
            </w:tcBorders>
            <w:tcMar>
              <w:top w:w="0" w:type="dxa"/>
              <w:left w:w="0" w:type="dxa"/>
              <w:bottom w:w="0" w:type="dxa"/>
              <w:right w:w="0" w:type="dxa"/>
            </w:tcMar>
            <w:vAlign w:val="bottom"/>
          </w:tcPr>
          <w:p w14:paraId="4CD6C2FF" w14:textId="77777777" w:rsidR="001614AC" w:rsidRDefault="001614AC">
            <w:pPr>
              <w:keepNext/>
            </w:pPr>
          </w:p>
        </w:tc>
        <w:tc>
          <w:tcPr>
            <w:tcW w:w="90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660392DE" w14:textId="77777777" w:rsidR="001614AC" w:rsidRDefault="004468F9">
            <w:pPr>
              <w:keepNext/>
              <w:spacing w:before="55" w:after="30" w:line="288" w:lineRule="auto"/>
              <w:jc w:val="right"/>
            </w:pPr>
            <w:r>
              <w:rPr>
                <w:rFonts w:ascii="Arial" w:eastAsia="Arial" w:hAnsi="Arial" w:cs="Arial"/>
                <w:color w:val="000000"/>
                <w:sz w:val="18"/>
              </w:rPr>
              <w:t>193,436 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32262D82" w14:textId="77777777" w:rsidR="001614AC" w:rsidRDefault="001614AC">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7DACAC6A" w14:textId="77777777" w:rsidR="001614AC" w:rsidRDefault="001614AC">
            <w:pPr>
              <w:keepNext/>
            </w:pPr>
          </w:p>
        </w:tc>
        <w:tc>
          <w:tcPr>
            <w:tcW w:w="90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645F56B1" w14:textId="77777777" w:rsidR="001614AC" w:rsidRDefault="004468F9">
            <w:pPr>
              <w:keepNext/>
              <w:spacing w:before="55" w:after="30" w:line="288" w:lineRule="auto"/>
              <w:jc w:val="right"/>
            </w:pPr>
            <w:r>
              <w:rPr>
                <w:rFonts w:ascii="Arial" w:eastAsia="Arial" w:hAnsi="Arial" w:cs="Arial"/>
                <w:color w:val="000000"/>
                <w:sz w:val="18"/>
              </w:rPr>
              <w:t>193,299 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388DABA1" w14:textId="77777777" w:rsidR="001614AC" w:rsidRDefault="001614AC">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2DFE0579" w14:textId="77777777" w:rsidR="001614AC" w:rsidRDefault="001614AC">
            <w:pPr>
              <w:keepNext/>
            </w:pPr>
          </w:p>
        </w:tc>
        <w:tc>
          <w:tcPr>
            <w:tcW w:w="90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0524BF76" w14:textId="77777777" w:rsidR="001614AC" w:rsidRDefault="004468F9">
            <w:pPr>
              <w:keepNext/>
              <w:spacing w:before="55" w:after="30" w:line="288" w:lineRule="auto"/>
              <w:jc w:val="right"/>
            </w:pPr>
            <w:r>
              <w:rPr>
                <w:rFonts w:ascii="Arial" w:eastAsia="Arial" w:hAnsi="Arial" w:cs="Arial"/>
                <w:color w:val="000000"/>
                <w:sz w:val="18"/>
              </w:rPr>
              <w:t>193,692 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6DD1D6CC" w14:textId="77777777" w:rsidR="001614AC" w:rsidRDefault="001614AC">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262A5482" w14:textId="77777777" w:rsidR="001614AC" w:rsidRDefault="001614AC">
            <w:pPr>
              <w:keepNext/>
            </w:pPr>
          </w:p>
        </w:tc>
        <w:tc>
          <w:tcPr>
            <w:tcW w:w="90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40F8D791" w14:textId="77777777" w:rsidR="001614AC" w:rsidRDefault="004468F9">
            <w:pPr>
              <w:keepNext/>
              <w:spacing w:before="55" w:after="30" w:line="288" w:lineRule="auto"/>
              <w:jc w:val="right"/>
            </w:pPr>
            <w:r>
              <w:rPr>
                <w:rFonts w:ascii="Arial" w:eastAsia="Arial" w:hAnsi="Arial" w:cs="Arial"/>
                <w:color w:val="000000"/>
                <w:sz w:val="18"/>
              </w:rPr>
              <w:t>197,545 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2572B570" w14:textId="77777777" w:rsidR="001614AC" w:rsidRDefault="001614AC">
            <w:pPr>
              <w:keepNext/>
              <w:spacing w:before="55" w:after="30" w:line="288" w:lineRule="auto"/>
              <w:jc w:val="right"/>
            </w:pPr>
          </w:p>
        </w:tc>
      </w:tr>
      <w:tr w:rsidR="001614AC" w14:paraId="0FCFB187" w14:textId="77777777">
        <w:trPr>
          <w:cantSplit/>
        </w:trPr>
        <w:tc>
          <w:tcPr>
            <w:tcW w:w="5640" w:type="dxa"/>
            <w:tcBorders>
              <w:top w:val="single" w:sz="8" w:space="0" w:color="E9E9E9"/>
              <w:left w:val="nil"/>
              <w:bottom w:val="nil"/>
              <w:right w:val="nil"/>
            </w:tcBorders>
            <w:tcMar>
              <w:top w:w="0" w:type="dxa"/>
              <w:left w:w="53" w:type="dxa"/>
              <w:bottom w:w="0" w:type="dxa"/>
              <w:right w:w="53" w:type="dxa"/>
            </w:tcMar>
            <w:vAlign w:val="bottom"/>
          </w:tcPr>
          <w:p w14:paraId="77AB7CE0" w14:textId="77777777" w:rsidR="001614AC" w:rsidRDefault="004468F9">
            <w:pPr>
              <w:keepNext/>
              <w:spacing w:before="55" w:after="30" w:line="288" w:lineRule="auto"/>
              <w:rPr>
                <w:rFonts w:ascii="Arial" w:eastAsia="Arial" w:hAnsi="Arial" w:cs="Arial"/>
                <w:sz w:val="18"/>
              </w:rPr>
            </w:pPr>
            <w:r>
              <w:rPr>
                <w:rFonts w:ascii="Arial" w:eastAsia="Arial" w:hAnsi="Arial" w:cs="Arial"/>
                <w:sz w:val="18"/>
              </w:rPr>
              <w:t>Dilutive effect of share-based compensation arrangements</w:t>
            </w:r>
            <w:r>
              <w:rPr>
                <w:rFonts w:ascii="Arial" w:eastAsia="Arial" w:hAnsi="Arial" w:cs="Arial"/>
                <w:sz w:val="18"/>
                <w:vertAlign w:val="superscript"/>
              </w:rPr>
              <w:t xml:space="preserve"> (1) </w:t>
            </w:r>
          </w:p>
        </w:tc>
        <w:tc>
          <w:tcPr>
            <w:tcW w:w="105" w:type="dxa"/>
            <w:tcBorders>
              <w:top w:val="nil"/>
              <w:left w:val="nil"/>
              <w:bottom w:val="nil"/>
              <w:right w:val="nil"/>
            </w:tcBorders>
            <w:tcMar>
              <w:top w:w="0" w:type="dxa"/>
              <w:left w:w="0" w:type="dxa"/>
              <w:bottom w:w="0" w:type="dxa"/>
              <w:right w:w="0" w:type="dxa"/>
            </w:tcMar>
            <w:vAlign w:val="bottom"/>
          </w:tcPr>
          <w:p w14:paraId="08E28933" w14:textId="77777777" w:rsidR="001614AC" w:rsidRDefault="001614AC">
            <w:pPr>
              <w:keepNext/>
            </w:pPr>
          </w:p>
        </w:tc>
        <w:tc>
          <w:tcPr>
            <w:tcW w:w="905" w:type="dxa"/>
            <w:gridSpan w:val="2"/>
            <w:tcBorders>
              <w:top w:val="single" w:sz="8" w:space="0" w:color="E9E9E9"/>
              <w:left w:val="nil"/>
              <w:bottom w:val="single" w:sz="8" w:space="0" w:color="C7C9C7"/>
              <w:right w:val="nil"/>
            </w:tcBorders>
            <w:tcMar>
              <w:top w:w="0" w:type="dxa"/>
              <w:left w:w="53" w:type="dxa"/>
              <w:bottom w:w="0" w:type="dxa"/>
              <w:right w:w="0" w:type="dxa"/>
            </w:tcMar>
            <w:vAlign w:val="bottom"/>
          </w:tcPr>
          <w:p w14:paraId="75B62BB0" w14:textId="77777777" w:rsidR="001614AC" w:rsidRDefault="004468F9">
            <w:pPr>
              <w:keepNext/>
              <w:spacing w:before="55" w:after="30" w:line="288" w:lineRule="auto"/>
              <w:jc w:val="right"/>
            </w:pPr>
            <w:r>
              <w:rPr>
                <w:rFonts w:ascii="Arial" w:eastAsia="Arial" w:hAnsi="Arial" w:cs="Arial"/>
                <w:color w:val="000000"/>
                <w:sz w:val="18"/>
              </w:rPr>
              <w:t>1,202 </w:t>
            </w:r>
          </w:p>
        </w:tc>
        <w:tc>
          <w:tcPr>
            <w:tcW w:w="100" w:type="dxa"/>
            <w:tcBorders>
              <w:top w:val="single" w:sz="8" w:space="0" w:color="E9E9E9"/>
              <w:left w:val="nil"/>
              <w:bottom w:val="single" w:sz="8" w:space="0" w:color="C7C9C7"/>
              <w:right w:val="nil"/>
            </w:tcBorders>
            <w:tcMar>
              <w:top w:w="0" w:type="dxa"/>
              <w:left w:w="0" w:type="dxa"/>
              <w:bottom w:w="0" w:type="dxa"/>
              <w:right w:w="15" w:type="dxa"/>
            </w:tcMar>
            <w:vAlign w:val="bottom"/>
          </w:tcPr>
          <w:p w14:paraId="68B6E7AF" w14:textId="77777777" w:rsidR="001614AC" w:rsidRDefault="001614AC">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4BE32261" w14:textId="77777777" w:rsidR="001614AC" w:rsidRDefault="001614AC">
            <w:pPr>
              <w:keepNext/>
            </w:pPr>
          </w:p>
        </w:tc>
        <w:tc>
          <w:tcPr>
            <w:tcW w:w="905" w:type="dxa"/>
            <w:gridSpan w:val="2"/>
            <w:tcBorders>
              <w:top w:val="single" w:sz="8" w:space="0" w:color="E9E9E9"/>
              <w:left w:val="nil"/>
              <w:bottom w:val="single" w:sz="8" w:space="0" w:color="C7C9C7"/>
              <w:right w:val="nil"/>
            </w:tcBorders>
            <w:tcMar>
              <w:top w:w="0" w:type="dxa"/>
              <w:left w:w="53" w:type="dxa"/>
              <w:bottom w:w="0" w:type="dxa"/>
              <w:right w:w="0" w:type="dxa"/>
            </w:tcMar>
            <w:vAlign w:val="bottom"/>
          </w:tcPr>
          <w:p w14:paraId="63AABC1A" w14:textId="77777777" w:rsidR="001614AC" w:rsidRDefault="004468F9">
            <w:pPr>
              <w:keepNext/>
              <w:spacing w:before="55" w:after="30" w:line="288" w:lineRule="auto"/>
              <w:jc w:val="right"/>
            </w:pPr>
            <w:r>
              <w:rPr>
                <w:rFonts w:ascii="Arial" w:eastAsia="Arial" w:hAnsi="Arial" w:cs="Arial"/>
                <w:color w:val="000000"/>
                <w:sz w:val="18"/>
              </w:rPr>
              <w:t>— </w:t>
            </w:r>
          </w:p>
        </w:tc>
        <w:tc>
          <w:tcPr>
            <w:tcW w:w="100" w:type="dxa"/>
            <w:tcBorders>
              <w:top w:val="single" w:sz="8" w:space="0" w:color="E9E9E9"/>
              <w:left w:val="nil"/>
              <w:bottom w:val="single" w:sz="8" w:space="0" w:color="C7C9C7"/>
              <w:right w:val="nil"/>
            </w:tcBorders>
            <w:tcMar>
              <w:top w:w="0" w:type="dxa"/>
              <w:left w:w="0" w:type="dxa"/>
              <w:bottom w:w="0" w:type="dxa"/>
              <w:right w:w="15" w:type="dxa"/>
            </w:tcMar>
            <w:vAlign w:val="bottom"/>
          </w:tcPr>
          <w:p w14:paraId="27FF1B9F" w14:textId="77777777" w:rsidR="001614AC" w:rsidRDefault="001614AC">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00D36501" w14:textId="77777777" w:rsidR="001614AC" w:rsidRDefault="001614AC">
            <w:pPr>
              <w:keepNext/>
            </w:pPr>
          </w:p>
        </w:tc>
        <w:tc>
          <w:tcPr>
            <w:tcW w:w="905" w:type="dxa"/>
            <w:gridSpan w:val="2"/>
            <w:tcBorders>
              <w:top w:val="single" w:sz="8" w:space="0" w:color="E9E9E9"/>
              <w:left w:val="nil"/>
              <w:bottom w:val="single" w:sz="8" w:space="0" w:color="C7C9C7"/>
              <w:right w:val="nil"/>
            </w:tcBorders>
            <w:tcMar>
              <w:top w:w="0" w:type="dxa"/>
              <w:left w:w="53" w:type="dxa"/>
              <w:bottom w:w="0" w:type="dxa"/>
              <w:right w:w="0" w:type="dxa"/>
            </w:tcMar>
            <w:vAlign w:val="bottom"/>
          </w:tcPr>
          <w:p w14:paraId="48D67A5B" w14:textId="77777777" w:rsidR="001614AC" w:rsidRDefault="004468F9">
            <w:pPr>
              <w:keepNext/>
              <w:spacing w:before="55" w:after="30" w:line="288" w:lineRule="auto"/>
              <w:jc w:val="right"/>
            </w:pPr>
            <w:r>
              <w:rPr>
                <w:rFonts w:ascii="Arial" w:eastAsia="Arial" w:hAnsi="Arial" w:cs="Arial"/>
                <w:color w:val="000000"/>
                <w:sz w:val="18"/>
              </w:rPr>
              <w:t>1,294 </w:t>
            </w:r>
          </w:p>
        </w:tc>
        <w:tc>
          <w:tcPr>
            <w:tcW w:w="100" w:type="dxa"/>
            <w:tcBorders>
              <w:top w:val="single" w:sz="8" w:space="0" w:color="E9E9E9"/>
              <w:left w:val="nil"/>
              <w:bottom w:val="single" w:sz="8" w:space="0" w:color="C7C9C7"/>
              <w:right w:val="nil"/>
            </w:tcBorders>
            <w:tcMar>
              <w:top w:w="0" w:type="dxa"/>
              <w:left w:w="0" w:type="dxa"/>
              <w:bottom w:w="0" w:type="dxa"/>
              <w:right w:w="15" w:type="dxa"/>
            </w:tcMar>
            <w:vAlign w:val="bottom"/>
          </w:tcPr>
          <w:p w14:paraId="6720C83A" w14:textId="77777777" w:rsidR="001614AC" w:rsidRDefault="001614AC">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6FAE5633" w14:textId="77777777" w:rsidR="001614AC" w:rsidRDefault="001614AC">
            <w:pPr>
              <w:keepNext/>
            </w:pPr>
          </w:p>
        </w:tc>
        <w:tc>
          <w:tcPr>
            <w:tcW w:w="905" w:type="dxa"/>
            <w:gridSpan w:val="2"/>
            <w:tcBorders>
              <w:top w:val="single" w:sz="8" w:space="0" w:color="E9E9E9"/>
              <w:left w:val="nil"/>
              <w:bottom w:val="single" w:sz="8" w:space="0" w:color="C7C9C7"/>
              <w:right w:val="nil"/>
            </w:tcBorders>
            <w:tcMar>
              <w:top w:w="0" w:type="dxa"/>
              <w:left w:w="53" w:type="dxa"/>
              <w:bottom w:w="0" w:type="dxa"/>
              <w:right w:w="0" w:type="dxa"/>
            </w:tcMar>
            <w:vAlign w:val="bottom"/>
          </w:tcPr>
          <w:p w14:paraId="0E2DC968" w14:textId="77777777" w:rsidR="001614AC" w:rsidRDefault="004468F9">
            <w:pPr>
              <w:keepNext/>
              <w:spacing w:before="55" w:after="30" w:line="288" w:lineRule="auto"/>
              <w:jc w:val="right"/>
            </w:pPr>
            <w:r>
              <w:rPr>
                <w:rFonts w:ascii="Arial" w:eastAsia="Arial" w:hAnsi="Arial" w:cs="Arial"/>
                <w:color w:val="000000"/>
                <w:sz w:val="18"/>
              </w:rPr>
              <w:t>1,201 </w:t>
            </w:r>
          </w:p>
        </w:tc>
        <w:tc>
          <w:tcPr>
            <w:tcW w:w="100" w:type="dxa"/>
            <w:tcBorders>
              <w:top w:val="single" w:sz="8" w:space="0" w:color="E9E9E9"/>
              <w:left w:val="nil"/>
              <w:bottom w:val="single" w:sz="8" w:space="0" w:color="C7C9C7"/>
              <w:right w:val="nil"/>
            </w:tcBorders>
            <w:tcMar>
              <w:top w:w="0" w:type="dxa"/>
              <w:left w:w="0" w:type="dxa"/>
              <w:bottom w:w="0" w:type="dxa"/>
              <w:right w:w="15" w:type="dxa"/>
            </w:tcMar>
            <w:vAlign w:val="bottom"/>
          </w:tcPr>
          <w:p w14:paraId="0D945D65" w14:textId="77777777" w:rsidR="001614AC" w:rsidRDefault="001614AC">
            <w:pPr>
              <w:keepNext/>
              <w:spacing w:before="55" w:after="30" w:line="288" w:lineRule="auto"/>
              <w:jc w:val="right"/>
            </w:pPr>
          </w:p>
        </w:tc>
      </w:tr>
      <w:tr w:rsidR="001614AC" w14:paraId="0D67F39B" w14:textId="77777777">
        <w:trPr>
          <w:cantSplit/>
        </w:trPr>
        <w:tc>
          <w:tcPr>
            <w:tcW w:w="5640" w:type="dxa"/>
            <w:tcBorders>
              <w:top w:val="nil"/>
              <w:left w:val="nil"/>
              <w:bottom w:val="nil"/>
              <w:right w:val="nil"/>
            </w:tcBorders>
            <w:shd w:val="clear" w:color="auto" w:fill="F4F4F4"/>
            <w:tcMar>
              <w:top w:w="0" w:type="dxa"/>
              <w:left w:w="53" w:type="dxa"/>
              <w:bottom w:w="0" w:type="dxa"/>
              <w:right w:w="53" w:type="dxa"/>
            </w:tcMar>
            <w:vAlign w:val="bottom"/>
          </w:tcPr>
          <w:p w14:paraId="2DDA469C" w14:textId="77777777" w:rsidR="001614AC" w:rsidRDefault="004468F9">
            <w:pPr>
              <w:keepNext/>
              <w:spacing w:before="75" w:after="30" w:line="288" w:lineRule="auto"/>
            </w:pPr>
            <w:r>
              <w:rPr>
                <w:rFonts w:ascii="Arial" w:eastAsia="Arial" w:hAnsi="Arial" w:cs="Arial"/>
                <w:color w:val="000000"/>
                <w:sz w:val="18"/>
              </w:rPr>
              <w:t>Adjusted average common shares outstanding—diluted</w:t>
            </w:r>
          </w:p>
        </w:tc>
        <w:tc>
          <w:tcPr>
            <w:tcW w:w="105" w:type="dxa"/>
            <w:tcBorders>
              <w:top w:val="nil"/>
              <w:left w:val="nil"/>
              <w:bottom w:val="nil"/>
              <w:right w:val="nil"/>
            </w:tcBorders>
            <w:shd w:val="clear" w:color="auto" w:fill="F4F4F4"/>
            <w:tcMar>
              <w:top w:w="0" w:type="dxa"/>
              <w:left w:w="0" w:type="dxa"/>
              <w:bottom w:w="0" w:type="dxa"/>
              <w:right w:w="0" w:type="dxa"/>
            </w:tcMar>
            <w:vAlign w:val="bottom"/>
          </w:tcPr>
          <w:p w14:paraId="29D39BDA" w14:textId="77777777" w:rsidR="001614AC" w:rsidRDefault="001614AC">
            <w:pPr>
              <w:keepNext/>
            </w:pPr>
          </w:p>
        </w:tc>
        <w:tc>
          <w:tcPr>
            <w:tcW w:w="905" w:type="dxa"/>
            <w:gridSpan w:val="2"/>
            <w:tcBorders>
              <w:top w:val="single" w:sz="8" w:space="0" w:color="C7C9C7"/>
              <w:left w:val="nil"/>
              <w:bottom w:val="double" w:sz="8" w:space="0" w:color="C7C9C7"/>
              <w:right w:val="nil"/>
            </w:tcBorders>
            <w:shd w:val="clear" w:color="auto" w:fill="F4F4F4"/>
            <w:tcMar>
              <w:top w:w="0" w:type="dxa"/>
              <w:left w:w="53" w:type="dxa"/>
              <w:bottom w:w="0" w:type="dxa"/>
              <w:right w:w="0" w:type="dxa"/>
            </w:tcMar>
            <w:vAlign w:val="bottom"/>
          </w:tcPr>
          <w:p w14:paraId="360EB11E" w14:textId="77777777" w:rsidR="001614AC" w:rsidRDefault="004468F9">
            <w:pPr>
              <w:keepNext/>
              <w:spacing w:before="55" w:after="30" w:line="288" w:lineRule="auto"/>
              <w:jc w:val="right"/>
            </w:pPr>
            <w:r>
              <w:rPr>
                <w:rFonts w:ascii="Arial" w:eastAsia="Arial" w:hAnsi="Arial" w:cs="Arial"/>
                <w:color w:val="000000"/>
                <w:sz w:val="18"/>
              </w:rPr>
              <w:t>194,638 </w:t>
            </w:r>
          </w:p>
        </w:tc>
        <w:tc>
          <w:tcPr>
            <w:tcW w:w="100" w:type="dxa"/>
            <w:tcBorders>
              <w:top w:val="single" w:sz="8" w:space="0" w:color="C7C9C7"/>
              <w:left w:val="nil"/>
              <w:bottom w:val="double" w:sz="8" w:space="0" w:color="C7C9C7"/>
              <w:right w:val="nil"/>
            </w:tcBorders>
            <w:shd w:val="clear" w:color="auto" w:fill="F4F4F4"/>
            <w:tcMar>
              <w:top w:w="0" w:type="dxa"/>
              <w:left w:w="0" w:type="dxa"/>
              <w:bottom w:w="0" w:type="dxa"/>
              <w:right w:w="15" w:type="dxa"/>
            </w:tcMar>
            <w:vAlign w:val="bottom"/>
          </w:tcPr>
          <w:p w14:paraId="6CADAB34" w14:textId="77777777" w:rsidR="001614AC" w:rsidRDefault="001614AC">
            <w:pPr>
              <w:keepNext/>
              <w:spacing w:before="55" w:after="30" w:line="288" w:lineRule="auto"/>
              <w:jc w:val="right"/>
            </w:pPr>
          </w:p>
        </w:tc>
        <w:tc>
          <w:tcPr>
            <w:tcW w:w="105" w:type="dxa"/>
            <w:tcBorders>
              <w:top w:val="nil"/>
              <w:left w:val="nil"/>
              <w:bottom w:val="nil"/>
              <w:right w:val="nil"/>
            </w:tcBorders>
            <w:shd w:val="clear" w:color="auto" w:fill="F4F4F4"/>
            <w:tcMar>
              <w:top w:w="0" w:type="dxa"/>
              <w:left w:w="0" w:type="dxa"/>
              <w:bottom w:w="0" w:type="dxa"/>
              <w:right w:w="0" w:type="dxa"/>
            </w:tcMar>
            <w:vAlign w:val="bottom"/>
          </w:tcPr>
          <w:p w14:paraId="5D8DEBE4" w14:textId="77777777" w:rsidR="001614AC" w:rsidRDefault="001614AC">
            <w:pPr>
              <w:keepNext/>
            </w:pPr>
          </w:p>
        </w:tc>
        <w:tc>
          <w:tcPr>
            <w:tcW w:w="905" w:type="dxa"/>
            <w:gridSpan w:val="2"/>
            <w:tcBorders>
              <w:top w:val="single" w:sz="8" w:space="0" w:color="C7C9C7"/>
              <w:left w:val="nil"/>
              <w:bottom w:val="double" w:sz="8" w:space="0" w:color="C7C9C7"/>
              <w:right w:val="nil"/>
            </w:tcBorders>
            <w:shd w:val="clear" w:color="auto" w:fill="F4F4F4"/>
            <w:tcMar>
              <w:top w:w="0" w:type="dxa"/>
              <w:left w:w="53" w:type="dxa"/>
              <w:bottom w:w="0" w:type="dxa"/>
              <w:right w:w="0" w:type="dxa"/>
            </w:tcMar>
            <w:vAlign w:val="bottom"/>
          </w:tcPr>
          <w:p w14:paraId="289F695D" w14:textId="77777777" w:rsidR="001614AC" w:rsidRDefault="004468F9">
            <w:pPr>
              <w:keepNext/>
              <w:spacing w:before="55" w:after="30" w:line="288" w:lineRule="auto"/>
              <w:jc w:val="right"/>
            </w:pPr>
            <w:r>
              <w:rPr>
                <w:rFonts w:ascii="Arial" w:eastAsia="Arial" w:hAnsi="Arial" w:cs="Arial"/>
                <w:color w:val="000000"/>
                <w:sz w:val="18"/>
              </w:rPr>
              <w:t>193,299 </w:t>
            </w:r>
          </w:p>
        </w:tc>
        <w:tc>
          <w:tcPr>
            <w:tcW w:w="100" w:type="dxa"/>
            <w:tcBorders>
              <w:top w:val="single" w:sz="8" w:space="0" w:color="C7C9C7"/>
              <w:left w:val="nil"/>
              <w:bottom w:val="double" w:sz="8" w:space="0" w:color="C7C9C7"/>
              <w:right w:val="nil"/>
            </w:tcBorders>
            <w:shd w:val="clear" w:color="auto" w:fill="F4F4F4"/>
            <w:tcMar>
              <w:top w:w="0" w:type="dxa"/>
              <w:left w:w="0" w:type="dxa"/>
              <w:bottom w:w="0" w:type="dxa"/>
              <w:right w:w="15" w:type="dxa"/>
            </w:tcMar>
            <w:vAlign w:val="bottom"/>
          </w:tcPr>
          <w:p w14:paraId="0699DEF8" w14:textId="77777777" w:rsidR="001614AC" w:rsidRDefault="001614AC">
            <w:pPr>
              <w:keepNext/>
              <w:spacing w:before="55" w:after="30" w:line="288" w:lineRule="auto"/>
              <w:jc w:val="right"/>
            </w:pPr>
          </w:p>
        </w:tc>
        <w:tc>
          <w:tcPr>
            <w:tcW w:w="105" w:type="dxa"/>
            <w:tcBorders>
              <w:top w:val="nil"/>
              <w:left w:val="nil"/>
              <w:bottom w:val="nil"/>
              <w:right w:val="nil"/>
            </w:tcBorders>
            <w:shd w:val="clear" w:color="auto" w:fill="F4F4F4"/>
            <w:tcMar>
              <w:top w:w="0" w:type="dxa"/>
              <w:left w:w="0" w:type="dxa"/>
              <w:bottom w:w="0" w:type="dxa"/>
              <w:right w:w="0" w:type="dxa"/>
            </w:tcMar>
            <w:vAlign w:val="bottom"/>
          </w:tcPr>
          <w:p w14:paraId="580B7CD3" w14:textId="77777777" w:rsidR="001614AC" w:rsidRDefault="001614AC">
            <w:pPr>
              <w:keepNext/>
            </w:pPr>
          </w:p>
        </w:tc>
        <w:tc>
          <w:tcPr>
            <w:tcW w:w="905" w:type="dxa"/>
            <w:gridSpan w:val="2"/>
            <w:tcBorders>
              <w:top w:val="single" w:sz="8" w:space="0" w:color="C7C9C7"/>
              <w:left w:val="nil"/>
              <w:bottom w:val="double" w:sz="8" w:space="0" w:color="C7C9C7"/>
              <w:right w:val="nil"/>
            </w:tcBorders>
            <w:shd w:val="clear" w:color="auto" w:fill="F4F4F4"/>
            <w:tcMar>
              <w:top w:w="0" w:type="dxa"/>
              <w:left w:w="53" w:type="dxa"/>
              <w:bottom w:w="0" w:type="dxa"/>
              <w:right w:w="0" w:type="dxa"/>
            </w:tcMar>
            <w:vAlign w:val="bottom"/>
          </w:tcPr>
          <w:p w14:paraId="4BC0955A" w14:textId="77777777" w:rsidR="001614AC" w:rsidRDefault="004468F9">
            <w:pPr>
              <w:keepNext/>
              <w:spacing w:before="55" w:after="30" w:line="288" w:lineRule="auto"/>
              <w:jc w:val="right"/>
            </w:pPr>
            <w:r>
              <w:rPr>
                <w:rFonts w:ascii="Arial" w:eastAsia="Arial" w:hAnsi="Arial" w:cs="Arial"/>
                <w:color w:val="000000"/>
                <w:sz w:val="18"/>
              </w:rPr>
              <w:t>194,986 </w:t>
            </w:r>
          </w:p>
        </w:tc>
        <w:tc>
          <w:tcPr>
            <w:tcW w:w="100" w:type="dxa"/>
            <w:tcBorders>
              <w:top w:val="single" w:sz="8" w:space="0" w:color="C7C9C7"/>
              <w:left w:val="nil"/>
              <w:bottom w:val="double" w:sz="8" w:space="0" w:color="C7C9C7"/>
              <w:right w:val="nil"/>
            </w:tcBorders>
            <w:shd w:val="clear" w:color="auto" w:fill="F4F4F4"/>
            <w:tcMar>
              <w:top w:w="0" w:type="dxa"/>
              <w:left w:w="0" w:type="dxa"/>
              <w:bottom w:w="0" w:type="dxa"/>
              <w:right w:w="15" w:type="dxa"/>
            </w:tcMar>
            <w:vAlign w:val="bottom"/>
          </w:tcPr>
          <w:p w14:paraId="362E6A59" w14:textId="77777777" w:rsidR="001614AC" w:rsidRDefault="001614AC">
            <w:pPr>
              <w:keepNext/>
              <w:spacing w:before="55" w:after="30" w:line="288" w:lineRule="auto"/>
              <w:jc w:val="right"/>
            </w:pPr>
          </w:p>
        </w:tc>
        <w:tc>
          <w:tcPr>
            <w:tcW w:w="105" w:type="dxa"/>
            <w:tcBorders>
              <w:top w:val="nil"/>
              <w:left w:val="nil"/>
              <w:bottom w:val="nil"/>
              <w:right w:val="nil"/>
            </w:tcBorders>
            <w:shd w:val="clear" w:color="auto" w:fill="F4F4F4"/>
            <w:tcMar>
              <w:top w:w="0" w:type="dxa"/>
              <w:left w:w="0" w:type="dxa"/>
              <w:bottom w:w="0" w:type="dxa"/>
              <w:right w:w="0" w:type="dxa"/>
            </w:tcMar>
            <w:vAlign w:val="bottom"/>
          </w:tcPr>
          <w:p w14:paraId="2DB2AB34" w14:textId="77777777" w:rsidR="001614AC" w:rsidRDefault="001614AC">
            <w:pPr>
              <w:keepNext/>
            </w:pPr>
          </w:p>
        </w:tc>
        <w:tc>
          <w:tcPr>
            <w:tcW w:w="905" w:type="dxa"/>
            <w:gridSpan w:val="2"/>
            <w:tcBorders>
              <w:top w:val="single" w:sz="8" w:space="0" w:color="C7C9C7"/>
              <w:left w:val="nil"/>
              <w:bottom w:val="double" w:sz="8" w:space="0" w:color="C7C9C7"/>
              <w:right w:val="nil"/>
            </w:tcBorders>
            <w:shd w:val="clear" w:color="auto" w:fill="F4F4F4"/>
            <w:tcMar>
              <w:top w:w="0" w:type="dxa"/>
              <w:left w:w="53" w:type="dxa"/>
              <w:bottom w:w="0" w:type="dxa"/>
              <w:right w:w="0" w:type="dxa"/>
            </w:tcMar>
            <w:vAlign w:val="bottom"/>
          </w:tcPr>
          <w:p w14:paraId="3A5EBFAF" w14:textId="77777777" w:rsidR="001614AC" w:rsidRDefault="004468F9">
            <w:pPr>
              <w:keepNext/>
              <w:spacing w:before="55" w:after="30" w:line="288" w:lineRule="auto"/>
              <w:jc w:val="right"/>
            </w:pPr>
            <w:r>
              <w:rPr>
                <w:rFonts w:ascii="Arial" w:eastAsia="Arial" w:hAnsi="Arial" w:cs="Arial"/>
                <w:color w:val="000000"/>
                <w:sz w:val="18"/>
              </w:rPr>
              <w:t>198,746 </w:t>
            </w:r>
          </w:p>
        </w:tc>
        <w:tc>
          <w:tcPr>
            <w:tcW w:w="100" w:type="dxa"/>
            <w:tcBorders>
              <w:top w:val="single" w:sz="8" w:space="0" w:color="C7C9C7"/>
              <w:left w:val="nil"/>
              <w:bottom w:val="double" w:sz="8" w:space="0" w:color="C7C9C7"/>
              <w:right w:val="nil"/>
            </w:tcBorders>
            <w:shd w:val="clear" w:color="auto" w:fill="F4F4F4"/>
            <w:tcMar>
              <w:top w:w="0" w:type="dxa"/>
              <w:left w:w="0" w:type="dxa"/>
              <w:bottom w:w="0" w:type="dxa"/>
              <w:right w:w="15" w:type="dxa"/>
            </w:tcMar>
            <w:vAlign w:val="bottom"/>
          </w:tcPr>
          <w:p w14:paraId="5FEC7596" w14:textId="77777777" w:rsidR="001614AC" w:rsidRDefault="001614AC">
            <w:pPr>
              <w:keepNext/>
              <w:spacing w:before="55" w:after="30" w:line="288" w:lineRule="auto"/>
              <w:jc w:val="right"/>
            </w:pPr>
          </w:p>
        </w:tc>
      </w:tr>
      <w:tr w:rsidR="001614AC" w14:paraId="3639F02F" w14:textId="77777777">
        <w:trPr>
          <w:cantSplit/>
        </w:trPr>
        <w:tc>
          <w:tcPr>
            <w:tcW w:w="5640" w:type="dxa"/>
            <w:tcBorders>
              <w:top w:val="nil"/>
              <w:left w:val="nil"/>
              <w:bottom w:val="nil"/>
              <w:right w:val="nil"/>
            </w:tcBorders>
            <w:tcMar>
              <w:top w:w="0" w:type="dxa"/>
              <w:left w:w="0" w:type="dxa"/>
              <w:bottom w:w="0" w:type="dxa"/>
              <w:right w:w="0" w:type="dxa"/>
            </w:tcMar>
            <w:vAlign w:val="bottom"/>
          </w:tcPr>
          <w:p w14:paraId="67F93B4D" w14:textId="77777777" w:rsidR="001614AC" w:rsidRDefault="001614AC">
            <w:pPr>
              <w:keepNext/>
            </w:pPr>
          </w:p>
        </w:tc>
        <w:tc>
          <w:tcPr>
            <w:tcW w:w="105" w:type="dxa"/>
            <w:tcBorders>
              <w:top w:val="nil"/>
              <w:left w:val="nil"/>
              <w:bottom w:val="nil"/>
              <w:right w:val="nil"/>
            </w:tcBorders>
            <w:tcMar>
              <w:top w:w="0" w:type="dxa"/>
              <w:left w:w="0" w:type="dxa"/>
              <w:bottom w:w="0" w:type="dxa"/>
              <w:right w:w="0" w:type="dxa"/>
            </w:tcMar>
            <w:vAlign w:val="bottom"/>
          </w:tcPr>
          <w:p w14:paraId="5F64E970" w14:textId="77777777" w:rsidR="001614AC" w:rsidRDefault="001614AC">
            <w:pPr>
              <w:keepNext/>
            </w:pPr>
          </w:p>
        </w:tc>
        <w:tc>
          <w:tcPr>
            <w:tcW w:w="1005" w:type="dxa"/>
            <w:gridSpan w:val="3"/>
            <w:tcBorders>
              <w:top w:val="double" w:sz="8" w:space="0" w:color="C7C9C7"/>
              <w:left w:val="nil"/>
              <w:bottom w:val="nil"/>
              <w:right w:val="nil"/>
            </w:tcBorders>
            <w:tcMar>
              <w:top w:w="0" w:type="dxa"/>
              <w:left w:w="0" w:type="dxa"/>
              <w:bottom w:w="0" w:type="dxa"/>
              <w:right w:w="0" w:type="dxa"/>
            </w:tcMar>
            <w:vAlign w:val="bottom"/>
          </w:tcPr>
          <w:p w14:paraId="3D5C602E" w14:textId="77777777" w:rsidR="001614AC" w:rsidRDefault="001614AC">
            <w:pPr>
              <w:keepNext/>
            </w:pPr>
          </w:p>
        </w:tc>
        <w:tc>
          <w:tcPr>
            <w:tcW w:w="105" w:type="dxa"/>
            <w:tcBorders>
              <w:top w:val="nil"/>
              <w:left w:val="nil"/>
              <w:bottom w:val="nil"/>
              <w:right w:val="nil"/>
            </w:tcBorders>
            <w:tcMar>
              <w:top w:w="0" w:type="dxa"/>
              <w:left w:w="0" w:type="dxa"/>
              <w:bottom w:w="0" w:type="dxa"/>
              <w:right w:w="0" w:type="dxa"/>
            </w:tcMar>
            <w:vAlign w:val="bottom"/>
          </w:tcPr>
          <w:p w14:paraId="1BE28D2B" w14:textId="77777777" w:rsidR="001614AC" w:rsidRDefault="001614AC">
            <w:pPr>
              <w:keepNext/>
            </w:pPr>
          </w:p>
        </w:tc>
        <w:tc>
          <w:tcPr>
            <w:tcW w:w="1005" w:type="dxa"/>
            <w:gridSpan w:val="3"/>
            <w:tcBorders>
              <w:top w:val="double" w:sz="8" w:space="0" w:color="C7C9C7"/>
              <w:left w:val="nil"/>
              <w:bottom w:val="nil"/>
              <w:right w:val="nil"/>
            </w:tcBorders>
            <w:tcMar>
              <w:top w:w="0" w:type="dxa"/>
              <w:left w:w="0" w:type="dxa"/>
              <w:bottom w:w="0" w:type="dxa"/>
              <w:right w:w="0" w:type="dxa"/>
            </w:tcMar>
            <w:vAlign w:val="bottom"/>
          </w:tcPr>
          <w:p w14:paraId="5D4E76E6" w14:textId="77777777" w:rsidR="001614AC" w:rsidRDefault="001614AC">
            <w:pPr>
              <w:keepNext/>
            </w:pPr>
          </w:p>
        </w:tc>
        <w:tc>
          <w:tcPr>
            <w:tcW w:w="105" w:type="dxa"/>
            <w:tcBorders>
              <w:top w:val="nil"/>
              <w:left w:val="nil"/>
              <w:bottom w:val="nil"/>
              <w:right w:val="nil"/>
            </w:tcBorders>
            <w:tcMar>
              <w:top w:w="0" w:type="dxa"/>
              <w:left w:w="0" w:type="dxa"/>
              <w:bottom w:w="0" w:type="dxa"/>
              <w:right w:w="0" w:type="dxa"/>
            </w:tcMar>
            <w:vAlign w:val="bottom"/>
          </w:tcPr>
          <w:p w14:paraId="26342BF3" w14:textId="77777777" w:rsidR="001614AC" w:rsidRDefault="001614AC">
            <w:pPr>
              <w:keepNext/>
            </w:pPr>
          </w:p>
        </w:tc>
        <w:tc>
          <w:tcPr>
            <w:tcW w:w="1005" w:type="dxa"/>
            <w:gridSpan w:val="3"/>
            <w:tcBorders>
              <w:top w:val="double" w:sz="8" w:space="0" w:color="C7C9C7"/>
              <w:left w:val="nil"/>
              <w:bottom w:val="nil"/>
              <w:right w:val="nil"/>
            </w:tcBorders>
            <w:tcMar>
              <w:top w:w="0" w:type="dxa"/>
              <w:left w:w="0" w:type="dxa"/>
              <w:bottom w:w="0" w:type="dxa"/>
              <w:right w:w="0" w:type="dxa"/>
            </w:tcMar>
            <w:vAlign w:val="bottom"/>
          </w:tcPr>
          <w:p w14:paraId="3A86CD50" w14:textId="77777777" w:rsidR="001614AC" w:rsidRDefault="001614AC">
            <w:pPr>
              <w:keepNext/>
            </w:pPr>
          </w:p>
        </w:tc>
        <w:tc>
          <w:tcPr>
            <w:tcW w:w="105" w:type="dxa"/>
            <w:tcBorders>
              <w:top w:val="nil"/>
              <w:left w:val="nil"/>
              <w:bottom w:val="nil"/>
              <w:right w:val="nil"/>
            </w:tcBorders>
            <w:tcMar>
              <w:top w:w="0" w:type="dxa"/>
              <w:left w:w="0" w:type="dxa"/>
              <w:bottom w:w="0" w:type="dxa"/>
              <w:right w:w="0" w:type="dxa"/>
            </w:tcMar>
            <w:vAlign w:val="bottom"/>
          </w:tcPr>
          <w:p w14:paraId="607F4D34" w14:textId="77777777" w:rsidR="001614AC" w:rsidRDefault="001614AC">
            <w:pPr>
              <w:keepNext/>
            </w:pPr>
          </w:p>
        </w:tc>
        <w:tc>
          <w:tcPr>
            <w:tcW w:w="1005" w:type="dxa"/>
            <w:gridSpan w:val="3"/>
            <w:tcBorders>
              <w:top w:val="double" w:sz="8" w:space="0" w:color="C7C9C7"/>
              <w:left w:val="nil"/>
              <w:bottom w:val="nil"/>
              <w:right w:val="nil"/>
            </w:tcBorders>
            <w:tcMar>
              <w:top w:w="0" w:type="dxa"/>
              <w:left w:w="0" w:type="dxa"/>
              <w:bottom w:w="0" w:type="dxa"/>
              <w:right w:w="0" w:type="dxa"/>
            </w:tcMar>
            <w:vAlign w:val="bottom"/>
          </w:tcPr>
          <w:p w14:paraId="0EC1A740" w14:textId="77777777" w:rsidR="001614AC" w:rsidRDefault="001614AC">
            <w:pPr>
              <w:keepNext/>
            </w:pPr>
          </w:p>
        </w:tc>
      </w:tr>
      <w:tr w:rsidR="001614AC" w14:paraId="6EA72A93" w14:textId="77777777">
        <w:trPr>
          <w:cantSplit/>
        </w:trPr>
        <w:tc>
          <w:tcPr>
            <w:tcW w:w="5640" w:type="dxa"/>
            <w:tcBorders>
              <w:top w:val="nil"/>
              <w:left w:val="nil"/>
              <w:bottom w:val="single" w:sz="8" w:space="0" w:color="E9E9E9"/>
              <w:right w:val="nil"/>
            </w:tcBorders>
            <w:tcMar>
              <w:top w:w="0" w:type="dxa"/>
              <w:left w:w="53" w:type="dxa"/>
              <w:bottom w:w="0" w:type="dxa"/>
              <w:right w:w="53" w:type="dxa"/>
            </w:tcMar>
            <w:vAlign w:val="bottom"/>
          </w:tcPr>
          <w:p w14:paraId="67BFFBCF" w14:textId="77777777" w:rsidR="001614AC" w:rsidRDefault="004468F9">
            <w:pPr>
              <w:keepNext/>
              <w:spacing w:before="75" w:after="30" w:line="288" w:lineRule="auto"/>
            </w:pPr>
            <w:r>
              <w:rPr>
                <w:rFonts w:ascii="Arial" w:eastAsia="Arial" w:hAnsi="Arial" w:cs="Arial"/>
                <w:b/>
                <w:color w:val="000000"/>
                <w:sz w:val="18"/>
              </w:rPr>
              <w:t>Net inc</w:t>
            </w:r>
            <w:r>
              <w:rPr>
                <w:rFonts w:ascii="Arial" w:eastAsia="Arial" w:hAnsi="Arial" w:cs="Arial"/>
                <w:b/>
                <w:color w:val="000000"/>
                <w:sz w:val="18"/>
              </w:rPr>
              <w:t>ome (loss) per share:</w:t>
            </w:r>
          </w:p>
        </w:tc>
        <w:tc>
          <w:tcPr>
            <w:tcW w:w="105" w:type="dxa"/>
            <w:tcBorders>
              <w:top w:val="nil"/>
              <w:left w:val="nil"/>
              <w:bottom w:val="nil"/>
              <w:right w:val="nil"/>
            </w:tcBorders>
            <w:tcMar>
              <w:top w:w="0" w:type="dxa"/>
              <w:left w:w="0" w:type="dxa"/>
              <w:bottom w:w="0" w:type="dxa"/>
              <w:right w:w="0" w:type="dxa"/>
            </w:tcMar>
            <w:vAlign w:val="bottom"/>
          </w:tcPr>
          <w:p w14:paraId="4B2C3201" w14:textId="77777777" w:rsidR="001614AC" w:rsidRDefault="001614AC">
            <w:pPr>
              <w:keepNext/>
            </w:pPr>
          </w:p>
        </w:tc>
        <w:tc>
          <w:tcPr>
            <w:tcW w:w="1005" w:type="dxa"/>
            <w:gridSpan w:val="3"/>
            <w:tcBorders>
              <w:top w:val="nil"/>
              <w:left w:val="nil"/>
              <w:bottom w:val="single" w:sz="8" w:space="0" w:color="E9E9E9"/>
              <w:right w:val="nil"/>
            </w:tcBorders>
            <w:tcMar>
              <w:top w:w="0" w:type="dxa"/>
              <w:left w:w="0" w:type="dxa"/>
              <w:bottom w:w="0" w:type="dxa"/>
              <w:right w:w="0" w:type="dxa"/>
            </w:tcMar>
            <w:vAlign w:val="bottom"/>
          </w:tcPr>
          <w:p w14:paraId="7987293A" w14:textId="77777777" w:rsidR="001614AC" w:rsidRDefault="001614AC">
            <w:pPr>
              <w:keepNext/>
            </w:pPr>
          </w:p>
        </w:tc>
        <w:tc>
          <w:tcPr>
            <w:tcW w:w="105" w:type="dxa"/>
            <w:tcBorders>
              <w:top w:val="nil"/>
              <w:left w:val="nil"/>
              <w:bottom w:val="nil"/>
              <w:right w:val="nil"/>
            </w:tcBorders>
            <w:tcMar>
              <w:top w:w="0" w:type="dxa"/>
              <w:left w:w="0" w:type="dxa"/>
              <w:bottom w:w="0" w:type="dxa"/>
              <w:right w:w="0" w:type="dxa"/>
            </w:tcMar>
            <w:vAlign w:val="bottom"/>
          </w:tcPr>
          <w:p w14:paraId="5145803E" w14:textId="77777777" w:rsidR="001614AC" w:rsidRDefault="001614AC">
            <w:pPr>
              <w:keepNext/>
            </w:pPr>
          </w:p>
        </w:tc>
        <w:tc>
          <w:tcPr>
            <w:tcW w:w="1005" w:type="dxa"/>
            <w:gridSpan w:val="3"/>
            <w:tcBorders>
              <w:top w:val="nil"/>
              <w:left w:val="nil"/>
              <w:bottom w:val="single" w:sz="8" w:space="0" w:color="E9E9E9"/>
              <w:right w:val="nil"/>
            </w:tcBorders>
            <w:tcMar>
              <w:top w:w="0" w:type="dxa"/>
              <w:left w:w="0" w:type="dxa"/>
              <w:bottom w:w="0" w:type="dxa"/>
              <w:right w:w="0" w:type="dxa"/>
            </w:tcMar>
            <w:vAlign w:val="bottom"/>
          </w:tcPr>
          <w:p w14:paraId="7255B332" w14:textId="77777777" w:rsidR="001614AC" w:rsidRDefault="001614AC">
            <w:pPr>
              <w:keepNext/>
            </w:pPr>
          </w:p>
        </w:tc>
        <w:tc>
          <w:tcPr>
            <w:tcW w:w="105" w:type="dxa"/>
            <w:tcBorders>
              <w:top w:val="nil"/>
              <w:left w:val="nil"/>
              <w:bottom w:val="nil"/>
              <w:right w:val="nil"/>
            </w:tcBorders>
            <w:tcMar>
              <w:top w:w="0" w:type="dxa"/>
              <w:left w:w="0" w:type="dxa"/>
              <w:bottom w:w="0" w:type="dxa"/>
              <w:right w:w="0" w:type="dxa"/>
            </w:tcMar>
            <w:vAlign w:val="bottom"/>
          </w:tcPr>
          <w:p w14:paraId="5CC87BD9" w14:textId="77777777" w:rsidR="001614AC" w:rsidRDefault="001614AC">
            <w:pPr>
              <w:keepNext/>
            </w:pPr>
          </w:p>
        </w:tc>
        <w:tc>
          <w:tcPr>
            <w:tcW w:w="1005" w:type="dxa"/>
            <w:gridSpan w:val="3"/>
            <w:tcBorders>
              <w:top w:val="nil"/>
              <w:left w:val="nil"/>
              <w:bottom w:val="single" w:sz="8" w:space="0" w:color="E9E9E9"/>
              <w:right w:val="nil"/>
            </w:tcBorders>
            <w:tcMar>
              <w:top w:w="0" w:type="dxa"/>
              <w:left w:w="0" w:type="dxa"/>
              <w:bottom w:w="0" w:type="dxa"/>
              <w:right w:w="0" w:type="dxa"/>
            </w:tcMar>
            <w:vAlign w:val="bottom"/>
          </w:tcPr>
          <w:p w14:paraId="1244293F" w14:textId="77777777" w:rsidR="001614AC" w:rsidRDefault="001614AC">
            <w:pPr>
              <w:keepNext/>
            </w:pPr>
          </w:p>
        </w:tc>
        <w:tc>
          <w:tcPr>
            <w:tcW w:w="105" w:type="dxa"/>
            <w:tcBorders>
              <w:top w:val="nil"/>
              <w:left w:val="nil"/>
              <w:bottom w:val="nil"/>
              <w:right w:val="nil"/>
            </w:tcBorders>
            <w:tcMar>
              <w:top w:w="0" w:type="dxa"/>
              <w:left w:w="0" w:type="dxa"/>
              <w:bottom w:w="0" w:type="dxa"/>
              <w:right w:w="0" w:type="dxa"/>
            </w:tcMar>
            <w:vAlign w:val="bottom"/>
          </w:tcPr>
          <w:p w14:paraId="5BEF2190" w14:textId="77777777" w:rsidR="001614AC" w:rsidRDefault="001614AC">
            <w:pPr>
              <w:keepNext/>
            </w:pPr>
          </w:p>
        </w:tc>
        <w:tc>
          <w:tcPr>
            <w:tcW w:w="1005" w:type="dxa"/>
            <w:gridSpan w:val="3"/>
            <w:tcBorders>
              <w:top w:val="nil"/>
              <w:left w:val="nil"/>
              <w:bottom w:val="single" w:sz="8" w:space="0" w:color="E9E9E9"/>
              <w:right w:val="nil"/>
            </w:tcBorders>
            <w:tcMar>
              <w:top w:w="0" w:type="dxa"/>
              <w:left w:w="0" w:type="dxa"/>
              <w:bottom w:w="0" w:type="dxa"/>
              <w:right w:w="0" w:type="dxa"/>
            </w:tcMar>
            <w:vAlign w:val="bottom"/>
          </w:tcPr>
          <w:p w14:paraId="7FE77CAE" w14:textId="77777777" w:rsidR="001614AC" w:rsidRDefault="001614AC">
            <w:pPr>
              <w:keepNext/>
            </w:pPr>
          </w:p>
        </w:tc>
      </w:tr>
      <w:tr w:rsidR="001614AC" w14:paraId="6376CBDC" w14:textId="77777777">
        <w:trPr>
          <w:cantSplit/>
        </w:trPr>
        <w:tc>
          <w:tcPr>
            <w:tcW w:w="5640" w:type="dxa"/>
            <w:tcBorders>
              <w:top w:val="single" w:sz="8" w:space="0" w:color="E9E9E9"/>
              <w:left w:val="nil"/>
              <w:bottom w:val="single" w:sz="8" w:space="0" w:color="E9E9E9"/>
              <w:right w:val="nil"/>
            </w:tcBorders>
            <w:tcMar>
              <w:top w:w="0" w:type="dxa"/>
              <w:left w:w="53" w:type="dxa"/>
              <w:bottom w:w="0" w:type="dxa"/>
              <w:right w:w="53" w:type="dxa"/>
            </w:tcMar>
            <w:vAlign w:val="bottom"/>
          </w:tcPr>
          <w:p w14:paraId="1E1943EA" w14:textId="77777777" w:rsidR="001614AC" w:rsidRDefault="004468F9">
            <w:pPr>
              <w:keepNext/>
              <w:spacing w:before="55" w:after="30" w:line="288" w:lineRule="auto"/>
            </w:pPr>
            <w:r>
              <w:rPr>
                <w:rFonts w:ascii="Arial" w:eastAsia="Arial" w:hAnsi="Arial" w:cs="Arial"/>
                <w:color w:val="000000"/>
                <w:sz w:val="18"/>
              </w:rPr>
              <w:t>Basic</w:t>
            </w:r>
          </w:p>
        </w:tc>
        <w:tc>
          <w:tcPr>
            <w:tcW w:w="105" w:type="dxa"/>
            <w:tcBorders>
              <w:top w:val="nil"/>
              <w:left w:val="nil"/>
              <w:bottom w:val="nil"/>
              <w:right w:val="nil"/>
            </w:tcBorders>
            <w:tcMar>
              <w:top w:w="0" w:type="dxa"/>
              <w:left w:w="0" w:type="dxa"/>
              <w:bottom w:w="0" w:type="dxa"/>
              <w:right w:w="0" w:type="dxa"/>
            </w:tcMar>
            <w:vAlign w:val="bottom"/>
          </w:tcPr>
          <w:p w14:paraId="4A4F1AE2" w14:textId="77777777" w:rsidR="001614AC" w:rsidRDefault="001614AC">
            <w:pPr>
              <w:keepNext/>
            </w:pPr>
          </w:p>
        </w:tc>
        <w:tc>
          <w:tcPr>
            <w:tcW w:w="160" w:type="dxa"/>
            <w:tcBorders>
              <w:top w:val="single" w:sz="8" w:space="0" w:color="E9E9E9"/>
              <w:left w:val="nil"/>
              <w:bottom w:val="single" w:sz="8" w:space="0" w:color="E9E9E9"/>
              <w:right w:val="nil"/>
            </w:tcBorders>
            <w:tcMar>
              <w:top w:w="0" w:type="dxa"/>
              <w:left w:w="53" w:type="dxa"/>
              <w:bottom w:w="0" w:type="dxa"/>
              <w:right w:w="0" w:type="dxa"/>
            </w:tcMar>
            <w:vAlign w:val="bottom"/>
          </w:tcPr>
          <w:p w14:paraId="57C736C1" w14:textId="77777777" w:rsidR="001614AC" w:rsidRDefault="004468F9">
            <w:pPr>
              <w:keepNext/>
              <w:spacing w:before="55" w:after="30" w:line="288" w:lineRule="auto"/>
            </w:pPr>
            <w:r>
              <w:rPr>
                <w:rFonts w:ascii="Arial" w:eastAsia="Arial" w:hAnsi="Arial" w:cs="Arial"/>
                <w:color w:val="000000"/>
                <w:sz w:val="18"/>
              </w:rPr>
              <w:t>$</w:t>
            </w:r>
          </w:p>
        </w:tc>
        <w:tc>
          <w:tcPr>
            <w:tcW w:w="745" w:type="dxa"/>
            <w:tcBorders>
              <w:top w:val="single" w:sz="8" w:space="0" w:color="E9E9E9"/>
              <w:left w:val="nil"/>
              <w:bottom w:val="single" w:sz="8" w:space="0" w:color="E9E9E9"/>
              <w:right w:val="nil"/>
            </w:tcBorders>
            <w:tcMar>
              <w:top w:w="0" w:type="dxa"/>
              <w:left w:w="0" w:type="dxa"/>
              <w:bottom w:w="0" w:type="dxa"/>
              <w:right w:w="0" w:type="dxa"/>
            </w:tcMar>
            <w:vAlign w:val="bottom"/>
          </w:tcPr>
          <w:p w14:paraId="108C5E1C" w14:textId="77777777" w:rsidR="001614AC" w:rsidRDefault="004468F9">
            <w:pPr>
              <w:keepNext/>
              <w:spacing w:before="55" w:after="30" w:line="288" w:lineRule="auto"/>
              <w:jc w:val="right"/>
            </w:pPr>
            <w:r>
              <w:rPr>
                <w:rFonts w:ascii="Arial" w:eastAsia="Arial" w:hAnsi="Arial" w:cs="Arial"/>
                <w:color w:val="000000"/>
                <w:sz w:val="18"/>
              </w:rPr>
              <w:t>0.80 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74032366" w14:textId="77777777" w:rsidR="001614AC" w:rsidRDefault="001614AC">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3771E7FB" w14:textId="77777777" w:rsidR="001614AC" w:rsidRDefault="001614AC">
            <w:pPr>
              <w:keepNext/>
            </w:pPr>
          </w:p>
        </w:tc>
        <w:tc>
          <w:tcPr>
            <w:tcW w:w="160" w:type="dxa"/>
            <w:tcBorders>
              <w:top w:val="single" w:sz="8" w:space="0" w:color="E9E9E9"/>
              <w:left w:val="nil"/>
              <w:bottom w:val="single" w:sz="8" w:space="0" w:color="E9E9E9"/>
              <w:right w:val="nil"/>
            </w:tcBorders>
            <w:tcMar>
              <w:top w:w="0" w:type="dxa"/>
              <w:left w:w="53" w:type="dxa"/>
              <w:bottom w:w="0" w:type="dxa"/>
              <w:right w:w="0" w:type="dxa"/>
            </w:tcMar>
            <w:vAlign w:val="bottom"/>
          </w:tcPr>
          <w:p w14:paraId="27DD5FA0" w14:textId="77777777" w:rsidR="001614AC" w:rsidRDefault="004468F9">
            <w:pPr>
              <w:keepNext/>
              <w:spacing w:before="55" w:after="30" w:line="288" w:lineRule="auto"/>
            </w:pPr>
            <w:r>
              <w:rPr>
                <w:rFonts w:ascii="Arial" w:eastAsia="Arial" w:hAnsi="Arial" w:cs="Arial"/>
                <w:color w:val="000000"/>
                <w:sz w:val="18"/>
              </w:rPr>
              <w:t>$</w:t>
            </w:r>
          </w:p>
        </w:tc>
        <w:tc>
          <w:tcPr>
            <w:tcW w:w="745" w:type="dxa"/>
            <w:tcBorders>
              <w:top w:val="single" w:sz="8" w:space="0" w:color="E9E9E9"/>
              <w:left w:val="nil"/>
              <w:bottom w:val="single" w:sz="8" w:space="0" w:color="E9E9E9"/>
              <w:right w:val="nil"/>
            </w:tcBorders>
            <w:tcMar>
              <w:top w:w="0" w:type="dxa"/>
              <w:left w:w="0" w:type="dxa"/>
              <w:bottom w:w="0" w:type="dxa"/>
              <w:right w:w="0" w:type="dxa"/>
            </w:tcMar>
            <w:vAlign w:val="bottom"/>
          </w:tcPr>
          <w:p w14:paraId="72AA55FD" w14:textId="77777777" w:rsidR="001614AC" w:rsidRDefault="004468F9">
            <w:pPr>
              <w:keepNext/>
              <w:spacing w:before="55" w:after="30" w:line="288" w:lineRule="auto"/>
              <w:jc w:val="right"/>
            </w:pPr>
            <w:r>
              <w:rPr>
                <w:rFonts w:ascii="Arial" w:eastAsia="Arial" w:hAnsi="Arial" w:cs="Arial"/>
                <w:color w:val="000000"/>
                <w:sz w:val="18"/>
              </w:rPr>
              <w:t>(0.15)</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0BB1B516" w14:textId="77777777" w:rsidR="001614AC" w:rsidRDefault="001614AC">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3B7CCF4E" w14:textId="77777777" w:rsidR="001614AC" w:rsidRDefault="001614AC">
            <w:pPr>
              <w:keepNext/>
            </w:pPr>
          </w:p>
        </w:tc>
        <w:tc>
          <w:tcPr>
            <w:tcW w:w="160" w:type="dxa"/>
            <w:tcBorders>
              <w:top w:val="single" w:sz="8" w:space="0" w:color="E9E9E9"/>
              <w:left w:val="nil"/>
              <w:bottom w:val="single" w:sz="8" w:space="0" w:color="E9E9E9"/>
              <w:right w:val="nil"/>
            </w:tcBorders>
            <w:tcMar>
              <w:top w:w="0" w:type="dxa"/>
              <w:left w:w="53" w:type="dxa"/>
              <w:bottom w:w="0" w:type="dxa"/>
              <w:right w:w="0" w:type="dxa"/>
            </w:tcMar>
            <w:vAlign w:val="bottom"/>
          </w:tcPr>
          <w:p w14:paraId="3E29B3A9" w14:textId="77777777" w:rsidR="001614AC" w:rsidRDefault="004468F9">
            <w:pPr>
              <w:keepNext/>
              <w:spacing w:before="55" w:after="30" w:line="288" w:lineRule="auto"/>
            </w:pPr>
            <w:r>
              <w:rPr>
                <w:rFonts w:ascii="Arial" w:eastAsia="Arial" w:hAnsi="Arial" w:cs="Arial"/>
                <w:color w:val="000000"/>
                <w:sz w:val="18"/>
              </w:rPr>
              <w:t>$</w:t>
            </w:r>
          </w:p>
        </w:tc>
        <w:tc>
          <w:tcPr>
            <w:tcW w:w="745" w:type="dxa"/>
            <w:tcBorders>
              <w:top w:val="single" w:sz="8" w:space="0" w:color="E9E9E9"/>
              <w:left w:val="nil"/>
              <w:bottom w:val="single" w:sz="8" w:space="0" w:color="E9E9E9"/>
              <w:right w:val="nil"/>
            </w:tcBorders>
            <w:tcMar>
              <w:top w:w="0" w:type="dxa"/>
              <w:left w:w="0" w:type="dxa"/>
              <w:bottom w:w="0" w:type="dxa"/>
              <w:right w:w="0" w:type="dxa"/>
            </w:tcMar>
            <w:vAlign w:val="bottom"/>
          </w:tcPr>
          <w:p w14:paraId="60DE2971" w14:textId="77777777" w:rsidR="001614AC" w:rsidRDefault="004468F9">
            <w:pPr>
              <w:keepNext/>
              <w:spacing w:before="55" w:after="30" w:line="288" w:lineRule="auto"/>
              <w:jc w:val="right"/>
            </w:pPr>
            <w:r>
              <w:rPr>
                <w:rFonts w:ascii="Arial" w:eastAsia="Arial" w:hAnsi="Arial" w:cs="Arial"/>
                <w:color w:val="000000"/>
                <w:sz w:val="18"/>
              </w:rPr>
              <w:t>1.45 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45E8C617" w14:textId="77777777" w:rsidR="001614AC" w:rsidRDefault="001614AC">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0E044BBB" w14:textId="77777777" w:rsidR="001614AC" w:rsidRDefault="001614AC">
            <w:pPr>
              <w:keepNext/>
            </w:pPr>
          </w:p>
        </w:tc>
        <w:tc>
          <w:tcPr>
            <w:tcW w:w="160" w:type="dxa"/>
            <w:tcBorders>
              <w:top w:val="single" w:sz="8" w:space="0" w:color="E9E9E9"/>
              <w:left w:val="nil"/>
              <w:bottom w:val="single" w:sz="8" w:space="0" w:color="E9E9E9"/>
              <w:right w:val="nil"/>
            </w:tcBorders>
            <w:tcMar>
              <w:top w:w="0" w:type="dxa"/>
              <w:left w:w="53" w:type="dxa"/>
              <w:bottom w:w="0" w:type="dxa"/>
              <w:right w:w="0" w:type="dxa"/>
            </w:tcMar>
            <w:vAlign w:val="bottom"/>
          </w:tcPr>
          <w:p w14:paraId="55DA0393" w14:textId="77777777" w:rsidR="001614AC" w:rsidRDefault="004468F9">
            <w:pPr>
              <w:keepNext/>
              <w:spacing w:before="55" w:after="30" w:line="288" w:lineRule="auto"/>
            </w:pPr>
            <w:r>
              <w:rPr>
                <w:rFonts w:ascii="Arial" w:eastAsia="Arial" w:hAnsi="Arial" w:cs="Arial"/>
                <w:color w:val="000000"/>
                <w:sz w:val="18"/>
              </w:rPr>
              <w:t>$</w:t>
            </w:r>
          </w:p>
        </w:tc>
        <w:tc>
          <w:tcPr>
            <w:tcW w:w="745" w:type="dxa"/>
            <w:tcBorders>
              <w:top w:val="single" w:sz="8" w:space="0" w:color="E9E9E9"/>
              <w:left w:val="nil"/>
              <w:bottom w:val="single" w:sz="8" w:space="0" w:color="E9E9E9"/>
              <w:right w:val="nil"/>
            </w:tcBorders>
            <w:tcMar>
              <w:top w:w="0" w:type="dxa"/>
              <w:left w:w="0" w:type="dxa"/>
              <w:bottom w:w="0" w:type="dxa"/>
              <w:right w:w="0" w:type="dxa"/>
            </w:tcMar>
            <w:vAlign w:val="bottom"/>
          </w:tcPr>
          <w:p w14:paraId="27C7F28C" w14:textId="77777777" w:rsidR="001614AC" w:rsidRDefault="004468F9">
            <w:pPr>
              <w:keepNext/>
              <w:spacing w:before="55" w:after="30" w:line="288" w:lineRule="auto"/>
              <w:jc w:val="right"/>
            </w:pPr>
            <w:r>
              <w:rPr>
                <w:rFonts w:ascii="Arial" w:eastAsia="Arial" w:hAnsi="Arial" w:cs="Arial"/>
                <w:color w:val="000000"/>
                <w:sz w:val="18"/>
              </w:rPr>
              <w:t>0.56 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3CB0BE06" w14:textId="77777777" w:rsidR="001614AC" w:rsidRDefault="001614AC">
            <w:pPr>
              <w:keepNext/>
              <w:spacing w:before="55" w:after="30" w:line="288" w:lineRule="auto"/>
              <w:jc w:val="right"/>
            </w:pPr>
          </w:p>
        </w:tc>
      </w:tr>
      <w:tr w:rsidR="001614AC" w14:paraId="285DDE97" w14:textId="77777777">
        <w:trPr>
          <w:cantSplit/>
        </w:trPr>
        <w:tc>
          <w:tcPr>
            <w:tcW w:w="5640" w:type="dxa"/>
            <w:tcBorders>
              <w:top w:val="single" w:sz="8" w:space="0" w:color="E9E9E9"/>
              <w:left w:val="nil"/>
              <w:bottom w:val="single" w:sz="8" w:space="0" w:color="E9E9E9"/>
              <w:right w:val="nil"/>
            </w:tcBorders>
            <w:tcMar>
              <w:top w:w="0" w:type="dxa"/>
              <w:left w:w="53" w:type="dxa"/>
              <w:bottom w:w="0" w:type="dxa"/>
              <w:right w:w="53" w:type="dxa"/>
            </w:tcMar>
            <w:vAlign w:val="bottom"/>
          </w:tcPr>
          <w:p w14:paraId="5F77B566" w14:textId="77777777" w:rsidR="001614AC" w:rsidRDefault="004468F9">
            <w:pPr>
              <w:spacing w:before="55" w:after="30" w:line="288" w:lineRule="auto"/>
            </w:pPr>
            <w:r>
              <w:rPr>
                <w:rFonts w:ascii="Arial" w:eastAsia="Arial" w:hAnsi="Arial" w:cs="Arial"/>
                <w:color w:val="000000"/>
                <w:sz w:val="18"/>
              </w:rPr>
              <w:t>Diluted</w:t>
            </w:r>
          </w:p>
        </w:tc>
        <w:tc>
          <w:tcPr>
            <w:tcW w:w="105" w:type="dxa"/>
            <w:tcBorders>
              <w:top w:val="nil"/>
              <w:left w:val="nil"/>
              <w:bottom w:val="nil"/>
              <w:right w:val="nil"/>
            </w:tcBorders>
            <w:tcMar>
              <w:top w:w="0" w:type="dxa"/>
              <w:left w:w="0" w:type="dxa"/>
              <w:bottom w:w="0" w:type="dxa"/>
              <w:right w:w="0" w:type="dxa"/>
            </w:tcMar>
            <w:vAlign w:val="bottom"/>
          </w:tcPr>
          <w:p w14:paraId="0E76FB46" w14:textId="77777777" w:rsidR="001614AC" w:rsidRDefault="001614AC"/>
        </w:tc>
        <w:tc>
          <w:tcPr>
            <w:tcW w:w="160" w:type="dxa"/>
            <w:tcBorders>
              <w:top w:val="single" w:sz="8" w:space="0" w:color="E9E9E9"/>
              <w:left w:val="nil"/>
              <w:bottom w:val="single" w:sz="8" w:space="0" w:color="E9E9E9"/>
              <w:right w:val="nil"/>
            </w:tcBorders>
            <w:tcMar>
              <w:top w:w="0" w:type="dxa"/>
              <w:left w:w="53" w:type="dxa"/>
              <w:bottom w:w="0" w:type="dxa"/>
              <w:right w:w="0" w:type="dxa"/>
            </w:tcMar>
            <w:vAlign w:val="bottom"/>
          </w:tcPr>
          <w:p w14:paraId="05927184" w14:textId="77777777" w:rsidR="001614AC" w:rsidRDefault="004468F9">
            <w:pPr>
              <w:spacing w:before="55" w:after="30" w:line="288" w:lineRule="auto"/>
            </w:pPr>
            <w:r>
              <w:rPr>
                <w:rFonts w:ascii="Arial" w:eastAsia="Arial" w:hAnsi="Arial" w:cs="Arial"/>
                <w:color w:val="000000"/>
                <w:sz w:val="18"/>
              </w:rPr>
              <w:t>$</w:t>
            </w:r>
          </w:p>
        </w:tc>
        <w:tc>
          <w:tcPr>
            <w:tcW w:w="745" w:type="dxa"/>
            <w:tcBorders>
              <w:top w:val="single" w:sz="8" w:space="0" w:color="E9E9E9"/>
              <w:left w:val="nil"/>
              <w:bottom w:val="single" w:sz="8" w:space="0" w:color="E9E9E9"/>
              <w:right w:val="nil"/>
            </w:tcBorders>
            <w:tcMar>
              <w:top w:w="0" w:type="dxa"/>
              <w:left w:w="0" w:type="dxa"/>
              <w:bottom w:w="0" w:type="dxa"/>
              <w:right w:w="0" w:type="dxa"/>
            </w:tcMar>
            <w:vAlign w:val="bottom"/>
          </w:tcPr>
          <w:p w14:paraId="5E199A8F" w14:textId="77777777" w:rsidR="001614AC" w:rsidRDefault="004468F9">
            <w:pPr>
              <w:spacing w:before="55" w:after="30" w:line="288" w:lineRule="auto"/>
              <w:jc w:val="right"/>
            </w:pPr>
            <w:r>
              <w:rPr>
                <w:rFonts w:ascii="Arial" w:eastAsia="Arial" w:hAnsi="Arial" w:cs="Arial"/>
                <w:color w:val="000000"/>
                <w:sz w:val="18"/>
              </w:rPr>
              <w:t>0.80 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174B5657" w14:textId="77777777" w:rsidR="001614AC" w:rsidRDefault="001614AC">
            <w:pPr>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403BFAC8" w14:textId="77777777" w:rsidR="001614AC" w:rsidRDefault="001614AC"/>
        </w:tc>
        <w:tc>
          <w:tcPr>
            <w:tcW w:w="160" w:type="dxa"/>
            <w:tcBorders>
              <w:top w:val="single" w:sz="8" w:space="0" w:color="E9E9E9"/>
              <w:left w:val="nil"/>
              <w:bottom w:val="single" w:sz="8" w:space="0" w:color="E9E9E9"/>
              <w:right w:val="nil"/>
            </w:tcBorders>
            <w:tcMar>
              <w:top w:w="0" w:type="dxa"/>
              <w:left w:w="53" w:type="dxa"/>
              <w:bottom w:w="0" w:type="dxa"/>
              <w:right w:w="0" w:type="dxa"/>
            </w:tcMar>
            <w:vAlign w:val="bottom"/>
          </w:tcPr>
          <w:p w14:paraId="5810A6D1" w14:textId="77777777" w:rsidR="001614AC" w:rsidRDefault="004468F9">
            <w:pPr>
              <w:spacing w:before="55" w:after="30" w:line="288" w:lineRule="auto"/>
            </w:pPr>
            <w:r>
              <w:rPr>
                <w:rFonts w:ascii="Arial" w:eastAsia="Arial" w:hAnsi="Arial" w:cs="Arial"/>
                <w:color w:val="000000"/>
                <w:sz w:val="18"/>
              </w:rPr>
              <w:t>$</w:t>
            </w:r>
          </w:p>
        </w:tc>
        <w:tc>
          <w:tcPr>
            <w:tcW w:w="745" w:type="dxa"/>
            <w:tcBorders>
              <w:top w:val="single" w:sz="8" w:space="0" w:color="E9E9E9"/>
              <w:left w:val="nil"/>
              <w:bottom w:val="single" w:sz="8" w:space="0" w:color="E9E9E9"/>
              <w:right w:val="nil"/>
            </w:tcBorders>
            <w:tcMar>
              <w:top w:w="0" w:type="dxa"/>
              <w:left w:w="0" w:type="dxa"/>
              <w:bottom w:w="0" w:type="dxa"/>
              <w:right w:w="0" w:type="dxa"/>
            </w:tcMar>
            <w:vAlign w:val="bottom"/>
          </w:tcPr>
          <w:p w14:paraId="11DC89CD" w14:textId="77777777" w:rsidR="001614AC" w:rsidRDefault="004468F9">
            <w:pPr>
              <w:spacing w:before="55" w:after="30" w:line="288" w:lineRule="auto"/>
              <w:jc w:val="right"/>
            </w:pPr>
            <w:r>
              <w:rPr>
                <w:rFonts w:ascii="Arial" w:eastAsia="Arial" w:hAnsi="Arial" w:cs="Arial"/>
                <w:color w:val="000000"/>
                <w:sz w:val="18"/>
              </w:rPr>
              <w:t>(0.15)</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549F4A33" w14:textId="77777777" w:rsidR="001614AC" w:rsidRDefault="001614AC">
            <w:pPr>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7DEE605D" w14:textId="77777777" w:rsidR="001614AC" w:rsidRDefault="001614AC"/>
        </w:tc>
        <w:tc>
          <w:tcPr>
            <w:tcW w:w="160" w:type="dxa"/>
            <w:tcBorders>
              <w:top w:val="single" w:sz="8" w:space="0" w:color="E9E9E9"/>
              <w:left w:val="nil"/>
              <w:bottom w:val="single" w:sz="8" w:space="0" w:color="E9E9E9"/>
              <w:right w:val="nil"/>
            </w:tcBorders>
            <w:tcMar>
              <w:top w:w="0" w:type="dxa"/>
              <w:left w:w="53" w:type="dxa"/>
              <w:bottom w:w="0" w:type="dxa"/>
              <w:right w:w="0" w:type="dxa"/>
            </w:tcMar>
            <w:vAlign w:val="bottom"/>
          </w:tcPr>
          <w:p w14:paraId="3CF3C7D2" w14:textId="77777777" w:rsidR="001614AC" w:rsidRDefault="004468F9">
            <w:pPr>
              <w:spacing w:before="55" w:after="30" w:line="288" w:lineRule="auto"/>
            </w:pPr>
            <w:r>
              <w:rPr>
                <w:rFonts w:ascii="Arial" w:eastAsia="Arial" w:hAnsi="Arial" w:cs="Arial"/>
                <w:color w:val="000000"/>
                <w:sz w:val="18"/>
              </w:rPr>
              <w:t>$</w:t>
            </w:r>
          </w:p>
        </w:tc>
        <w:tc>
          <w:tcPr>
            <w:tcW w:w="745" w:type="dxa"/>
            <w:tcBorders>
              <w:top w:val="single" w:sz="8" w:space="0" w:color="E9E9E9"/>
              <w:left w:val="nil"/>
              <w:bottom w:val="single" w:sz="8" w:space="0" w:color="E9E9E9"/>
              <w:right w:val="nil"/>
            </w:tcBorders>
            <w:tcMar>
              <w:top w:w="0" w:type="dxa"/>
              <w:left w:w="0" w:type="dxa"/>
              <w:bottom w:w="0" w:type="dxa"/>
              <w:right w:w="0" w:type="dxa"/>
            </w:tcMar>
            <w:vAlign w:val="bottom"/>
          </w:tcPr>
          <w:p w14:paraId="6F459CD3" w14:textId="77777777" w:rsidR="001614AC" w:rsidRDefault="004468F9">
            <w:pPr>
              <w:spacing w:before="55" w:after="30" w:line="288" w:lineRule="auto"/>
              <w:jc w:val="right"/>
            </w:pPr>
            <w:r>
              <w:rPr>
                <w:rFonts w:ascii="Arial" w:eastAsia="Arial" w:hAnsi="Arial" w:cs="Arial"/>
                <w:color w:val="000000"/>
                <w:sz w:val="18"/>
              </w:rPr>
              <w:t>1.44 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5C9E4D2D" w14:textId="77777777" w:rsidR="001614AC" w:rsidRDefault="001614AC">
            <w:pPr>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4003A15F" w14:textId="77777777" w:rsidR="001614AC" w:rsidRDefault="001614AC"/>
        </w:tc>
        <w:tc>
          <w:tcPr>
            <w:tcW w:w="160" w:type="dxa"/>
            <w:tcBorders>
              <w:top w:val="single" w:sz="8" w:space="0" w:color="E9E9E9"/>
              <w:left w:val="nil"/>
              <w:bottom w:val="single" w:sz="8" w:space="0" w:color="E9E9E9"/>
              <w:right w:val="nil"/>
            </w:tcBorders>
            <w:tcMar>
              <w:top w:w="0" w:type="dxa"/>
              <w:left w:w="53" w:type="dxa"/>
              <w:bottom w:w="0" w:type="dxa"/>
              <w:right w:w="0" w:type="dxa"/>
            </w:tcMar>
            <w:vAlign w:val="bottom"/>
          </w:tcPr>
          <w:p w14:paraId="6652942C" w14:textId="77777777" w:rsidR="001614AC" w:rsidRDefault="004468F9">
            <w:pPr>
              <w:spacing w:before="55" w:after="30" w:line="288" w:lineRule="auto"/>
            </w:pPr>
            <w:r>
              <w:rPr>
                <w:rFonts w:ascii="Arial" w:eastAsia="Arial" w:hAnsi="Arial" w:cs="Arial"/>
                <w:color w:val="000000"/>
                <w:sz w:val="18"/>
              </w:rPr>
              <w:t>$</w:t>
            </w:r>
          </w:p>
        </w:tc>
        <w:tc>
          <w:tcPr>
            <w:tcW w:w="745" w:type="dxa"/>
            <w:tcBorders>
              <w:top w:val="single" w:sz="8" w:space="0" w:color="E9E9E9"/>
              <w:left w:val="nil"/>
              <w:bottom w:val="single" w:sz="8" w:space="0" w:color="E9E9E9"/>
              <w:right w:val="nil"/>
            </w:tcBorders>
            <w:tcMar>
              <w:top w:w="0" w:type="dxa"/>
              <w:left w:w="0" w:type="dxa"/>
              <w:bottom w:w="0" w:type="dxa"/>
              <w:right w:w="0" w:type="dxa"/>
            </w:tcMar>
            <w:vAlign w:val="bottom"/>
          </w:tcPr>
          <w:p w14:paraId="090B53F3" w14:textId="77777777" w:rsidR="001614AC" w:rsidRDefault="004468F9">
            <w:pPr>
              <w:spacing w:before="55" w:after="30" w:line="288" w:lineRule="auto"/>
              <w:jc w:val="right"/>
            </w:pPr>
            <w:r>
              <w:rPr>
                <w:rFonts w:ascii="Arial" w:eastAsia="Arial" w:hAnsi="Arial" w:cs="Arial"/>
                <w:color w:val="000000"/>
                <w:sz w:val="18"/>
              </w:rPr>
              <w:t>0.56 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12A03D57" w14:textId="77777777" w:rsidR="001614AC" w:rsidRDefault="001614AC">
            <w:pPr>
              <w:spacing w:before="55" w:after="30" w:line="288" w:lineRule="auto"/>
              <w:jc w:val="right"/>
            </w:pPr>
          </w:p>
        </w:tc>
      </w:tr>
    </w:tbl>
    <w:p w14:paraId="3431123C" w14:textId="77777777" w:rsidR="001614AC" w:rsidRDefault="004468F9" w:rsidP="004468F9">
      <w:pPr>
        <w:keepNext/>
        <w:numPr>
          <w:ilvl w:val="0"/>
          <w:numId w:val="8"/>
        </w:numPr>
        <w:spacing w:line="288" w:lineRule="auto"/>
        <w:ind w:left="360"/>
        <w:rPr>
          <w:rFonts w:ascii="Arial" w:eastAsia="Arial" w:hAnsi="Arial" w:cs="Arial"/>
          <w:b/>
          <w:color w:val="64615D"/>
          <w:sz w:val="16"/>
        </w:rPr>
      </w:pPr>
      <w:r>
        <w:rPr>
          <w:rFonts w:ascii="Arial" w:eastAsia="Arial" w:hAnsi="Arial" w:cs="Arial"/>
          <w:color w:val="64615D"/>
          <w:sz w:val="16"/>
        </w:rPr>
        <w:t>There were no dilutive shares for the three months ended June 30, 2020, as a result of our net</w:t>
      </w:r>
      <w:r>
        <w:rPr>
          <w:rFonts w:ascii="Arial" w:eastAsia="Arial" w:hAnsi="Arial" w:cs="Arial"/>
          <w:color w:val="64615D"/>
          <w:sz w:val="16"/>
        </w:rPr>
        <w:t xml:space="preserve"> loss for the period. The following number of shares of our common stock equivalents issued under our share-based compensation arrangements are not included in the calculation of diluted net income (loss) per share because they are anti-dilutive.</w:t>
      </w:r>
    </w:p>
    <w:tbl>
      <w:tblPr>
        <w:tblW w:w="9899"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71"/>
        <w:gridCol w:w="107"/>
        <w:gridCol w:w="923"/>
        <w:gridCol w:w="102"/>
        <w:gridCol w:w="107"/>
        <w:gridCol w:w="923"/>
        <w:gridCol w:w="102"/>
        <w:gridCol w:w="107"/>
        <w:gridCol w:w="923"/>
        <w:gridCol w:w="102"/>
        <w:gridCol w:w="107"/>
        <w:gridCol w:w="923"/>
        <w:gridCol w:w="102"/>
      </w:tblGrid>
      <w:tr w:rsidR="001614AC" w14:paraId="425F4564" w14:textId="77777777">
        <w:trPr>
          <w:cantSplit/>
        </w:trPr>
        <w:tc>
          <w:tcPr>
            <w:tcW w:w="5265" w:type="dxa"/>
            <w:tcBorders>
              <w:top w:val="nil"/>
              <w:left w:val="nil"/>
              <w:bottom w:val="nil"/>
              <w:right w:val="nil"/>
            </w:tcBorders>
            <w:tcMar>
              <w:top w:w="0" w:type="dxa"/>
              <w:left w:w="0" w:type="dxa"/>
              <w:bottom w:w="0" w:type="dxa"/>
              <w:right w:w="0" w:type="dxa"/>
            </w:tcMar>
            <w:vAlign w:val="bottom"/>
          </w:tcPr>
          <w:p w14:paraId="5995574B" w14:textId="77777777" w:rsidR="001614AC" w:rsidRDefault="001614AC">
            <w:pPr>
              <w:keepNext/>
            </w:pPr>
          </w:p>
        </w:tc>
        <w:tc>
          <w:tcPr>
            <w:tcW w:w="105" w:type="dxa"/>
            <w:tcBorders>
              <w:top w:val="nil"/>
              <w:left w:val="nil"/>
              <w:bottom w:val="nil"/>
              <w:right w:val="nil"/>
            </w:tcBorders>
            <w:tcMar>
              <w:top w:w="0" w:type="dxa"/>
              <w:left w:w="0" w:type="dxa"/>
              <w:bottom w:w="0" w:type="dxa"/>
              <w:right w:w="0" w:type="dxa"/>
            </w:tcMar>
            <w:vAlign w:val="bottom"/>
          </w:tcPr>
          <w:p w14:paraId="5142CDBC" w14:textId="77777777" w:rsidR="001614AC" w:rsidRDefault="001614AC">
            <w:pPr>
              <w:keepNext/>
            </w:pPr>
          </w:p>
        </w:tc>
        <w:tc>
          <w:tcPr>
            <w:tcW w:w="2115" w:type="dxa"/>
            <w:gridSpan w:val="5"/>
            <w:tcBorders>
              <w:top w:val="nil"/>
              <w:left w:val="nil"/>
              <w:bottom w:val="single" w:sz="8" w:space="0" w:color="FFFFFF"/>
              <w:right w:val="nil"/>
            </w:tcBorders>
            <w:tcMar>
              <w:top w:w="0" w:type="dxa"/>
              <w:left w:w="53" w:type="dxa"/>
              <w:bottom w:w="0" w:type="dxa"/>
              <w:right w:w="53" w:type="dxa"/>
            </w:tcMar>
            <w:vAlign w:val="bottom"/>
          </w:tcPr>
          <w:p w14:paraId="0ADB77F2" w14:textId="77777777" w:rsidR="001614AC" w:rsidRDefault="004468F9">
            <w:pPr>
              <w:keepNext/>
              <w:spacing w:before="75" w:line="288" w:lineRule="auto"/>
              <w:jc w:val="center"/>
            </w:pPr>
            <w:r>
              <w:rPr>
                <w:rFonts w:ascii="Arial" w:eastAsia="Arial" w:hAnsi="Arial" w:cs="Arial"/>
                <w:b/>
                <w:color w:val="00BAB3"/>
                <w:sz w:val="18"/>
              </w:rPr>
              <w:t>Three Months Ended</w:t>
            </w:r>
          </w:p>
          <w:p w14:paraId="20953FCE" w14:textId="77777777" w:rsidR="001614AC" w:rsidRDefault="004468F9">
            <w:pPr>
              <w:spacing w:after="30" w:line="288" w:lineRule="auto"/>
              <w:jc w:val="center"/>
            </w:pPr>
            <w:r>
              <w:rPr>
                <w:rFonts w:ascii="Arial" w:eastAsia="Arial" w:hAnsi="Arial" w:cs="Arial"/>
                <w:b/>
                <w:color w:val="00BAB3"/>
                <w:sz w:val="18"/>
              </w:rPr>
              <w:t>June 30,</w:t>
            </w:r>
          </w:p>
        </w:tc>
        <w:tc>
          <w:tcPr>
            <w:tcW w:w="105" w:type="dxa"/>
            <w:tcBorders>
              <w:top w:val="nil"/>
              <w:left w:val="nil"/>
              <w:bottom w:val="nil"/>
              <w:right w:val="nil"/>
            </w:tcBorders>
            <w:tcMar>
              <w:top w:w="0" w:type="dxa"/>
              <w:left w:w="0" w:type="dxa"/>
              <w:bottom w:w="0" w:type="dxa"/>
              <w:right w:w="0" w:type="dxa"/>
            </w:tcMar>
            <w:vAlign w:val="bottom"/>
          </w:tcPr>
          <w:p w14:paraId="18BD80DA" w14:textId="77777777" w:rsidR="001614AC" w:rsidRDefault="001614AC">
            <w:pPr>
              <w:keepNext/>
            </w:pPr>
          </w:p>
        </w:tc>
        <w:tc>
          <w:tcPr>
            <w:tcW w:w="2115" w:type="dxa"/>
            <w:gridSpan w:val="5"/>
            <w:tcBorders>
              <w:top w:val="nil"/>
              <w:left w:val="nil"/>
              <w:bottom w:val="single" w:sz="8" w:space="0" w:color="FFFFFF"/>
              <w:right w:val="nil"/>
            </w:tcBorders>
            <w:tcMar>
              <w:top w:w="0" w:type="dxa"/>
              <w:left w:w="53" w:type="dxa"/>
              <w:bottom w:w="0" w:type="dxa"/>
              <w:right w:w="53" w:type="dxa"/>
            </w:tcMar>
            <w:vAlign w:val="bottom"/>
          </w:tcPr>
          <w:p w14:paraId="3904FBD2" w14:textId="77777777" w:rsidR="001614AC" w:rsidRDefault="004468F9">
            <w:pPr>
              <w:keepNext/>
              <w:spacing w:before="75" w:line="288" w:lineRule="auto"/>
              <w:jc w:val="center"/>
            </w:pPr>
            <w:r>
              <w:rPr>
                <w:rFonts w:ascii="Arial" w:eastAsia="Arial" w:hAnsi="Arial" w:cs="Arial"/>
                <w:b/>
                <w:color w:val="00BAB3"/>
                <w:sz w:val="18"/>
              </w:rPr>
              <w:t>Six Months Ended</w:t>
            </w:r>
          </w:p>
          <w:p w14:paraId="0F3D6BDA" w14:textId="77777777" w:rsidR="001614AC" w:rsidRDefault="004468F9">
            <w:pPr>
              <w:spacing w:after="30" w:line="288" w:lineRule="auto"/>
              <w:jc w:val="center"/>
            </w:pPr>
            <w:r>
              <w:rPr>
                <w:rFonts w:ascii="Arial" w:eastAsia="Arial" w:hAnsi="Arial" w:cs="Arial"/>
                <w:b/>
                <w:color w:val="00BAB3"/>
                <w:sz w:val="18"/>
              </w:rPr>
              <w:t>June 30,</w:t>
            </w:r>
          </w:p>
        </w:tc>
      </w:tr>
      <w:tr w:rsidR="001614AC" w14:paraId="2AB2A5B8" w14:textId="77777777">
        <w:trPr>
          <w:cantSplit/>
        </w:trPr>
        <w:tc>
          <w:tcPr>
            <w:tcW w:w="5265" w:type="dxa"/>
            <w:tcBorders>
              <w:top w:val="nil"/>
              <w:left w:val="nil"/>
              <w:bottom w:val="single" w:sz="8" w:space="0" w:color="C7C9C7"/>
              <w:right w:val="nil"/>
            </w:tcBorders>
            <w:tcMar>
              <w:top w:w="0" w:type="dxa"/>
              <w:left w:w="53" w:type="dxa"/>
              <w:bottom w:w="0" w:type="dxa"/>
              <w:right w:w="53" w:type="dxa"/>
            </w:tcMar>
            <w:vAlign w:val="bottom"/>
          </w:tcPr>
          <w:p w14:paraId="5BF5D3D6" w14:textId="77777777" w:rsidR="001614AC" w:rsidRDefault="004468F9">
            <w:pPr>
              <w:keepNext/>
              <w:spacing w:before="75" w:after="30" w:line="288" w:lineRule="auto"/>
            </w:pPr>
            <w:r>
              <w:rPr>
                <w:rFonts w:ascii="Arial" w:eastAsia="Arial" w:hAnsi="Arial" w:cs="Arial"/>
                <w:color w:val="8B8886"/>
                <w:sz w:val="16"/>
              </w:rPr>
              <w:t>(In thousands)</w:t>
            </w:r>
          </w:p>
        </w:tc>
        <w:tc>
          <w:tcPr>
            <w:tcW w:w="105" w:type="dxa"/>
            <w:tcBorders>
              <w:top w:val="nil"/>
              <w:left w:val="nil"/>
              <w:bottom w:val="single" w:sz="8" w:space="0" w:color="C7C9C7"/>
              <w:right w:val="nil"/>
            </w:tcBorders>
            <w:tcMar>
              <w:top w:w="0" w:type="dxa"/>
              <w:left w:w="0" w:type="dxa"/>
              <w:bottom w:w="0" w:type="dxa"/>
              <w:right w:w="0" w:type="dxa"/>
            </w:tcMar>
            <w:vAlign w:val="bottom"/>
          </w:tcPr>
          <w:p w14:paraId="00CC8FAA" w14:textId="77777777" w:rsidR="001614AC" w:rsidRDefault="001614AC">
            <w:pPr>
              <w:keepNext/>
            </w:pPr>
          </w:p>
        </w:tc>
        <w:tc>
          <w:tcPr>
            <w:tcW w:w="1005" w:type="dxa"/>
            <w:gridSpan w:val="2"/>
            <w:tcBorders>
              <w:top w:val="nil"/>
              <w:left w:val="nil"/>
              <w:bottom w:val="single" w:sz="8" w:space="0" w:color="C7C9C7"/>
              <w:right w:val="nil"/>
            </w:tcBorders>
            <w:shd w:val="clear" w:color="auto" w:fill="E6F8F8"/>
            <w:tcMar>
              <w:top w:w="0" w:type="dxa"/>
              <w:left w:w="53" w:type="dxa"/>
              <w:bottom w:w="0" w:type="dxa"/>
              <w:right w:w="53" w:type="dxa"/>
            </w:tcMar>
            <w:vAlign w:val="bottom"/>
          </w:tcPr>
          <w:p w14:paraId="42B014D8" w14:textId="77777777" w:rsidR="001614AC" w:rsidRDefault="004468F9">
            <w:pPr>
              <w:keepNext/>
              <w:spacing w:before="55" w:after="30" w:line="288" w:lineRule="auto"/>
              <w:jc w:val="center"/>
            </w:pPr>
            <w:r>
              <w:rPr>
                <w:rFonts w:ascii="Arial" w:eastAsia="Arial" w:hAnsi="Arial" w:cs="Arial"/>
                <w:b/>
                <w:color w:val="00BAB3"/>
                <w:sz w:val="18"/>
              </w:rPr>
              <w:t>2021</w:t>
            </w:r>
          </w:p>
        </w:tc>
        <w:tc>
          <w:tcPr>
            <w:tcW w:w="105" w:type="dxa"/>
            <w:tcBorders>
              <w:top w:val="single" w:sz="8" w:space="0" w:color="FFFFFF"/>
              <w:left w:val="nil"/>
              <w:bottom w:val="single" w:sz="8" w:space="0" w:color="C7C9C7"/>
              <w:right w:val="nil"/>
            </w:tcBorders>
            <w:tcMar>
              <w:top w:w="0" w:type="dxa"/>
              <w:left w:w="0" w:type="dxa"/>
              <w:bottom w:w="0" w:type="dxa"/>
              <w:right w:w="0" w:type="dxa"/>
            </w:tcMar>
            <w:vAlign w:val="bottom"/>
          </w:tcPr>
          <w:p w14:paraId="781C8320" w14:textId="77777777" w:rsidR="001614AC" w:rsidRDefault="001614AC">
            <w:pPr>
              <w:keepNext/>
            </w:pPr>
          </w:p>
        </w:tc>
        <w:tc>
          <w:tcPr>
            <w:tcW w:w="1005" w:type="dxa"/>
            <w:gridSpan w:val="2"/>
            <w:tcBorders>
              <w:top w:val="single" w:sz="8" w:space="0" w:color="FFFFFF"/>
              <w:left w:val="nil"/>
              <w:bottom w:val="single" w:sz="8" w:space="0" w:color="C7C9C7"/>
              <w:right w:val="nil"/>
            </w:tcBorders>
            <w:shd w:val="clear" w:color="auto" w:fill="F4F4F4"/>
            <w:tcMar>
              <w:top w:w="0" w:type="dxa"/>
              <w:left w:w="53" w:type="dxa"/>
              <w:bottom w:w="0" w:type="dxa"/>
              <w:right w:w="53" w:type="dxa"/>
            </w:tcMar>
            <w:vAlign w:val="bottom"/>
          </w:tcPr>
          <w:p w14:paraId="78DF5410" w14:textId="77777777" w:rsidR="001614AC" w:rsidRDefault="004468F9">
            <w:pPr>
              <w:keepNext/>
              <w:spacing w:before="55" w:after="30" w:line="288" w:lineRule="auto"/>
              <w:jc w:val="center"/>
            </w:pPr>
            <w:r>
              <w:rPr>
                <w:rFonts w:ascii="Arial" w:eastAsia="Arial" w:hAnsi="Arial" w:cs="Arial"/>
                <w:b/>
                <w:color w:val="00BAB3"/>
                <w:sz w:val="18"/>
              </w:rPr>
              <w:t>2020</w:t>
            </w:r>
          </w:p>
        </w:tc>
        <w:tc>
          <w:tcPr>
            <w:tcW w:w="105" w:type="dxa"/>
            <w:tcBorders>
              <w:top w:val="nil"/>
              <w:left w:val="nil"/>
              <w:bottom w:val="single" w:sz="8" w:space="0" w:color="C7C9C7"/>
              <w:right w:val="nil"/>
            </w:tcBorders>
            <w:tcMar>
              <w:top w:w="0" w:type="dxa"/>
              <w:left w:w="0" w:type="dxa"/>
              <w:bottom w:w="0" w:type="dxa"/>
              <w:right w:w="0" w:type="dxa"/>
            </w:tcMar>
            <w:vAlign w:val="bottom"/>
          </w:tcPr>
          <w:p w14:paraId="2AA8EA51" w14:textId="77777777" w:rsidR="001614AC" w:rsidRDefault="001614AC">
            <w:pPr>
              <w:keepNext/>
            </w:pPr>
          </w:p>
        </w:tc>
        <w:tc>
          <w:tcPr>
            <w:tcW w:w="1005" w:type="dxa"/>
            <w:gridSpan w:val="2"/>
            <w:tcBorders>
              <w:top w:val="nil"/>
              <w:left w:val="nil"/>
              <w:bottom w:val="single" w:sz="8" w:space="0" w:color="C7C9C7"/>
              <w:right w:val="nil"/>
            </w:tcBorders>
            <w:shd w:val="clear" w:color="auto" w:fill="E6F8F8"/>
            <w:tcMar>
              <w:top w:w="0" w:type="dxa"/>
              <w:left w:w="53" w:type="dxa"/>
              <w:bottom w:w="0" w:type="dxa"/>
              <w:right w:w="53" w:type="dxa"/>
            </w:tcMar>
            <w:vAlign w:val="bottom"/>
          </w:tcPr>
          <w:p w14:paraId="2D31ECAF" w14:textId="77777777" w:rsidR="001614AC" w:rsidRDefault="004468F9">
            <w:pPr>
              <w:keepNext/>
              <w:spacing w:before="55" w:after="30" w:line="288" w:lineRule="auto"/>
              <w:jc w:val="center"/>
            </w:pPr>
            <w:r>
              <w:rPr>
                <w:rFonts w:ascii="Arial" w:eastAsia="Arial" w:hAnsi="Arial" w:cs="Arial"/>
                <w:b/>
                <w:color w:val="00BAB3"/>
                <w:sz w:val="18"/>
              </w:rPr>
              <w:t>2021</w:t>
            </w:r>
          </w:p>
        </w:tc>
        <w:tc>
          <w:tcPr>
            <w:tcW w:w="105" w:type="dxa"/>
            <w:tcBorders>
              <w:top w:val="single" w:sz="8" w:space="0" w:color="FFFFFF"/>
              <w:left w:val="nil"/>
              <w:bottom w:val="single" w:sz="8" w:space="0" w:color="C7C9C7"/>
              <w:right w:val="nil"/>
            </w:tcBorders>
            <w:tcMar>
              <w:top w:w="0" w:type="dxa"/>
              <w:left w:w="0" w:type="dxa"/>
              <w:bottom w:w="0" w:type="dxa"/>
              <w:right w:w="0" w:type="dxa"/>
            </w:tcMar>
            <w:vAlign w:val="bottom"/>
          </w:tcPr>
          <w:p w14:paraId="6F51C572" w14:textId="77777777" w:rsidR="001614AC" w:rsidRDefault="001614AC">
            <w:pPr>
              <w:keepNext/>
            </w:pPr>
          </w:p>
        </w:tc>
        <w:tc>
          <w:tcPr>
            <w:tcW w:w="1005" w:type="dxa"/>
            <w:gridSpan w:val="2"/>
            <w:tcBorders>
              <w:top w:val="single" w:sz="8" w:space="0" w:color="FFFFFF"/>
              <w:left w:val="nil"/>
              <w:bottom w:val="single" w:sz="8" w:space="0" w:color="C7C9C7"/>
              <w:right w:val="nil"/>
            </w:tcBorders>
            <w:shd w:val="clear" w:color="auto" w:fill="F4F4F4"/>
            <w:tcMar>
              <w:top w:w="0" w:type="dxa"/>
              <w:left w:w="53" w:type="dxa"/>
              <w:bottom w:w="0" w:type="dxa"/>
              <w:right w:w="53" w:type="dxa"/>
            </w:tcMar>
            <w:vAlign w:val="bottom"/>
          </w:tcPr>
          <w:p w14:paraId="2F109862" w14:textId="77777777" w:rsidR="001614AC" w:rsidRDefault="004468F9">
            <w:pPr>
              <w:keepNext/>
              <w:spacing w:before="55" w:after="30" w:line="288" w:lineRule="auto"/>
              <w:jc w:val="center"/>
            </w:pPr>
            <w:r>
              <w:rPr>
                <w:rFonts w:ascii="Arial" w:eastAsia="Arial" w:hAnsi="Arial" w:cs="Arial"/>
                <w:b/>
                <w:color w:val="00BAB3"/>
                <w:sz w:val="18"/>
              </w:rPr>
              <w:t>2020</w:t>
            </w:r>
          </w:p>
        </w:tc>
      </w:tr>
      <w:tr w:rsidR="001614AC" w14:paraId="4558B8E9" w14:textId="77777777">
        <w:trPr>
          <w:cantSplit/>
        </w:trPr>
        <w:tc>
          <w:tcPr>
            <w:tcW w:w="5265" w:type="dxa"/>
            <w:tcBorders>
              <w:top w:val="single" w:sz="8" w:space="0" w:color="C7C9C7"/>
              <w:left w:val="nil"/>
              <w:bottom w:val="single" w:sz="8" w:space="0" w:color="E9E9E9"/>
              <w:right w:val="nil"/>
            </w:tcBorders>
            <w:tcMar>
              <w:top w:w="0" w:type="dxa"/>
              <w:left w:w="53" w:type="dxa"/>
              <w:bottom w:w="0" w:type="dxa"/>
              <w:right w:w="53" w:type="dxa"/>
            </w:tcMar>
            <w:vAlign w:val="bottom"/>
          </w:tcPr>
          <w:p w14:paraId="228C4D93" w14:textId="77777777" w:rsidR="001614AC" w:rsidRDefault="004468F9">
            <w:pPr>
              <w:spacing w:before="55" w:after="30" w:line="288" w:lineRule="auto"/>
            </w:pPr>
            <w:r>
              <w:rPr>
                <w:rFonts w:ascii="Arial" w:eastAsia="Arial" w:hAnsi="Arial" w:cs="Arial"/>
                <w:color w:val="000000"/>
                <w:sz w:val="18"/>
              </w:rPr>
              <w:t>Shares of common stock equivalents</w:t>
            </w:r>
          </w:p>
        </w:tc>
        <w:tc>
          <w:tcPr>
            <w:tcW w:w="105" w:type="dxa"/>
            <w:tcBorders>
              <w:top w:val="single" w:sz="8" w:space="0" w:color="C7C9C7"/>
              <w:left w:val="nil"/>
              <w:bottom w:val="nil"/>
              <w:right w:val="nil"/>
            </w:tcBorders>
            <w:tcMar>
              <w:top w:w="0" w:type="dxa"/>
              <w:left w:w="0" w:type="dxa"/>
              <w:bottom w:w="0" w:type="dxa"/>
              <w:right w:w="0" w:type="dxa"/>
            </w:tcMar>
            <w:vAlign w:val="bottom"/>
          </w:tcPr>
          <w:p w14:paraId="7B88D00C" w14:textId="77777777" w:rsidR="001614AC" w:rsidRDefault="001614AC"/>
        </w:tc>
        <w:tc>
          <w:tcPr>
            <w:tcW w:w="905" w:type="dxa"/>
            <w:tcBorders>
              <w:top w:val="single" w:sz="8" w:space="0" w:color="C7C9C7"/>
              <w:left w:val="nil"/>
              <w:bottom w:val="single" w:sz="8" w:space="0" w:color="E9E9E9"/>
              <w:right w:val="nil"/>
            </w:tcBorders>
            <w:tcMar>
              <w:top w:w="0" w:type="dxa"/>
              <w:left w:w="53" w:type="dxa"/>
              <w:bottom w:w="0" w:type="dxa"/>
              <w:right w:w="0" w:type="dxa"/>
            </w:tcMar>
            <w:vAlign w:val="bottom"/>
          </w:tcPr>
          <w:p w14:paraId="4AA25FC9" w14:textId="77777777" w:rsidR="001614AC" w:rsidRDefault="004468F9">
            <w:pPr>
              <w:spacing w:before="55" w:after="30" w:line="288" w:lineRule="auto"/>
              <w:jc w:val="right"/>
            </w:pPr>
            <w:r>
              <w:rPr>
                <w:rFonts w:ascii="Arial" w:eastAsia="Arial" w:hAnsi="Arial" w:cs="Arial"/>
                <w:color w:val="000000"/>
                <w:sz w:val="18"/>
              </w:rPr>
              <w:t>— </w:t>
            </w:r>
          </w:p>
        </w:tc>
        <w:tc>
          <w:tcPr>
            <w:tcW w:w="100" w:type="dxa"/>
            <w:tcBorders>
              <w:top w:val="single" w:sz="8" w:space="0" w:color="C7C9C7"/>
              <w:left w:val="nil"/>
              <w:bottom w:val="single" w:sz="8" w:space="0" w:color="E9E9E9"/>
              <w:right w:val="nil"/>
            </w:tcBorders>
            <w:tcMar>
              <w:top w:w="0" w:type="dxa"/>
              <w:left w:w="0" w:type="dxa"/>
              <w:bottom w:w="0" w:type="dxa"/>
              <w:right w:w="15" w:type="dxa"/>
            </w:tcMar>
            <w:vAlign w:val="bottom"/>
          </w:tcPr>
          <w:p w14:paraId="52416C93" w14:textId="77777777" w:rsidR="001614AC" w:rsidRDefault="001614AC">
            <w:pPr>
              <w:spacing w:before="55" w:after="30" w:line="288" w:lineRule="auto"/>
              <w:jc w:val="right"/>
            </w:pPr>
          </w:p>
        </w:tc>
        <w:tc>
          <w:tcPr>
            <w:tcW w:w="105" w:type="dxa"/>
            <w:tcBorders>
              <w:top w:val="single" w:sz="8" w:space="0" w:color="C7C9C7"/>
              <w:left w:val="nil"/>
              <w:bottom w:val="nil"/>
              <w:right w:val="nil"/>
            </w:tcBorders>
            <w:tcMar>
              <w:top w:w="0" w:type="dxa"/>
              <w:left w:w="0" w:type="dxa"/>
              <w:bottom w:w="0" w:type="dxa"/>
              <w:right w:w="0" w:type="dxa"/>
            </w:tcMar>
            <w:vAlign w:val="bottom"/>
          </w:tcPr>
          <w:p w14:paraId="32EF12FA" w14:textId="77777777" w:rsidR="001614AC" w:rsidRDefault="001614AC"/>
        </w:tc>
        <w:tc>
          <w:tcPr>
            <w:tcW w:w="905" w:type="dxa"/>
            <w:tcBorders>
              <w:top w:val="single" w:sz="8" w:space="0" w:color="C7C9C7"/>
              <w:left w:val="nil"/>
              <w:bottom w:val="single" w:sz="8" w:space="0" w:color="E9E9E9"/>
              <w:right w:val="nil"/>
            </w:tcBorders>
            <w:tcMar>
              <w:top w:w="0" w:type="dxa"/>
              <w:left w:w="53" w:type="dxa"/>
              <w:bottom w:w="0" w:type="dxa"/>
              <w:right w:w="0" w:type="dxa"/>
            </w:tcMar>
            <w:vAlign w:val="bottom"/>
          </w:tcPr>
          <w:p w14:paraId="18B7D6EA" w14:textId="77777777" w:rsidR="001614AC" w:rsidRDefault="004468F9">
            <w:pPr>
              <w:spacing w:before="55" w:after="30" w:line="288" w:lineRule="auto"/>
              <w:jc w:val="right"/>
            </w:pPr>
            <w:r>
              <w:rPr>
                <w:rFonts w:ascii="Arial" w:eastAsia="Arial" w:hAnsi="Arial" w:cs="Arial"/>
                <w:color w:val="000000"/>
                <w:sz w:val="18"/>
              </w:rPr>
              <w:t>2,295 </w:t>
            </w:r>
          </w:p>
        </w:tc>
        <w:tc>
          <w:tcPr>
            <w:tcW w:w="100" w:type="dxa"/>
            <w:tcBorders>
              <w:top w:val="single" w:sz="8" w:space="0" w:color="C7C9C7"/>
              <w:left w:val="nil"/>
              <w:bottom w:val="single" w:sz="8" w:space="0" w:color="E9E9E9"/>
              <w:right w:val="nil"/>
            </w:tcBorders>
            <w:tcMar>
              <w:top w:w="0" w:type="dxa"/>
              <w:left w:w="0" w:type="dxa"/>
              <w:bottom w:w="0" w:type="dxa"/>
              <w:right w:w="15" w:type="dxa"/>
            </w:tcMar>
            <w:vAlign w:val="bottom"/>
          </w:tcPr>
          <w:p w14:paraId="5FBC9D88" w14:textId="77777777" w:rsidR="001614AC" w:rsidRDefault="001614AC">
            <w:pPr>
              <w:spacing w:before="55" w:after="30" w:line="288" w:lineRule="auto"/>
              <w:jc w:val="right"/>
            </w:pPr>
          </w:p>
        </w:tc>
        <w:tc>
          <w:tcPr>
            <w:tcW w:w="105" w:type="dxa"/>
            <w:tcBorders>
              <w:top w:val="single" w:sz="8" w:space="0" w:color="C7C9C7"/>
              <w:left w:val="nil"/>
              <w:bottom w:val="nil"/>
              <w:right w:val="nil"/>
            </w:tcBorders>
            <w:tcMar>
              <w:top w:w="0" w:type="dxa"/>
              <w:left w:w="0" w:type="dxa"/>
              <w:bottom w:w="0" w:type="dxa"/>
              <w:right w:w="0" w:type="dxa"/>
            </w:tcMar>
            <w:vAlign w:val="bottom"/>
          </w:tcPr>
          <w:p w14:paraId="61F45208" w14:textId="77777777" w:rsidR="001614AC" w:rsidRDefault="001614AC"/>
        </w:tc>
        <w:tc>
          <w:tcPr>
            <w:tcW w:w="905" w:type="dxa"/>
            <w:tcBorders>
              <w:top w:val="single" w:sz="8" w:space="0" w:color="C7C9C7"/>
              <w:left w:val="nil"/>
              <w:bottom w:val="single" w:sz="8" w:space="0" w:color="E9E9E9"/>
              <w:right w:val="nil"/>
            </w:tcBorders>
            <w:tcMar>
              <w:top w:w="0" w:type="dxa"/>
              <w:left w:w="53" w:type="dxa"/>
              <w:bottom w:w="0" w:type="dxa"/>
              <w:right w:w="0" w:type="dxa"/>
            </w:tcMar>
            <w:vAlign w:val="bottom"/>
          </w:tcPr>
          <w:p w14:paraId="74FBDEC2" w14:textId="77777777" w:rsidR="001614AC" w:rsidRDefault="004468F9">
            <w:pPr>
              <w:spacing w:before="55" w:after="30" w:line="288" w:lineRule="auto"/>
              <w:jc w:val="right"/>
            </w:pPr>
            <w:r>
              <w:rPr>
                <w:rFonts w:ascii="Arial" w:eastAsia="Arial" w:hAnsi="Arial" w:cs="Arial"/>
                <w:color w:val="000000"/>
                <w:sz w:val="18"/>
              </w:rPr>
              <w:t>— </w:t>
            </w:r>
          </w:p>
        </w:tc>
        <w:tc>
          <w:tcPr>
            <w:tcW w:w="100" w:type="dxa"/>
            <w:tcBorders>
              <w:top w:val="single" w:sz="8" w:space="0" w:color="C7C9C7"/>
              <w:left w:val="nil"/>
              <w:bottom w:val="single" w:sz="8" w:space="0" w:color="E9E9E9"/>
              <w:right w:val="nil"/>
            </w:tcBorders>
            <w:tcMar>
              <w:top w:w="0" w:type="dxa"/>
              <w:left w:w="0" w:type="dxa"/>
              <w:bottom w:w="0" w:type="dxa"/>
              <w:right w:w="15" w:type="dxa"/>
            </w:tcMar>
            <w:vAlign w:val="bottom"/>
          </w:tcPr>
          <w:p w14:paraId="7D9DC138" w14:textId="77777777" w:rsidR="001614AC" w:rsidRDefault="001614AC">
            <w:pPr>
              <w:spacing w:before="55" w:after="30" w:line="288" w:lineRule="auto"/>
              <w:jc w:val="right"/>
            </w:pPr>
          </w:p>
        </w:tc>
        <w:tc>
          <w:tcPr>
            <w:tcW w:w="105" w:type="dxa"/>
            <w:tcBorders>
              <w:top w:val="single" w:sz="8" w:space="0" w:color="C7C9C7"/>
              <w:left w:val="nil"/>
              <w:bottom w:val="nil"/>
              <w:right w:val="nil"/>
            </w:tcBorders>
            <w:tcMar>
              <w:top w:w="0" w:type="dxa"/>
              <w:left w:w="0" w:type="dxa"/>
              <w:bottom w:w="0" w:type="dxa"/>
              <w:right w:w="0" w:type="dxa"/>
            </w:tcMar>
            <w:vAlign w:val="bottom"/>
          </w:tcPr>
          <w:p w14:paraId="280A6E37" w14:textId="77777777" w:rsidR="001614AC" w:rsidRDefault="001614AC"/>
        </w:tc>
        <w:tc>
          <w:tcPr>
            <w:tcW w:w="905" w:type="dxa"/>
            <w:tcBorders>
              <w:top w:val="single" w:sz="8" w:space="0" w:color="C7C9C7"/>
              <w:left w:val="nil"/>
              <w:bottom w:val="single" w:sz="8" w:space="0" w:color="E9E9E9"/>
              <w:right w:val="nil"/>
            </w:tcBorders>
            <w:tcMar>
              <w:top w:w="0" w:type="dxa"/>
              <w:left w:w="53" w:type="dxa"/>
              <w:bottom w:w="0" w:type="dxa"/>
              <w:right w:w="0" w:type="dxa"/>
            </w:tcMar>
            <w:vAlign w:val="bottom"/>
          </w:tcPr>
          <w:p w14:paraId="33330AF9" w14:textId="77777777" w:rsidR="001614AC" w:rsidRDefault="004468F9">
            <w:pPr>
              <w:spacing w:before="55" w:after="30" w:line="288" w:lineRule="auto"/>
              <w:jc w:val="right"/>
            </w:pPr>
            <w:r>
              <w:rPr>
                <w:rFonts w:ascii="Arial" w:eastAsia="Arial" w:hAnsi="Arial" w:cs="Arial"/>
                <w:color w:val="000000"/>
                <w:sz w:val="18"/>
              </w:rPr>
              <w:t>1,213 </w:t>
            </w:r>
          </w:p>
        </w:tc>
        <w:tc>
          <w:tcPr>
            <w:tcW w:w="100" w:type="dxa"/>
            <w:tcBorders>
              <w:top w:val="single" w:sz="8" w:space="0" w:color="C7C9C7"/>
              <w:left w:val="nil"/>
              <w:bottom w:val="single" w:sz="8" w:space="0" w:color="E9E9E9"/>
              <w:right w:val="nil"/>
            </w:tcBorders>
            <w:tcMar>
              <w:top w:w="0" w:type="dxa"/>
              <w:left w:w="0" w:type="dxa"/>
              <w:bottom w:w="0" w:type="dxa"/>
              <w:right w:w="15" w:type="dxa"/>
            </w:tcMar>
            <w:vAlign w:val="bottom"/>
          </w:tcPr>
          <w:p w14:paraId="4838C7E0" w14:textId="77777777" w:rsidR="001614AC" w:rsidRDefault="001614AC">
            <w:pPr>
              <w:spacing w:before="55" w:after="30" w:line="288" w:lineRule="auto"/>
              <w:jc w:val="right"/>
            </w:pPr>
          </w:p>
        </w:tc>
      </w:tr>
    </w:tbl>
    <w:p w14:paraId="77BAA8FE" w14:textId="77777777" w:rsidR="001614AC" w:rsidRDefault="001614AC" w:rsidP="008455C6">
      <w:pPr>
        <w:keepNext/>
        <w:spacing w:after="100" w:line="288" w:lineRule="auto"/>
        <w:ind w:left="450"/>
        <w:rPr>
          <w:rFonts w:ascii="Arial" w:eastAsia="Arial" w:hAnsi="Arial" w:cs="Arial"/>
          <w:b/>
          <w:color w:val="64615D"/>
          <w:sz w:val="18"/>
        </w:rPr>
      </w:pPr>
    </w:p>
    <w:p w14:paraId="4EF21D1F" w14:textId="77777777" w:rsidR="001614AC" w:rsidRDefault="001614AC" w:rsidP="008455C6">
      <w:pPr>
        <w:keepNext/>
        <w:spacing w:after="100" w:line="288" w:lineRule="auto"/>
        <w:ind w:left="450"/>
        <w:rPr>
          <w:rFonts w:ascii="Arial" w:eastAsia="Arial" w:hAnsi="Arial" w:cs="Arial"/>
          <w:b/>
          <w:color w:val="64615D"/>
          <w:sz w:val="18"/>
        </w:rPr>
        <w:sectPr w:rsidR="001614AC">
          <w:headerReference w:type="default" r:id="rId26"/>
          <w:pgSz w:w="12240" w:h="15840"/>
          <w:pgMar w:top="1260" w:right="1080" w:bottom="1080" w:left="1080" w:header="270" w:footer="270" w:gutter="0"/>
          <w:cols w:space="708"/>
        </w:sectPr>
      </w:pPr>
    </w:p>
    <w:p w14:paraId="39540A0D" w14:textId="77777777" w:rsidR="001614AC" w:rsidRDefault="004468F9">
      <w:pPr>
        <w:keepNext/>
        <w:tabs>
          <w:tab w:val="left" w:pos="360"/>
        </w:tabs>
        <w:spacing w:before="200" w:after="160" w:line="288" w:lineRule="auto"/>
        <w:ind w:left="360" w:hanging="360"/>
        <w:outlineLvl w:val="3"/>
        <w:rPr>
          <w:rFonts w:ascii="Arial" w:eastAsia="Arial" w:hAnsi="Arial" w:cs="Arial"/>
          <w:b/>
          <w:color w:val="4D6B80"/>
          <w:sz w:val="30"/>
        </w:rPr>
      </w:pPr>
      <w:bookmarkStart w:id="15" w:name="Section16"/>
      <w:bookmarkEnd w:id="15"/>
      <w:r>
        <w:rPr>
          <w:rFonts w:ascii="Arial" w:eastAsia="Arial" w:hAnsi="Arial" w:cs="Arial"/>
          <w:b/>
          <w:color w:val="4D6B80"/>
          <w:sz w:val="30"/>
        </w:rPr>
        <w:t xml:space="preserve">4. Segment Reporting </w:t>
      </w:r>
    </w:p>
    <w:p w14:paraId="68125BC1" w14:textId="77777777" w:rsidR="001614AC" w:rsidRDefault="004468F9">
      <w:pPr>
        <w:spacing w:before="100" w:after="100" w:line="288" w:lineRule="auto"/>
        <w:ind w:firstLine="450"/>
        <w:rPr>
          <w:rFonts w:ascii="Arial" w:eastAsia="Arial" w:hAnsi="Arial" w:cs="Arial"/>
          <w:b/>
          <w:color w:val="4D6B80"/>
          <w:sz w:val="18"/>
        </w:rPr>
      </w:pPr>
      <w:r>
        <w:rPr>
          <w:rFonts w:ascii="Arial" w:eastAsia="Arial" w:hAnsi="Arial" w:cs="Arial"/>
          <w:sz w:val="18"/>
        </w:rPr>
        <w:t>We have two strategic business units that we manage separately—Mortgage and homegenius</w:t>
      </w:r>
      <w:r>
        <w:rPr>
          <w:rFonts w:ascii="Arial" w:eastAsia="Arial" w:hAnsi="Arial" w:cs="Arial"/>
          <w:sz w:val="18"/>
        </w:rPr>
        <w:t>. Our Mortgage segment derives its revenue from mortgage insurance and other mortgage and risk services, including contract underwriting and fulfillment solutions provided to mortgage lending institutions and mortgage credit investors. Our homegenius segme</w:t>
      </w:r>
      <w:r>
        <w:rPr>
          <w:rFonts w:ascii="Arial" w:eastAsia="Arial" w:hAnsi="Arial" w:cs="Arial"/>
          <w:sz w:val="18"/>
        </w:rPr>
        <w:t>nt offers a broad array of title, valuation, asset management, SaaS and other real estate services to mortgage lenders, mortgage and real estate investors, GSEs, real estate brokers and agents. In addition, we report as All Other activities that include: (</w:t>
      </w:r>
      <w:r>
        <w:rPr>
          <w:rFonts w:ascii="Arial" w:eastAsia="Arial" w:hAnsi="Arial" w:cs="Arial"/>
          <w:sz w:val="18"/>
        </w:rPr>
        <w:t>i) income (losses) from assets held by our holding company; (ii) related general corporate operating expenses not attributable or allocated to our reportable segments; (iii) for all periods through its sale in January 2020, income and expenses related to C</w:t>
      </w:r>
      <w:r>
        <w:rPr>
          <w:rFonts w:ascii="Arial" w:eastAsia="Arial" w:hAnsi="Arial" w:cs="Arial"/>
          <w:sz w:val="18"/>
        </w:rPr>
        <w:t>layton; (iv) for all periods presented, the income and expenses related to our traditional appraisal services, which we wound down beginning in the fourth quarter of 2020; and (v) certain other immaterial revenue and expense items.</w:t>
      </w:r>
    </w:p>
    <w:p w14:paraId="2356DC72" w14:textId="77777777" w:rsidR="001614AC" w:rsidRDefault="004468F9">
      <w:pPr>
        <w:spacing w:before="100" w:after="100" w:line="288" w:lineRule="auto"/>
        <w:ind w:firstLine="450"/>
        <w:rPr>
          <w:rFonts w:ascii="Arial" w:eastAsia="Arial" w:hAnsi="Arial" w:cs="Arial"/>
          <w:b/>
          <w:color w:val="4D6B80"/>
          <w:sz w:val="18"/>
        </w:rPr>
      </w:pPr>
      <w:r>
        <w:rPr>
          <w:rFonts w:ascii="Arial" w:eastAsia="Arial" w:hAnsi="Arial" w:cs="Arial"/>
          <w:sz w:val="18"/>
        </w:rPr>
        <w:t>As described in Note 4 o</w:t>
      </w:r>
      <w:r>
        <w:rPr>
          <w:rFonts w:ascii="Arial" w:eastAsia="Arial" w:hAnsi="Arial" w:cs="Arial"/>
          <w:sz w:val="18"/>
        </w:rPr>
        <w:t>f Notes to Consolidated Financial Statements in our 2020 Form 10-K, we implemented several changes to our segment reporting in 2020, including related to the wind down of our traditional appraisal business announced in the fourth quarter of 2020. All chang</w:t>
      </w:r>
      <w:r>
        <w:rPr>
          <w:rFonts w:ascii="Arial" w:eastAsia="Arial" w:hAnsi="Arial" w:cs="Arial"/>
          <w:sz w:val="18"/>
        </w:rPr>
        <w:t>es to the composition of our segment reporting have been reflected in our segment operating results for all periods presented.</w:t>
      </w:r>
    </w:p>
    <w:p w14:paraId="5653D961" w14:textId="77777777" w:rsidR="001614AC" w:rsidRDefault="004468F9">
      <w:pPr>
        <w:spacing w:before="100" w:after="100" w:line="288" w:lineRule="auto"/>
        <w:ind w:firstLine="450"/>
        <w:rPr>
          <w:rFonts w:ascii="Arial" w:eastAsia="Arial" w:hAnsi="Arial" w:cs="Arial"/>
          <w:b/>
          <w:color w:val="4D6B80"/>
          <w:sz w:val="18"/>
        </w:rPr>
      </w:pPr>
      <w:r>
        <w:rPr>
          <w:rFonts w:ascii="Arial" w:eastAsia="Arial" w:hAnsi="Arial" w:cs="Arial"/>
          <w:sz w:val="18"/>
        </w:rPr>
        <w:t xml:space="preserve"> During the second quarter of 2021, our Real Estate segment was renamed “homegenius” to align with updates to our branding strate</w:t>
      </w:r>
      <w:r>
        <w:rPr>
          <w:rFonts w:ascii="Arial" w:eastAsia="Arial" w:hAnsi="Arial" w:cs="Arial"/>
          <w:sz w:val="18"/>
        </w:rPr>
        <w:t xml:space="preserve">gy for the segment’s products and services. The homegenius segment name change had no impact on the composition of our segments or on our previously reported historical financial position, results of operations, cash flow or segment level results. </w:t>
      </w:r>
    </w:p>
    <w:p w14:paraId="69C74184" w14:textId="77777777" w:rsidR="001614AC" w:rsidRDefault="004468F9">
      <w:pPr>
        <w:spacing w:before="100" w:after="100" w:line="288" w:lineRule="auto"/>
        <w:ind w:firstLine="450"/>
        <w:rPr>
          <w:rFonts w:ascii="Arial" w:eastAsia="Arial" w:hAnsi="Arial" w:cs="Arial"/>
          <w:b/>
          <w:color w:val="4D6B80"/>
          <w:sz w:val="18"/>
        </w:rPr>
      </w:pPr>
      <w:r>
        <w:rPr>
          <w:rFonts w:ascii="Arial" w:eastAsia="Arial" w:hAnsi="Arial" w:cs="Arial"/>
          <w:sz w:val="18"/>
        </w:rPr>
        <w:lastRenderedPageBreak/>
        <w:t>We allo</w:t>
      </w:r>
      <w:r>
        <w:rPr>
          <w:rFonts w:ascii="Arial" w:eastAsia="Arial" w:hAnsi="Arial" w:cs="Arial"/>
          <w:sz w:val="18"/>
        </w:rPr>
        <w:t>cate corporate operating expenses to both reportable segments based on each segment’s forecasted annual percentage of total revenue, which approximates the estimated percentage of management time spent on each segment. In addition, we allocate all corporat</w:t>
      </w:r>
      <w:r>
        <w:rPr>
          <w:rFonts w:ascii="Arial" w:eastAsia="Arial" w:hAnsi="Arial" w:cs="Arial"/>
          <w:sz w:val="18"/>
        </w:rPr>
        <w:t xml:space="preserve">e interest expense to our Mortgage segment, due to the capital-intensive nature of our mortgage insurance business. </w:t>
      </w:r>
    </w:p>
    <w:p w14:paraId="1C2958A5" w14:textId="77777777" w:rsidR="001614AC" w:rsidRDefault="004468F9">
      <w:pPr>
        <w:keepNext/>
        <w:spacing w:before="100" w:after="100" w:line="288" w:lineRule="auto"/>
        <w:ind w:firstLine="450"/>
        <w:rPr>
          <w:rFonts w:ascii="Arial" w:eastAsia="Arial" w:hAnsi="Arial" w:cs="Arial"/>
          <w:b/>
          <w:color w:val="4D6B80"/>
          <w:sz w:val="18"/>
        </w:rPr>
      </w:pPr>
      <w:r>
        <w:rPr>
          <w:rFonts w:ascii="Arial" w:eastAsia="Arial" w:hAnsi="Arial" w:cs="Arial"/>
          <w:sz w:val="18"/>
        </w:rPr>
        <w:t>With the exception of goodwill and other acquired intangible assets that relate to our homegenius segment, which are reviewed as part of our annual goodwill impairment assessment, we do not manage assets by segment.</w:t>
      </w:r>
    </w:p>
    <w:p w14:paraId="793A76CC" w14:textId="77777777" w:rsidR="001614AC" w:rsidRDefault="004468F9">
      <w:pPr>
        <w:spacing w:before="100" w:after="100" w:line="288" w:lineRule="auto"/>
        <w:ind w:firstLine="450"/>
        <w:rPr>
          <w:rFonts w:ascii="Arial" w:eastAsia="Arial" w:hAnsi="Arial" w:cs="Arial"/>
          <w:b/>
          <w:color w:val="4D6B80"/>
          <w:sz w:val="18"/>
        </w:rPr>
      </w:pPr>
      <w:r>
        <w:rPr>
          <w:rFonts w:ascii="Arial" w:eastAsia="Arial" w:hAnsi="Arial" w:cs="Arial"/>
          <w:sz w:val="18"/>
        </w:rPr>
        <w:t xml:space="preserve">See Note 1 for additional details about </w:t>
      </w:r>
      <w:r>
        <w:rPr>
          <w:rFonts w:ascii="Arial" w:eastAsia="Arial" w:hAnsi="Arial" w:cs="Arial"/>
          <w:sz w:val="18"/>
        </w:rPr>
        <w:t xml:space="preserve">our Mortgage and homegenius businesses. </w:t>
      </w:r>
    </w:p>
    <w:p w14:paraId="52EC6D8A" w14:textId="77777777" w:rsidR="001614AC" w:rsidRDefault="004468F9">
      <w:pPr>
        <w:keepNext/>
        <w:spacing w:before="180" w:after="140" w:line="288" w:lineRule="auto"/>
        <w:rPr>
          <w:rFonts w:ascii="Arial" w:eastAsia="Arial" w:hAnsi="Arial" w:cs="Arial"/>
          <w:b/>
          <w:color w:val="002B49"/>
          <w:sz w:val="26"/>
        </w:rPr>
      </w:pPr>
      <w:r>
        <w:rPr>
          <w:rFonts w:ascii="Arial" w:eastAsia="Arial" w:hAnsi="Arial" w:cs="Arial"/>
          <w:b/>
          <w:color w:val="002B49"/>
          <w:sz w:val="26"/>
        </w:rPr>
        <w:t>Adjusted Pretax Operating Income (Loss)</w:t>
      </w:r>
    </w:p>
    <w:p w14:paraId="533323AB" w14:textId="77777777" w:rsidR="001614AC" w:rsidRDefault="004468F9">
      <w:pPr>
        <w:spacing w:before="100" w:after="100" w:line="288" w:lineRule="auto"/>
        <w:ind w:firstLine="450"/>
        <w:rPr>
          <w:rFonts w:ascii="Arial" w:eastAsia="Arial" w:hAnsi="Arial" w:cs="Arial"/>
          <w:b/>
          <w:color w:val="4D6B80"/>
          <w:sz w:val="18"/>
        </w:rPr>
      </w:pPr>
      <w:r>
        <w:rPr>
          <w:rFonts w:ascii="Arial" w:eastAsia="Arial" w:hAnsi="Arial" w:cs="Arial"/>
          <w:sz w:val="18"/>
        </w:rPr>
        <w:t xml:space="preserve">Our senior management, including our Chief Executive Officer (Radian’s chief operating decision maker), uses adjusted pretax operating income (loss) as our primary measure to </w:t>
      </w:r>
      <w:r>
        <w:rPr>
          <w:rFonts w:ascii="Arial" w:eastAsia="Arial" w:hAnsi="Arial" w:cs="Arial"/>
          <w:sz w:val="18"/>
        </w:rPr>
        <w:t>evaluate the fundamental financial performance of each of Radian’s business segments and to allocate resources to the segments. Adjusted pretax operating income (loss) is defined as pretax income (loss) excluding the effects of: (i) net gains (losses) on i</w:t>
      </w:r>
      <w:r>
        <w:rPr>
          <w:rFonts w:ascii="Arial" w:eastAsia="Arial" w:hAnsi="Arial" w:cs="Arial"/>
          <w:sz w:val="18"/>
        </w:rPr>
        <w:t>nvestments and other financial instruments; (ii) loss on extinguishment of debt; (iii) amortization and impairment of goodwill and other acquired intangible assets; and (iv) impairment of other long-lived assets and other non-operating items, such as impai</w:t>
      </w:r>
      <w:r>
        <w:rPr>
          <w:rFonts w:ascii="Arial" w:eastAsia="Arial" w:hAnsi="Arial" w:cs="Arial"/>
          <w:sz w:val="18"/>
        </w:rPr>
        <w:t xml:space="preserve">rment of internal-use software, gains (losses) from the sale of lines of business and acquisition-related income and expenses. See Note 4 of Notes to Consolidated Financial Statements in our 2020 Form 10-K for detailed information regarding items excluded </w:t>
      </w:r>
      <w:r>
        <w:rPr>
          <w:rFonts w:ascii="Arial" w:eastAsia="Arial" w:hAnsi="Arial" w:cs="Arial"/>
          <w:sz w:val="18"/>
        </w:rPr>
        <w:t>from adjusted pretax operating income (loss), including the reasons for their treatment.</w:t>
      </w:r>
    </w:p>
    <w:p w14:paraId="6BEC3D79" w14:textId="77777777" w:rsidR="001614AC" w:rsidRDefault="004468F9">
      <w:pPr>
        <w:spacing w:before="100" w:after="100" w:line="288" w:lineRule="auto"/>
        <w:ind w:firstLine="450"/>
        <w:rPr>
          <w:rFonts w:ascii="Arial" w:eastAsia="Arial" w:hAnsi="Arial" w:cs="Arial"/>
          <w:b/>
          <w:color w:val="4D6B80"/>
          <w:sz w:val="18"/>
        </w:rPr>
      </w:pPr>
      <w:r>
        <w:rPr>
          <w:rFonts w:ascii="Arial" w:eastAsia="Arial" w:hAnsi="Arial" w:cs="Arial"/>
          <w:sz w:val="18"/>
        </w:rPr>
        <w:t>Although adjusted pretax operating income (loss) excludes certain items that have occurred in the past and are expected to occur in the future, the excluded items repr</w:t>
      </w:r>
      <w:r>
        <w:rPr>
          <w:rFonts w:ascii="Arial" w:eastAsia="Arial" w:hAnsi="Arial" w:cs="Arial"/>
          <w:sz w:val="18"/>
        </w:rPr>
        <w:t xml:space="preserve">esent those that are: (i) not viewed as part of the operating performance of our primary activities or (ii) not expected to result in an economic impact equal to the amount reflected in pretax income (loss). </w:t>
      </w:r>
    </w:p>
    <w:p w14:paraId="60FF2971" w14:textId="77777777" w:rsidR="001614AC" w:rsidRDefault="004468F9">
      <w:pPr>
        <w:keepNext/>
        <w:spacing w:before="100" w:after="100" w:line="288" w:lineRule="auto"/>
        <w:ind w:firstLine="450"/>
        <w:rPr>
          <w:rFonts w:ascii="Arial" w:eastAsia="Arial" w:hAnsi="Arial" w:cs="Arial"/>
          <w:b/>
          <w:color w:val="4D6B80"/>
          <w:sz w:val="18"/>
          <w:shd w:val="clear" w:color="auto" w:fill="FFFF00"/>
        </w:rPr>
      </w:pPr>
      <w:r>
        <w:rPr>
          <w:rFonts w:ascii="Arial" w:eastAsia="Arial" w:hAnsi="Arial" w:cs="Arial"/>
          <w:sz w:val="18"/>
        </w:rPr>
        <w:t>The reconciliation of adjusted pretax operating</w:t>
      </w:r>
      <w:r>
        <w:rPr>
          <w:rFonts w:ascii="Arial" w:eastAsia="Arial" w:hAnsi="Arial" w:cs="Arial"/>
          <w:sz w:val="18"/>
        </w:rPr>
        <w:t xml:space="preserve"> income (loss) for our reportable segments to consolidated pretax income (loss) is as follows. </w:t>
      </w:r>
    </w:p>
    <w:tbl>
      <w:tblPr>
        <w:tblW w:w="102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99"/>
        <w:gridCol w:w="107"/>
        <w:gridCol w:w="163"/>
        <w:gridCol w:w="715"/>
        <w:gridCol w:w="102"/>
        <w:gridCol w:w="107"/>
        <w:gridCol w:w="163"/>
        <w:gridCol w:w="760"/>
        <w:gridCol w:w="102"/>
        <w:gridCol w:w="107"/>
        <w:gridCol w:w="163"/>
        <w:gridCol w:w="760"/>
        <w:gridCol w:w="102"/>
        <w:gridCol w:w="107"/>
        <w:gridCol w:w="163"/>
        <w:gridCol w:w="760"/>
        <w:gridCol w:w="102"/>
      </w:tblGrid>
      <w:tr w:rsidR="001614AC" w14:paraId="01979224" w14:textId="77777777">
        <w:trPr>
          <w:cantSplit/>
        </w:trPr>
        <w:tc>
          <w:tcPr>
            <w:tcW w:w="10080" w:type="dxa"/>
            <w:gridSpan w:val="17"/>
            <w:tcBorders>
              <w:top w:val="nil"/>
              <w:left w:val="nil"/>
              <w:bottom w:val="single" w:sz="12" w:space="0" w:color="99AAB6"/>
              <w:right w:val="nil"/>
            </w:tcBorders>
            <w:tcMar>
              <w:top w:w="0" w:type="dxa"/>
              <w:left w:w="53" w:type="dxa"/>
              <w:bottom w:w="0" w:type="dxa"/>
              <w:right w:w="53" w:type="dxa"/>
            </w:tcMar>
            <w:vAlign w:val="bottom"/>
          </w:tcPr>
          <w:p w14:paraId="37E5AFD7" w14:textId="77777777" w:rsidR="001614AC" w:rsidRDefault="004468F9">
            <w:pPr>
              <w:keepNext/>
              <w:spacing w:before="75" w:after="30" w:line="288" w:lineRule="auto"/>
            </w:pPr>
            <w:r>
              <w:rPr>
                <w:rFonts w:ascii="Arial" w:eastAsia="Arial" w:hAnsi="Arial" w:cs="Arial"/>
                <w:b/>
                <w:color w:val="000000"/>
                <w:sz w:val="20"/>
              </w:rPr>
              <w:t>Reconciliation of adjusted pretax operating income (loss) by segment</w:t>
            </w:r>
          </w:p>
        </w:tc>
      </w:tr>
      <w:tr w:rsidR="001614AC" w14:paraId="732FF353" w14:textId="77777777">
        <w:trPr>
          <w:cantSplit/>
          <w:trHeight w:hRule="exact" w:val="135"/>
        </w:trPr>
        <w:tc>
          <w:tcPr>
            <w:tcW w:w="5685" w:type="dxa"/>
            <w:tcBorders>
              <w:top w:val="nil"/>
              <w:left w:val="nil"/>
              <w:bottom w:val="nil"/>
              <w:right w:val="nil"/>
            </w:tcBorders>
            <w:tcMar>
              <w:top w:w="0" w:type="dxa"/>
              <w:left w:w="0" w:type="dxa"/>
              <w:bottom w:w="0" w:type="dxa"/>
              <w:right w:w="0" w:type="dxa"/>
            </w:tcMar>
            <w:vAlign w:val="bottom"/>
          </w:tcPr>
          <w:p w14:paraId="2ECE2A0C" w14:textId="77777777" w:rsidR="001614AC" w:rsidRDefault="001614AC">
            <w:pPr>
              <w:keepNext/>
            </w:pPr>
          </w:p>
        </w:tc>
        <w:tc>
          <w:tcPr>
            <w:tcW w:w="105" w:type="dxa"/>
            <w:tcBorders>
              <w:top w:val="single" w:sz="12" w:space="0" w:color="99AAB6"/>
              <w:left w:val="nil"/>
              <w:bottom w:val="nil"/>
              <w:right w:val="nil"/>
            </w:tcBorders>
            <w:tcMar>
              <w:top w:w="0" w:type="dxa"/>
              <w:left w:w="0" w:type="dxa"/>
              <w:bottom w:w="0" w:type="dxa"/>
              <w:right w:w="0" w:type="dxa"/>
            </w:tcMar>
            <w:vAlign w:val="bottom"/>
          </w:tcPr>
          <w:p w14:paraId="362FE654" w14:textId="77777777" w:rsidR="001614AC" w:rsidRDefault="001614AC">
            <w:pPr>
              <w:keepNext/>
            </w:pPr>
          </w:p>
        </w:tc>
        <w:tc>
          <w:tcPr>
            <w:tcW w:w="960" w:type="dxa"/>
            <w:gridSpan w:val="3"/>
            <w:tcBorders>
              <w:top w:val="single" w:sz="12" w:space="0" w:color="99AAB6"/>
              <w:left w:val="nil"/>
              <w:bottom w:val="nil"/>
              <w:right w:val="nil"/>
            </w:tcBorders>
            <w:tcMar>
              <w:top w:w="0" w:type="dxa"/>
              <w:left w:w="0" w:type="dxa"/>
              <w:bottom w:w="0" w:type="dxa"/>
              <w:right w:w="0" w:type="dxa"/>
            </w:tcMar>
            <w:vAlign w:val="bottom"/>
          </w:tcPr>
          <w:p w14:paraId="66A3ECEF" w14:textId="77777777" w:rsidR="001614AC" w:rsidRDefault="001614AC">
            <w:pPr>
              <w:keepNext/>
            </w:pPr>
          </w:p>
        </w:tc>
        <w:tc>
          <w:tcPr>
            <w:tcW w:w="105" w:type="dxa"/>
            <w:tcBorders>
              <w:top w:val="single" w:sz="12" w:space="0" w:color="99AAB6"/>
              <w:left w:val="nil"/>
              <w:bottom w:val="nil"/>
              <w:right w:val="nil"/>
            </w:tcBorders>
            <w:tcMar>
              <w:top w:w="0" w:type="dxa"/>
              <w:left w:w="0" w:type="dxa"/>
              <w:bottom w:w="0" w:type="dxa"/>
              <w:right w:w="0" w:type="dxa"/>
            </w:tcMar>
            <w:vAlign w:val="bottom"/>
          </w:tcPr>
          <w:p w14:paraId="39C568D6" w14:textId="77777777" w:rsidR="001614AC" w:rsidRDefault="001614AC">
            <w:pPr>
              <w:keepNext/>
            </w:pPr>
          </w:p>
        </w:tc>
        <w:tc>
          <w:tcPr>
            <w:tcW w:w="1005" w:type="dxa"/>
            <w:gridSpan w:val="3"/>
            <w:tcBorders>
              <w:top w:val="single" w:sz="12" w:space="0" w:color="99AAB6"/>
              <w:left w:val="nil"/>
              <w:bottom w:val="nil"/>
              <w:right w:val="nil"/>
            </w:tcBorders>
            <w:tcMar>
              <w:top w:w="0" w:type="dxa"/>
              <w:left w:w="0" w:type="dxa"/>
              <w:bottom w:w="0" w:type="dxa"/>
              <w:right w:w="0" w:type="dxa"/>
            </w:tcMar>
            <w:vAlign w:val="bottom"/>
          </w:tcPr>
          <w:p w14:paraId="6553B5AD" w14:textId="77777777" w:rsidR="001614AC" w:rsidRDefault="001614AC">
            <w:pPr>
              <w:keepNext/>
            </w:pPr>
          </w:p>
        </w:tc>
        <w:tc>
          <w:tcPr>
            <w:tcW w:w="105" w:type="dxa"/>
            <w:tcBorders>
              <w:top w:val="single" w:sz="12" w:space="0" w:color="99AAB6"/>
              <w:left w:val="nil"/>
              <w:bottom w:val="nil"/>
              <w:right w:val="nil"/>
            </w:tcBorders>
            <w:tcMar>
              <w:top w:w="0" w:type="dxa"/>
              <w:left w:w="0" w:type="dxa"/>
              <w:bottom w:w="0" w:type="dxa"/>
              <w:right w:w="0" w:type="dxa"/>
            </w:tcMar>
            <w:vAlign w:val="bottom"/>
          </w:tcPr>
          <w:p w14:paraId="576DA92E" w14:textId="77777777" w:rsidR="001614AC" w:rsidRDefault="001614AC">
            <w:pPr>
              <w:keepNext/>
            </w:pPr>
          </w:p>
        </w:tc>
        <w:tc>
          <w:tcPr>
            <w:tcW w:w="1005" w:type="dxa"/>
            <w:gridSpan w:val="3"/>
            <w:tcBorders>
              <w:top w:val="single" w:sz="12" w:space="0" w:color="99AAB6"/>
              <w:left w:val="nil"/>
              <w:bottom w:val="nil"/>
              <w:right w:val="nil"/>
            </w:tcBorders>
            <w:tcMar>
              <w:top w:w="0" w:type="dxa"/>
              <w:left w:w="0" w:type="dxa"/>
              <w:bottom w:w="0" w:type="dxa"/>
              <w:right w:w="0" w:type="dxa"/>
            </w:tcMar>
            <w:vAlign w:val="bottom"/>
          </w:tcPr>
          <w:p w14:paraId="250022CD" w14:textId="77777777" w:rsidR="001614AC" w:rsidRDefault="001614AC">
            <w:pPr>
              <w:keepNext/>
            </w:pPr>
          </w:p>
        </w:tc>
        <w:tc>
          <w:tcPr>
            <w:tcW w:w="105" w:type="dxa"/>
            <w:tcBorders>
              <w:top w:val="single" w:sz="12" w:space="0" w:color="99AAB6"/>
              <w:left w:val="nil"/>
              <w:bottom w:val="nil"/>
              <w:right w:val="nil"/>
            </w:tcBorders>
            <w:tcMar>
              <w:top w:w="0" w:type="dxa"/>
              <w:left w:w="0" w:type="dxa"/>
              <w:bottom w:w="0" w:type="dxa"/>
              <w:right w:w="0" w:type="dxa"/>
            </w:tcMar>
            <w:vAlign w:val="bottom"/>
          </w:tcPr>
          <w:p w14:paraId="1143EB31" w14:textId="77777777" w:rsidR="001614AC" w:rsidRDefault="001614AC">
            <w:pPr>
              <w:keepNext/>
            </w:pPr>
          </w:p>
        </w:tc>
        <w:tc>
          <w:tcPr>
            <w:tcW w:w="1005" w:type="dxa"/>
            <w:gridSpan w:val="3"/>
            <w:tcBorders>
              <w:top w:val="single" w:sz="12" w:space="0" w:color="99AAB6"/>
              <w:left w:val="nil"/>
              <w:bottom w:val="nil"/>
              <w:right w:val="nil"/>
            </w:tcBorders>
            <w:tcMar>
              <w:top w:w="0" w:type="dxa"/>
              <w:left w:w="0" w:type="dxa"/>
              <w:bottom w:w="0" w:type="dxa"/>
              <w:right w:w="0" w:type="dxa"/>
            </w:tcMar>
            <w:vAlign w:val="bottom"/>
          </w:tcPr>
          <w:p w14:paraId="75A26CAC" w14:textId="77777777" w:rsidR="001614AC" w:rsidRDefault="001614AC">
            <w:pPr>
              <w:keepNext/>
            </w:pPr>
          </w:p>
        </w:tc>
      </w:tr>
      <w:tr w:rsidR="001614AC" w14:paraId="2F810A8F" w14:textId="77777777">
        <w:trPr>
          <w:cantSplit/>
        </w:trPr>
        <w:tc>
          <w:tcPr>
            <w:tcW w:w="5685" w:type="dxa"/>
            <w:tcBorders>
              <w:top w:val="nil"/>
              <w:left w:val="nil"/>
              <w:bottom w:val="single" w:sz="8" w:space="0" w:color="FFFFFF"/>
              <w:right w:val="nil"/>
            </w:tcBorders>
            <w:tcMar>
              <w:top w:w="0" w:type="dxa"/>
              <w:left w:w="0" w:type="dxa"/>
              <w:bottom w:w="0" w:type="dxa"/>
              <w:right w:w="0" w:type="dxa"/>
            </w:tcMar>
            <w:vAlign w:val="bottom"/>
          </w:tcPr>
          <w:p w14:paraId="1196A646" w14:textId="77777777" w:rsidR="001614AC" w:rsidRDefault="001614AC">
            <w:pPr>
              <w:keepNext/>
            </w:pPr>
          </w:p>
        </w:tc>
        <w:tc>
          <w:tcPr>
            <w:tcW w:w="105" w:type="dxa"/>
            <w:tcBorders>
              <w:top w:val="nil"/>
              <w:left w:val="nil"/>
              <w:bottom w:val="nil"/>
              <w:right w:val="nil"/>
            </w:tcBorders>
            <w:tcMar>
              <w:top w:w="0" w:type="dxa"/>
              <w:left w:w="0" w:type="dxa"/>
              <w:bottom w:w="0" w:type="dxa"/>
              <w:right w:w="0" w:type="dxa"/>
            </w:tcMar>
            <w:vAlign w:val="bottom"/>
          </w:tcPr>
          <w:p w14:paraId="5B758D4A" w14:textId="77777777" w:rsidR="001614AC" w:rsidRDefault="001614AC">
            <w:pPr>
              <w:keepNext/>
            </w:pPr>
          </w:p>
        </w:tc>
        <w:tc>
          <w:tcPr>
            <w:tcW w:w="2070" w:type="dxa"/>
            <w:gridSpan w:val="7"/>
            <w:tcBorders>
              <w:top w:val="nil"/>
              <w:left w:val="nil"/>
              <w:bottom w:val="nil"/>
              <w:right w:val="nil"/>
            </w:tcBorders>
            <w:tcMar>
              <w:top w:w="0" w:type="dxa"/>
              <w:left w:w="53" w:type="dxa"/>
              <w:bottom w:w="0" w:type="dxa"/>
              <w:right w:w="53" w:type="dxa"/>
            </w:tcMar>
            <w:vAlign w:val="bottom"/>
          </w:tcPr>
          <w:p w14:paraId="47BA431F" w14:textId="77777777" w:rsidR="001614AC" w:rsidRDefault="004468F9">
            <w:pPr>
              <w:keepNext/>
              <w:spacing w:before="75" w:line="288" w:lineRule="auto"/>
              <w:jc w:val="center"/>
            </w:pPr>
            <w:r>
              <w:rPr>
                <w:rFonts w:ascii="Arial" w:eastAsia="Arial" w:hAnsi="Arial" w:cs="Arial"/>
                <w:b/>
                <w:color w:val="00BAB3"/>
                <w:sz w:val="18"/>
              </w:rPr>
              <w:t>Three Months Ended</w:t>
            </w:r>
          </w:p>
          <w:p w14:paraId="4FADE409" w14:textId="77777777" w:rsidR="001614AC" w:rsidRDefault="004468F9">
            <w:pPr>
              <w:spacing w:after="30" w:line="288" w:lineRule="auto"/>
              <w:jc w:val="center"/>
            </w:pPr>
            <w:r>
              <w:rPr>
                <w:rFonts w:ascii="Arial" w:eastAsia="Arial" w:hAnsi="Arial" w:cs="Arial"/>
                <w:b/>
                <w:color w:val="00BAB3"/>
                <w:sz w:val="18"/>
              </w:rPr>
              <w:t>June 30,</w:t>
            </w:r>
          </w:p>
        </w:tc>
        <w:tc>
          <w:tcPr>
            <w:tcW w:w="105" w:type="dxa"/>
            <w:tcBorders>
              <w:top w:val="nil"/>
              <w:left w:val="nil"/>
              <w:bottom w:val="single" w:sz="8" w:space="0" w:color="FFFFFF"/>
              <w:right w:val="nil"/>
            </w:tcBorders>
            <w:tcMar>
              <w:top w:w="0" w:type="dxa"/>
              <w:left w:w="0" w:type="dxa"/>
              <w:bottom w:w="0" w:type="dxa"/>
              <w:right w:w="0" w:type="dxa"/>
            </w:tcMar>
            <w:vAlign w:val="bottom"/>
          </w:tcPr>
          <w:p w14:paraId="5D121D10" w14:textId="77777777" w:rsidR="001614AC" w:rsidRDefault="001614AC">
            <w:pPr>
              <w:keepNext/>
            </w:pPr>
          </w:p>
        </w:tc>
        <w:tc>
          <w:tcPr>
            <w:tcW w:w="2115" w:type="dxa"/>
            <w:gridSpan w:val="7"/>
            <w:tcBorders>
              <w:top w:val="nil"/>
              <w:left w:val="nil"/>
              <w:bottom w:val="nil"/>
              <w:right w:val="nil"/>
            </w:tcBorders>
            <w:tcMar>
              <w:top w:w="0" w:type="dxa"/>
              <w:left w:w="53" w:type="dxa"/>
              <w:bottom w:w="0" w:type="dxa"/>
              <w:right w:w="53" w:type="dxa"/>
            </w:tcMar>
            <w:vAlign w:val="bottom"/>
          </w:tcPr>
          <w:p w14:paraId="1AF1C8F4" w14:textId="77777777" w:rsidR="001614AC" w:rsidRDefault="004468F9">
            <w:pPr>
              <w:keepNext/>
              <w:spacing w:before="75" w:line="288" w:lineRule="auto"/>
              <w:jc w:val="center"/>
            </w:pPr>
            <w:r>
              <w:rPr>
                <w:rFonts w:ascii="Arial" w:eastAsia="Arial" w:hAnsi="Arial" w:cs="Arial"/>
                <w:b/>
                <w:color w:val="00BAB3"/>
                <w:sz w:val="18"/>
              </w:rPr>
              <w:t>Six Months Ended</w:t>
            </w:r>
          </w:p>
          <w:p w14:paraId="48B6FFD3" w14:textId="77777777" w:rsidR="001614AC" w:rsidRDefault="004468F9">
            <w:pPr>
              <w:spacing w:after="30" w:line="288" w:lineRule="auto"/>
              <w:jc w:val="center"/>
            </w:pPr>
            <w:r>
              <w:rPr>
                <w:rFonts w:ascii="Arial" w:eastAsia="Arial" w:hAnsi="Arial" w:cs="Arial"/>
                <w:b/>
                <w:color w:val="00BAB3"/>
                <w:sz w:val="18"/>
              </w:rPr>
              <w:t>June 30,</w:t>
            </w:r>
          </w:p>
        </w:tc>
      </w:tr>
      <w:tr w:rsidR="001614AC" w14:paraId="3277E855" w14:textId="77777777">
        <w:trPr>
          <w:cantSplit/>
        </w:trPr>
        <w:tc>
          <w:tcPr>
            <w:tcW w:w="5685" w:type="dxa"/>
            <w:tcBorders>
              <w:top w:val="single" w:sz="8" w:space="0" w:color="FFFFFF"/>
              <w:left w:val="nil"/>
              <w:bottom w:val="single" w:sz="8" w:space="0" w:color="C7C9C7"/>
              <w:right w:val="nil"/>
            </w:tcBorders>
            <w:tcMar>
              <w:top w:w="0" w:type="dxa"/>
              <w:left w:w="53" w:type="dxa"/>
              <w:bottom w:w="0" w:type="dxa"/>
              <w:right w:w="53" w:type="dxa"/>
            </w:tcMar>
            <w:vAlign w:val="bottom"/>
          </w:tcPr>
          <w:p w14:paraId="047EDFAD" w14:textId="77777777" w:rsidR="001614AC" w:rsidRDefault="004468F9">
            <w:pPr>
              <w:keepNext/>
              <w:spacing w:before="55" w:after="30" w:line="288" w:lineRule="auto"/>
            </w:pPr>
            <w:r>
              <w:rPr>
                <w:rFonts w:ascii="Arial" w:eastAsia="Arial" w:hAnsi="Arial" w:cs="Arial"/>
                <w:color w:val="8B8886"/>
                <w:sz w:val="16"/>
              </w:rPr>
              <w:t xml:space="preserve">(In </w:t>
            </w:r>
            <w:r>
              <w:rPr>
                <w:rFonts w:ascii="Arial" w:eastAsia="Arial" w:hAnsi="Arial" w:cs="Arial"/>
                <w:color w:val="8B8886"/>
                <w:sz w:val="16"/>
              </w:rPr>
              <w:t>thousands)</w:t>
            </w:r>
          </w:p>
        </w:tc>
        <w:tc>
          <w:tcPr>
            <w:tcW w:w="105" w:type="dxa"/>
            <w:tcBorders>
              <w:top w:val="nil"/>
              <w:left w:val="nil"/>
              <w:bottom w:val="single" w:sz="8" w:space="0" w:color="C7C9C7"/>
              <w:right w:val="nil"/>
            </w:tcBorders>
            <w:tcMar>
              <w:top w:w="0" w:type="dxa"/>
              <w:left w:w="0" w:type="dxa"/>
              <w:bottom w:w="0" w:type="dxa"/>
              <w:right w:w="0" w:type="dxa"/>
            </w:tcMar>
            <w:vAlign w:val="bottom"/>
          </w:tcPr>
          <w:p w14:paraId="1257AD84" w14:textId="77777777" w:rsidR="001614AC" w:rsidRDefault="001614AC">
            <w:pPr>
              <w:keepNext/>
            </w:pPr>
          </w:p>
        </w:tc>
        <w:tc>
          <w:tcPr>
            <w:tcW w:w="960" w:type="dxa"/>
            <w:gridSpan w:val="3"/>
            <w:tcBorders>
              <w:top w:val="nil"/>
              <w:left w:val="nil"/>
              <w:bottom w:val="single" w:sz="8" w:space="0" w:color="C7C9C7"/>
              <w:right w:val="nil"/>
            </w:tcBorders>
            <w:shd w:val="clear" w:color="auto" w:fill="E6F8F8"/>
            <w:tcMar>
              <w:top w:w="0" w:type="dxa"/>
              <w:left w:w="53" w:type="dxa"/>
              <w:bottom w:w="0" w:type="dxa"/>
              <w:right w:w="53" w:type="dxa"/>
            </w:tcMar>
            <w:vAlign w:val="bottom"/>
          </w:tcPr>
          <w:p w14:paraId="48A8673C" w14:textId="77777777" w:rsidR="001614AC" w:rsidRDefault="004468F9">
            <w:pPr>
              <w:keepNext/>
              <w:spacing w:before="75" w:after="30" w:line="288" w:lineRule="auto"/>
              <w:jc w:val="center"/>
            </w:pPr>
            <w:r>
              <w:rPr>
                <w:rFonts w:ascii="Arial" w:eastAsia="Arial" w:hAnsi="Arial" w:cs="Arial"/>
                <w:b/>
                <w:color w:val="00BAB3"/>
                <w:sz w:val="18"/>
              </w:rPr>
              <w:t>2021</w:t>
            </w:r>
          </w:p>
        </w:tc>
        <w:tc>
          <w:tcPr>
            <w:tcW w:w="105" w:type="dxa"/>
            <w:tcBorders>
              <w:top w:val="nil"/>
              <w:left w:val="nil"/>
              <w:bottom w:val="single" w:sz="8" w:space="0" w:color="C7C9C7"/>
              <w:right w:val="nil"/>
            </w:tcBorders>
            <w:tcMar>
              <w:top w:w="0" w:type="dxa"/>
              <w:left w:w="0" w:type="dxa"/>
              <w:bottom w:w="0" w:type="dxa"/>
              <w:right w:w="0" w:type="dxa"/>
            </w:tcMar>
            <w:vAlign w:val="bottom"/>
          </w:tcPr>
          <w:p w14:paraId="7F8D512B" w14:textId="77777777" w:rsidR="001614AC" w:rsidRDefault="001614AC">
            <w:pPr>
              <w:keepNext/>
            </w:pPr>
          </w:p>
        </w:tc>
        <w:tc>
          <w:tcPr>
            <w:tcW w:w="1005" w:type="dxa"/>
            <w:gridSpan w:val="3"/>
            <w:tcBorders>
              <w:top w:val="nil"/>
              <w:left w:val="nil"/>
              <w:bottom w:val="single" w:sz="8" w:space="0" w:color="C7C9C7"/>
              <w:right w:val="nil"/>
            </w:tcBorders>
            <w:shd w:val="clear" w:color="auto" w:fill="F4F4F4"/>
            <w:tcMar>
              <w:top w:w="0" w:type="dxa"/>
              <w:left w:w="53" w:type="dxa"/>
              <w:bottom w:w="0" w:type="dxa"/>
              <w:right w:w="53" w:type="dxa"/>
            </w:tcMar>
            <w:vAlign w:val="bottom"/>
          </w:tcPr>
          <w:p w14:paraId="6B6FDFCC" w14:textId="77777777" w:rsidR="001614AC" w:rsidRDefault="004468F9">
            <w:pPr>
              <w:keepNext/>
              <w:spacing w:before="75" w:after="30" w:line="288" w:lineRule="auto"/>
              <w:jc w:val="center"/>
            </w:pPr>
            <w:r>
              <w:rPr>
                <w:rFonts w:ascii="Arial" w:eastAsia="Arial" w:hAnsi="Arial" w:cs="Arial"/>
                <w:b/>
                <w:color w:val="00BAB3"/>
                <w:sz w:val="18"/>
              </w:rPr>
              <w:t>2020</w:t>
            </w:r>
          </w:p>
        </w:tc>
        <w:tc>
          <w:tcPr>
            <w:tcW w:w="105" w:type="dxa"/>
            <w:tcBorders>
              <w:top w:val="single" w:sz="8" w:space="0" w:color="FFFFFF"/>
              <w:left w:val="nil"/>
              <w:bottom w:val="single" w:sz="8" w:space="0" w:color="C7C9C7"/>
              <w:right w:val="nil"/>
            </w:tcBorders>
            <w:tcMar>
              <w:top w:w="0" w:type="dxa"/>
              <w:left w:w="0" w:type="dxa"/>
              <w:bottom w:w="0" w:type="dxa"/>
              <w:right w:w="0" w:type="dxa"/>
            </w:tcMar>
            <w:vAlign w:val="bottom"/>
          </w:tcPr>
          <w:p w14:paraId="3DE974A5" w14:textId="77777777" w:rsidR="001614AC" w:rsidRDefault="001614AC">
            <w:pPr>
              <w:keepNext/>
            </w:pPr>
          </w:p>
        </w:tc>
        <w:tc>
          <w:tcPr>
            <w:tcW w:w="1005" w:type="dxa"/>
            <w:gridSpan w:val="3"/>
            <w:tcBorders>
              <w:top w:val="single" w:sz="8" w:space="0" w:color="FFFFFF"/>
              <w:left w:val="nil"/>
              <w:bottom w:val="single" w:sz="8" w:space="0" w:color="C7C9C7"/>
              <w:right w:val="nil"/>
            </w:tcBorders>
            <w:shd w:val="clear" w:color="auto" w:fill="E6F8F8"/>
            <w:tcMar>
              <w:top w:w="0" w:type="dxa"/>
              <w:left w:w="53" w:type="dxa"/>
              <w:bottom w:w="0" w:type="dxa"/>
              <w:right w:w="53" w:type="dxa"/>
            </w:tcMar>
            <w:vAlign w:val="bottom"/>
          </w:tcPr>
          <w:p w14:paraId="402CA832" w14:textId="77777777" w:rsidR="001614AC" w:rsidRDefault="004468F9">
            <w:pPr>
              <w:keepNext/>
              <w:spacing w:before="55" w:after="30" w:line="288" w:lineRule="auto"/>
              <w:jc w:val="center"/>
            </w:pPr>
            <w:r>
              <w:rPr>
                <w:rFonts w:ascii="Arial" w:eastAsia="Arial" w:hAnsi="Arial" w:cs="Arial"/>
                <w:b/>
                <w:color w:val="00BAB3"/>
                <w:sz w:val="18"/>
              </w:rPr>
              <w:t>2021</w:t>
            </w:r>
          </w:p>
        </w:tc>
        <w:tc>
          <w:tcPr>
            <w:tcW w:w="105" w:type="dxa"/>
            <w:tcBorders>
              <w:top w:val="single" w:sz="8" w:space="0" w:color="FFFFFF"/>
              <w:left w:val="nil"/>
              <w:bottom w:val="single" w:sz="8" w:space="0" w:color="C7C9C7"/>
              <w:right w:val="nil"/>
            </w:tcBorders>
            <w:tcMar>
              <w:top w:w="0" w:type="dxa"/>
              <w:left w:w="0" w:type="dxa"/>
              <w:bottom w:w="0" w:type="dxa"/>
              <w:right w:w="0" w:type="dxa"/>
            </w:tcMar>
            <w:vAlign w:val="bottom"/>
          </w:tcPr>
          <w:p w14:paraId="0C3D603B" w14:textId="77777777" w:rsidR="001614AC" w:rsidRDefault="001614AC">
            <w:pPr>
              <w:keepNext/>
            </w:pPr>
          </w:p>
        </w:tc>
        <w:tc>
          <w:tcPr>
            <w:tcW w:w="1005" w:type="dxa"/>
            <w:gridSpan w:val="3"/>
            <w:tcBorders>
              <w:top w:val="single" w:sz="8" w:space="0" w:color="FFFFFF"/>
              <w:left w:val="nil"/>
              <w:bottom w:val="single" w:sz="8" w:space="0" w:color="C7C9C7"/>
              <w:right w:val="nil"/>
            </w:tcBorders>
            <w:shd w:val="clear" w:color="auto" w:fill="F4F4F4"/>
            <w:tcMar>
              <w:top w:w="0" w:type="dxa"/>
              <w:left w:w="53" w:type="dxa"/>
              <w:bottom w:w="0" w:type="dxa"/>
              <w:right w:w="53" w:type="dxa"/>
            </w:tcMar>
            <w:vAlign w:val="bottom"/>
          </w:tcPr>
          <w:p w14:paraId="29A177A6" w14:textId="77777777" w:rsidR="001614AC" w:rsidRDefault="004468F9">
            <w:pPr>
              <w:keepNext/>
              <w:spacing w:before="55" w:after="30" w:line="288" w:lineRule="auto"/>
              <w:jc w:val="center"/>
            </w:pPr>
            <w:r>
              <w:rPr>
                <w:rFonts w:ascii="Arial" w:eastAsia="Arial" w:hAnsi="Arial" w:cs="Arial"/>
                <w:b/>
                <w:color w:val="00BAB3"/>
                <w:sz w:val="18"/>
              </w:rPr>
              <w:t>2020</w:t>
            </w:r>
          </w:p>
        </w:tc>
      </w:tr>
      <w:tr w:rsidR="001614AC" w14:paraId="3A49421E" w14:textId="77777777">
        <w:trPr>
          <w:cantSplit/>
        </w:trPr>
        <w:tc>
          <w:tcPr>
            <w:tcW w:w="5685" w:type="dxa"/>
            <w:tcBorders>
              <w:top w:val="single" w:sz="8" w:space="0" w:color="C7C9C7"/>
              <w:left w:val="nil"/>
              <w:bottom w:val="single" w:sz="8" w:space="0" w:color="E9E9E9"/>
              <w:right w:val="nil"/>
            </w:tcBorders>
            <w:tcMar>
              <w:top w:w="0" w:type="dxa"/>
              <w:left w:w="53" w:type="dxa"/>
              <w:bottom w:w="0" w:type="dxa"/>
              <w:right w:w="53" w:type="dxa"/>
            </w:tcMar>
            <w:vAlign w:val="bottom"/>
          </w:tcPr>
          <w:p w14:paraId="3D18D43A" w14:textId="77777777" w:rsidR="001614AC" w:rsidRDefault="004468F9">
            <w:pPr>
              <w:keepNext/>
              <w:spacing w:before="55" w:after="30" w:line="288" w:lineRule="auto"/>
            </w:pPr>
            <w:r>
              <w:rPr>
                <w:rFonts w:ascii="Arial" w:eastAsia="Arial" w:hAnsi="Arial" w:cs="Arial"/>
                <w:color w:val="000000"/>
                <w:sz w:val="18"/>
              </w:rPr>
              <w:t>Adjusted pretax operating income (loss)</w:t>
            </w:r>
          </w:p>
        </w:tc>
        <w:tc>
          <w:tcPr>
            <w:tcW w:w="105" w:type="dxa"/>
            <w:tcBorders>
              <w:top w:val="single" w:sz="8" w:space="0" w:color="C7C9C7"/>
              <w:left w:val="nil"/>
              <w:bottom w:val="nil"/>
              <w:right w:val="nil"/>
            </w:tcBorders>
            <w:tcMar>
              <w:top w:w="0" w:type="dxa"/>
              <w:left w:w="0" w:type="dxa"/>
              <w:bottom w:w="0" w:type="dxa"/>
              <w:right w:w="0" w:type="dxa"/>
            </w:tcMar>
            <w:vAlign w:val="bottom"/>
          </w:tcPr>
          <w:p w14:paraId="7C929C9E" w14:textId="77777777" w:rsidR="001614AC" w:rsidRDefault="001614AC">
            <w:pPr>
              <w:keepNext/>
            </w:pPr>
          </w:p>
        </w:tc>
        <w:tc>
          <w:tcPr>
            <w:tcW w:w="960" w:type="dxa"/>
            <w:gridSpan w:val="3"/>
            <w:tcBorders>
              <w:top w:val="single" w:sz="8" w:space="0" w:color="C7C9C7"/>
              <w:left w:val="nil"/>
              <w:bottom w:val="single" w:sz="8" w:space="0" w:color="E9E9E9"/>
              <w:right w:val="nil"/>
            </w:tcBorders>
            <w:tcMar>
              <w:top w:w="0" w:type="dxa"/>
              <w:left w:w="0" w:type="dxa"/>
              <w:bottom w:w="0" w:type="dxa"/>
              <w:right w:w="0" w:type="dxa"/>
            </w:tcMar>
            <w:vAlign w:val="bottom"/>
          </w:tcPr>
          <w:p w14:paraId="1F8F5AA7" w14:textId="77777777" w:rsidR="001614AC" w:rsidRDefault="001614AC">
            <w:pPr>
              <w:keepNext/>
            </w:pPr>
          </w:p>
        </w:tc>
        <w:tc>
          <w:tcPr>
            <w:tcW w:w="105" w:type="dxa"/>
            <w:tcBorders>
              <w:top w:val="single" w:sz="8" w:space="0" w:color="C7C9C7"/>
              <w:left w:val="nil"/>
              <w:bottom w:val="nil"/>
              <w:right w:val="nil"/>
            </w:tcBorders>
            <w:tcMar>
              <w:top w:w="0" w:type="dxa"/>
              <w:left w:w="0" w:type="dxa"/>
              <w:bottom w:w="0" w:type="dxa"/>
              <w:right w:w="0" w:type="dxa"/>
            </w:tcMar>
            <w:vAlign w:val="bottom"/>
          </w:tcPr>
          <w:p w14:paraId="599578E1" w14:textId="77777777" w:rsidR="001614AC" w:rsidRDefault="001614AC">
            <w:pPr>
              <w:keepNext/>
            </w:pPr>
          </w:p>
        </w:tc>
        <w:tc>
          <w:tcPr>
            <w:tcW w:w="1005" w:type="dxa"/>
            <w:gridSpan w:val="3"/>
            <w:tcBorders>
              <w:top w:val="single" w:sz="8" w:space="0" w:color="C7C9C7"/>
              <w:left w:val="nil"/>
              <w:bottom w:val="single" w:sz="8" w:space="0" w:color="E9E9E9"/>
              <w:right w:val="nil"/>
            </w:tcBorders>
            <w:tcMar>
              <w:top w:w="0" w:type="dxa"/>
              <w:left w:w="0" w:type="dxa"/>
              <w:bottom w:w="0" w:type="dxa"/>
              <w:right w:w="0" w:type="dxa"/>
            </w:tcMar>
            <w:vAlign w:val="bottom"/>
          </w:tcPr>
          <w:p w14:paraId="564B4320" w14:textId="77777777" w:rsidR="001614AC" w:rsidRDefault="001614AC">
            <w:pPr>
              <w:keepNext/>
            </w:pPr>
          </w:p>
        </w:tc>
        <w:tc>
          <w:tcPr>
            <w:tcW w:w="105" w:type="dxa"/>
            <w:tcBorders>
              <w:top w:val="single" w:sz="8" w:space="0" w:color="C7C9C7"/>
              <w:left w:val="nil"/>
              <w:bottom w:val="nil"/>
              <w:right w:val="nil"/>
            </w:tcBorders>
            <w:tcMar>
              <w:top w:w="0" w:type="dxa"/>
              <w:left w:w="0" w:type="dxa"/>
              <w:bottom w:w="0" w:type="dxa"/>
              <w:right w:w="0" w:type="dxa"/>
            </w:tcMar>
            <w:vAlign w:val="bottom"/>
          </w:tcPr>
          <w:p w14:paraId="205B1857" w14:textId="77777777" w:rsidR="001614AC" w:rsidRDefault="001614AC">
            <w:pPr>
              <w:keepNext/>
            </w:pPr>
          </w:p>
        </w:tc>
        <w:tc>
          <w:tcPr>
            <w:tcW w:w="1005" w:type="dxa"/>
            <w:gridSpan w:val="3"/>
            <w:tcBorders>
              <w:top w:val="single" w:sz="8" w:space="0" w:color="C7C9C7"/>
              <w:left w:val="nil"/>
              <w:bottom w:val="single" w:sz="8" w:space="0" w:color="E9E9E9"/>
              <w:right w:val="nil"/>
            </w:tcBorders>
            <w:tcMar>
              <w:top w:w="0" w:type="dxa"/>
              <w:left w:w="0" w:type="dxa"/>
              <w:bottom w:w="0" w:type="dxa"/>
              <w:right w:w="0" w:type="dxa"/>
            </w:tcMar>
            <w:vAlign w:val="bottom"/>
          </w:tcPr>
          <w:p w14:paraId="61C182CB" w14:textId="77777777" w:rsidR="001614AC" w:rsidRDefault="001614AC">
            <w:pPr>
              <w:keepNext/>
            </w:pPr>
          </w:p>
        </w:tc>
        <w:tc>
          <w:tcPr>
            <w:tcW w:w="105" w:type="dxa"/>
            <w:tcBorders>
              <w:top w:val="single" w:sz="8" w:space="0" w:color="C7C9C7"/>
              <w:left w:val="nil"/>
              <w:bottom w:val="nil"/>
              <w:right w:val="nil"/>
            </w:tcBorders>
            <w:tcMar>
              <w:top w:w="0" w:type="dxa"/>
              <w:left w:w="0" w:type="dxa"/>
              <w:bottom w:w="0" w:type="dxa"/>
              <w:right w:w="0" w:type="dxa"/>
            </w:tcMar>
            <w:vAlign w:val="bottom"/>
          </w:tcPr>
          <w:p w14:paraId="57C380A2" w14:textId="77777777" w:rsidR="001614AC" w:rsidRDefault="001614AC">
            <w:pPr>
              <w:keepNext/>
            </w:pPr>
          </w:p>
        </w:tc>
        <w:tc>
          <w:tcPr>
            <w:tcW w:w="1005" w:type="dxa"/>
            <w:gridSpan w:val="3"/>
            <w:tcBorders>
              <w:top w:val="single" w:sz="8" w:space="0" w:color="C7C9C7"/>
              <w:left w:val="nil"/>
              <w:bottom w:val="single" w:sz="8" w:space="0" w:color="E9E9E9"/>
              <w:right w:val="nil"/>
            </w:tcBorders>
            <w:tcMar>
              <w:top w:w="0" w:type="dxa"/>
              <w:left w:w="0" w:type="dxa"/>
              <w:bottom w:w="0" w:type="dxa"/>
              <w:right w:w="0" w:type="dxa"/>
            </w:tcMar>
            <w:vAlign w:val="bottom"/>
          </w:tcPr>
          <w:p w14:paraId="022AAD5C" w14:textId="77777777" w:rsidR="001614AC" w:rsidRDefault="001614AC">
            <w:pPr>
              <w:keepNext/>
            </w:pPr>
          </w:p>
        </w:tc>
      </w:tr>
      <w:tr w:rsidR="001614AC" w14:paraId="4898C85E" w14:textId="77777777">
        <w:trPr>
          <w:cantSplit/>
        </w:trPr>
        <w:tc>
          <w:tcPr>
            <w:tcW w:w="5685" w:type="dxa"/>
            <w:tcBorders>
              <w:top w:val="single" w:sz="8" w:space="0" w:color="E9E9E9"/>
              <w:left w:val="nil"/>
              <w:bottom w:val="single" w:sz="8" w:space="0" w:color="E9E9E9"/>
              <w:right w:val="nil"/>
            </w:tcBorders>
            <w:tcMar>
              <w:top w:w="0" w:type="dxa"/>
              <w:left w:w="53" w:type="dxa"/>
              <w:bottom w:w="0" w:type="dxa"/>
              <w:right w:w="53" w:type="dxa"/>
            </w:tcMar>
            <w:vAlign w:val="bottom"/>
          </w:tcPr>
          <w:p w14:paraId="277A4C5F" w14:textId="77777777" w:rsidR="001614AC" w:rsidRDefault="004468F9">
            <w:pPr>
              <w:keepNext/>
              <w:spacing w:before="55" w:after="30" w:line="288" w:lineRule="auto"/>
              <w:ind w:left="240"/>
            </w:pPr>
            <w:r>
              <w:rPr>
                <w:rFonts w:ascii="Arial" w:eastAsia="Arial" w:hAnsi="Arial" w:cs="Arial"/>
                <w:color w:val="000000"/>
                <w:sz w:val="18"/>
              </w:rPr>
              <w:t>Mortgage</w:t>
            </w:r>
          </w:p>
        </w:tc>
        <w:tc>
          <w:tcPr>
            <w:tcW w:w="105" w:type="dxa"/>
            <w:tcBorders>
              <w:top w:val="nil"/>
              <w:left w:val="nil"/>
              <w:bottom w:val="nil"/>
              <w:right w:val="nil"/>
            </w:tcBorders>
            <w:tcMar>
              <w:top w:w="0" w:type="dxa"/>
              <w:left w:w="0" w:type="dxa"/>
              <w:bottom w:w="0" w:type="dxa"/>
              <w:right w:w="0" w:type="dxa"/>
            </w:tcMar>
            <w:vAlign w:val="bottom"/>
          </w:tcPr>
          <w:p w14:paraId="19D0B055" w14:textId="77777777" w:rsidR="001614AC" w:rsidRDefault="001614AC">
            <w:pPr>
              <w:keepNext/>
            </w:pPr>
          </w:p>
        </w:tc>
        <w:tc>
          <w:tcPr>
            <w:tcW w:w="160" w:type="dxa"/>
            <w:tcBorders>
              <w:top w:val="single" w:sz="8" w:space="0" w:color="E9E9E9"/>
              <w:left w:val="nil"/>
              <w:bottom w:val="single" w:sz="8" w:space="0" w:color="E9E9E9"/>
              <w:right w:val="nil"/>
            </w:tcBorders>
            <w:tcMar>
              <w:top w:w="0" w:type="dxa"/>
              <w:left w:w="53" w:type="dxa"/>
              <w:bottom w:w="0" w:type="dxa"/>
              <w:right w:w="0" w:type="dxa"/>
            </w:tcMar>
            <w:vAlign w:val="bottom"/>
          </w:tcPr>
          <w:p w14:paraId="76095BDB" w14:textId="77777777" w:rsidR="001614AC" w:rsidRDefault="004468F9">
            <w:pPr>
              <w:keepNext/>
              <w:spacing w:before="55" w:after="30" w:line="288" w:lineRule="auto"/>
            </w:pPr>
            <w:r>
              <w:rPr>
                <w:rFonts w:ascii="Arial" w:eastAsia="Arial" w:hAnsi="Arial" w:cs="Arial"/>
                <w:color w:val="000000"/>
                <w:sz w:val="18"/>
              </w:rPr>
              <w:t>$</w:t>
            </w:r>
          </w:p>
        </w:tc>
        <w:tc>
          <w:tcPr>
            <w:tcW w:w="700" w:type="dxa"/>
            <w:tcBorders>
              <w:top w:val="single" w:sz="8" w:space="0" w:color="E9E9E9"/>
              <w:left w:val="nil"/>
              <w:bottom w:val="single" w:sz="8" w:space="0" w:color="E9E9E9"/>
              <w:right w:val="nil"/>
            </w:tcBorders>
            <w:tcMar>
              <w:top w:w="0" w:type="dxa"/>
              <w:left w:w="0" w:type="dxa"/>
              <w:bottom w:w="0" w:type="dxa"/>
              <w:right w:w="0" w:type="dxa"/>
            </w:tcMar>
            <w:vAlign w:val="bottom"/>
          </w:tcPr>
          <w:p w14:paraId="6015DC7D" w14:textId="77777777" w:rsidR="001614AC" w:rsidRDefault="004468F9">
            <w:pPr>
              <w:keepNext/>
              <w:spacing w:before="55" w:after="30" w:line="288" w:lineRule="auto"/>
              <w:jc w:val="right"/>
            </w:pPr>
            <w:r>
              <w:rPr>
                <w:rFonts w:ascii="Arial" w:eastAsia="Arial" w:hAnsi="Arial" w:cs="Arial"/>
                <w:color w:val="000000"/>
                <w:sz w:val="18"/>
              </w:rPr>
              <w:t>191,462 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41B89209" w14:textId="77777777" w:rsidR="001614AC" w:rsidRDefault="001614AC">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60C728F3" w14:textId="77777777" w:rsidR="001614AC" w:rsidRDefault="001614AC">
            <w:pPr>
              <w:keepNext/>
            </w:pPr>
          </w:p>
        </w:tc>
        <w:tc>
          <w:tcPr>
            <w:tcW w:w="160" w:type="dxa"/>
            <w:tcBorders>
              <w:top w:val="single" w:sz="8" w:space="0" w:color="E9E9E9"/>
              <w:left w:val="nil"/>
              <w:bottom w:val="single" w:sz="8" w:space="0" w:color="E9E9E9"/>
              <w:right w:val="nil"/>
            </w:tcBorders>
            <w:tcMar>
              <w:top w:w="0" w:type="dxa"/>
              <w:left w:w="53" w:type="dxa"/>
              <w:bottom w:w="0" w:type="dxa"/>
              <w:right w:w="0" w:type="dxa"/>
            </w:tcMar>
            <w:vAlign w:val="bottom"/>
          </w:tcPr>
          <w:p w14:paraId="537AEFA2" w14:textId="77777777" w:rsidR="001614AC" w:rsidRDefault="004468F9">
            <w:pPr>
              <w:keepNext/>
              <w:spacing w:before="55" w:after="30" w:line="288" w:lineRule="auto"/>
            </w:pPr>
            <w:r>
              <w:rPr>
                <w:rFonts w:ascii="Arial" w:eastAsia="Arial" w:hAnsi="Arial" w:cs="Arial"/>
                <w:color w:val="000000"/>
                <w:sz w:val="18"/>
              </w:rPr>
              <w:t>$</w:t>
            </w:r>
          </w:p>
        </w:tc>
        <w:tc>
          <w:tcPr>
            <w:tcW w:w="745" w:type="dxa"/>
            <w:tcBorders>
              <w:top w:val="single" w:sz="8" w:space="0" w:color="E9E9E9"/>
              <w:left w:val="nil"/>
              <w:bottom w:val="single" w:sz="8" w:space="0" w:color="E9E9E9"/>
              <w:right w:val="nil"/>
            </w:tcBorders>
            <w:tcMar>
              <w:top w:w="0" w:type="dxa"/>
              <w:left w:w="0" w:type="dxa"/>
              <w:bottom w:w="0" w:type="dxa"/>
              <w:right w:w="0" w:type="dxa"/>
            </w:tcMar>
            <w:vAlign w:val="bottom"/>
          </w:tcPr>
          <w:p w14:paraId="2E47EF45" w14:textId="77777777" w:rsidR="001614AC" w:rsidRDefault="004468F9">
            <w:pPr>
              <w:keepNext/>
              <w:spacing w:before="55" w:after="30" w:line="288" w:lineRule="auto"/>
              <w:jc w:val="right"/>
            </w:pPr>
            <w:r>
              <w:rPr>
                <w:rFonts w:ascii="Arial" w:eastAsia="Arial" w:hAnsi="Arial" w:cs="Arial"/>
                <w:color w:val="000000"/>
                <w:sz w:val="18"/>
              </w:rPr>
              <w:t>(85,821)</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18B3069B" w14:textId="77777777" w:rsidR="001614AC" w:rsidRDefault="001614AC">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2711284D" w14:textId="77777777" w:rsidR="001614AC" w:rsidRDefault="001614AC">
            <w:pPr>
              <w:keepNext/>
            </w:pPr>
          </w:p>
        </w:tc>
        <w:tc>
          <w:tcPr>
            <w:tcW w:w="160" w:type="dxa"/>
            <w:tcBorders>
              <w:top w:val="single" w:sz="8" w:space="0" w:color="E9E9E9"/>
              <w:left w:val="nil"/>
              <w:bottom w:val="single" w:sz="8" w:space="0" w:color="E9E9E9"/>
              <w:right w:val="nil"/>
            </w:tcBorders>
            <w:tcMar>
              <w:top w:w="0" w:type="dxa"/>
              <w:left w:w="53" w:type="dxa"/>
              <w:bottom w:w="0" w:type="dxa"/>
              <w:right w:w="0" w:type="dxa"/>
            </w:tcMar>
            <w:vAlign w:val="bottom"/>
          </w:tcPr>
          <w:p w14:paraId="5843CA18" w14:textId="77777777" w:rsidR="001614AC" w:rsidRDefault="004468F9">
            <w:pPr>
              <w:keepNext/>
              <w:spacing w:before="55" w:after="30" w:line="288" w:lineRule="auto"/>
            </w:pPr>
            <w:r>
              <w:rPr>
                <w:rFonts w:ascii="Arial" w:eastAsia="Arial" w:hAnsi="Arial" w:cs="Arial"/>
                <w:color w:val="000000"/>
                <w:sz w:val="18"/>
              </w:rPr>
              <w:t>$</w:t>
            </w:r>
          </w:p>
        </w:tc>
        <w:tc>
          <w:tcPr>
            <w:tcW w:w="745" w:type="dxa"/>
            <w:tcBorders>
              <w:top w:val="single" w:sz="8" w:space="0" w:color="E9E9E9"/>
              <w:left w:val="nil"/>
              <w:bottom w:val="single" w:sz="8" w:space="0" w:color="E9E9E9"/>
              <w:right w:val="nil"/>
            </w:tcBorders>
            <w:tcMar>
              <w:top w:w="0" w:type="dxa"/>
              <w:left w:w="0" w:type="dxa"/>
              <w:bottom w:w="0" w:type="dxa"/>
              <w:right w:w="0" w:type="dxa"/>
            </w:tcMar>
            <w:vAlign w:val="bottom"/>
          </w:tcPr>
          <w:p w14:paraId="3BACD66E" w14:textId="77777777" w:rsidR="001614AC" w:rsidRDefault="004468F9">
            <w:pPr>
              <w:keepNext/>
              <w:spacing w:before="55" w:after="30" w:line="288" w:lineRule="auto"/>
              <w:jc w:val="right"/>
            </w:pPr>
            <w:r>
              <w:rPr>
                <w:rFonts w:ascii="Arial" w:eastAsia="Arial" w:hAnsi="Arial" w:cs="Arial"/>
                <w:color w:val="000000"/>
                <w:sz w:val="18"/>
              </w:rPr>
              <w:t>365,749 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70AB2063" w14:textId="77777777" w:rsidR="001614AC" w:rsidRDefault="001614AC">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70065B6A" w14:textId="77777777" w:rsidR="001614AC" w:rsidRDefault="001614AC">
            <w:pPr>
              <w:keepNext/>
            </w:pPr>
          </w:p>
        </w:tc>
        <w:tc>
          <w:tcPr>
            <w:tcW w:w="160" w:type="dxa"/>
            <w:tcBorders>
              <w:top w:val="single" w:sz="8" w:space="0" w:color="E9E9E9"/>
              <w:left w:val="nil"/>
              <w:bottom w:val="single" w:sz="8" w:space="0" w:color="E9E9E9"/>
              <w:right w:val="nil"/>
            </w:tcBorders>
            <w:tcMar>
              <w:top w:w="0" w:type="dxa"/>
              <w:left w:w="53" w:type="dxa"/>
              <w:bottom w:w="0" w:type="dxa"/>
              <w:right w:w="0" w:type="dxa"/>
            </w:tcMar>
            <w:vAlign w:val="bottom"/>
          </w:tcPr>
          <w:p w14:paraId="3EEDEF9D" w14:textId="77777777" w:rsidR="001614AC" w:rsidRDefault="004468F9">
            <w:pPr>
              <w:keepNext/>
              <w:spacing w:before="55" w:after="30" w:line="288" w:lineRule="auto"/>
            </w:pPr>
            <w:r>
              <w:rPr>
                <w:rFonts w:ascii="Arial" w:eastAsia="Arial" w:hAnsi="Arial" w:cs="Arial"/>
                <w:color w:val="000000"/>
                <w:sz w:val="18"/>
              </w:rPr>
              <w:t>$</w:t>
            </w:r>
          </w:p>
        </w:tc>
        <w:tc>
          <w:tcPr>
            <w:tcW w:w="745" w:type="dxa"/>
            <w:tcBorders>
              <w:top w:val="single" w:sz="8" w:space="0" w:color="E9E9E9"/>
              <w:left w:val="nil"/>
              <w:bottom w:val="single" w:sz="8" w:space="0" w:color="E9E9E9"/>
              <w:right w:val="nil"/>
            </w:tcBorders>
            <w:tcMar>
              <w:top w:w="0" w:type="dxa"/>
              <w:left w:w="0" w:type="dxa"/>
              <w:bottom w:w="0" w:type="dxa"/>
              <w:right w:w="0" w:type="dxa"/>
            </w:tcMar>
            <w:vAlign w:val="bottom"/>
          </w:tcPr>
          <w:p w14:paraId="490E287C" w14:textId="77777777" w:rsidR="001614AC" w:rsidRDefault="004468F9">
            <w:pPr>
              <w:keepNext/>
              <w:spacing w:before="55" w:after="30" w:line="288" w:lineRule="auto"/>
              <w:jc w:val="right"/>
            </w:pPr>
            <w:r>
              <w:rPr>
                <w:rFonts w:ascii="Arial" w:eastAsia="Arial" w:hAnsi="Arial" w:cs="Arial"/>
                <w:color w:val="000000"/>
                <w:sz w:val="18"/>
              </w:rPr>
              <w:t>119,846 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3F33FDB4" w14:textId="77777777" w:rsidR="001614AC" w:rsidRDefault="001614AC">
            <w:pPr>
              <w:keepNext/>
              <w:spacing w:before="55" w:after="30" w:line="288" w:lineRule="auto"/>
              <w:jc w:val="right"/>
            </w:pPr>
          </w:p>
        </w:tc>
      </w:tr>
      <w:tr w:rsidR="001614AC" w14:paraId="3538A4B7" w14:textId="77777777">
        <w:trPr>
          <w:cantSplit/>
        </w:trPr>
        <w:tc>
          <w:tcPr>
            <w:tcW w:w="5685" w:type="dxa"/>
            <w:tcBorders>
              <w:top w:val="single" w:sz="8" w:space="0" w:color="E9E9E9"/>
              <w:left w:val="nil"/>
              <w:bottom w:val="nil"/>
              <w:right w:val="nil"/>
            </w:tcBorders>
            <w:tcMar>
              <w:top w:w="0" w:type="dxa"/>
              <w:left w:w="53" w:type="dxa"/>
              <w:bottom w:w="0" w:type="dxa"/>
              <w:right w:w="53" w:type="dxa"/>
            </w:tcMar>
            <w:vAlign w:val="bottom"/>
          </w:tcPr>
          <w:p w14:paraId="284BA028" w14:textId="77777777" w:rsidR="001614AC" w:rsidRDefault="004468F9">
            <w:pPr>
              <w:keepNext/>
              <w:spacing w:before="55" w:after="30" w:line="288" w:lineRule="auto"/>
              <w:ind w:left="240"/>
            </w:pPr>
            <w:r>
              <w:rPr>
                <w:rFonts w:ascii="Arial" w:eastAsia="Arial" w:hAnsi="Arial" w:cs="Arial"/>
                <w:color w:val="000000"/>
                <w:sz w:val="18"/>
              </w:rPr>
              <w:t>homegenius</w:t>
            </w:r>
          </w:p>
        </w:tc>
        <w:tc>
          <w:tcPr>
            <w:tcW w:w="105" w:type="dxa"/>
            <w:tcBorders>
              <w:top w:val="nil"/>
              <w:left w:val="nil"/>
              <w:bottom w:val="nil"/>
              <w:right w:val="nil"/>
            </w:tcBorders>
            <w:tcMar>
              <w:top w:w="0" w:type="dxa"/>
              <w:left w:w="0" w:type="dxa"/>
              <w:bottom w:w="0" w:type="dxa"/>
              <w:right w:w="0" w:type="dxa"/>
            </w:tcMar>
            <w:vAlign w:val="bottom"/>
          </w:tcPr>
          <w:p w14:paraId="784BE87B" w14:textId="77777777" w:rsidR="001614AC" w:rsidRDefault="001614AC">
            <w:pPr>
              <w:keepNext/>
            </w:pPr>
          </w:p>
        </w:tc>
        <w:tc>
          <w:tcPr>
            <w:tcW w:w="860" w:type="dxa"/>
            <w:gridSpan w:val="2"/>
            <w:tcBorders>
              <w:top w:val="single" w:sz="8" w:space="0" w:color="E9E9E9"/>
              <w:left w:val="nil"/>
              <w:bottom w:val="single" w:sz="8" w:space="0" w:color="C7C9C7"/>
              <w:right w:val="nil"/>
            </w:tcBorders>
            <w:tcMar>
              <w:top w:w="0" w:type="dxa"/>
              <w:left w:w="53" w:type="dxa"/>
              <w:bottom w:w="0" w:type="dxa"/>
              <w:right w:w="0" w:type="dxa"/>
            </w:tcMar>
            <w:vAlign w:val="bottom"/>
          </w:tcPr>
          <w:p w14:paraId="1322C19B" w14:textId="77777777" w:rsidR="001614AC" w:rsidRDefault="004468F9">
            <w:pPr>
              <w:keepNext/>
              <w:spacing w:before="55" w:after="30" w:line="288" w:lineRule="auto"/>
              <w:jc w:val="right"/>
            </w:pPr>
            <w:r>
              <w:rPr>
                <w:rFonts w:ascii="Arial" w:eastAsia="Arial" w:hAnsi="Arial" w:cs="Arial"/>
                <w:color w:val="000000"/>
                <w:sz w:val="18"/>
              </w:rPr>
              <w:t>(9,198)</w:t>
            </w:r>
          </w:p>
        </w:tc>
        <w:tc>
          <w:tcPr>
            <w:tcW w:w="100" w:type="dxa"/>
            <w:tcBorders>
              <w:top w:val="single" w:sz="8" w:space="0" w:color="E9E9E9"/>
              <w:left w:val="nil"/>
              <w:bottom w:val="single" w:sz="8" w:space="0" w:color="C7C9C7"/>
              <w:right w:val="nil"/>
            </w:tcBorders>
            <w:tcMar>
              <w:top w:w="0" w:type="dxa"/>
              <w:left w:w="0" w:type="dxa"/>
              <w:bottom w:w="0" w:type="dxa"/>
              <w:right w:w="15" w:type="dxa"/>
            </w:tcMar>
            <w:vAlign w:val="bottom"/>
          </w:tcPr>
          <w:p w14:paraId="376A01CB" w14:textId="77777777" w:rsidR="001614AC" w:rsidRDefault="001614AC">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78D3A235" w14:textId="77777777" w:rsidR="001614AC" w:rsidRDefault="001614AC">
            <w:pPr>
              <w:keepNext/>
            </w:pPr>
          </w:p>
        </w:tc>
        <w:tc>
          <w:tcPr>
            <w:tcW w:w="905" w:type="dxa"/>
            <w:gridSpan w:val="2"/>
            <w:tcBorders>
              <w:top w:val="single" w:sz="8" w:space="0" w:color="E9E9E9"/>
              <w:left w:val="nil"/>
              <w:bottom w:val="single" w:sz="8" w:space="0" w:color="C7C9C7"/>
              <w:right w:val="nil"/>
            </w:tcBorders>
            <w:tcMar>
              <w:top w:w="0" w:type="dxa"/>
              <w:left w:w="53" w:type="dxa"/>
              <w:bottom w:w="0" w:type="dxa"/>
              <w:right w:w="0" w:type="dxa"/>
            </w:tcMar>
            <w:vAlign w:val="bottom"/>
          </w:tcPr>
          <w:p w14:paraId="6A02C6CF" w14:textId="77777777" w:rsidR="001614AC" w:rsidRDefault="004468F9">
            <w:pPr>
              <w:keepNext/>
              <w:spacing w:before="55" w:after="30" w:line="288" w:lineRule="auto"/>
              <w:jc w:val="right"/>
            </w:pPr>
            <w:r>
              <w:rPr>
                <w:rFonts w:ascii="Arial" w:eastAsia="Arial" w:hAnsi="Arial" w:cs="Arial"/>
                <w:color w:val="000000"/>
                <w:sz w:val="18"/>
              </w:rPr>
              <w:t>(3,909)</w:t>
            </w:r>
          </w:p>
        </w:tc>
        <w:tc>
          <w:tcPr>
            <w:tcW w:w="100" w:type="dxa"/>
            <w:tcBorders>
              <w:top w:val="single" w:sz="8" w:space="0" w:color="E9E9E9"/>
              <w:left w:val="nil"/>
              <w:bottom w:val="single" w:sz="8" w:space="0" w:color="C7C9C7"/>
              <w:right w:val="nil"/>
            </w:tcBorders>
            <w:tcMar>
              <w:top w:w="0" w:type="dxa"/>
              <w:left w:w="0" w:type="dxa"/>
              <w:bottom w:w="0" w:type="dxa"/>
              <w:right w:w="15" w:type="dxa"/>
            </w:tcMar>
            <w:vAlign w:val="bottom"/>
          </w:tcPr>
          <w:p w14:paraId="0791E146" w14:textId="77777777" w:rsidR="001614AC" w:rsidRDefault="001614AC">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027BE764" w14:textId="77777777" w:rsidR="001614AC" w:rsidRDefault="001614AC">
            <w:pPr>
              <w:keepNext/>
            </w:pPr>
          </w:p>
        </w:tc>
        <w:tc>
          <w:tcPr>
            <w:tcW w:w="905" w:type="dxa"/>
            <w:gridSpan w:val="2"/>
            <w:tcBorders>
              <w:top w:val="single" w:sz="8" w:space="0" w:color="E9E9E9"/>
              <w:left w:val="nil"/>
              <w:bottom w:val="single" w:sz="8" w:space="0" w:color="C7C9C7"/>
              <w:right w:val="nil"/>
            </w:tcBorders>
            <w:tcMar>
              <w:top w:w="0" w:type="dxa"/>
              <w:left w:w="53" w:type="dxa"/>
              <w:bottom w:w="0" w:type="dxa"/>
              <w:right w:w="0" w:type="dxa"/>
            </w:tcMar>
            <w:vAlign w:val="bottom"/>
          </w:tcPr>
          <w:p w14:paraId="66689A34" w14:textId="77777777" w:rsidR="001614AC" w:rsidRDefault="004468F9">
            <w:pPr>
              <w:keepNext/>
              <w:spacing w:before="55" w:after="30" w:line="288" w:lineRule="auto"/>
              <w:jc w:val="right"/>
            </w:pPr>
            <w:r>
              <w:rPr>
                <w:rFonts w:ascii="Arial" w:eastAsia="Arial" w:hAnsi="Arial" w:cs="Arial"/>
                <w:color w:val="000000"/>
                <w:sz w:val="18"/>
              </w:rPr>
              <w:t>(19,651)</w:t>
            </w:r>
          </w:p>
        </w:tc>
        <w:tc>
          <w:tcPr>
            <w:tcW w:w="100" w:type="dxa"/>
            <w:tcBorders>
              <w:top w:val="single" w:sz="8" w:space="0" w:color="E9E9E9"/>
              <w:left w:val="nil"/>
              <w:bottom w:val="single" w:sz="8" w:space="0" w:color="C7C9C7"/>
              <w:right w:val="nil"/>
            </w:tcBorders>
            <w:tcMar>
              <w:top w:w="0" w:type="dxa"/>
              <w:left w:w="0" w:type="dxa"/>
              <w:bottom w:w="0" w:type="dxa"/>
              <w:right w:w="15" w:type="dxa"/>
            </w:tcMar>
            <w:vAlign w:val="bottom"/>
          </w:tcPr>
          <w:p w14:paraId="55F0A38B" w14:textId="77777777" w:rsidR="001614AC" w:rsidRDefault="001614AC">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0BBEF67F" w14:textId="77777777" w:rsidR="001614AC" w:rsidRDefault="001614AC">
            <w:pPr>
              <w:keepNext/>
            </w:pPr>
          </w:p>
        </w:tc>
        <w:tc>
          <w:tcPr>
            <w:tcW w:w="905" w:type="dxa"/>
            <w:gridSpan w:val="2"/>
            <w:tcBorders>
              <w:top w:val="single" w:sz="8" w:space="0" w:color="E9E9E9"/>
              <w:left w:val="nil"/>
              <w:bottom w:val="single" w:sz="8" w:space="0" w:color="C7C9C7"/>
              <w:right w:val="nil"/>
            </w:tcBorders>
            <w:tcMar>
              <w:top w:w="0" w:type="dxa"/>
              <w:left w:w="53" w:type="dxa"/>
              <w:bottom w:w="0" w:type="dxa"/>
              <w:right w:w="0" w:type="dxa"/>
            </w:tcMar>
            <w:vAlign w:val="bottom"/>
          </w:tcPr>
          <w:p w14:paraId="3803284D" w14:textId="77777777" w:rsidR="001614AC" w:rsidRDefault="004468F9">
            <w:pPr>
              <w:keepNext/>
              <w:spacing w:before="55" w:after="30" w:line="288" w:lineRule="auto"/>
              <w:jc w:val="right"/>
            </w:pPr>
            <w:r>
              <w:rPr>
                <w:rFonts w:ascii="Arial" w:eastAsia="Arial" w:hAnsi="Arial" w:cs="Arial"/>
                <w:color w:val="000000"/>
                <w:sz w:val="18"/>
              </w:rPr>
              <w:t>(7,062)</w:t>
            </w:r>
          </w:p>
        </w:tc>
        <w:tc>
          <w:tcPr>
            <w:tcW w:w="100" w:type="dxa"/>
            <w:tcBorders>
              <w:top w:val="single" w:sz="8" w:space="0" w:color="E9E9E9"/>
              <w:left w:val="nil"/>
              <w:bottom w:val="single" w:sz="8" w:space="0" w:color="C7C9C7"/>
              <w:right w:val="nil"/>
            </w:tcBorders>
            <w:tcMar>
              <w:top w:w="0" w:type="dxa"/>
              <w:left w:w="0" w:type="dxa"/>
              <w:bottom w:w="0" w:type="dxa"/>
              <w:right w:w="15" w:type="dxa"/>
            </w:tcMar>
            <w:vAlign w:val="bottom"/>
          </w:tcPr>
          <w:p w14:paraId="6C2DD45B" w14:textId="77777777" w:rsidR="001614AC" w:rsidRDefault="001614AC">
            <w:pPr>
              <w:keepNext/>
              <w:spacing w:before="55" w:after="30" w:line="288" w:lineRule="auto"/>
              <w:jc w:val="right"/>
            </w:pPr>
          </w:p>
        </w:tc>
      </w:tr>
      <w:tr w:rsidR="001614AC" w14:paraId="13FEC2D0" w14:textId="77777777">
        <w:trPr>
          <w:cantSplit/>
        </w:trPr>
        <w:tc>
          <w:tcPr>
            <w:tcW w:w="5685" w:type="dxa"/>
            <w:tcBorders>
              <w:top w:val="nil"/>
              <w:left w:val="nil"/>
              <w:bottom w:val="nil"/>
              <w:right w:val="nil"/>
            </w:tcBorders>
            <w:shd w:val="clear" w:color="auto" w:fill="F4F4F4"/>
            <w:tcMar>
              <w:top w:w="0" w:type="dxa"/>
              <w:left w:w="53" w:type="dxa"/>
              <w:bottom w:w="0" w:type="dxa"/>
              <w:right w:w="53" w:type="dxa"/>
            </w:tcMar>
            <w:vAlign w:val="bottom"/>
          </w:tcPr>
          <w:p w14:paraId="5913CB7C" w14:textId="77777777" w:rsidR="001614AC" w:rsidRDefault="004468F9">
            <w:pPr>
              <w:keepNext/>
              <w:spacing w:before="75" w:after="30" w:line="288" w:lineRule="auto"/>
              <w:ind w:left="240"/>
              <w:rPr>
                <w:rFonts w:ascii="Arial" w:eastAsia="Arial" w:hAnsi="Arial" w:cs="Arial"/>
                <w:sz w:val="18"/>
              </w:rPr>
            </w:pPr>
            <w:r>
              <w:rPr>
                <w:rFonts w:ascii="Arial" w:eastAsia="Arial" w:hAnsi="Arial" w:cs="Arial"/>
                <w:sz w:val="18"/>
              </w:rPr>
              <w:t xml:space="preserve">Total adjusted pretax operating income (loss) for reportable segments </w:t>
            </w:r>
            <w:r>
              <w:rPr>
                <w:rFonts w:ascii="Arial" w:eastAsia="Arial" w:hAnsi="Arial" w:cs="Arial"/>
                <w:sz w:val="18"/>
                <w:vertAlign w:val="superscript"/>
              </w:rPr>
              <w:t>(1)</w:t>
            </w:r>
          </w:p>
        </w:tc>
        <w:tc>
          <w:tcPr>
            <w:tcW w:w="105" w:type="dxa"/>
            <w:tcBorders>
              <w:top w:val="nil"/>
              <w:left w:val="nil"/>
              <w:bottom w:val="nil"/>
              <w:right w:val="nil"/>
            </w:tcBorders>
            <w:shd w:val="clear" w:color="auto" w:fill="F4F4F4"/>
            <w:tcMar>
              <w:top w:w="0" w:type="dxa"/>
              <w:left w:w="0" w:type="dxa"/>
              <w:bottom w:w="0" w:type="dxa"/>
              <w:right w:w="0" w:type="dxa"/>
            </w:tcMar>
            <w:vAlign w:val="bottom"/>
          </w:tcPr>
          <w:p w14:paraId="67722711" w14:textId="77777777" w:rsidR="001614AC" w:rsidRDefault="001614AC">
            <w:pPr>
              <w:keepNext/>
            </w:pPr>
          </w:p>
        </w:tc>
        <w:tc>
          <w:tcPr>
            <w:tcW w:w="860" w:type="dxa"/>
            <w:gridSpan w:val="2"/>
            <w:tcBorders>
              <w:top w:val="single" w:sz="8" w:space="0" w:color="C7C9C7"/>
              <w:left w:val="nil"/>
              <w:bottom w:val="nil"/>
              <w:right w:val="nil"/>
            </w:tcBorders>
            <w:shd w:val="clear" w:color="auto" w:fill="F4F4F4"/>
            <w:tcMar>
              <w:top w:w="0" w:type="dxa"/>
              <w:left w:w="53" w:type="dxa"/>
              <w:bottom w:w="0" w:type="dxa"/>
              <w:right w:w="0" w:type="dxa"/>
            </w:tcMar>
            <w:vAlign w:val="bottom"/>
          </w:tcPr>
          <w:p w14:paraId="21519AE8" w14:textId="77777777" w:rsidR="001614AC" w:rsidRDefault="004468F9">
            <w:pPr>
              <w:keepNext/>
              <w:spacing w:before="55" w:after="30" w:line="288" w:lineRule="auto"/>
              <w:jc w:val="right"/>
            </w:pPr>
            <w:r>
              <w:rPr>
                <w:rFonts w:ascii="Arial" w:eastAsia="Arial" w:hAnsi="Arial" w:cs="Arial"/>
                <w:color w:val="000000"/>
                <w:sz w:val="18"/>
              </w:rPr>
              <w:t>182,264 </w:t>
            </w:r>
          </w:p>
        </w:tc>
        <w:tc>
          <w:tcPr>
            <w:tcW w:w="100" w:type="dxa"/>
            <w:tcBorders>
              <w:top w:val="single" w:sz="8" w:space="0" w:color="C7C9C7"/>
              <w:left w:val="nil"/>
              <w:bottom w:val="nil"/>
              <w:right w:val="nil"/>
            </w:tcBorders>
            <w:shd w:val="clear" w:color="auto" w:fill="F4F4F4"/>
            <w:tcMar>
              <w:top w:w="0" w:type="dxa"/>
              <w:left w:w="0" w:type="dxa"/>
              <w:bottom w:w="0" w:type="dxa"/>
              <w:right w:w="15" w:type="dxa"/>
            </w:tcMar>
            <w:vAlign w:val="bottom"/>
          </w:tcPr>
          <w:p w14:paraId="52B0870E" w14:textId="77777777" w:rsidR="001614AC" w:rsidRDefault="001614AC">
            <w:pPr>
              <w:keepNext/>
              <w:spacing w:before="55" w:after="30" w:line="288" w:lineRule="auto"/>
              <w:jc w:val="right"/>
            </w:pPr>
          </w:p>
        </w:tc>
        <w:tc>
          <w:tcPr>
            <w:tcW w:w="105" w:type="dxa"/>
            <w:tcBorders>
              <w:top w:val="nil"/>
              <w:left w:val="nil"/>
              <w:bottom w:val="nil"/>
              <w:right w:val="nil"/>
            </w:tcBorders>
            <w:shd w:val="clear" w:color="auto" w:fill="F4F4F4"/>
            <w:tcMar>
              <w:top w:w="0" w:type="dxa"/>
              <w:left w:w="0" w:type="dxa"/>
              <w:bottom w:w="0" w:type="dxa"/>
              <w:right w:w="0" w:type="dxa"/>
            </w:tcMar>
            <w:vAlign w:val="bottom"/>
          </w:tcPr>
          <w:p w14:paraId="5939F695" w14:textId="77777777" w:rsidR="001614AC" w:rsidRDefault="001614AC">
            <w:pPr>
              <w:keepNext/>
            </w:pPr>
          </w:p>
        </w:tc>
        <w:tc>
          <w:tcPr>
            <w:tcW w:w="905" w:type="dxa"/>
            <w:gridSpan w:val="2"/>
            <w:tcBorders>
              <w:top w:val="single" w:sz="8" w:space="0" w:color="C7C9C7"/>
              <w:left w:val="nil"/>
              <w:bottom w:val="nil"/>
              <w:right w:val="nil"/>
            </w:tcBorders>
            <w:shd w:val="clear" w:color="auto" w:fill="F4F4F4"/>
            <w:tcMar>
              <w:top w:w="0" w:type="dxa"/>
              <w:left w:w="53" w:type="dxa"/>
              <w:bottom w:w="0" w:type="dxa"/>
              <w:right w:w="0" w:type="dxa"/>
            </w:tcMar>
            <w:vAlign w:val="bottom"/>
          </w:tcPr>
          <w:p w14:paraId="1FB58B72" w14:textId="77777777" w:rsidR="001614AC" w:rsidRDefault="004468F9">
            <w:pPr>
              <w:keepNext/>
              <w:spacing w:before="55" w:after="30" w:line="288" w:lineRule="auto"/>
              <w:jc w:val="right"/>
            </w:pPr>
            <w:r>
              <w:rPr>
                <w:rFonts w:ascii="Arial" w:eastAsia="Arial" w:hAnsi="Arial" w:cs="Arial"/>
                <w:color w:val="000000"/>
                <w:sz w:val="18"/>
              </w:rPr>
              <w:t>(89,730)</w:t>
            </w:r>
          </w:p>
        </w:tc>
        <w:tc>
          <w:tcPr>
            <w:tcW w:w="100" w:type="dxa"/>
            <w:tcBorders>
              <w:top w:val="single" w:sz="8" w:space="0" w:color="C7C9C7"/>
              <w:left w:val="nil"/>
              <w:bottom w:val="nil"/>
              <w:right w:val="nil"/>
            </w:tcBorders>
            <w:shd w:val="clear" w:color="auto" w:fill="F4F4F4"/>
            <w:tcMar>
              <w:top w:w="0" w:type="dxa"/>
              <w:left w:w="0" w:type="dxa"/>
              <w:bottom w:w="0" w:type="dxa"/>
              <w:right w:w="15" w:type="dxa"/>
            </w:tcMar>
            <w:vAlign w:val="bottom"/>
          </w:tcPr>
          <w:p w14:paraId="12B35BAD" w14:textId="77777777" w:rsidR="001614AC" w:rsidRDefault="001614AC">
            <w:pPr>
              <w:keepNext/>
              <w:spacing w:before="55" w:after="30" w:line="288" w:lineRule="auto"/>
              <w:jc w:val="right"/>
            </w:pPr>
          </w:p>
        </w:tc>
        <w:tc>
          <w:tcPr>
            <w:tcW w:w="105" w:type="dxa"/>
            <w:tcBorders>
              <w:top w:val="nil"/>
              <w:left w:val="nil"/>
              <w:bottom w:val="nil"/>
              <w:right w:val="nil"/>
            </w:tcBorders>
            <w:shd w:val="clear" w:color="auto" w:fill="F4F4F4"/>
            <w:tcMar>
              <w:top w:w="0" w:type="dxa"/>
              <w:left w:w="0" w:type="dxa"/>
              <w:bottom w:w="0" w:type="dxa"/>
              <w:right w:w="0" w:type="dxa"/>
            </w:tcMar>
            <w:vAlign w:val="bottom"/>
          </w:tcPr>
          <w:p w14:paraId="05D0A55D" w14:textId="77777777" w:rsidR="001614AC" w:rsidRDefault="001614AC">
            <w:pPr>
              <w:keepNext/>
            </w:pPr>
          </w:p>
        </w:tc>
        <w:tc>
          <w:tcPr>
            <w:tcW w:w="905" w:type="dxa"/>
            <w:gridSpan w:val="2"/>
            <w:tcBorders>
              <w:top w:val="single" w:sz="8" w:space="0" w:color="C7C9C7"/>
              <w:left w:val="nil"/>
              <w:bottom w:val="nil"/>
              <w:right w:val="nil"/>
            </w:tcBorders>
            <w:shd w:val="clear" w:color="auto" w:fill="F4F4F4"/>
            <w:tcMar>
              <w:top w:w="0" w:type="dxa"/>
              <w:left w:w="53" w:type="dxa"/>
              <w:bottom w:w="0" w:type="dxa"/>
              <w:right w:w="0" w:type="dxa"/>
            </w:tcMar>
            <w:vAlign w:val="bottom"/>
          </w:tcPr>
          <w:p w14:paraId="30648607" w14:textId="77777777" w:rsidR="001614AC" w:rsidRDefault="004468F9">
            <w:pPr>
              <w:keepNext/>
              <w:spacing w:before="55" w:after="30" w:line="288" w:lineRule="auto"/>
              <w:jc w:val="right"/>
            </w:pPr>
            <w:r>
              <w:rPr>
                <w:rFonts w:ascii="Arial" w:eastAsia="Arial" w:hAnsi="Arial" w:cs="Arial"/>
                <w:color w:val="000000"/>
                <w:sz w:val="18"/>
              </w:rPr>
              <w:t>346,098 </w:t>
            </w:r>
          </w:p>
        </w:tc>
        <w:tc>
          <w:tcPr>
            <w:tcW w:w="100" w:type="dxa"/>
            <w:tcBorders>
              <w:top w:val="single" w:sz="8" w:space="0" w:color="C7C9C7"/>
              <w:left w:val="nil"/>
              <w:bottom w:val="nil"/>
              <w:right w:val="nil"/>
            </w:tcBorders>
            <w:shd w:val="clear" w:color="auto" w:fill="F4F4F4"/>
            <w:tcMar>
              <w:top w:w="0" w:type="dxa"/>
              <w:left w:w="0" w:type="dxa"/>
              <w:bottom w:w="0" w:type="dxa"/>
              <w:right w:w="15" w:type="dxa"/>
            </w:tcMar>
            <w:vAlign w:val="bottom"/>
          </w:tcPr>
          <w:p w14:paraId="1B767896" w14:textId="77777777" w:rsidR="001614AC" w:rsidRDefault="001614AC">
            <w:pPr>
              <w:keepNext/>
              <w:spacing w:before="55" w:after="30" w:line="288" w:lineRule="auto"/>
              <w:jc w:val="right"/>
            </w:pPr>
          </w:p>
        </w:tc>
        <w:tc>
          <w:tcPr>
            <w:tcW w:w="105" w:type="dxa"/>
            <w:tcBorders>
              <w:top w:val="nil"/>
              <w:left w:val="nil"/>
              <w:bottom w:val="nil"/>
              <w:right w:val="nil"/>
            </w:tcBorders>
            <w:shd w:val="clear" w:color="auto" w:fill="F4F4F4"/>
            <w:tcMar>
              <w:top w:w="0" w:type="dxa"/>
              <w:left w:w="0" w:type="dxa"/>
              <w:bottom w:w="0" w:type="dxa"/>
              <w:right w:w="0" w:type="dxa"/>
            </w:tcMar>
            <w:vAlign w:val="bottom"/>
          </w:tcPr>
          <w:p w14:paraId="2AFCD541" w14:textId="77777777" w:rsidR="001614AC" w:rsidRDefault="001614AC">
            <w:pPr>
              <w:keepNext/>
            </w:pPr>
          </w:p>
        </w:tc>
        <w:tc>
          <w:tcPr>
            <w:tcW w:w="905" w:type="dxa"/>
            <w:gridSpan w:val="2"/>
            <w:tcBorders>
              <w:top w:val="single" w:sz="8" w:space="0" w:color="C7C9C7"/>
              <w:left w:val="nil"/>
              <w:bottom w:val="nil"/>
              <w:right w:val="nil"/>
            </w:tcBorders>
            <w:shd w:val="clear" w:color="auto" w:fill="F4F4F4"/>
            <w:tcMar>
              <w:top w:w="0" w:type="dxa"/>
              <w:left w:w="53" w:type="dxa"/>
              <w:bottom w:w="0" w:type="dxa"/>
              <w:right w:w="0" w:type="dxa"/>
            </w:tcMar>
            <w:vAlign w:val="bottom"/>
          </w:tcPr>
          <w:p w14:paraId="408DF262" w14:textId="77777777" w:rsidR="001614AC" w:rsidRDefault="004468F9">
            <w:pPr>
              <w:keepNext/>
              <w:spacing w:before="55" w:after="30" w:line="288" w:lineRule="auto"/>
              <w:jc w:val="right"/>
            </w:pPr>
            <w:r>
              <w:rPr>
                <w:rFonts w:ascii="Arial" w:eastAsia="Arial" w:hAnsi="Arial" w:cs="Arial"/>
                <w:color w:val="000000"/>
                <w:sz w:val="18"/>
              </w:rPr>
              <w:t>112,784 </w:t>
            </w:r>
          </w:p>
        </w:tc>
        <w:tc>
          <w:tcPr>
            <w:tcW w:w="100" w:type="dxa"/>
            <w:tcBorders>
              <w:top w:val="single" w:sz="8" w:space="0" w:color="C7C9C7"/>
              <w:left w:val="nil"/>
              <w:bottom w:val="nil"/>
              <w:right w:val="nil"/>
            </w:tcBorders>
            <w:shd w:val="clear" w:color="auto" w:fill="F4F4F4"/>
            <w:tcMar>
              <w:top w:w="0" w:type="dxa"/>
              <w:left w:w="0" w:type="dxa"/>
              <w:bottom w:w="0" w:type="dxa"/>
              <w:right w:w="15" w:type="dxa"/>
            </w:tcMar>
            <w:vAlign w:val="bottom"/>
          </w:tcPr>
          <w:p w14:paraId="2098764A" w14:textId="77777777" w:rsidR="001614AC" w:rsidRDefault="001614AC">
            <w:pPr>
              <w:keepNext/>
              <w:spacing w:before="55" w:after="30" w:line="288" w:lineRule="auto"/>
              <w:jc w:val="right"/>
            </w:pPr>
          </w:p>
        </w:tc>
      </w:tr>
      <w:tr w:rsidR="001614AC" w14:paraId="792895FC" w14:textId="77777777">
        <w:trPr>
          <w:cantSplit/>
        </w:trPr>
        <w:tc>
          <w:tcPr>
            <w:tcW w:w="5685" w:type="dxa"/>
            <w:tcBorders>
              <w:top w:val="nil"/>
              <w:left w:val="nil"/>
              <w:bottom w:val="single" w:sz="8" w:space="0" w:color="E9E9E9"/>
              <w:right w:val="nil"/>
            </w:tcBorders>
            <w:tcMar>
              <w:top w:w="0" w:type="dxa"/>
              <w:left w:w="53" w:type="dxa"/>
              <w:bottom w:w="0" w:type="dxa"/>
              <w:right w:w="53" w:type="dxa"/>
            </w:tcMar>
            <w:vAlign w:val="bottom"/>
          </w:tcPr>
          <w:p w14:paraId="2F845571" w14:textId="77777777" w:rsidR="001614AC" w:rsidRDefault="004468F9">
            <w:pPr>
              <w:keepNext/>
              <w:spacing w:before="75" w:after="30" w:line="288" w:lineRule="auto"/>
            </w:pPr>
            <w:r>
              <w:rPr>
                <w:rFonts w:ascii="Arial" w:eastAsia="Arial" w:hAnsi="Arial" w:cs="Arial"/>
                <w:color w:val="000000"/>
                <w:sz w:val="18"/>
              </w:rPr>
              <w:t>All Other adjusted pretax operating income (loss)</w:t>
            </w:r>
          </w:p>
        </w:tc>
        <w:tc>
          <w:tcPr>
            <w:tcW w:w="105" w:type="dxa"/>
            <w:tcBorders>
              <w:top w:val="nil"/>
              <w:left w:val="nil"/>
              <w:bottom w:val="nil"/>
              <w:right w:val="nil"/>
            </w:tcBorders>
            <w:tcMar>
              <w:top w:w="0" w:type="dxa"/>
              <w:left w:w="0" w:type="dxa"/>
              <w:bottom w:w="0" w:type="dxa"/>
              <w:right w:w="0" w:type="dxa"/>
            </w:tcMar>
            <w:vAlign w:val="bottom"/>
          </w:tcPr>
          <w:p w14:paraId="02CEAC84" w14:textId="77777777" w:rsidR="001614AC" w:rsidRDefault="001614AC">
            <w:pPr>
              <w:keepNext/>
            </w:pPr>
          </w:p>
        </w:tc>
        <w:tc>
          <w:tcPr>
            <w:tcW w:w="860" w:type="dxa"/>
            <w:gridSpan w:val="2"/>
            <w:tcBorders>
              <w:top w:val="nil"/>
              <w:left w:val="nil"/>
              <w:bottom w:val="single" w:sz="8" w:space="0" w:color="E9E9E9"/>
              <w:right w:val="nil"/>
            </w:tcBorders>
            <w:tcMar>
              <w:top w:w="0" w:type="dxa"/>
              <w:left w:w="53" w:type="dxa"/>
              <w:bottom w:w="0" w:type="dxa"/>
              <w:right w:w="0" w:type="dxa"/>
            </w:tcMar>
            <w:vAlign w:val="bottom"/>
          </w:tcPr>
          <w:p w14:paraId="4DBCFCF9" w14:textId="77777777" w:rsidR="001614AC" w:rsidRDefault="004468F9">
            <w:pPr>
              <w:keepNext/>
              <w:spacing w:before="75" w:after="30" w:line="288" w:lineRule="auto"/>
              <w:jc w:val="right"/>
            </w:pPr>
            <w:r>
              <w:rPr>
                <w:rFonts w:ascii="Arial" w:eastAsia="Arial" w:hAnsi="Arial" w:cs="Arial"/>
                <w:color w:val="000000"/>
                <w:sz w:val="18"/>
              </w:rPr>
              <w:t>2,455 </w:t>
            </w:r>
          </w:p>
        </w:tc>
        <w:tc>
          <w:tcPr>
            <w:tcW w:w="100" w:type="dxa"/>
            <w:tcBorders>
              <w:top w:val="nil"/>
              <w:left w:val="nil"/>
              <w:bottom w:val="single" w:sz="8" w:space="0" w:color="E9E9E9"/>
              <w:right w:val="nil"/>
            </w:tcBorders>
            <w:tcMar>
              <w:top w:w="0" w:type="dxa"/>
              <w:left w:w="0" w:type="dxa"/>
              <w:bottom w:w="0" w:type="dxa"/>
              <w:right w:w="15" w:type="dxa"/>
            </w:tcMar>
            <w:vAlign w:val="bottom"/>
          </w:tcPr>
          <w:p w14:paraId="6641BF10" w14:textId="77777777" w:rsidR="001614AC" w:rsidRDefault="001614AC">
            <w:pPr>
              <w:keepNext/>
              <w:spacing w:before="7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034BBB28" w14:textId="77777777" w:rsidR="001614AC" w:rsidRDefault="001614AC">
            <w:pPr>
              <w:keepNext/>
            </w:pPr>
          </w:p>
        </w:tc>
        <w:tc>
          <w:tcPr>
            <w:tcW w:w="905" w:type="dxa"/>
            <w:gridSpan w:val="2"/>
            <w:tcBorders>
              <w:top w:val="nil"/>
              <w:left w:val="nil"/>
              <w:bottom w:val="single" w:sz="8" w:space="0" w:color="E9E9E9"/>
              <w:right w:val="nil"/>
            </w:tcBorders>
            <w:tcMar>
              <w:top w:w="0" w:type="dxa"/>
              <w:left w:w="53" w:type="dxa"/>
              <w:bottom w:w="0" w:type="dxa"/>
              <w:right w:w="0" w:type="dxa"/>
            </w:tcMar>
            <w:vAlign w:val="bottom"/>
          </w:tcPr>
          <w:p w14:paraId="0B57A80E" w14:textId="77777777" w:rsidR="001614AC" w:rsidRDefault="004468F9">
            <w:pPr>
              <w:keepNext/>
              <w:spacing w:before="75" w:after="30" w:line="288" w:lineRule="auto"/>
              <w:jc w:val="right"/>
            </w:pPr>
            <w:r>
              <w:rPr>
                <w:rFonts w:ascii="Arial" w:eastAsia="Arial" w:hAnsi="Arial" w:cs="Arial"/>
                <w:color w:val="000000"/>
                <w:sz w:val="18"/>
              </w:rPr>
              <w:t>1,231 </w:t>
            </w:r>
          </w:p>
        </w:tc>
        <w:tc>
          <w:tcPr>
            <w:tcW w:w="100" w:type="dxa"/>
            <w:tcBorders>
              <w:top w:val="nil"/>
              <w:left w:val="nil"/>
              <w:bottom w:val="single" w:sz="8" w:space="0" w:color="E9E9E9"/>
              <w:right w:val="nil"/>
            </w:tcBorders>
            <w:tcMar>
              <w:top w:w="0" w:type="dxa"/>
              <w:left w:w="0" w:type="dxa"/>
              <w:bottom w:w="0" w:type="dxa"/>
              <w:right w:w="15" w:type="dxa"/>
            </w:tcMar>
            <w:vAlign w:val="bottom"/>
          </w:tcPr>
          <w:p w14:paraId="3CD6CF3F" w14:textId="77777777" w:rsidR="001614AC" w:rsidRDefault="001614AC">
            <w:pPr>
              <w:keepNext/>
              <w:spacing w:before="7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17D96A2A" w14:textId="77777777" w:rsidR="001614AC" w:rsidRDefault="001614AC">
            <w:pPr>
              <w:keepNext/>
            </w:pPr>
          </w:p>
        </w:tc>
        <w:tc>
          <w:tcPr>
            <w:tcW w:w="905" w:type="dxa"/>
            <w:gridSpan w:val="2"/>
            <w:tcBorders>
              <w:top w:val="nil"/>
              <w:left w:val="nil"/>
              <w:bottom w:val="single" w:sz="8" w:space="0" w:color="E9E9E9"/>
              <w:right w:val="nil"/>
            </w:tcBorders>
            <w:tcMar>
              <w:top w:w="0" w:type="dxa"/>
              <w:left w:w="53" w:type="dxa"/>
              <w:bottom w:w="0" w:type="dxa"/>
              <w:right w:w="0" w:type="dxa"/>
            </w:tcMar>
            <w:vAlign w:val="bottom"/>
          </w:tcPr>
          <w:p w14:paraId="0ACA7FFD" w14:textId="77777777" w:rsidR="001614AC" w:rsidRDefault="004468F9">
            <w:pPr>
              <w:keepNext/>
              <w:spacing w:before="75" w:after="30" w:line="288" w:lineRule="auto"/>
              <w:jc w:val="right"/>
            </w:pPr>
            <w:r>
              <w:rPr>
                <w:rFonts w:ascii="Arial" w:eastAsia="Arial" w:hAnsi="Arial" w:cs="Arial"/>
                <w:color w:val="000000"/>
                <w:sz w:val="18"/>
              </w:rPr>
              <w:t>5,937</w:t>
            </w:r>
            <w:r>
              <w:rPr>
                <w:rFonts w:ascii="Arial" w:eastAsia="Arial" w:hAnsi="Arial" w:cs="Arial"/>
                <w:color w:val="000000"/>
                <w:sz w:val="18"/>
              </w:rPr>
              <w:t> </w:t>
            </w:r>
          </w:p>
        </w:tc>
        <w:tc>
          <w:tcPr>
            <w:tcW w:w="100" w:type="dxa"/>
            <w:tcBorders>
              <w:top w:val="nil"/>
              <w:left w:val="nil"/>
              <w:bottom w:val="single" w:sz="8" w:space="0" w:color="E9E9E9"/>
              <w:right w:val="nil"/>
            </w:tcBorders>
            <w:tcMar>
              <w:top w:w="0" w:type="dxa"/>
              <w:left w:w="0" w:type="dxa"/>
              <w:bottom w:w="0" w:type="dxa"/>
              <w:right w:w="15" w:type="dxa"/>
            </w:tcMar>
            <w:vAlign w:val="bottom"/>
          </w:tcPr>
          <w:p w14:paraId="159CBF44" w14:textId="77777777" w:rsidR="001614AC" w:rsidRDefault="001614AC">
            <w:pPr>
              <w:keepNext/>
              <w:spacing w:before="7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39624994" w14:textId="77777777" w:rsidR="001614AC" w:rsidRDefault="001614AC">
            <w:pPr>
              <w:keepNext/>
            </w:pPr>
          </w:p>
        </w:tc>
        <w:tc>
          <w:tcPr>
            <w:tcW w:w="905" w:type="dxa"/>
            <w:gridSpan w:val="2"/>
            <w:tcBorders>
              <w:top w:val="nil"/>
              <w:left w:val="nil"/>
              <w:bottom w:val="single" w:sz="8" w:space="0" w:color="E9E9E9"/>
              <w:right w:val="nil"/>
            </w:tcBorders>
            <w:tcMar>
              <w:top w:w="0" w:type="dxa"/>
              <w:left w:w="53" w:type="dxa"/>
              <w:bottom w:w="0" w:type="dxa"/>
              <w:right w:w="0" w:type="dxa"/>
            </w:tcMar>
            <w:vAlign w:val="bottom"/>
          </w:tcPr>
          <w:p w14:paraId="0AAD7D3F" w14:textId="77777777" w:rsidR="001614AC" w:rsidRDefault="004468F9">
            <w:pPr>
              <w:keepNext/>
              <w:spacing w:before="75" w:after="30" w:line="288" w:lineRule="auto"/>
              <w:jc w:val="right"/>
            </w:pPr>
            <w:r>
              <w:rPr>
                <w:rFonts w:ascii="Arial" w:eastAsia="Arial" w:hAnsi="Arial" w:cs="Arial"/>
                <w:color w:val="000000"/>
                <w:sz w:val="18"/>
              </w:rPr>
              <w:t>3,316 </w:t>
            </w:r>
          </w:p>
        </w:tc>
        <w:tc>
          <w:tcPr>
            <w:tcW w:w="100" w:type="dxa"/>
            <w:tcBorders>
              <w:top w:val="nil"/>
              <w:left w:val="nil"/>
              <w:bottom w:val="single" w:sz="8" w:space="0" w:color="E9E9E9"/>
              <w:right w:val="nil"/>
            </w:tcBorders>
            <w:tcMar>
              <w:top w:w="0" w:type="dxa"/>
              <w:left w:w="0" w:type="dxa"/>
              <w:bottom w:w="0" w:type="dxa"/>
              <w:right w:w="15" w:type="dxa"/>
            </w:tcMar>
            <w:vAlign w:val="bottom"/>
          </w:tcPr>
          <w:p w14:paraId="3CAAA27E" w14:textId="77777777" w:rsidR="001614AC" w:rsidRDefault="001614AC">
            <w:pPr>
              <w:keepNext/>
              <w:spacing w:before="75" w:after="30" w:line="288" w:lineRule="auto"/>
              <w:jc w:val="right"/>
            </w:pPr>
          </w:p>
        </w:tc>
      </w:tr>
      <w:tr w:rsidR="001614AC" w14:paraId="32C194C0" w14:textId="77777777">
        <w:trPr>
          <w:cantSplit/>
        </w:trPr>
        <w:tc>
          <w:tcPr>
            <w:tcW w:w="5685" w:type="dxa"/>
            <w:tcBorders>
              <w:top w:val="single" w:sz="8" w:space="0" w:color="E9E9E9"/>
              <w:left w:val="nil"/>
              <w:bottom w:val="single" w:sz="8" w:space="0" w:color="E9E9E9"/>
              <w:right w:val="nil"/>
            </w:tcBorders>
            <w:tcMar>
              <w:top w:w="0" w:type="dxa"/>
              <w:left w:w="53" w:type="dxa"/>
              <w:bottom w:w="0" w:type="dxa"/>
              <w:right w:w="53" w:type="dxa"/>
            </w:tcMar>
            <w:vAlign w:val="bottom"/>
          </w:tcPr>
          <w:p w14:paraId="250ED910" w14:textId="77777777" w:rsidR="001614AC" w:rsidRDefault="004468F9">
            <w:pPr>
              <w:keepNext/>
              <w:spacing w:before="55" w:after="30" w:line="288" w:lineRule="auto"/>
            </w:pPr>
            <w:r>
              <w:rPr>
                <w:rFonts w:ascii="Arial" w:eastAsia="Arial" w:hAnsi="Arial" w:cs="Arial"/>
                <w:color w:val="000000"/>
                <w:sz w:val="18"/>
              </w:rPr>
              <w:t>Net gains (losses) on investments and other financial instruments</w:t>
            </w:r>
          </w:p>
        </w:tc>
        <w:tc>
          <w:tcPr>
            <w:tcW w:w="105" w:type="dxa"/>
            <w:tcBorders>
              <w:top w:val="nil"/>
              <w:left w:val="nil"/>
              <w:bottom w:val="nil"/>
              <w:right w:val="nil"/>
            </w:tcBorders>
            <w:tcMar>
              <w:top w:w="0" w:type="dxa"/>
              <w:left w:w="0" w:type="dxa"/>
              <w:bottom w:w="0" w:type="dxa"/>
              <w:right w:w="0" w:type="dxa"/>
            </w:tcMar>
            <w:vAlign w:val="bottom"/>
          </w:tcPr>
          <w:p w14:paraId="45A9FFAC" w14:textId="77777777" w:rsidR="001614AC" w:rsidRDefault="001614AC">
            <w:pPr>
              <w:keepNext/>
            </w:pPr>
          </w:p>
        </w:tc>
        <w:tc>
          <w:tcPr>
            <w:tcW w:w="860"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25C2408E" w14:textId="77777777" w:rsidR="001614AC" w:rsidRDefault="004468F9">
            <w:pPr>
              <w:keepNext/>
              <w:spacing w:before="55" w:after="30" w:line="288" w:lineRule="auto"/>
              <w:jc w:val="right"/>
            </w:pPr>
            <w:r>
              <w:rPr>
                <w:rFonts w:ascii="Arial" w:eastAsia="Arial" w:hAnsi="Arial" w:cs="Arial"/>
                <w:color w:val="000000"/>
                <w:sz w:val="18"/>
              </w:rPr>
              <w:t>15,661 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28333D9C" w14:textId="77777777" w:rsidR="001614AC" w:rsidRDefault="001614AC">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50CF6216" w14:textId="77777777" w:rsidR="001614AC" w:rsidRDefault="001614AC">
            <w:pPr>
              <w:keepNext/>
            </w:pPr>
          </w:p>
        </w:tc>
        <w:tc>
          <w:tcPr>
            <w:tcW w:w="90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3EF2CCB8" w14:textId="77777777" w:rsidR="001614AC" w:rsidRDefault="004468F9">
            <w:pPr>
              <w:keepNext/>
              <w:spacing w:before="55" w:after="30" w:line="288" w:lineRule="auto"/>
              <w:jc w:val="right"/>
            </w:pPr>
            <w:r>
              <w:rPr>
                <w:rFonts w:ascii="Arial" w:eastAsia="Arial" w:hAnsi="Arial" w:cs="Arial"/>
                <w:color w:val="000000"/>
                <w:sz w:val="18"/>
              </w:rPr>
              <w:t>47,276 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03A489D0" w14:textId="77777777" w:rsidR="001614AC" w:rsidRDefault="001614AC">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5A47914E" w14:textId="77777777" w:rsidR="001614AC" w:rsidRDefault="001614AC">
            <w:pPr>
              <w:keepNext/>
            </w:pPr>
          </w:p>
        </w:tc>
        <w:tc>
          <w:tcPr>
            <w:tcW w:w="90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069E45A4" w14:textId="77777777" w:rsidR="001614AC" w:rsidRDefault="004468F9">
            <w:pPr>
              <w:keepNext/>
              <w:spacing w:before="55" w:after="30" w:line="288" w:lineRule="auto"/>
              <w:jc w:val="right"/>
            </w:pPr>
            <w:r>
              <w:rPr>
                <w:rFonts w:ascii="Arial" w:eastAsia="Arial" w:hAnsi="Arial" w:cs="Arial"/>
                <w:color w:val="000000"/>
                <w:sz w:val="18"/>
              </w:rPr>
              <w:t>10,480 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00E25210" w14:textId="77777777" w:rsidR="001614AC" w:rsidRDefault="001614AC">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0572ED1C" w14:textId="77777777" w:rsidR="001614AC" w:rsidRDefault="001614AC">
            <w:pPr>
              <w:keepNext/>
            </w:pPr>
          </w:p>
        </w:tc>
        <w:tc>
          <w:tcPr>
            <w:tcW w:w="90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24FEEE9E" w14:textId="77777777" w:rsidR="001614AC" w:rsidRDefault="004468F9">
            <w:pPr>
              <w:keepNext/>
              <w:spacing w:before="55" w:after="30" w:line="288" w:lineRule="auto"/>
              <w:jc w:val="right"/>
            </w:pPr>
            <w:r>
              <w:rPr>
                <w:rFonts w:ascii="Arial" w:eastAsia="Arial" w:hAnsi="Arial" w:cs="Arial"/>
                <w:color w:val="000000"/>
                <w:sz w:val="18"/>
              </w:rPr>
              <w:t>25,249 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6314DF26" w14:textId="77777777" w:rsidR="001614AC" w:rsidRDefault="001614AC">
            <w:pPr>
              <w:keepNext/>
              <w:spacing w:before="55" w:after="30" w:line="288" w:lineRule="auto"/>
              <w:jc w:val="right"/>
            </w:pPr>
          </w:p>
        </w:tc>
      </w:tr>
      <w:tr w:rsidR="001614AC" w14:paraId="66ABE2E4" w14:textId="77777777">
        <w:trPr>
          <w:cantSplit/>
        </w:trPr>
        <w:tc>
          <w:tcPr>
            <w:tcW w:w="5685" w:type="dxa"/>
            <w:tcBorders>
              <w:top w:val="single" w:sz="8" w:space="0" w:color="E9E9E9"/>
              <w:left w:val="nil"/>
              <w:bottom w:val="single" w:sz="8" w:space="0" w:color="E9E9E9"/>
              <w:right w:val="nil"/>
            </w:tcBorders>
            <w:tcMar>
              <w:top w:w="0" w:type="dxa"/>
              <w:left w:w="53" w:type="dxa"/>
              <w:bottom w:w="0" w:type="dxa"/>
              <w:right w:w="53" w:type="dxa"/>
            </w:tcMar>
            <w:vAlign w:val="bottom"/>
          </w:tcPr>
          <w:p w14:paraId="4774671C" w14:textId="77777777" w:rsidR="001614AC" w:rsidRDefault="004468F9">
            <w:pPr>
              <w:keepNext/>
              <w:spacing w:before="55" w:after="30" w:line="288" w:lineRule="auto"/>
            </w:pPr>
            <w:r>
              <w:rPr>
                <w:rFonts w:ascii="Arial" w:eastAsia="Arial" w:hAnsi="Arial" w:cs="Arial"/>
                <w:color w:val="000000"/>
                <w:sz w:val="18"/>
              </w:rPr>
              <w:t>Amortization and impairment of other acquired intangible assets</w:t>
            </w:r>
          </w:p>
        </w:tc>
        <w:tc>
          <w:tcPr>
            <w:tcW w:w="105" w:type="dxa"/>
            <w:tcBorders>
              <w:top w:val="nil"/>
              <w:left w:val="nil"/>
              <w:bottom w:val="nil"/>
              <w:right w:val="nil"/>
            </w:tcBorders>
            <w:tcMar>
              <w:top w:w="0" w:type="dxa"/>
              <w:left w:w="0" w:type="dxa"/>
              <w:bottom w:w="0" w:type="dxa"/>
              <w:right w:w="0" w:type="dxa"/>
            </w:tcMar>
            <w:vAlign w:val="bottom"/>
          </w:tcPr>
          <w:p w14:paraId="57A48373" w14:textId="77777777" w:rsidR="001614AC" w:rsidRDefault="001614AC">
            <w:pPr>
              <w:keepNext/>
            </w:pPr>
          </w:p>
        </w:tc>
        <w:tc>
          <w:tcPr>
            <w:tcW w:w="860"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5D53AA4B" w14:textId="77777777" w:rsidR="001614AC" w:rsidRDefault="004468F9">
            <w:pPr>
              <w:keepNext/>
              <w:spacing w:before="55" w:after="30" w:line="288" w:lineRule="auto"/>
              <w:jc w:val="right"/>
            </w:pPr>
            <w:r>
              <w:rPr>
                <w:rFonts w:ascii="Arial" w:eastAsia="Arial" w:hAnsi="Arial" w:cs="Arial"/>
                <w:color w:val="000000"/>
                <w:sz w:val="18"/>
              </w:rPr>
              <w:t>(863)</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6DB8DF14" w14:textId="77777777" w:rsidR="001614AC" w:rsidRDefault="001614AC">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6852E851" w14:textId="77777777" w:rsidR="001614AC" w:rsidRDefault="001614AC">
            <w:pPr>
              <w:keepNext/>
            </w:pPr>
          </w:p>
        </w:tc>
        <w:tc>
          <w:tcPr>
            <w:tcW w:w="90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4FA7548D" w14:textId="77777777" w:rsidR="001614AC" w:rsidRDefault="004468F9">
            <w:pPr>
              <w:keepNext/>
              <w:spacing w:before="55" w:after="30" w:line="288" w:lineRule="auto"/>
              <w:jc w:val="right"/>
            </w:pPr>
            <w:r>
              <w:rPr>
                <w:rFonts w:ascii="Arial" w:eastAsia="Arial" w:hAnsi="Arial" w:cs="Arial"/>
                <w:color w:val="000000"/>
                <w:sz w:val="18"/>
              </w:rPr>
              <w:t>(979)</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616378FE" w14:textId="77777777" w:rsidR="001614AC" w:rsidRDefault="001614AC">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402584F6" w14:textId="77777777" w:rsidR="001614AC" w:rsidRDefault="001614AC">
            <w:pPr>
              <w:keepNext/>
            </w:pPr>
          </w:p>
        </w:tc>
        <w:tc>
          <w:tcPr>
            <w:tcW w:w="90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7A6A9F4A" w14:textId="77777777" w:rsidR="001614AC" w:rsidRDefault="004468F9">
            <w:pPr>
              <w:keepNext/>
              <w:spacing w:before="55" w:after="30" w:line="288" w:lineRule="auto"/>
              <w:jc w:val="right"/>
            </w:pPr>
            <w:r>
              <w:rPr>
                <w:rFonts w:ascii="Arial" w:eastAsia="Arial" w:hAnsi="Arial" w:cs="Arial"/>
                <w:color w:val="000000"/>
                <w:sz w:val="18"/>
              </w:rPr>
              <w:t>(1,725)</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676DD67D" w14:textId="77777777" w:rsidR="001614AC" w:rsidRDefault="001614AC">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7BCA55F1" w14:textId="77777777" w:rsidR="001614AC" w:rsidRDefault="001614AC">
            <w:pPr>
              <w:keepNext/>
            </w:pPr>
          </w:p>
        </w:tc>
        <w:tc>
          <w:tcPr>
            <w:tcW w:w="90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1C500B45" w14:textId="77777777" w:rsidR="001614AC" w:rsidRDefault="004468F9">
            <w:pPr>
              <w:keepNext/>
              <w:spacing w:before="55" w:after="30" w:line="288" w:lineRule="auto"/>
              <w:jc w:val="right"/>
            </w:pPr>
            <w:r>
              <w:rPr>
                <w:rFonts w:ascii="Arial" w:eastAsia="Arial" w:hAnsi="Arial" w:cs="Arial"/>
                <w:color w:val="000000"/>
                <w:sz w:val="18"/>
              </w:rPr>
              <w:t>(1,958)</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45CD0E56" w14:textId="77777777" w:rsidR="001614AC" w:rsidRDefault="001614AC">
            <w:pPr>
              <w:keepNext/>
              <w:spacing w:before="55" w:after="30" w:line="288" w:lineRule="auto"/>
              <w:jc w:val="right"/>
            </w:pPr>
          </w:p>
        </w:tc>
      </w:tr>
      <w:tr w:rsidR="001614AC" w14:paraId="24CD4E44" w14:textId="77777777">
        <w:trPr>
          <w:cantSplit/>
        </w:trPr>
        <w:tc>
          <w:tcPr>
            <w:tcW w:w="5685" w:type="dxa"/>
            <w:tcBorders>
              <w:top w:val="single" w:sz="8" w:space="0" w:color="E9E9E9"/>
              <w:left w:val="nil"/>
              <w:bottom w:val="nil"/>
              <w:right w:val="nil"/>
            </w:tcBorders>
            <w:tcMar>
              <w:top w:w="0" w:type="dxa"/>
              <w:left w:w="53" w:type="dxa"/>
              <w:bottom w:w="0" w:type="dxa"/>
              <w:right w:w="53" w:type="dxa"/>
            </w:tcMar>
            <w:vAlign w:val="bottom"/>
          </w:tcPr>
          <w:p w14:paraId="6B2C2303" w14:textId="77777777" w:rsidR="001614AC" w:rsidRDefault="004468F9">
            <w:pPr>
              <w:keepNext/>
              <w:spacing w:before="55" w:after="30" w:line="288" w:lineRule="auto"/>
            </w:pPr>
            <w:r>
              <w:rPr>
                <w:rFonts w:ascii="Arial" w:eastAsia="Arial" w:hAnsi="Arial" w:cs="Arial"/>
                <w:color w:val="000000"/>
                <w:sz w:val="18"/>
              </w:rPr>
              <w:t xml:space="preserve">Impairment of other long-lived assets and other non-operating items </w:t>
            </w:r>
          </w:p>
        </w:tc>
        <w:tc>
          <w:tcPr>
            <w:tcW w:w="105" w:type="dxa"/>
            <w:tcBorders>
              <w:top w:val="nil"/>
              <w:left w:val="nil"/>
              <w:bottom w:val="nil"/>
              <w:right w:val="nil"/>
            </w:tcBorders>
            <w:tcMar>
              <w:top w:w="0" w:type="dxa"/>
              <w:left w:w="0" w:type="dxa"/>
              <w:bottom w:w="0" w:type="dxa"/>
              <w:right w:w="0" w:type="dxa"/>
            </w:tcMar>
            <w:vAlign w:val="bottom"/>
          </w:tcPr>
          <w:p w14:paraId="1748104B" w14:textId="77777777" w:rsidR="001614AC" w:rsidRDefault="001614AC">
            <w:pPr>
              <w:keepNext/>
            </w:pPr>
          </w:p>
        </w:tc>
        <w:tc>
          <w:tcPr>
            <w:tcW w:w="860" w:type="dxa"/>
            <w:gridSpan w:val="2"/>
            <w:tcBorders>
              <w:top w:val="single" w:sz="8" w:space="0" w:color="E9E9E9"/>
              <w:left w:val="nil"/>
              <w:bottom w:val="single" w:sz="8" w:space="0" w:color="C7C9C7"/>
              <w:right w:val="nil"/>
            </w:tcBorders>
            <w:tcMar>
              <w:top w:w="0" w:type="dxa"/>
              <w:left w:w="53" w:type="dxa"/>
              <w:bottom w:w="0" w:type="dxa"/>
              <w:right w:w="0" w:type="dxa"/>
            </w:tcMar>
            <w:vAlign w:val="bottom"/>
          </w:tcPr>
          <w:p w14:paraId="42A5DDCB" w14:textId="77777777" w:rsidR="001614AC" w:rsidRDefault="004468F9">
            <w:pPr>
              <w:keepNext/>
              <w:spacing w:before="55" w:after="30" w:line="288" w:lineRule="auto"/>
              <w:jc w:val="right"/>
            </w:pPr>
            <w:r>
              <w:rPr>
                <w:rFonts w:ascii="Arial" w:eastAsia="Arial" w:hAnsi="Arial" w:cs="Arial"/>
                <w:color w:val="000000"/>
                <w:sz w:val="18"/>
              </w:rPr>
              <w:t>(4,021)</w:t>
            </w:r>
          </w:p>
        </w:tc>
        <w:tc>
          <w:tcPr>
            <w:tcW w:w="100" w:type="dxa"/>
            <w:tcBorders>
              <w:top w:val="single" w:sz="8" w:space="0" w:color="E9E9E9"/>
              <w:left w:val="nil"/>
              <w:bottom w:val="single" w:sz="8" w:space="0" w:color="C7C9C7"/>
              <w:right w:val="nil"/>
            </w:tcBorders>
            <w:tcMar>
              <w:top w:w="0" w:type="dxa"/>
              <w:left w:w="0" w:type="dxa"/>
              <w:bottom w:w="0" w:type="dxa"/>
              <w:right w:w="15" w:type="dxa"/>
            </w:tcMar>
            <w:vAlign w:val="bottom"/>
          </w:tcPr>
          <w:p w14:paraId="703A98B3" w14:textId="77777777" w:rsidR="001614AC" w:rsidRDefault="001614AC">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1300F0B5" w14:textId="77777777" w:rsidR="001614AC" w:rsidRDefault="001614AC">
            <w:pPr>
              <w:keepNext/>
            </w:pPr>
          </w:p>
        </w:tc>
        <w:tc>
          <w:tcPr>
            <w:tcW w:w="905" w:type="dxa"/>
            <w:gridSpan w:val="2"/>
            <w:tcBorders>
              <w:top w:val="single" w:sz="8" w:space="0" w:color="E9E9E9"/>
              <w:left w:val="nil"/>
              <w:bottom w:val="single" w:sz="8" w:space="0" w:color="C7C9C7"/>
              <w:right w:val="nil"/>
            </w:tcBorders>
            <w:tcMar>
              <w:top w:w="0" w:type="dxa"/>
              <w:left w:w="53" w:type="dxa"/>
              <w:bottom w:w="0" w:type="dxa"/>
              <w:right w:w="0" w:type="dxa"/>
            </w:tcMar>
            <w:vAlign w:val="bottom"/>
          </w:tcPr>
          <w:p w14:paraId="261F15F7" w14:textId="77777777" w:rsidR="001614AC" w:rsidRDefault="004468F9">
            <w:pPr>
              <w:keepNext/>
              <w:spacing w:before="55" w:after="30" w:line="288" w:lineRule="auto"/>
              <w:jc w:val="right"/>
            </w:pPr>
            <w:r>
              <w:rPr>
                <w:rFonts w:ascii="Arial" w:eastAsia="Arial" w:hAnsi="Arial" w:cs="Arial"/>
                <w:color w:val="000000"/>
                <w:sz w:val="18"/>
              </w:rPr>
              <w:t>(22)</w:t>
            </w:r>
          </w:p>
        </w:tc>
        <w:tc>
          <w:tcPr>
            <w:tcW w:w="100" w:type="dxa"/>
            <w:tcBorders>
              <w:top w:val="single" w:sz="8" w:space="0" w:color="E9E9E9"/>
              <w:left w:val="nil"/>
              <w:bottom w:val="single" w:sz="8" w:space="0" w:color="C7C9C7"/>
              <w:right w:val="nil"/>
            </w:tcBorders>
            <w:tcMar>
              <w:top w:w="0" w:type="dxa"/>
              <w:left w:w="0" w:type="dxa"/>
              <w:bottom w:w="0" w:type="dxa"/>
              <w:right w:w="15" w:type="dxa"/>
            </w:tcMar>
            <w:vAlign w:val="bottom"/>
          </w:tcPr>
          <w:p w14:paraId="119A5FC7" w14:textId="77777777" w:rsidR="001614AC" w:rsidRDefault="001614AC">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6A590DDD" w14:textId="77777777" w:rsidR="001614AC" w:rsidRDefault="001614AC">
            <w:pPr>
              <w:keepNext/>
            </w:pPr>
          </w:p>
        </w:tc>
        <w:tc>
          <w:tcPr>
            <w:tcW w:w="905" w:type="dxa"/>
            <w:gridSpan w:val="2"/>
            <w:tcBorders>
              <w:top w:val="single" w:sz="8" w:space="0" w:color="E9E9E9"/>
              <w:left w:val="nil"/>
              <w:bottom w:val="single" w:sz="8" w:space="0" w:color="C7C9C7"/>
              <w:right w:val="nil"/>
            </w:tcBorders>
            <w:tcMar>
              <w:top w:w="0" w:type="dxa"/>
              <w:left w:w="53" w:type="dxa"/>
              <w:bottom w:w="0" w:type="dxa"/>
              <w:right w:w="0" w:type="dxa"/>
            </w:tcMar>
            <w:vAlign w:val="bottom"/>
          </w:tcPr>
          <w:p w14:paraId="7575B671" w14:textId="77777777" w:rsidR="001614AC" w:rsidRDefault="004468F9">
            <w:pPr>
              <w:keepNext/>
              <w:spacing w:before="55" w:after="30" w:line="288" w:lineRule="auto"/>
              <w:jc w:val="right"/>
            </w:pPr>
            <w:r>
              <w:rPr>
                <w:rFonts w:ascii="Arial" w:eastAsia="Arial" w:hAnsi="Arial" w:cs="Arial"/>
                <w:color w:val="000000"/>
                <w:sz w:val="18"/>
              </w:rPr>
              <w:t>(4,105)</w:t>
            </w:r>
          </w:p>
        </w:tc>
        <w:tc>
          <w:tcPr>
            <w:tcW w:w="100" w:type="dxa"/>
            <w:tcBorders>
              <w:top w:val="single" w:sz="8" w:space="0" w:color="E9E9E9"/>
              <w:left w:val="nil"/>
              <w:bottom w:val="single" w:sz="8" w:space="0" w:color="C7C9C7"/>
              <w:right w:val="nil"/>
            </w:tcBorders>
            <w:tcMar>
              <w:top w:w="0" w:type="dxa"/>
              <w:left w:w="0" w:type="dxa"/>
              <w:bottom w:w="0" w:type="dxa"/>
              <w:right w:w="15" w:type="dxa"/>
            </w:tcMar>
            <w:vAlign w:val="bottom"/>
          </w:tcPr>
          <w:p w14:paraId="3FE5011D" w14:textId="77777777" w:rsidR="001614AC" w:rsidRDefault="001614AC">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4F689D4F" w14:textId="77777777" w:rsidR="001614AC" w:rsidRDefault="001614AC">
            <w:pPr>
              <w:keepNext/>
            </w:pPr>
          </w:p>
        </w:tc>
        <w:tc>
          <w:tcPr>
            <w:tcW w:w="905" w:type="dxa"/>
            <w:gridSpan w:val="2"/>
            <w:tcBorders>
              <w:top w:val="single" w:sz="8" w:space="0" w:color="E9E9E9"/>
              <w:left w:val="nil"/>
              <w:bottom w:val="single" w:sz="8" w:space="0" w:color="C7C9C7"/>
              <w:right w:val="nil"/>
            </w:tcBorders>
            <w:tcMar>
              <w:top w:w="0" w:type="dxa"/>
              <w:left w:w="53" w:type="dxa"/>
              <w:bottom w:w="0" w:type="dxa"/>
              <w:right w:w="0" w:type="dxa"/>
            </w:tcMar>
            <w:vAlign w:val="bottom"/>
          </w:tcPr>
          <w:p w14:paraId="7B67CF7D" w14:textId="77777777" w:rsidR="001614AC" w:rsidRDefault="004468F9">
            <w:pPr>
              <w:keepNext/>
              <w:spacing w:before="55" w:after="30" w:line="288" w:lineRule="auto"/>
              <w:jc w:val="right"/>
            </w:pPr>
            <w:r>
              <w:rPr>
                <w:rFonts w:ascii="Arial" w:eastAsia="Arial" w:hAnsi="Arial" w:cs="Arial"/>
                <w:color w:val="000000"/>
                <w:sz w:val="18"/>
              </w:rPr>
              <w:t>(322)</w:t>
            </w:r>
          </w:p>
        </w:tc>
        <w:tc>
          <w:tcPr>
            <w:tcW w:w="100" w:type="dxa"/>
            <w:tcBorders>
              <w:top w:val="single" w:sz="8" w:space="0" w:color="E9E9E9"/>
              <w:left w:val="nil"/>
              <w:bottom w:val="single" w:sz="8" w:space="0" w:color="C7C9C7"/>
              <w:right w:val="nil"/>
            </w:tcBorders>
            <w:tcMar>
              <w:top w:w="0" w:type="dxa"/>
              <w:left w:w="0" w:type="dxa"/>
              <w:bottom w:w="0" w:type="dxa"/>
              <w:right w:w="15" w:type="dxa"/>
            </w:tcMar>
            <w:vAlign w:val="bottom"/>
          </w:tcPr>
          <w:p w14:paraId="588FEEE9" w14:textId="77777777" w:rsidR="001614AC" w:rsidRDefault="001614AC">
            <w:pPr>
              <w:keepNext/>
              <w:spacing w:before="55" w:after="30" w:line="288" w:lineRule="auto"/>
              <w:jc w:val="right"/>
            </w:pPr>
          </w:p>
        </w:tc>
      </w:tr>
      <w:tr w:rsidR="001614AC" w14:paraId="0F0C8677" w14:textId="77777777">
        <w:trPr>
          <w:cantSplit/>
        </w:trPr>
        <w:tc>
          <w:tcPr>
            <w:tcW w:w="5685" w:type="dxa"/>
            <w:tcBorders>
              <w:top w:val="nil"/>
              <w:left w:val="nil"/>
              <w:bottom w:val="nil"/>
              <w:right w:val="nil"/>
            </w:tcBorders>
            <w:shd w:val="clear" w:color="auto" w:fill="F4F4F4"/>
            <w:tcMar>
              <w:top w:w="0" w:type="dxa"/>
              <w:left w:w="53" w:type="dxa"/>
              <w:bottom w:w="0" w:type="dxa"/>
              <w:right w:w="53" w:type="dxa"/>
            </w:tcMar>
            <w:vAlign w:val="bottom"/>
          </w:tcPr>
          <w:p w14:paraId="73405693" w14:textId="77777777" w:rsidR="001614AC" w:rsidRDefault="004468F9">
            <w:pPr>
              <w:spacing w:before="75" w:after="30" w:line="288" w:lineRule="auto"/>
            </w:pPr>
            <w:r>
              <w:rPr>
                <w:rFonts w:ascii="Arial" w:eastAsia="Arial" w:hAnsi="Arial" w:cs="Arial"/>
                <w:color w:val="000000"/>
                <w:sz w:val="18"/>
              </w:rPr>
              <w:t>Consolidated pretax income (loss)</w:t>
            </w:r>
          </w:p>
        </w:tc>
        <w:tc>
          <w:tcPr>
            <w:tcW w:w="105" w:type="dxa"/>
            <w:tcBorders>
              <w:top w:val="nil"/>
              <w:left w:val="nil"/>
              <w:bottom w:val="nil"/>
              <w:right w:val="nil"/>
            </w:tcBorders>
            <w:shd w:val="clear" w:color="auto" w:fill="F4F4F4"/>
            <w:tcMar>
              <w:top w:w="0" w:type="dxa"/>
              <w:left w:w="0" w:type="dxa"/>
              <w:bottom w:w="0" w:type="dxa"/>
              <w:right w:w="0" w:type="dxa"/>
            </w:tcMar>
            <w:vAlign w:val="bottom"/>
          </w:tcPr>
          <w:p w14:paraId="0646375F" w14:textId="77777777" w:rsidR="001614AC" w:rsidRDefault="001614AC"/>
        </w:tc>
        <w:tc>
          <w:tcPr>
            <w:tcW w:w="160" w:type="dxa"/>
            <w:tcBorders>
              <w:top w:val="single" w:sz="8" w:space="0" w:color="C7C9C7"/>
              <w:left w:val="nil"/>
              <w:bottom w:val="double" w:sz="8" w:space="0" w:color="C7C9C7"/>
              <w:right w:val="nil"/>
            </w:tcBorders>
            <w:shd w:val="clear" w:color="auto" w:fill="F4F4F4"/>
            <w:tcMar>
              <w:top w:w="0" w:type="dxa"/>
              <w:left w:w="53" w:type="dxa"/>
              <w:bottom w:w="0" w:type="dxa"/>
              <w:right w:w="0" w:type="dxa"/>
            </w:tcMar>
            <w:vAlign w:val="bottom"/>
          </w:tcPr>
          <w:p w14:paraId="4EC6F5A0" w14:textId="77777777" w:rsidR="001614AC" w:rsidRDefault="004468F9">
            <w:pPr>
              <w:spacing w:before="55" w:after="30" w:line="288" w:lineRule="auto"/>
            </w:pPr>
            <w:r>
              <w:rPr>
                <w:rFonts w:ascii="Arial" w:eastAsia="Arial" w:hAnsi="Arial" w:cs="Arial"/>
                <w:color w:val="000000"/>
                <w:sz w:val="18"/>
              </w:rPr>
              <w:t>$</w:t>
            </w:r>
          </w:p>
        </w:tc>
        <w:tc>
          <w:tcPr>
            <w:tcW w:w="700" w:type="dxa"/>
            <w:tcBorders>
              <w:top w:val="single" w:sz="8" w:space="0" w:color="C7C9C7"/>
              <w:left w:val="nil"/>
              <w:bottom w:val="double" w:sz="8" w:space="0" w:color="C7C9C7"/>
              <w:right w:val="nil"/>
            </w:tcBorders>
            <w:shd w:val="clear" w:color="auto" w:fill="F4F4F4"/>
            <w:tcMar>
              <w:top w:w="0" w:type="dxa"/>
              <w:left w:w="0" w:type="dxa"/>
              <w:bottom w:w="0" w:type="dxa"/>
              <w:right w:w="0" w:type="dxa"/>
            </w:tcMar>
            <w:vAlign w:val="bottom"/>
          </w:tcPr>
          <w:p w14:paraId="41C9EB38" w14:textId="77777777" w:rsidR="001614AC" w:rsidRDefault="004468F9">
            <w:pPr>
              <w:spacing w:before="55" w:after="30" w:line="288" w:lineRule="auto"/>
              <w:jc w:val="right"/>
            </w:pPr>
            <w:r>
              <w:rPr>
                <w:rFonts w:ascii="Arial" w:eastAsia="Arial" w:hAnsi="Arial" w:cs="Arial"/>
                <w:color w:val="000000"/>
                <w:sz w:val="18"/>
              </w:rPr>
              <w:t>195,496 </w:t>
            </w:r>
          </w:p>
        </w:tc>
        <w:tc>
          <w:tcPr>
            <w:tcW w:w="100" w:type="dxa"/>
            <w:tcBorders>
              <w:top w:val="single" w:sz="8" w:space="0" w:color="C7C9C7"/>
              <w:left w:val="nil"/>
              <w:bottom w:val="double" w:sz="8" w:space="0" w:color="C7C9C7"/>
              <w:right w:val="nil"/>
            </w:tcBorders>
            <w:shd w:val="clear" w:color="auto" w:fill="F4F4F4"/>
            <w:tcMar>
              <w:top w:w="0" w:type="dxa"/>
              <w:left w:w="0" w:type="dxa"/>
              <w:bottom w:w="0" w:type="dxa"/>
              <w:right w:w="15" w:type="dxa"/>
            </w:tcMar>
            <w:vAlign w:val="bottom"/>
          </w:tcPr>
          <w:p w14:paraId="7A5192FD" w14:textId="77777777" w:rsidR="001614AC" w:rsidRDefault="001614AC">
            <w:pPr>
              <w:spacing w:before="55" w:after="30" w:line="288" w:lineRule="auto"/>
              <w:jc w:val="right"/>
            </w:pPr>
          </w:p>
        </w:tc>
        <w:tc>
          <w:tcPr>
            <w:tcW w:w="105" w:type="dxa"/>
            <w:tcBorders>
              <w:top w:val="nil"/>
              <w:left w:val="nil"/>
              <w:bottom w:val="nil"/>
              <w:right w:val="nil"/>
            </w:tcBorders>
            <w:shd w:val="clear" w:color="auto" w:fill="F4F4F4"/>
            <w:tcMar>
              <w:top w:w="0" w:type="dxa"/>
              <w:left w:w="0" w:type="dxa"/>
              <w:bottom w:w="0" w:type="dxa"/>
              <w:right w:w="0" w:type="dxa"/>
            </w:tcMar>
            <w:vAlign w:val="bottom"/>
          </w:tcPr>
          <w:p w14:paraId="2680F756" w14:textId="77777777" w:rsidR="001614AC" w:rsidRDefault="001614AC"/>
        </w:tc>
        <w:tc>
          <w:tcPr>
            <w:tcW w:w="160" w:type="dxa"/>
            <w:tcBorders>
              <w:top w:val="single" w:sz="8" w:space="0" w:color="C7C9C7"/>
              <w:left w:val="nil"/>
              <w:bottom w:val="double" w:sz="8" w:space="0" w:color="C7C9C7"/>
              <w:right w:val="nil"/>
            </w:tcBorders>
            <w:shd w:val="clear" w:color="auto" w:fill="F4F4F4"/>
            <w:tcMar>
              <w:top w:w="0" w:type="dxa"/>
              <w:left w:w="53" w:type="dxa"/>
              <w:bottom w:w="0" w:type="dxa"/>
              <w:right w:w="0" w:type="dxa"/>
            </w:tcMar>
            <w:vAlign w:val="bottom"/>
          </w:tcPr>
          <w:p w14:paraId="3C9D68CC" w14:textId="77777777" w:rsidR="001614AC" w:rsidRDefault="004468F9">
            <w:pPr>
              <w:spacing w:before="55" w:after="30" w:line="288" w:lineRule="auto"/>
            </w:pPr>
            <w:r>
              <w:rPr>
                <w:rFonts w:ascii="Arial" w:eastAsia="Arial" w:hAnsi="Arial" w:cs="Arial"/>
                <w:color w:val="000000"/>
                <w:sz w:val="18"/>
              </w:rPr>
              <w:t>$</w:t>
            </w:r>
          </w:p>
        </w:tc>
        <w:tc>
          <w:tcPr>
            <w:tcW w:w="745" w:type="dxa"/>
            <w:tcBorders>
              <w:top w:val="single" w:sz="8" w:space="0" w:color="C7C9C7"/>
              <w:left w:val="nil"/>
              <w:bottom w:val="double" w:sz="8" w:space="0" w:color="C7C9C7"/>
              <w:right w:val="nil"/>
            </w:tcBorders>
            <w:shd w:val="clear" w:color="auto" w:fill="F4F4F4"/>
            <w:tcMar>
              <w:top w:w="0" w:type="dxa"/>
              <w:left w:w="0" w:type="dxa"/>
              <w:bottom w:w="0" w:type="dxa"/>
              <w:right w:w="0" w:type="dxa"/>
            </w:tcMar>
            <w:vAlign w:val="bottom"/>
          </w:tcPr>
          <w:p w14:paraId="7DCA29AE" w14:textId="77777777" w:rsidR="001614AC" w:rsidRDefault="004468F9">
            <w:pPr>
              <w:spacing w:before="55" w:after="30" w:line="288" w:lineRule="auto"/>
              <w:jc w:val="right"/>
            </w:pPr>
            <w:r>
              <w:rPr>
                <w:rFonts w:ascii="Arial" w:eastAsia="Arial" w:hAnsi="Arial" w:cs="Arial"/>
                <w:color w:val="000000"/>
                <w:sz w:val="18"/>
              </w:rPr>
              <w:t>(42,224)</w:t>
            </w:r>
          </w:p>
        </w:tc>
        <w:tc>
          <w:tcPr>
            <w:tcW w:w="100" w:type="dxa"/>
            <w:tcBorders>
              <w:top w:val="single" w:sz="8" w:space="0" w:color="C7C9C7"/>
              <w:left w:val="nil"/>
              <w:bottom w:val="double" w:sz="8" w:space="0" w:color="C7C9C7"/>
              <w:right w:val="nil"/>
            </w:tcBorders>
            <w:shd w:val="clear" w:color="auto" w:fill="F4F4F4"/>
            <w:tcMar>
              <w:top w:w="0" w:type="dxa"/>
              <w:left w:w="0" w:type="dxa"/>
              <w:bottom w:w="0" w:type="dxa"/>
              <w:right w:w="15" w:type="dxa"/>
            </w:tcMar>
            <w:vAlign w:val="bottom"/>
          </w:tcPr>
          <w:p w14:paraId="4FADF4AB" w14:textId="77777777" w:rsidR="001614AC" w:rsidRDefault="001614AC">
            <w:pPr>
              <w:spacing w:before="55" w:after="30" w:line="288" w:lineRule="auto"/>
              <w:jc w:val="right"/>
            </w:pPr>
          </w:p>
        </w:tc>
        <w:tc>
          <w:tcPr>
            <w:tcW w:w="105" w:type="dxa"/>
            <w:tcBorders>
              <w:top w:val="nil"/>
              <w:left w:val="nil"/>
              <w:bottom w:val="nil"/>
              <w:right w:val="nil"/>
            </w:tcBorders>
            <w:shd w:val="clear" w:color="auto" w:fill="F4F4F4"/>
            <w:tcMar>
              <w:top w:w="0" w:type="dxa"/>
              <w:left w:w="0" w:type="dxa"/>
              <w:bottom w:w="0" w:type="dxa"/>
              <w:right w:w="0" w:type="dxa"/>
            </w:tcMar>
            <w:vAlign w:val="bottom"/>
          </w:tcPr>
          <w:p w14:paraId="5F9012B8" w14:textId="77777777" w:rsidR="001614AC" w:rsidRDefault="001614AC"/>
        </w:tc>
        <w:tc>
          <w:tcPr>
            <w:tcW w:w="160" w:type="dxa"/>
            <w:tcBorders>
              <w:top w:val="single" w:sz="8" w:space="0" w:color="C7C9C7"/>
              <w:left w:val="nil"/>
              <w:bottom w:val="double" w:sz="8" w:space="0" w:color="C7C9C7"/>
              <w:right w:val="nil"/>
            </w:tcBorders>
            <w:shd w:val="clear" w:color="auto" w:fill="F4F4F4"/>
            <w:tcMar>
              <w:top w:w="0" w:type="dxa"/>
              <w:left w:w="53" w:type="dxa"/>
              <w:bottom w:w="0" w:type="dxa"/>
              <w:right w:w="0" w:type="dxa"/>
            </w:tcMar>
            <w:vAlign w:val="bottom"/>
          </w:tcPr>
          <w:p w14:paraId="352B0B70" w14:textId="77777777" w:rsidR="001614AC" w:rsidRDefault="004468F9">
            <w:pPr>
              <w:spacing w:before="55" w:after="30" w:line="288" w:lineRule="auto"/>
            </w:pPr>
            <w:r>
              <w:rPr>
                <w:rFonts w:ascii="Arial" w:eastAsia="Arial" w:hAnsi="Arial" w:cs="Arial"/>
                <w:color w:val="000000"/>
                <w:sz w:val="18"/>
              </w:rPr>
              <w:t>$</w:t>
            </w:r>
          </w:p>
        </w:tc>
        <w:tc>
          <w:tcPr>
            <w:tcW w:w="745" w:type="dxa"/>
            <w:tcBorders>
              <w:top w:val="single" w:sz="8" w:space="0" w:color="C7C9C7"/>
              <w:left w:val="nil"/>
              <w:bottom w:val="double" w:sz="8" w:space="0" w:color="C7C9C7"/>
              <w:right w:val="nil"/>
            </w:tcBorders>
            <w:shd w:val="clear" w:color="auto" w:fill="F4F4F4"/>
            <w:tcMar>
              <w:top w:w="0" w:type="dxa"/>
              <w:left w:w="0" w:type="dxa"/>
              <w:bottom w:w="0" w:type="dxa"/>
              <w:right w:w="0" w:type="dxa"/>
            </w:tcMar>
            <w:vAlign w:val="bottom"/>
          </w:tcPr>
          <w:p w14:paraId="4F62A56C" w14:textId="77777777" w:rsidR="001614AC" w:rsidRDefault="004468F9">
            <w:pPr>
              <w:spacing w:before="55" w:after="30" w:line="288" w:lineRule="auto"/>
              <w:jc w:val="right"/>
            </w:pPr>
            <w:r>
              <w:rPr>
                <w:rFonts w:ascii="Arial" w:eastAsia="Arial" w:hAnsi="Arial" w:cs="Arial"/>
                <w:color w:val="000000"/>
                <w:sz w:val="18"/>
              </w:rPr>
              <w:t>356,685 </w:t>
            </w:r>
          </w:p>
        </w:tc>
        <w:tc>
          <w:tcPr>
            <w:tcW w:w="100" w:type="dxa"/>
            <w:tcBorders>
              <w:top w:val="single" w:sz="8" w:space="0" w:color="C7C9C7"/>
              <w:left w:val="nil"/>
              <w:bottom w:val="double" w:sz="8" w:space="0" w:color="C7C9C7"/>
              <w:right w:val="nil"/>
            </w:tcBorders>
            <w:shd w:val="clear" w:color="auto" w:fill="F4F4F4"/>
            <w:tcMar>
              <w:top w:w="0" w:type="dxa"/>
              <w:left w:w="0" w:type="dxa"/>
              <w:bottom w:w="0" w:type="dxa"/>
              <w:right w:w="15" w:type="dxa"/>
            </w:tcMar>
            <w:vAlign w:val="bottom"/>
          </w:tcPr>
          <w:p w14:paraId="167102FE" w14:textId="77777777" w:rsidR="001614AC" w:rsidRDefault="001614AC">
            <w:pPr>
              <w:spacing w:before="55" w:after="30" w:line="288" w:lineRule="auto"/>
              <w:jc w:val="right"/>
            </w:pPr>
          </w:p>
        </w:tc>
        <w:tc>
          <w:tcPr>
            <w:tcW w:w="105" w:type="dxa"/>
            <w:tcBorders>
              <w:top w:val="nil"/>
              <w:left w:val="nil"/>
              <w:bottom w:val="nil"/>
              <w:right w:val="nil"/>
            </w:tcBorders>
            <w:shd w:val="clear" w:color="auto" w:fill="F4F4F4"/>
            <w:tcMar>
              <w:top w:w="0" w:type="dxa"/>
              <w:left w:w="0" w:type="dxa"/>
              <w:bottom w:w="0" w:type="dxa"/>
              <w:right w:w="0" w:type="dxa"/>
            </w:tcMar>
            <w:vAlign w:val="bottom"/>
          </w:tcPr>
          <w:p w14:paraId="088C8D30" w14:textId="77777777" w:rsidR="001614AC" w:rsidRDefault="001614AC"/>
        </w:tc>
        <w:tc>
          <w:tcPr>
            <w:tcW w:w="160" w:type="dxa"/>
            <w:tcBorders>
              <w:top w:val="single" w:sz="8" w:space="0" w:color="C7C9C7"/>
              <w:left w:val="nil"/>
              <w:bottom w:val="double" w:sz="8" w:space="0" w:color="C7C9C7"/>
              <w:right w:val="nil"/>
            </w:tcBorders>
            <w:shd w:val="clear" w:color="auto" w:fill="F4F4F4"/>
            <w:tcMar>
              <w:top w:w="0" w:type="dxa"/>
              <w:left w:w="53" w:type="dxa"/>
              <w:bottom w:w="0" w:type="dxa"/>
              <w:right w:w="0" w:type="dxa"/>
            </w:tcMar>
            <w:vAlign w:val="bottom"/>
          </w:tcPr>
          <w:p w14:paraId="131125C9" w14:textId="77777777" w:rsidR="001614AC" w:rsidRDefault="004468F9">
            <w:pPr>
              <w:spacing w:before="55" w:after="30" w:line="288" w:lineRule="auto"/>
            </w:pPr>
            <w:r>
              <w:rPr>
                <w:rFonts w:ascii="Arial" w:eastAsia="Arial" w:hAnsi="Arial" w:cs="Arial"/>
                <w:color w:val="000000"/>
                <w:sz w:val="18"/>
              </w:rPr>
              <w:t>$</w:t>
            </w:r>
          </w:p>
        </w:tc>
        <w:tc>
          <w:tcPr>
            <w:tcW w:w="745" w:type="dxa"/>
            <w:tcBorders>
              <w:top w:val="single" w:sz="8" w:space="0" w:color="C7C9C7"/>
              <w:left w:val="nil"/>
              <w:bottom w:val="double" w:sz="8" w:space="0" w:color="C7C9C7"/>
              <w:right w:val="nil"/>
            </w:tcBorders>
            <w:shd w:val="clear" w:color="auto" w:fill="F4F4F4"/>
            <w:tcMar>
              <w:top w:w="0" w:type="dxa"/>
              <w:left w:w="0" w:type="dxa"/>
              <w:bottom w:w="0" w:type="dxa"/>
              <w:right w:w="0" w:type="dxa"/>
            </w:tcMar>
            <w:vAlign w:val="bottom"/>
          </w:tcPr>
          <w:p w14:paraId="13E33E1A" w14:textId="77777777" w:rsidR="001614AC" w:rsidRDefault="004468F9">
            <w:pPr>
              <w:spacing w:before="55" w:after="30" w:line="288" w:lineRule="auto"/>
              <w:jc w:val="right"/>
            </w:pPr>
            <w:r>
              <w:rPr>
                <w:rFonts w:ascii="Arial" w:eastAsia="Arial" w:hAnsi="Arial" w:cs="Arial"/>
                <w:color w:val="000000"/>
                <w:sz w:val="18"/>
              </w:rPr>
              <w:t>139,069 </w:t>
            </w:r>
          </w:p>
        </w:tc>
        <w:tc>
          <w:tcPr>
            <w:tcW w:w="100" w:type="dxa"/>
            <w:tcBorders>
              <w:top w:val="single" w:sz="8" w:space="0" w:color="C7C9C7"/>
              <w:left w:val="nil"/>
              <w:bottom w:val="double" w:sz="8" w:space="0" w:color="C7C9C7"/>
              <w:right w:val="nil"/>
            </w:tcBorders>
            <w:shd w:val="clear" w:color="auto" w:fill="F4F4F4"/>
            <w:tcMar>
              <w:top w:w="0" w:type="dxa"/>
              <w:left w:w="0" w:type="dxa"/>
              <w:bottom w:w="0" w:type="dxa"/>
              <w:right w:w="15" w:type="dxa"/>
            </w:tcMar>
            <w:vAlign w:val="bottom"/>
          </w:tcPr>
          <w:p w14:paraId="0FD23A20" w14:textId="77777777" w:rsidR="001614AC" w:rsidRDefault="001614AC">
            <w:pPr>
              <w:spacing w:before="55" w:after="30" w:line="288" w:lineRule="auto"/>
              <w:jc w:val="right"/>
            </w:pPr>
          </w:p>
        </w:tc>
      </w:tr>
    </w:tbl>
    <w:p w14:paraId="6E8F367B" w14:textId="77777777" w:rsidR="001614AC" w:rsidRDefault="004468F9" w:rsidP="004468F9">
      <w:pPr>
        <w:keepNext/>
        <w:numPr>
          <w:ilvl w:val="0"/>
          <w:numId w:val="9"/>
        </w:numPr>
        <w:spacing w:line="288" w:lineRule="auto"/>
        <w:ind w:left="360"/>
        <w:rPr>
          <w:rFonts w:ascii="Arial" w:eastAsia="Arial" w:hAnsi="Arial" w:cs="Arial"/>
          <w:b/>
          <w:color w:val="64615D"/>
          <w:sz w:val="16"/>
        </w:rPr>
      </w:pPr>
      <w:r>
        <w:rPr>
          <w:rFonts w:ascii="Arial" w:eastAsia="Arial" w:hAnsi="Arial" w:cs="Arial"/>
          <w:color w:val="64615D"/>
          <w:sz w:val="16"/>
        </w:rPr>
        <w:lastRenderedPageBreak/>
        <w:t>I</w:t>
      </w:r>
      <w:r>
        <w:rPr>
          <w:rFonts w:ascii="Arial" w:eastAsia="Arial" w:hAnsi="Arial" w:cs="Arial"/>
          <w:color w:val="64615D"/>
          <w:sz w:val="16"/>
        </w:rPr>
        <w:t>ncludes allocated corporate operating expenses and depreciation expense as follows.</w:t>
      </w:r>
    </w:p>
    <w:tbl>
      <w:tblPr>
        <w:tblW w:w="9914"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6"/>
        <w:gridCol w:w="107"/>
        <w:gridCol w:w="163"/>
        <w:gridCol w:w="760"/>
        <w:gridCol w:w="102"/>
        <w:gridCol w:w="107"/>
        <w:gridCol w:w="163"/>
        <w:gridCol w:w="760"/>
        <w:gridCol w:w="102"/>
        <w:gridCol w:w="107"/>
        <w:gridCol w:w="163"/>
        <w:gridCol w:w="760"/>
        <w:gridCol w:w="102"/>
        <w:gridCol w:w="107"/>
        <w:gridCol w:w="163"/>
        <w:gridCol w:w="760"/>
        <w:gridCol w:w="102"/>
      </w:tblGrid>
      <w:tr w:rsidR="001614AC" w14:paraId="7EBDF208" w14:textId="77777777">
        <w:trPr>
          <w:cantSplit/>
        </w:trPr>
        <w:tc>
          <w:tcPr>
            <w:tcW w:w="5280" w:type="dxa"/>
            <w:tcBorders>
              <w:top w:val="nil"/>
              <w:left w:val="nil"/>
              <w:bottom w:val="single" w:sz="8" w:space="0" w:color="FFFFFF"/>
              <w:right w:val="nil"/>
            </w:tcBorders>
            <w:tcMar>
              <w:top w:w="0" w:type="dxa"/>
              <w:left w:w="0" w:type="dxa"/>
              <w:bottom w:w="0" w:type="dxa"/>
              <w:right w:w="0" w:type="dxa"/>
            </w:tcMar>
            <w:vAlign w:val="bottom"/>
          </w:tcPr>
          <w:p w14:paraId="0729EFD1" w14:textId="77777777" w:rsidR="001614AC" w:rsidRDefault="001614AC">
            <w:pPr>
              <w:keepNext/>
            </w:pPr>
          </w:p>
        </w:tc>
        <w:tc>
          <w:tcPr>
            <w:tcW w:w="105" w:type="dxa"/>
            <w:tcBorders>
              <w:top w:val="nil"/>
              <w:left w:val="nil"/>
              <w:bottom w:val="nil"/>
              <w:right w:val="nil"/>
            </w:tcBorders>
            <w:tcMar>
              <w:top w:w="0" w:type="dxa"/>
              <w:left w:w="0" w:type="dxa"/>
              <w:bottom w:w="0" w:type="dxa"/>
              <w:right w:w="0" w:type="dxa"/>
            </w:tcMar>
            <w:vAlign w:val="bottom"/>
          </w:tcPr>
          <w:p w14:paraId="6EE1E463" w14:textId="77777777" w:rsidR="001614AC" w:rsidRDefault="001614AC">
            <w:pPr>
              <w:keepNext/>
            </w:pPr>
          </w:p>
        </w:tc>
        <w:tc>
          <w:tcPr>
            <w:tcW w:w="2115" w:type="dxa"/>
            <w:gridSpan w:val="7"/>
            <w:tcBorders>
              <w:top w:val="nil"/>
              <w:left w:val="nil"/>
              <w:bottom w:val="nil"/>
              <w:right w:val="nil"/>
            </w:tcBorders>
            <w:tcMar>
              <w:top w:w="0" w:type="dxa"/>
              <w:left w:w="53" w:type="dxa"/>
              <w:bottom w:w="0" w:type="dxa"/>
              <w:right w:w="53" w:type="dxa"/>
            </w:tcMar>
            <w:vAlign w:val="bottom"/>
          </w:tcPr>
          <w:p w14:paraId="6B03A465" w14:textId="77777777" w:rsidR="001614AC" w:rsidRDefault="004468F9">
            <w:pPr>
              <w:keepNext/>
              <w:spacing w:before="75" w:line="288" w:lineRule="auto"/>
              <w:jc w:val="center"/>
            </w:pPr>
            <w:r>
              <w:rPr>
                <w:rFonts w:ascii="Arial" w:eastAsia="Arial" w:hAnsi="Arial" w:cs="Arial"/>
                <w:b/>
                <w:color w:val="00BAB3"/>
                <w:sz w:val="18"/>
              </w:rPr>
              <w:t>Three Months Ended</w:t>
            </w:r>
          </w:p>
          <w:p w14:paraId="05C6AF68" w14:textId="77777777" w:rsidR="001614AC" w:rsidRDefault="004468F9">
            <w:pPr>
              <w:spacing w:after="30" w:line="288" w:lineRule="auto"/>
              <w:jc w:val="center"/>
            </w:pPr>
            <w:r>
              <w:rPr>
                <w:rFonts w:ascii="Arial" w:eastAsia="Arial" w:hAnsi="Arial" w:cs="Arial"/>
                <w:b/>
                <w:color w:val="00BAB3"/>
                <w:sz w:val="18"/>
              </w:rPr>
              <w:t>June 30,</w:t>
            </w:r>
          </w:p>
        </w:tc>
        <w:tc>
          <w:tcPr>
            <w:tcW w:w="105" w:type="dxa"/>
            <w:tcBorders>
              <w:top w:val="nil"/>
              <w:left w:val="nil"/>
              <w:bottom w:val="single" w:sz="8" w:space="0" w:color="FFFFFF"/>
              <w:right w:val="nil"/>
            </w:tcBorders>
            <w:tcMar>
              <w:top w:w="0" w:type="dxa"/>
              <w:left w:w="0" w:type="dxa"/>
              <w:bottom w:w="0" w:type="dxa"/>
              <w:right w:w="0" w:type="dxa"/>
            </w:tcMar>
            <w:vAlign w:val="bottom"/>
          </w:tcPr>
          <w:p w14:paraId="3243CDDF" w14:textId="77777777" w:rsidR="001614AC" w:rsidRDefault="001614AC">
            <w:pPr>
              <w:keepNext/>
            </w:pPr>
          </w:p>
        </w:tc>
        <w:tc>
          <w:tcPr>
            <w:tcW w:w="2115" w:type="dxa"/>
            <w:gridSpan w:val="7"/>
            <w:tcBorders>
              <w:top w:val="nil"/>
              <w:left w:val="nil"/>
              <w:bottom w:val="nil"/>
              <w:right w:val="nil"/>
            </w:tcBorders>
            <w:tcMar>
              <w:top w:w="0" w:type="dxa"/>
              <w:left w:w="53" w:type="dxa"/>
              <w:bottom w:w="0" w:type="dxa"/>
              <w:right w:w="53" w:type="dxa"/>
            </w:tcMar>
            <w:vAlign w:val="bottom"/>
          </w:tcPr>
          <w:p w14:paraId="6E3DBA7A" w14:textId="77777777" w:rsidR="001614AC" w:rsidRDefault="004468F9">
            <w:pPr>
              <w:keepNext/>
              <w:spacing w:before="75" w:line="288" w:lineRule="auto"/>
              <w:jc w:val="center"/>
            </w:pPr>
            <w:r>
              <w:rPr>
                <w:rFonts w:ascii="Arial" w:eastAsia="Arial" w:hAnsi="Arial" w:cs="Arial"/>
                <w:b/>
                <w:color w:val="00BAB3"/>
                <w:sz w:val="18"/>
              </w:rPr>
              <w:t>Six Months Ended</w:t>
            </w:r>
          </w:p>
          <w:p w14:paraId="5127CBB0" w14:textId="77777777" w:rsidR="001614AC" w:rsidRDefault="004468F9">
            <w:pPr>
              <w:spacing w:after="30" w:line="288" w:lineRule="auto"/>
              <w:jc w:val="center"/>
            </w:pPr>
            <w:r>
              <w:rPr>
                <w:rFonts w:ascii="Arial" w:eastAsia="Arial" w:hAnsi="Arial" w:cs="Arial"/>
                <w:b/>
                <w:color w:val="00BAB3"/>
                <w:sz w:val="18"/>
              </w:rPr>
              <w:t>June 30,</w:t>
            </w:r>
          </w:p>
        </w:tc>
      </w:tr>
      <w:tr w:rsidR="001614AC" w14:paraId="117A9BDB" w14:textId="77777777">
        <w:trPr>
          <w:cantSplit/>
        </w:trPr>
        <w:tc>
          <w:tcPr>
            <w:tcW w:w="5280" w:type="dxa"/>
            <w:tcBorders>
              <w:top w:val="single" w:sz="8" w:space="0" w:color="FFFFFF"/>
              <w:left w:val="nil"/>
              <w:bottom w:val="single" w:sz="8" w:space="0" w:color="C7C9C7"/>
              <w:right w:val="nil"/>
            </w:tcBorders>
            <w:tcMar>
              <w:top w:w="0" w:type="dxa"/>
              <w:left w:w="53" w:type="dxa"/>
              <w:bottom w:w="0" w:type="dxa"/>
              <w:right w:w="53" w:type="dxa"/>
            </w:tcMar>
            <w:vAlign w:val="bottom"/>
          </w:tcPr>
          <w:p w14:paraId="57FB079A" w14:textId="77777777" w:rsidR="001614AC" w:rsidRDefault="004468F9">
            <w:pPr>
              <w:keepNext/>
              <w:spacing w:before="55" w:after="30" w:line="288" w:lineRule="auto"/>
            </w:pPr>
            <w:r>
              <w:rPr>
                <w:rFonts w:ascii="Arial" w:eastAsia="Arial" w:hAnsi="Arial" w:cs="Arial"/>
                <w:color w:val="8B8886"/>
                <w:sz w:val="16"/>
              </w:rPr>
              <w:t>(In thousands)</w:t>
            </w:r>
          </w:p>
        </w:tc>
        <w:tc>
          <w:tcPr>
            <w:tcW w:w="105" w:type="dxa"/>
            <w:tcBorders>
              <w:top w:val="nil"/>
              <w:left w:val="nil"/>
              <w:bottom w:val="single" w:sz="8" w:space="0" w:color="C7C9C7"/>
              <w:right w:val="nil"/>
            </w:tcBorders>
            <w:tcMar>
              <w:top w:w="0" w:type="dxa"/>
              <w:left w:w="0" w:type="dxa"/>
              <w:bottom w:w="0" w:type="dxa"/>
              <w:right w:w="0" w:type="dxa"/>
            </w:tcMar>
            <w:vAlign w:val="bottom"/>
          </w:tcPr>
          <w:p w14:paraId="545F91F6" w14:textId="77777777" w:rsidR="001614AC" w:rsidRDefault="001614AC">
            <w:pPr>
              <w:keepNext/>
            </w:pPr>
          </w:p>
        </w:tc>
        <w:tc>
          <w:tcPr>
            <w:tcW w:w="1005" w:type="dxa"/>
            <w:gridSpan w:val="3"/>
            <w:tcBorders>
              <w:top w:val="nil"/>
              <w:left w:val="nil"/>
              <w:bottom w:val="single" w:sz="8" w:space="0" w:color="C7C9C7"/>
              <w:right w:val="nil"/>
            </w:tcBorders>
            <w:shd w:val="clear" w:color="auto" w:fill="E6F8F8"/>
            <w:tcMar>
              <w:top w:w="0" w:type="dxa"/>
              <w:left w:w="53" w:type="dxa"/>
              <w:bottom w:w="0" w:type="dxa"/>
              <w:right w:w="53" w:type="dxa"/>
            </w:tcMar>
            <w:vAlign w:val="bottom"/>
          </w:tcPr>
          <w:p w14:paraId="716F5D3C" w14:textId="77777777" w:rsidR="001614AC" w:rsidRDefault="004468F9">
            <w:pPr>
              <w:keepNext/>
              <w:spacing w:before="75" w:after="30" w:line="288" w:lineRule="auto"/>
              <w:jc w:val="center"/>
            </w:pPr>
            <w:r>
              <w:rPr>
                <w:rFonts w:ascii="Arial" w:eastAsia="Arial" w:hAnsi="Arial" w:cs="Arial"/>
                <w:b/>
                <w:color w:val="00BAB3"/>
                <w:sz w:val="18"/>
              </w:rPr>
              <w:t>2021</w:t>
            </w:r>
          </w:p>
        </w:tc>
        <w:tc>
          <w:tcPr>
            <w:tcW w:w="105" w:type="dxa"/>
            <w:tcBorders>
              <w:top w:val="nil"/>
              <w:left w:val="nil"/>
              <w:bottom w:val="single" w:sz="8" w:space="0" w:color="C7C9C7"/>
              <w:right w:val="nil"/>
            </w:tcBorders>
            <w:tcMar>
              <w:top w:w="0" w:type="dxa"/>
              <w:left w:w="0" w:type="dxa"/>
              <w:bottom w:w="0" w:type="dxa"/>
              <w:right w:w="0" w:type="dxa"/>
            </w:tcMar>
            <w:vAlign w:val="bottom"/>
          </w:tcPr>
          <w:p w14:paraId="5858C2F4" w14:textId="77777777" w:rsidR="001614AC" w:rsidRDefault="001614AC">
            <w:pPr>
              <w:keepNext/>
            </w:pPr>
          </w:p>
        </w:tc>
        <w:tc>
          <w:tcPr>
            <w:tcW w:w="1005" w:type="dxa"/>
            <w:gridSpan w:val="3"/>
            <w:tcBorders>
              <w:top w:val="nil"/>
              <w:left w:val="nil"/>
              <w:bottom w:val="single" w:sz="8" w:space="0" w:color="C7C9C7"/>
              <w:right w:val="nil"/>
            </w:tcBorders>
            <w:shd w:val="clear" w:color="auto" w:fill="F4F4F4"/>
            <w:tcMar>
              <w:top w:w="0" w:type="dxa"/>
              <w:left w:w="53" w:type="dxa"/>
              <w:bottom w:w="0" w:type="dxa"/>
              <w:right w:w="53" w:type="dxa"/>
            </w:tcMar>
            <w:vAlign w:val="bottom"/>
          </w:tcPr>
          <w:p w14:paraId="603BE3BB" w14:textId="77777777" w:rsidR="001614AC" w:rsidRDefault="004468F9">
            <w:pPr>
              <w:keepNext/>
              <w:spacing w:before="75" w:after="30" w:line="288" w:lineRule="auto"/>
              <w:jc w:val="center"/>
            </w:pPr>
            <w:r>
              <w:rPr>
                <w:rFonts w:ascii="Arial" w:eastAsia="Arial" w:hAnsi="Arial" w:cs="Arial"/>
                <w:b/>
                <w:color w:val="00BAB3"/>
                <w:sz w:val="18"/>
              </w:rPr>
              <w:t>2020</w:t>
            </w:r>
          </w:p>
        </w:tc>
        <w:tc>
          <w:tcPr>
            <w:tcW w:w="105" w:type="dxa"/>
            <w:tcBorders>
              <w:top w:val="single" w:sz="8" w:space="0" w:color="FFFFFF"/>
              <w:left w:val="nil"/>
              <w:bottom w:val="single" w:sz="8" w:space="0" w:color="C7C9C7"/>
              <w:right w:val="nil"/>
            </w:tcBorders>
            <w:tcMar>
              <w:top w:w="0" w:type="dxa"/>
              <w:left w:w="0" w:type="dxa"/>
              <w:bottom w:w="0" w:type="dxa"/>
              <w:right w:w="0" w:type="dxa"/>
            </w:tcMar>
            <w:vAlign w:val="bottom"/>
          </w:tcPr>
          <w:p w14:paraId="749C55A5" w14:textId="77777777" w:rsidR="001614AC" w:rsidRDefault="001614AC">
            <w:pPr>
              <w:keepNext/>
            </w:pPr>
          </w:p>
        </w:tc>
        <w:tc>
          <w:tcPr>
            <w:tcW w:w="1005" w:type="dxa"/>
            <w:gridSpan w:val="3"/>
            <w:tcBorders>
              <w:top w:val="single" w:sz="8" w:space="0" w:color="FFFFFF"/>
              <w:left w:val="nil"/>
              <w:bottom w:val="single" w:sz="8" w:space="0" w:color="C7C9C7"/>
              <w:right w:val="nil"/>
            </w:tcBorders>
            <w:shd w:val="clear" w:color="auto" w:fill="E6F8F8"/>
            <w:tcMar>
              <w:top w:w="0" w:type="dxa"/>
              <w:left w:w="53" w:type="dxa"/>
              <w:bottom w:w="0" w:type="dxa"/>
              <w:right w:w="53" w:type="dxa"/>
            </w:tcMar>
            <w:vAlign w:val="bottom"/>
          </w:tcPr>
          <w:p w14:paraId="2C8E9D8B" w14:textId="77777777" w:rsidR="001614AC" w:rsidRDefault="004468F9">
            <w:pPr>
              <w:keepNext/>
              <w:spacing w:before="55" w:after="30" w:line="288" w:lineRule="auto"/>
              <w:jc w:val="center"/>
            </w:pPr>
            <w:r>
              <w:rPr>
                <w:rFonts w:ascii="Arial" w:eastAsia="Arial" w:hAnsi="Arial" w:cs="Arial"/>
                <w:b/>
                <w:color w:val="00BAB3"/>
                <w:sz w:val="18"/>
              </w:rPr>
              <w:t>2021</w:t>
            </w:r>
          </w:p>
        </w:tc>
        <w:tc>
          <w:tcPr>
            <w:tcW w:w="105" w:type="dxa"/>
            <w:tcBorders>
              <w:top w:val="single" w:sz="8" w:space="0" w:color="FFFFFF"/>
              <w:left w:val="nil"/>
              <w:bottom w:val="single" w:sz="8" w:space="0" w:color="C7C9C7"/>
              <w:right w:val="nil"/>
            </w:tcBorders>
            <w:tcMar>
              <w:top w:w="0" w:type="dxa"/>
              <w:left w:w="0" w:type="dxa"/>
              <w:bottom w:w="0" w:type="dxa"/>
              <w:right w:w="0" w:type="dxa"/>
            </w:tcMar>
            <w:vAlign w:val="bottom"/>
          </w:tcPr>
          <w:p w14:paraId="763EA80C" w14:textId="77777777" w:rsidR="001614AC" w:rsidRDefault="001614AC">
            <w:pPr>
              <w:keepNext/>
            </w:pPr>
          </w:p>
        </w:tc>
        <w:tc>
          <w:tcPr>
            <w:tcW w:w="1005" w:type="dxa"/>
            <w:gridSpan w:val="3"/>
            <w:tcBorders>
              <w:top w:val="single" w:sz="8" w:space="0" w:color="FFFFFF"/>
              <w:left w:val="nil"/>
              <w:bottom w:val="single" w:sz="8" w:space="0" w:color="C7C9C7"/>
              <w:right w:val="nil"/>
            </w:tcBorders>
            <w:shd w:val="clear" w:color="auto" w:fill="F4F4F4"/>
            <w:tcMar>
              <w:top w:w="0" w:type="dxa"/>
              <w:left w:w="53" w:type="dxa"/>
              <w:bottom w:w="0" w:type="dxa"/>
              <w:right w:w="53" w:type="dxa"/>
            </w:tcMar>
            <w:vAlign w:val="bottom"/>
          </w:tcPr>
          <w:p w14:paraId="5CC1CA4C" w14:textId="77777777" w:rsidR="001614AC" w:rsidRDefault="004468F9">
            <w:pPr>
              <w:keepNext/>
              <w:spacing w:before="55" w:after="30" w:line="288" w:lineRule="auto"/>
              <w:jc w:val="center"/>
            </w:pPr>
            <w:r>
              <w:rPr>
                <w:rFonts w:ascii="Arial" w:eastAsia="Arial" w:hAnsi="Arial" w:cs="Arial"/>
                <w:b/>
                <w:color w:val="00BAB3"/>
                <w:sz w:val="18"/>
              </w:rPr>
              <w:t>2020</w:t>
            </w:r>
          </w:p>
        </w:tc>
      </w:tr>
      <w:tr w:rsidR="001614AC" w14:paraId="0231D874" w14:textId="77777777">
        <w:trPr>
          <w:cantSplit/>
        </w:trPr>
        <w:tc>
          <w:tcPr>
            <w:tcW w:w="5280" w:type="dxa"/>
            <w:tcBorders>
              <w:top w:val="single" w:sz="8" w:space="0" w:color="C7C9C7"/>
              <w:left w:val="nil"/>
              <w:bottom w:val="single" w:sz="8" w:space="0" w:color="E9E9E9"/>
              <w:right w:val="nil"/>
            </w:tcBorders>
            <w:tcMar>
              <w:top w:w="0" w:type="dxa"/>
              <w:left w:w="53" w:type="dxa"/>
              <w:bottom w:w="0" w:type="dxa"/>
              <w:right w:w="53" w:type="dxa"/>
            </w:tcMar>
            <w:vAlign w:val="bottom"/>
          </w:tcPr>
          <w:p w14:paraId="27B9D6A9" w14:textId="77777777" w:rsidR="001614AC" w:rsidRDefault="004468F9">
            <w:pPr>
              <w:keepNext/>
              <w:spacing w:before="55" w:after="30" w:line="288" w:lineRule="auto"/>
            </w:pPr>
            <w:r>
              <w:rPr>
                <w:rFonts w:ascii="Arial" w:eastAsia="Arial" w:hAnsi="Arial" w:cs="Arial"/>
                <w:color w:val="000000"/>
                <w:sz w:val="18"/>
              </w:rPr>
              <w:t>Mortgage</w:t>
            </w:r>
          </w:p>
        </w:tc>
        <w:tc>
          <w:tcPr>
            <w:tcW w:w="105" w:type="dxa"/>
            <w:tcBorders>
              <w:top w:val="single" w:sz="8" w:space="0" w:color="C7C9C7"/>
              <w:left w:val="nil"/>
              <w:bottom w:val="nil"/>
              <w:right w:val="nil"/>
            </w:tcBorders>
            <w:tcMar>
              <w:top w:w="0" w:type="dxa"/>
              <w:left w:w="0" w:type="dxa"/>
              <w:bottom w:w="0" w:type="dxa"/>
              <w:right w:w="0" w:type="dxa"/>
            </w:tcMar>
            <w:vAlign w:val="bottom"/>
          </w:tcPr>
          <w:p w14:paraId="1F6CCA6B" w14:textId="77777777" w:rsidR="001614AC" w:rsidRDefault="001614AC">
            <w:pPr>
              <w:keepNext/>
            </w:pPr>
          </w:p>
        </w:tc>
        <w:tc>
          <w:tcPr>
            <w:tcW w:w="1005" w:type="dxa"/>
            <w:gridSpan w:val="3"/>
            <w:tcBorders>
              <w:top w:val="single" w:sz="8" w:space="0" w:color="C7C9C7"/>
              <w:left w:val="nil"/>
              <w:bottom w:val="single" w:sz="8" w:space="0" w:color="E9E9E9"/>
              <w:right w:val="nil"/>
            </w:tcBorders>
            <w:tcMar>
              <w:top w:w="0" w:type="dxa"/>
              <w:left w:w="0" w:type="dxa"/>
              <w:bottom w:w="0" w:type="dxa"/>
              <w:right w:w="0" w:type="dxa"/>
            </w:tcMar>
            <w:vAlign w:val="bottom"/>
          </w:tcPr>
          <w:p w14:paraId="2B9E271D" w14:textId="77777777" w:rsidR="001614AC" w:rsidRDefault="001614AC">
            <w:pPr>
              <w:keepNext/>
            </w:pPr>
          </w:p>
        </w:tc>
        <w:tc>
          <w:tcPr>
            <w:tcW w:w="105" w:type="dxa"/>
            <w:tcBorders>
              <w:top w:val="single" w:sz="8" w:space="0" w:color="C7C9C7"/>
              <w:left w:val="nil"/>
              <w:bottom w:val="nil"/>
              <w:right w:val="nil"/>
            </w:tcBorders>
            <w:tcMar>
              <w:top w:w="0" w:type="dxa"/>
              <w:left w:w="0" w:type="dxa"/>
              <w:bottom w:w="0" w:type="dxa"/>
              <w:right w:w="0" w:type="dxa"/>
            </w:tcMar>
            <w:vAlign w:val="bottom"/>
          </w:tcPr>
          <w:p w14:paraId="6D4F5EDF" w14:textId="77777777" w:rsidR="001614AC" w:rsidRDefault="001614AC">
            <w:pPr>
              <w:keepNext/>
            </w:pPr>
          </w:p>
        </w:tc>
        <w:tc>
          <w:tcPr>
            <w:tcW w:w="1005" w:type="dxa"/>
            <w:gridSpan w:val="3"/>
            <w:tcBorders>
              <w:top w:val="single" w:sz="8" w:space="0" w:color="C7C9C7"/>
              <w:left w:val="nil"/>
              <w:bottom w:val="single" w:sz="8" w:space="0" w:color="E9E9E9"/>
              <w:right w:val="nil"/>
            </w:tcBorders>
            <w:tcMar>
              <w:top w:w="0" w:type="dxa"/>
              <w:left w:w="0" w:type="dxa"/>
              <w:bottom w:w="0" w:type="dxa"/>
              <w:right w:w="0" w:type="dxa"/>
            </w:tcMar>
            <w:vAlign w:val="bottom"/>
          </w:tcPr>
          <w:p w14:paraId="18F77AF7" w14:textId="77777777" w:rsidR="001614AC" w:rsidRDefault="001614AC">
            <w:pPr>
              <w:keepNext/>
            </w:pPr>
          </w:p>
        </w:tc>
        <w:tc>
          <w:tcPr>
            <w:tcW w:w="105" w:type="dxa"/>
            <w:tcBorders>
              <w:top w:val="single" w:sz="8" w:space="0" w:color="C7C9C7"/>
              <w:left w:val="nil"/>
              <w:bottom w:val="nil"/>
              <w:right w:val="nil"/>
            </w:tcBorders>
            <w:tcMar>
              <w:top w:w="0" w:type="dxa"/>
              <w:left w:w="0" w:type="dxa"/>
              <w:bottom w:w="0" w:type="dxa"/>
              <w:right w:w="0" w:type="dxa"/>
            </w:tcMar>
            <w:vAlign w:val="bottom"/>
          </w:tcPr>
          <w:p w14:paraId="69350336" w14:textId="77777777" w:rsidR="001614AC" w:rsidRDefault="001614AC">
            <w:pPr>
              <w:keepNext/>
            </w:pPr>
          </w:p>
        </w:tc>
        <w:tc>
          <w:tcPr>
            <w:tcW w:w="1005" w:type="dxa"/>
            <w:gridSpan w:val="3"/>
            <w:tcBorders>
              <w:top w:val="single" w:sz="8" w:space="0" w:color="C7C9C7"/>
              <w:left w:val="nil"/>
              <w:bottom w:val="single" w:sz="8" w:space="0" w:color="E9E9E9"/>
              <w:right w:val="nil"/>
            </w:tcBorders>
            <w:tcMar>
              <w:top w:w="0" w:type="dxa"/>
              <w:left w:w="0" w:type="dxa"/>
              <w:bottom w:w="0" w:type="dxa"/>
              <w:right w:w="0" w:type="dxa"/>
            </w:tcMar>
            <w:vAlign w:val="bottom"/>
          </w:tcPr>
          <w:p w14:paraId="31C91246" w14:textId="77777777" w:rsidR="001614AC" w:rsidRDefault="001614AC">
            <w:pPr>
              <w:keepNext/>
            </w:pPr>
          </w:p>
        </w:tc>
        <w:tc>
          <w:tcPr>
            <w:tcW w:w="105" w:type="dxa"/>
            <w:tcBorders>
              <w:top w:val="single" w:sz="8" w:space="0" w:color="C7C9C7"/>
              <w:left w:val="nil"/>
              <w:bottom w:val="nil"/>
              <w:right w:val="nil"/>
            </w:tcBorders>
            <w:tcMar>
              <w:top w:w="0" w:type="dxa"/>
              <w:left w:w="0" w:type="dxa"/>
              <w:bottom w:w="0" w:type="dxa"/>
              <w:right w:w="0" w:type="dxa"/>
            </w:tcMar>
            <w:vAlign w:val="bottom"/>
          </w:tcPr>
          <w:p w14:paraId="09CED13D" w14:textId="77777777" w:rsidR="001614AC" w:rsidRDefault="001614AC">
            <w:pPr>
              <w:keepNext/>
            </w:pPr>
          </w:p>
        </w:tc>
        <w:tc>
          <w:tcPr>
            <w:tcW w:w="1005" w:type="dxa"/>
            <w:gridSpan w:val="3"/>
            <w:tcBorders>
              <w:top w:val="single" w:sz="8" w:space="0" w:color="C7C9C7"/>
              <w:left w:val="nil"/>
              <w:bottom w:val="single" w:sz="8" w:space="0" w:color="E9E9E9"/>
              <w:right w:val="nil"/>
            </w:tcBorders>
            <w:tcMar>
              <w:top w:w="0" w:type="dxa"/>
              <w:left w:w="0" w:type="dxa"/>
              <w:bottom w:w="0" w:type="dxa"/>
              <w:right w:w="0" w:type="dxa"/>
            </w:tcMar>
            <w:vAlign w:val="bottom"/>
          </w:tcPr>
          <w:p w14:paraId="5E3DC16A" w14:textId="77777777" w:rsidR="001614AC" w:rsidRDefault="001614AC">
            <w:pPr>
              <w:keepNext/>
            </w:pPr>
          </w:p>
        </w:tc>
      </w:tr>
      <w:tr w:rsidR="001614AC" w14:paraId="0270F894" w14:textId="77777777">
        <w:trPr>
          <w:cantSplit/>
        </w:trPr>
        <w:tc>
          <w:tcPr>
            <w:tcW w:w="5280" w:type="dxa"/>
            <w:tcBorders>
              <w:top w:val="single" w:sz="8" w:space="0" w:color="E9E9E9"/>
              <w:left w:val="nil"/>
              <w:bottom w:val="single" w:sz="8" w:space="0" w:color="E9E9E9"/>
              <w:right w:val="nil"/>
            </w:tcBorders>
            <w:tcMar>
              <w:top w:w="0" w:type="dxa"/>
              <w:left w:w="53" w:type="dxa"/>
              <w:bottom w:w="0" w:type="dxa"/>
              <w:right w:w="53" w:type="dxa"/>
            </w:tcMar>
            <w:vAlign w:val="bottom"/>
          </w:tcPr>
          <w:p w14:paraId="4D497E8E" w14:textId="77777777" w:rsidR="001614AC" w:rsidRDefault="004468F9">
            <w:pPr>
              <w:keepNext/>
              <w:spacing w:before="55" w:after="30" w:line="288" w:lineRule="auto"/>
              <w:ind w:left="120"/>
            </w:pPr>
            <w:r>
              <w:rPr>
                <w:rFonts w:ascii="Arial" w:eastAsia="Arial" w:hAnsi="Arial" w:cs="Arial"/>
                <w:color w:val="000000"/>
                <w:sz w:val="18"/>
              </w:rPr>
              <w:t>Allocated corporate operating expenses</w:t>
            </w:r>
          </w:p>
        </w:tc>
        <w:tc>
          <w:tcPr>
            <w:tcW w:w="105" w:type="dxa"/>
            <w:tcBorders>
              <w:top w:val="nil"/>
              <w:left w:val="nil"/>
              <w:bottom w:val="nil"/>
              <w:right w:val="nil"/>
            </w:tcBorders>
            <w:tcMar>
              <w:top w:w="0" w:type="dxa"/>
              <w:left w:w="0" w:type="dxa"/>
              <w:bottom w:w="0" w:type="dxa"/>
              <w:right w:w="0" w:type="dxa"/>
            </w:tcMar>
            <w:vAlign w:val="bottom"/>
          </w:tcPr>
          <w:p w14:paraId="1788F212" w14:textId="77777777" w:rsidR="001614AC" w:rsidRDefault="001614AC">
            <w:pPr>
              <w:keepNext/>
            </w:pPr>
          </w:p>
        </w:tc>
        <w:tc>
          <w:tcPr>
            <w:tcW w:w="160" w:type="dxa"/>
            <w:tcBorders>
              <w:top w:val="single" w:sz="8" w:space="0" w:color="E9E9E9"/>
              <w:left w:val="nil"/>
              <w:bottom w:val="single" w:sz="8" w:space="0" w:color="E9E9E9"/>
              <w:right w:val="nil"/>
            </w:tcBorders>
            <w:tcMar>
              <w:top w:w="0" w:type="dxa"/>
              <w:left w:w="53" w:type="dxa"/>
              <w:bottom w:w="0" w:type="dxa"/>
              <w:right w:w="0" w:type="dxa"/>
            </w:tcMar>
            <w:vAlign w:val="bottom"/>
          </w:tcPr>
          <w:p w14:paraId="7BBB56E8" w14:textId="77777777" w:rsidR="001614AC" w:rsidRDefault="004468F9">
            <w:pPr>
              <w:keepNext/>
              <w:spacing w:before="55" w:after="30" w:line="288" w:lineRule="auto"/>
            </w:pPr>
            <w:r>
              <w:rPr>
                <w:rFonts w:ascii="Arial" w:eastAsia="Arial" w:hAnsi="Arial" w:cs="Arial"/>
                <w:color w:val="000000"/>
                <w:sz w:val="18"/>
              </w:rPr>
              <w:t>$</w:t>
            </w:r>
          </w:p>
        </w:tc>
        <w:tc>
          <w:tcPr>
            <w:tcW w:w="745" w:type="dxa"/>
            <w:tcBorders>
              <w:top w:val="single" w:sz="8" w:space="0" w:color="E9E9E9"/>
              <w:left w:val="nil"/>
              <w:bottom w:val="single" w:sz="8" w:space="0" w:color="E9E9E9"/>
              <w:right w:val="nil"/>
            </w:tcBorders>
            <w:tcMar>
              <w:top w:w="0" w:type="dxa"/>
              <w:left w:w="0" w:type="dxa"/>
              <w:bottom w:w="0" w:type="dxa"/>
              <w:right w:w="0" w:type="dxa"/>
            </w:tcMar>
            <w:vAlign w:val="bottom"/>
          </w:tcPr>
          <w:p w14:paraId="5D01EF3A" w14:textId="77777777" w:rsidR="001614AC" w:rsidRDefault="004468F9">
            <w:pPr>
              <w:keepNext/>
              <w:spacing w:before="55" w:after="30" w:line="288" w:lineRule="auto"/>
              <w:jc w:val="right"/>
            </w:pPr>
            <w:r>
              <w:rPr>
                <w:rFonts w:ascii="Arial" w:eastAsia="Arial" w:hAnsi="Arial" w:cs="Arial"/>
                <w:color w:val="000000"/>
                <w:sz w:val="18"/>
              </w:rPr>
              <w:t>33,000 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2E43621B" w14:textId="77777777" w:rsidR="001614AC" w:rsidRDefault="001614AC">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6A177E12" w14:textId="77777777" w:rsidR="001614AC" w:rsidRDefault="001614AC">
            <w:pPr>
              <w:keepNext/>
            </w:pPr>
          </w:p>
        </w:tc>
        <w:tc>
          <w:tcPr>
            <w:tcW w:w="160" w:type="dxa"/>
            <w:tcBorders>
              <w:top w:val="single" w:sz="8" w:space="0" w:color="E9E9E9"/>
              <w:left w:val="nil"/>
              <w:bottom w:val="single" w:sz="8" w:space="0" w:color="E9E9E9"/>
              <w:right w:val="nil"/>
            </w:tcBorders>
            <w:tcMar>
              <w:top w:w="0" w:type="dxa"/>
              <w:left w:w="53" w:type="dxa"/>
              <w:bottom w:w="0" w:type="dxa"/>
              <w:right w:w="0" w:type="dxa"/>
            </w:tcMar>
            <w:vAlign w:val="bottom"/>
          </w:tcPr>
          <w:p w14:paraId="224C77B2" w14:textId="77777777" w:rsidR="001614AC" w:rsidRDefault="004468F9">
            <w:pPr>
              <w:keepNext/>
              <w:spacing w:before="55" w:after="30" w:line="288" w:lineRule="auto"/>
            </w:pPr>
            <w:r>
              <w:rPr>
                <w:rFonts w:ascii="Arial" w:eastAsia="Arial" w:hAnsi="Arial" w:cs="Arial"/>
                <w:color w:val="000000"/>
                <w:sz w:val="18"/>
              </w:rPr>
              <w:t>$</w:t>
            </w:r>
          </w:p>
        </w:tc>
        <w:tc>
          <w:tcPr>
            <w:tcW w:w="745" w:type="dxa"/>
            <w:tcBorders>
              <w:top w:val="single" w:sz="8" w:space="0" w:color="E9E9E9"/>
              <w:left w:val="nil"/>
              <w:bottom w:val="single" w:sz="8" w:space="0" w:color="E9E9E9"/>
              <w:right w:val="nil"/>
            </w:tcBorders>
            <w:tcMar>
              <w:top w:w="0" w:type="dxa"/>
              <w:left w:w="0" w:type="dxa"/>
              <w:bottom w:w="0" w:type="dxa"/>
              <w:right w:w="0" w:type="dxa"/>
            </w:tcMar>
            <w:vAlign w:val="bottom"/>
          </w:tcPr>
          <w:p w14:paraId="6A98A481" w14:textId="77777777" w:rsidR="001614AC" w:rsidRDefault="004468F9">
            <w:pPr>
              <w:keepNext/>
              <w:spacing w:before="55" w:after="30" w:line="288" w:lineRule="auto"/>
              <w:jc w:val="right"/>
            </w:pPr>
            <w:r>
              <w:rPr>
                <w:rFonts w:ascii="Arial" w:eastAsia="Arial" w:hAnsi="Arial" w:cs="Arial"/>
                <w:color w:val="000000"/>
                <w:sz w:val="18"/>
              </w:rPr>
              <w:t>25,359 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7CEBD595" w14:textId="77777777" w:rsidR="001614AC" w:rsidRDefault="001614AC">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7E6DA478" w14:textId="77777777" w:rsidR="001614AC" w:rsidRDefault="001614AC">
            <w:pPr>
              <w:keepNext/>
            </w:pPr>
          </w:p>
        </w:tc>
        <w:tc>
          <w:tcPr>
            <w:tcW w:w="160" w:type="dxa"/>
            <w:tcBorders>
              <w:top w:val="single" w:sz="8" w:space="0" w:color="E9E9E9"/>
              <w:left w:val="nil"/>
              <w:bottom w:val="single" w:sz="8" w:space="0" w:color="E9E9E9"/>
              <w:right w:val="nil"/>
            </w:tcBorders>
            <w:tcMar>
              <w:top w:w="0" w:type="dxa"/>
              <w:left w:w="53" w:type="dxa"/>
              <w:bottom w:w="0" w:type="dxa"/>
              <w:right w:w="0" w:type="dxa"/>
            </w:tcMar>
            <w:vAlign w:val="bottom"/>
          </w:tcPr>
          <w:p w14:paraId="4F4B8CCC" w14:textId="77777777" w:rsidR="001614AC" w:rsidRDefault="004468F9">
            <w:pPr>
              <w:keepNext/>
              <w:spacing w:before="55" w:after="30" w:line="288" w:lineRule="auto"/>
            </w:pPr>
            <w:r>
              <w:rPr>
                <w:rFonts w:ascii="Arial" w:eastAsia="Arial" w:hAnsi="Arial" w:cs="Arial"/>
                <w:color w:val="000000"/>
                <w:sz w:val="18"/>
              </w:rPr>
              <w:t>$</w:t>
            </w:r>
          </w:p>
        </w:tc>
        <w:tc>
          <w:tcPr>
            <w:tcW w:w="745" w:type="dxa"/>
            <w:tcBorders>
              <w:top w:val="single" w:sz="8" w:space="0" w:color="E9E9E9"/>
              <w:left w:val="nil"/>
              <w:bottom w:val="single" w:sz="8" w:space="0" w:color="E9E9E9"/>
              <w:right w:val="nil"/>
            </w:tcBorders>
            <w:tcMar>
              <w:top w:w="0" w:type="dxa"/>
              <w:left w:w="0" w:type="dxa"/>
              <w:bottom w:w="0" w:type="dxa"/>
              <w:right w:w="0" w:type="dxa"/>
            </w:tcMar>
            <w:vAlign w:val="bottom"/>
          </w:tcPr>
          <w:p w14:paraId="20655C08" w14:textId="77777777" w:rsidR="001614AC" w:rsidRDefault="004468F9">
            <w:pPr>
              <w:keepNext/>
              <w:spacing w:before="55" w:after="30" w:line="288" w:lineRule="auto"/>
              <w:jc w:val="right"/>
            </w:pPr>
            <w:r>
              <w:rPr>
                <w:rFonts w:ascii="Arial" w:eastAsia="Arial" w:hAnsi="Arial" w:cs="Arial"/>
                <w:color w:val="000000"/>
                <w:sz w:val="18"/>
              </w:rPr>
              <w:t>60,884 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6B88644A" w14:textId="77777777" w:rsidR="001614AC" w:rsidRDefault="001614AC">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6A7C4C5D" w14:textId="77777777" w:rsidR="001614AC" w:rsidRDefault="001614AC">
            <w:pPr>
              <w:keepNext/>
            </w:pPr>
          </w:p>
        </w:tc>
        <w:tc>
          <w:tcPr>
            <w:tcW w:w="160" w:type="dxa"/>
            <w:tcBorders>
              <w:top w:val="single" w:sz="8" w:space="0" w:color="E9E9E9"/>
              <w:left w:val="nil"/>
              <w:bottom w:val="single" w:sz="8" w:space="0" w:color="E9E9E9"/>
              <w:right w:val="nil"/>
            </w:tcBorders>
            <w:tcMar>
              <w:top w:w="0" w:type="dxa"/>
              <w:left w:w="53" w:type="dxa"/>
              <w:bottom w:w="0" w:type="dxa"/>
              <w:right w:w="0" w:type="dxa"/>
            </w:tcMar>
            <w:vAlign w:val="bottom"/>
          </w:tcPr>
          <w:p w14:paraId="3D8A71C3" w14:textId="77777777" w:rsidR="001614AC" w:rsidRDefault="004468F9">
            <w:pPr>
              <w:keepNext/>
              <w:spacing w:before="55" w:after="30" w:line="288" w:lineRule="auto"/>
            </w:pPr>
            <w:r>
              <w:rPr>
                <w:rFonts w:ascii="Arial" w:eastAsia="Arial" w:hAnsi="Arial" w:cs="Arial"/>
                <w:color w:val="000000"/>
                <w:sz w:val="18"/>
              </w:rPr>
              <w:t>$</w:t>
            </w:r>
          </w:p>
        </w:tc>
        <w:tc>
          <w:tcPr>
            <w:tcW w:w="745" w:type="dxa"/>
            <w:tcBorders>
              <w:top w:val="single" w:sz="8" w:space="0" w:color="E9E9E9"/>
              <w:left w:val="nil"/>
              <w:bottom w:val="single" w:sz="8" w:space="0" w:color="E9E9E9"/>
              <w:right w:val="nil"/>
            </w:tcBorders>
            <w:tcMar>
              <w:top w:w="0" w:type="dxa"/>
              <w:left w:w="0" w:type="dxa"/>
              <w:bottom w:w="0" w:type="dxa"/>
              <w:right w:w="0" w:type="dxa"/>
            </w:tcMar>
            <w:vAlign w:val="bottom"/>
          </w:tcPr>
          <w:p w14:paraId="033B27DA" w14:textId="77777777" w:rsidR="001614AC" w:rsidRDefault="004468F9">
            <w:pPr>
              <w:keepNext/>
              <w:spacing w:before="55" w:after="30" w:line="288" w:lineRule="auto"/>
              <w:jc w:val="right"/>
            </w:pPr>
            <w:r>
              <w:rPr>
                <w:rFonts w:ascii="Arial" w:eastAsia="Arial" w:hAnsi="Arial" w:cs="Arial"/>
                <w:color w:val="000000"/>
                <w:sz w:val="18"/>
              </w:rPr>
              <w:t>54,573 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0F7479CA" w14:textId="77777777" w:rsidR="001614AC" w:rsidRDefault="001614AC">
            <w:pPr>
              <w:keepNext/>
              <w:spacing w:before="55" w:after="30" w:line="288" w:lineRule="auto"/>
              <w:jc w:val="right"/>
            </w:pPr>
          </w:p>
        </w:tc>
      </w:tr>
      <w:tr w:rsidR="001614AC" w14:paraId="2BAEFD71" w14:textId="77777777">
        <w:trPr>
          <w:cantSplit/>
        </w:trPr>
        <w:tc>
          <w:tcPr>
            <w:tcW w:w="5280" w:type="dxa"/>
            <w:tcBorders>
              <w:top w:val="single" w:sz="8" w:space="0" w:color="E9E9E9"/>
              <w:left w:val="nil"/>
              <w:bottom w:val="single" w:sz="8" w:space="0" w:color="E9E9E9"/>
              <w:right w:val="nil"/>
            </w:tcBorders>
            <w:tcMar>
              <w:top w:w="0" w:type="dxa"/>
              <w:left w:w="53" w:type="dxa"/>
              <w:bottom w:w="0" w:type="dxa"/>
              <w:right w:w="53" w:type="dxa"/>
            </w:tcMar>
            <w:vAlign w:val="bottom"/>
          </w:tcPr>
          <w:p w14:paraId="42FD071A" w14:textId="77777777" w:rsidR="001614AC" w:rsidRDefault="004468F9">
            <w:pPr>
              <w:keepNext/>
              <w:spacing w:before="55" w:after="30" w:line="288" w:lineRule="auto"/>
              <w:ind w:left="120"/>
            </w:pPr>
            <w:r>
              <w:rPr>
                <w:rFonts w:ascii="Arial" w:eastAsia="Arial" w:hAnsi="Arial" w:cs="Arial"/>
                <w:color w:val="000000"/>
                <w:sz w:val="18"/>
              </w:rPr>
              <w:t>Depreciation expense</w:t>
            </w:r>
          </w:p>
        </w:tc>
        <w:tc>
          <w:tcPr>
            <w:tcW w:w="105" w:type="dxa"/>
            <w:tcBorders>
              <w:top w:val="nil"/>
              <w:left w:val="nil"/>
              <w:bottom w:val="nil"/>
              <w:right w:val="nil"/>
            </w:tcBorders>
            <w:tcMar>
              <w:top w:w="0" w:type="dxa"/>
              <w:left w:w="0" w:type="dxa"/>
              <w:bottom w:w="0" w:type="dxa"/>
              <w:right w:w="0" w:type="dxa"/>
            </w:tcMar>
            <w:vAlign w:val="bottom"/>
          </w:tcPr>
          <w:p w14:paraId="00065947" w14:textId="77777777" w:rsidR="001614AC" w:rsidRDefault="001614AC">
            <w:pPr>
              <w:keepNext/>
            </w:pPr>
          </w:p>
        </w:tc>
        <w:tc>
          <w:tcPr>
            <w:tcW w:w="90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0E9BA155" w14:textId="77777777" w:rsidR="001614AC" w:rsidRDefault="004468F9">
            <w:pPr>
              <w:keepNext/>
              <w:spacing w:before="55" w:after="30" w:line="288" w:lineRule="auto"/>
              <w:jc w:val="right"/>
            </w:pPr>
            <w:r>
              <w:rPr>
                <w:rFonts w:ascii="Arial" w:eastAsia="Arial" w:hAnsi="Arial" w:cs="Arial"/>
                <w:color w:val="000000"/>
                <w:sz w:val="18"/>
              </w:rPr>
              <w:t>1,660 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0388F7A0" w14:textId="77777777" w:rsidR="001614AC" w:rsidRDefault="001614AC">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389069AB" w14:textId="77777777" w:rsidR="001614AC" w:rsidRDefault="001614AC">
            <w:pPr>
              <w:keepNext/>
            </w:pPr>
          </w:p>
        </w:tc>
        <w:tc>
          <w:tcPr>
            <w:tcW w:w="90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1732A3C7" w14:textId="77777777" w:rsidR="001614AC" w:rsidRDefault="004468F9">
            <w:pPr>
              <w:keepNext/>
              <w:spacing w:before="55" w:after="30" w:line="288" w:lineRule="auto"/>
              <w:jc w:val="right"/>
            </w:pPr>
            <w:r>
              <w:rPr>
                <w:rFonts w:ascii="Arial" w:eastAsia="Arial" w:hAnsi="Arial" w:cs="Arial"/>
                <w:color w:val="000000"/>
                <w:sz w:val="18"/>
              </w:rPr>
              <w:t>2,656 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0CC1C4B7" w14:textId="77777777" w:rsidR="001614AC" w:rsidRDefault="001614AC">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00A45589" w14:textId="77777777" w:rsidR="001614AC" w:rsidRDefault="001614AC">
            <w:pPr>
              <w:keepNext/>
            </w:pPr>
          </w:p>
        </w:tc>
        <w:tc>
          <w:tcPr>
            <w:tcW w:w="90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3B720CF6" w14:textId="77777777" w:rsidR="001614AC" w:rsidRDefault="004468F9">
            <w:pPr>
              <w:keepNext/>
              <w:spacing w:before="55" w:after="30" w:line="288" w:lineRule="auto"/>
              <w:jc w:val="right"/>
            </w:pPr>
            <w:r>
              <w:rPr>
                <w:rFonts w:ascii="Arial" w:eastAsia="Arial" w:hAnsi="Arial" w:cs="Arial"/>
                <w:color w:val="000000"/>
                <w:sz w:val="18"/>
              </w:rPr>
              <w:t>3,470 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216808F2" w14:textId="77777777" w:rsidR="001614AC" w:rsidRDefault="001614AC">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2F2BE71C" w14:textId="77777777" w:rsidR="001614AC" w:rsidRDefault="001614AC">
            <w:pPr>
              <w:keepNext/>
            </w:pPr>
          </w:p>
        </w:tc>
        <w:tc>
          <w:tcPr>
            <w:tcW w:w="90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424DE3AE" w14:textId="77777777" w:rsidR="001614AC" w:rsidRDefault="004468F9">
            <w:pPr>
              <w:keepNext/>
              <w:spacing w:before="55" w:after="30" w:line="288" w:lineRule="auto"/>
              <w:jc w:val="right"/>
            </w:pPr>
            <w:r>
              <w:rPr>
                <w:rFonts w:ascii="Arial" w:eastAsia="Arial" w:hAnsi="Arial" w:cs="Arial"/>
                <w:color w:val="000000"/>
                <w:sz w:val="18"/>
              </w:rPr>
              <w:t>5,926 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41246121" w14:textId="77777777" w:rsidR="001614AC" w:rsidRDefault="001614AC">
            <w:pPr>
              <w:keepNext/>
              <w:spacing w:before="55" w:after="30" w:line="288" w:lineRule="auto"/>
              <w:jc w:val="right"/>
            </w:pPr>
          </w:p>
        </w:tc>
      </w:tr>
      <w:tr w:rsidR="001614AC" w14:paraId="3B41F9C8" w14:textId="77777777">
        <w:trPr>
          <w:cantSplit/>
        </w:trPr>
        <w:tc>
          <w:tcPr>
            <w:tcW w:w="5280" w:type="dxa"/>
            <w:tcBorders>
              <w:top w:val="single" w:sz="8" w:space="0" w:color="E9E9E9"/>
              <w:left w:val="nil"/>
              <w:bottom w:val="single" w:sz="8" w:space="0" w:color="E9E9E9"/>
              <w:right w:val="nil"/>
            </w:tcBorders>
            <w:tcMar>
              <w:top w:w="0" w:type="dxa"/>
              <w:left w:w="53" w:type="dxa"/>
              <w:bottom w:w="0" w:type="dxa"/>
              <w:right w:w="53" w:type="dxa"/>
            </w:tcMar>
            <w:vAlign w:val="bottom"/>
          </w:tcPr>
          <w:p w14:paraId="733D9258" w14:textId="77777777" w:rsidR="001614AC" w:rsidRDefault="004468F9">
            <w:pPr>
              <w:keepNext/>
              <w:spacing w:before="55" w:after="30" w:line="288" w:lineRule="auto"/>
            </w:pPr>
            <w:r>
              <w:rPr>
                <w:rFonts w:ascii="Arial" w:eastAsia="Arial" w:hAnsi="Arial" w:cs="Arial"/>
                <w:color w:val="000000"/>
                <w:sz w:val="18"/>
              </w:rPr>
              <w:t>homegenius</w:t>
            </w:r>
          </w:p>
        </w:tc>
        <w:tc>
          <w:tcPr>
            <w:tcW w:w="105" w:type="dxa"/>
            <w:tcBorders>
              <w:top w:val="nil"/>
              <w:left w:val="nil"/>
              <w:bottom w:val="nil"/>
              <w:right w:val="nil"/>
            </w:tcBorders>
            <w:tcMar>
              <w:top w:w="0" w:type="dxa"/>
              <w:left w:w="0" w:type="dxa"/>
              <w:bottom w:w="0" w:type="dxa"/>
              <w:right w:w="0" w:type="dxa"/>
            </w:tcMar>
            <w:vAlign w:val="bottom"/>
          </w:tcPr>
          <w:p w14:paraId="1C241FF3" w14:textId="77777777" w:rsidR="001614AC" w:rsidRDefault="001614AC">
            <w:pPr>
              <w:keepNext/>
            </w:pPr>
          </w:p>
        </w:tc>
        <w:tc>
          <w:tcPr>
            <w:tcW w:w="1005" w:type="dxa"/>
            <w:gridSpan w:val="3"/>
            <w:tcBorders>
              <w:top w:val="single" w:sz="8" w:space="0" w:color="E9E9E9"/>
              <w:left w:val="nil"/>
              <w:bottom w:val="single" w:sz="8" w:space="0" w:color="E9E9E9"/>
              <w:right w:val="nil"/>
            </w:tcBorders>
            <w:tcMar>
              <w:top w:w="0" w:type="dxa"/>
              <w:left w:w="0" w:type="dxa"/>
              <w:bottom w:w="0" w:type="dxa"/>
              <w:right w:w="0" w:type="dxa"/>
            </w:tcMar>
            <w:vAlign w:val="bottom"/>
          </w:tcPr>
          <w:p w14:paraId="30EA68FF" w14:textId="77777777" w:rsidR="001614AC" w:rsidRDefault="001614AC">
            <w:pPr>
              <w:keepNext/>
            </w:pPr>
          </w:p>
        </w:tc>
        <w:tc>
          <w:tcPr>
            <w:tcW w:w="105" w:type="dxa"/>
            <w:tcBorders>
              <w:top w:val="nil"/>
              <w:left w:val="nil"/>
              <w:bottom w:val="nil"/>
              <w:right w:val="nil"/>
            </w:tcBorders>
            <w:tcMar>
              <w:top w:w="0" w:type="dxa"/>
              <w:left w:w="0" w:type="dxa"/>
              <w:bottom w:w="0" w:type="dxa"/>
              <w:right w:w="0" w:type="dxa"/>
            </w:tcMar>
            <w:vAlign w:val="bottom"/>
          </w:tcPr>
          <w:p w14:paraId="2BCACF90" w14:textId="77777777" w:rsidR="001614AC" w:rsidRDefault="001614AC">
            <w:pPr>
              <w:keepNext/>
            </w:pPr>
          </w:p>
        </w:tc>
        <w:tc>
          <w:tcPr>
            <w:tcW w:w="1005" w:type="dxa"/>
            <w:gridSpan w:val="3"/>
            <w:tcBorders>
              <w:top w:val="single" w:sz="8" w:space="0" w:color="E9E9E9"/>
              <w:left w:val="nil"/>
              <w:bottom w:val="single" w:sz="8" w:space="0" w:color="E9E9E9"/>
              <w:right w:val="nil"/>
            </w:tcBorders>
            <w:tcMar>
              <w:top w:w="0" w:type="dxa"/>
              <w:left w:w="0" w:type="dxa"/>
              <w:bottom w:w="0" w:type="dxa"/>
              <w:right w:w="0" w:type="dxa"/>
            </w:tcMar>
            <w:vAlign w:val="bottom"/>
          </w:tcPr>
          <w:p w14:paraId="1E898162" w14:textId="77777777" w:rsidR="001614AC" w:rsidRDefault="001614AC">
            <w:pPr>
              <w:keepNext/>
            </w:pPr>
          </w:p>
        </w:tc>
        <w:tc>
          <w:tcPr>
            <w:tcW w:w="105" w:type="dxa"/>
            <w:tcBorders>
              <w:top w:val="nil"/>
              <w:left w:val="nil"/>
              <w:bottom w:val="nil"/>
              <w:right w:val="nil"/>
            </w:tcBorders>
            <w:tcMar>
              <w:top w:w="0" w:type="dxa"/>
              <w:left w:w="0" w:type="dxa"/>
              <w:bottom w:w="0" w:type="dxa"/>
              <w:right w:w="0" w:type="dxa"/>
            </w:tcMar>
            <w:vAlign w:val="bottom"/>
          </w:tcPr>
          <w:p w14:paraId="1C355DAD" w14:textId="77777777" w:rsidR="001614AC" w:rsidRDefault="001614AC">
            <w:pPr>
              <w:keepNext/>
            </w:pPr>
          </w:p>
        </w:tc>
        <w:tc>
          <w:tcPr>
            <w:tcW w:w="1005" w:type="dxa"/>
            <w:gridSpan w:val="3"/>
            <w:tcBorders>
              <w:top w:val="single" w:sz="8" w:space="0" w:color="E9E9E9"/>
              <w:left w:val="nil"/>
              <w:bottom w:val="single" w:sz="8" w:space="0" w:color="E9E9E9"/>
              <w:right w:val="nil"/>
            </w:tcBorders>
            <w:tcMar>
              <w:top w:w="0" w:type="dxa"/>
              <w:left w:w="0" w:type="dxa"/>
              <w:bottom w:w="0" w:type="dxa"/>
              <w:right w:w="0" w:type="dxa"/>
            </w:tcMar>
            <w:vAlign w:val="bottom"/>
          </w:tcPr>
          <w:p w14:paraId="46577DDB" w14:textId="77777777" w:rsidR="001614AC" w:rsidRDefault="001614AC">
            <w:pPr>
              <w:keepNext/>
            </w:pPr>
          </w:p>
        </w:tc>
        <w:tc>
          <w:tcPr>
            <w:tcW w:w="105" w:type="dxa"/>
            <w:tcBorders>
              <w:top w:val="nil"/>
              <w:left w:val="nil"/>
              <w:bottom w:val="nil"/>
              <w:right w:val="nil"/>
            </w:tcBorders>
            <w:tcMar>
              <w:top w:w="0" w:type="dxa"/>
              <w:left w:w="0" w:type="dxa"/>
              <w:bottom w:w="0" w:type="dxa"/>
              <w:right w:w="0" w:type="dxa"/>
            </w:tcMar>
            <w:vAlign w:val="bottom"/>
          </w:tcPr>
          <w:p w14:paraId="25840364" w14:textId="77777777" w:rsidR="001614AC" w:rsidRDefault="001614AC">
            <w:pPr>
              <w:keepNext/>
            </w:pPr>
          </w:p>
        </w:tc>
        <w:tc>
          <w:tcPr>
            <w:tcW w:w="1005" w:type="dxa"/>
            <w:gridSpan w:val="3"/>
            <w:tcBorders>
              <w:top w:val="single" w:sz="8" w:space="0" w:color="E9E9E9"/>
              <w:left w:val="nil"/>
              <w:bottom w:val="single" w:sz="8" w:space="0" w:color="E9E9E9"/>
              <w:right w:val="nil"/>
            </w:tcBorders>
            <w:tcMar>
              <w:top w:w="0" w:type="dxa"/>
              <w:left w:w="0" w:type="dxa"/>
              <w:bottom w:w="0" w:type="dxa"/>
              <w:right w:w="0" w:type="dxa"/>
            </w:tcMar>
            <w:vAlign w:val="bottom"/>
          </w:tcPr>
          <w:p w14:paraId="5482DC15" w14:textId="77777777" w:rsidR="001614AC" w:rsidRDefault="001614AC">
            <w:pPr>
              <w:keepNext/>
            </w:pPr>
          </w:p>
        </w:tc>
      </w:tr>
      <w:tr w:rsidR="001614AC" w14:paraId="5D451C96" w14:textId="77777777">
        <w:trPr>
          <w:cantSplit/>
        </w:trPr>
        <w:tc>
          <w:tcPr>
            <w:tcW w:w="5280" w:type="dxa"/>
            <w:tcBorders>
              <w:top w:val="single" w:sz="8" w:space="0" w:color="E9E9E9"/>
              <w:left w:val="nil"/>
              <w:bottom w:val="single" w:sz="8" w:space="0" w:color="E9E9E9"/>
              <w:right w:val="nil"/>
            </w:tcBorders>
            <w:tcMar>
              <w:top w:w="0" w:type="dxa"/>
              <w:left w:w="53" w:type="dxa"/>
              <w:bottom w:w="0" w:type="dxa"/>
              <w:right w:w="53" w:type="dxa"/>
            </w:tcMar>
            <w:vAlign w:val="bottom"/>
          </w:tcPr>
          <w:p w14:paraId="6D183390" w14:textId="77777777" w:rsidR="001614AC" w:rsidRDefault="004468F9">
            <w:pPr>
              <w:keepNext/>
              <w:spacing w:before="55" w:after="30" w:line="288" w:lineRule="auto"/>
              <w:ind w:left="120"/>
            </w:pPr>
            <w:r>
              <w:rPr>
                <w:rFonts w:ascii="Arial" w:eastAsia="Arial" w:hAnsi="Arial" w:cs="Arial"/>
                <w:color w:val="000000"/>
                <w:sz w:val="18"/>
              </w:rPr>
              <w:t>Allocated corporate operating expenses</w:t>
            </w:r>
          </w:p>
        </w:tc>
        <w:tc>
          <w:tcPr>
            <w:tcW w:w="105" w:type="dxa"/>
            <w:tcBorders>
              <w:top w:val="nil"/>
              <w:left w:val="nil"/>
              <w:bottom w:val="nil"/>
              <w:right w:val="nil"/>
            </w:tcBorders>
            <w:tcMar>
              <w:top w:w="0" w:type="dxa"/>
              <w:left w:w="0" w:type="dxa"/>
              <w:bottom w:w="0" w:type="dxa"/>
              <w:right w:w="0" w:type="dxa"/>
            </w:tcMar>
            <w:vAlign w:val="bottom"/>
          </w:tcPr>
          <w:p w14:paraId="547F0735" w14:textId="77777777" w:rsidR="001614AC" w:rsidRDefault="001614AC">
            <w:pPr>
              <w:keepNext/>
            </w:pPr>
          </w:p>
        </w:tc>
        <w:tc>
          <w:tcPr>
            <w:tcW w:w="160" w:type="dxa"/>
            <w:tcBorders>
              <w:top w:val="single" w:sz="8" w:space="0" w:color="E9E9E9"/>
              <w:left w:val="nil"/>
              <w:bottom w:val="single" w:sz="8" w:space="0" w:color="E9E9E9"/>
              <w:right w:val="nil"/>
            </w:tcBorders>
            <w:tcMar>
              <w:top w:w="0" w:type="dxa"/>
              <w:left w:w="53" w:type="dxa"/>
              <w:bottom w:w="0" w:type="dxa"/>
              <w:right w:w="0" w:type="dxa"/>
            </w:tcMar>
            <w:vAlign w:val="bottom"/>
          </w:tcPr>
          <w:p w14:paraId="28446BAD" w14:textId="77777777" w:rsidR="001614AC" w:rsidRDefault="004468F9">
            <w:pPr>
              <w:keepNext/>
              <w:spacing w:before="55" w:after="30" w:line="288" w:lineRule="auto"/>
            </w:pPr>
            <w:r>
              <w:rPr>
                <w:rFonts w:ascii="Arial" w:eastAsia="Arial" w:hAnsi="Arial" w:cs="Arial"/>
                <w:color w:val="000000"/>
                <w:sz w:val="18"/>
              </w:rPr>
              <w:t>$</w:t>
            </w:r>
          </w:p>
        </w:tc>
        <w:tc>
          <w:tcPr>
            <w:tcW w:w="745" w:type="dxa"/>
            <w:tcBorders>
              <w:top w:val="single" w:sz="8" w:space="0" w:color="E9E9E9"/>
              <w:left w:val="nil"/>
              <w:bottom w:val="single" w:sz="8" w:space="0" w:color="E9E9E9"/>
              <w:right w:val="nil"/>
            </w:tcBorders>
            <w:tcMar>
              <w:top w:w="0" w:type="dxa"/>
              <w:left w:w="0" w:type="dxa"/>
              <w:bottom w:w="0" w:type="dxa"/>
              <w:right w:w="0" w:type="dxa"/>
            </w:tcMar>
            <w:vAlign w:val="bottom"/>
          </w:tcPr>
          <w:p w14:paraId="63E38325" w14:textId="77777777" w:rsidR="001614AC" w:rsidRDefault="004468F9">
            <w:pPr>
              <w:keepNext/>
              <w:spacing w:before="55" w:after="30" w:line="288" w:lineRule="auto"/>
              <w:jc w:val="right"/>
            </w:pPr>
            <w:r>
              <w:rPr>
                <w:rFonts w:ascii="Arial" w:eastAsia="Arial" w:hAnsi="Arial" w:cs="Arial"/>
                <w:color w:val="000000"/>
                <w:sz w:val="18"/>
              </w:rPr>
              <w:t>4,721 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2A2AFE3B" w14:textId="77777777" w:rsidR="001614AC" w:rsidRDefault="001614AC">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4E67E477" w14:textId="77777777" w:rsidR="001614AC" w:rsidRDefault="001614AC">
            <w:pPr>
              <w:keepNext/>
            </w:pPr>
          </w:p>
        </w:tc>
        <w:tc>
          <w:tcPr>
            <w:tcW w:w="160" w:type="dxa"/>
            <w:tcBorders>
              <w:top w:val="single" w:sz="8" w:space="0" w:color="E9E9E9"/>
              <w:left w:val="nil"/>
              <w:bottom w:val="single" w:sz="8" w:space="0" w:color="E9E9E9"/>
              <w:right w:val="nil"/>
            </w:tcBorders>
            <w:tcMar>
              <w:top w:w="0" w:type="dxa"/>
              <w:left w:w="53" w:type="dxa"/>
              <w:bottom w:w="0" w:type="dxa"/>
              <w:right w:w="0" w:type="dxa"/>
            </w:tcMar>
            <w:vAlign w:val="bottom"/>
          </w:tcPr>
          <w:p w14:paraId="02B48A91" w14:textId="77777777" w:rsidR="001614AC" w:rsidRDefault="004468F9">
            <w:pPr>
              <w:keepNext/>
              <w:spacing w:before="55" w:after="30" w:line="288" w:lineRule="auto"/>
            </w:pPr>
            <w:r>
              <w:rPr>
                <w:rFonts w:ascii="Arial" w:eastAsia="Arial" w:hAnsi="Arial" w:cs="Arial"/>
                <w:color w:val="000000"/>
                <w:sz w:val="18"/>
              </w:rPr>
              <w:t>$</w:t>
            </w:r>
          </w:p>
        </w:tc>
        <w:tc>
          <w:tcPr>
            <w:tcW w:w="745" w:type="dxa"/>
            <w:tcBorders>
              <w:top w:val="single" w:sz="8" w:space="0" w:color="E9E9E9"/>
              <w:left w:val="nil"/>
              <w:bottom w:val="single" w:sz="8" w:space="0" w:color="E9E9E9"/>
              <w:right w:val="nil"/>
            </w:tcBorders>
            <w:tcMar>
              <w:top w:w="0" w:type="dxa"/>
              <w:left w:w="0" w:type="dxa"/>
              <w:bottom w:w="0" w:type="dxa"/>
              <w:right w:w="0" w:type="dxa"/>
            </w:tcMar>
            <w:vAlign w:val="bottom"/>
          </w:tcPr>
          <w:p w14:paraId="63348E47" w14:textId="77777777" w:rsidR="001614AC" w:rsidRDefault="004468F9">
            <w:pPr>
              <w:keepNext/>
              <w:spacing w:before="55" w:after="30" w:line="288" w:lineRule="auto"/>
              <w:jc w:val="right"/>
            </w:pPr>
            <w:r>
              <w:rPr>
                <w:rFonts w:ascii="Arial" w:eastAsia="Arial" w:hAnsi="Arial" w:cs="Arial"/>
                <w:color w:val="000000"/>
                <w:sz w:val="18"/>
              </w:rPr>
              <w:t>2,823 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72431D13" w14:textId="77777777" w:rsidR="001614AC" w:rsidRDefault="001614AC">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13BF463C" w14:textId="77777777" w:rsidR="001614AC" w:rsidRDefault="001614AC">
            <w:pPr>
              <w:keepNext/>
            </w:pPr>
          </w:p>
        </w:tc>
        <w:tc>
          <w:tcPr>
            <w:tcW w:w="160" w:type="dxa"/>
            <w:tcBorders>
              <w:top w:val="single" w:sz="8" w:space="0" w:color="E9E9E9"/>
              <w:left w:val="nil"/>
              <w:bottom w:val="single" w:sz="8" w:space="0" w:color="E9E9E9"/>
              <w:right w:val="nil"/>
            </w:tcBorders>
            <w:tcMar>
              <w:top w:w="0" w:type="dxa"/>
              <w:left w:w="53" w:type="dxa"/>
              <w:bottom w:w="0" w:type="dxa"/>
              <w:right w:w="0" w:type="dxa"/>
            </w:tcMar>
            <w:vAlign w:val="bottom"/>
          </w:tcPr>
          <w:p w14:paraId="2BF627AB" w14:textId="77777777" w:rsidR="001614AC" w:rsidRDefault="004468F9">
            <w:pPr>
              <w:keepNext/>
              <w:spacing w:before="55" w:after="30" w:line="288" w:lineRule="auto"/>
            </w:pPr>
            <w:r>
              <w:rPr>
                <w:rFonts w:ascii="Arial" w:eastAsia="Arial" w:hAnsi="Arial" w:cs="Arial"/>
                <w:color w:val="000000"/>
                <w:sz w:val="18"/>
              </w:rPr>
              <w:t>$</w:t>
            </w:r>
          </w:p>
        </w:tc>
        <w:tc>
          <w:tcPr>
            <w:tcW w:w="745" w:type="dxa"/>
            <w:tcBorders>
              <w:top w:val="single" w:sz="8" w:space="0" w:color="E9E9E9"/>
              <w:left w:val="nil"/>
              <w:bottom w:val="single" w:sz="8" w:space="0" w:color="E9E9E9"/>
              <w:right w:val="nil"/>
            </w:tcBorders>
            <w:tcMar>
              <w:top w:w="0" w:type="dxa"/>
              <w:left w:w="0" w:type="dxa"/>
              <w:bottom w:w="0" w:type="dxa"/>
              <w:right w:w="0" w:type="dxa"/>
            </w:tcMar>
            <w:vAlign w:val="bottom"/>
          </w:tcPr>
          <w:p w14:paraId="1D5C839F" w14:textId="77777777" w:rsidR="001614AC" w:rsidRDefault="004468F9">
            <w:pPr>
              <w:keepNext/>
              <w:spacing w:before="55" w:after="30" w:line="288" w:lineRule="auto"/>
              <w:jc w:val="right"/>
            </w:pPr>
            <w:r>
              <w:rPr>
                <w:rFonts w:ascii="Arial" w:eastAsia="Arial" w:hAnsi="Arial" w:cs="Arial"/>
                <w:color w:val="000000"/>
                <w:sz w:val="18"/>
              </w:rPr>
              <w:t>8,717 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01321C98" w14:textId="77777777" w:rsidR="001614AC" w:rsidRDefault="001614AC">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7A7F9EAD" w14:textId="77777777" w:rsidR="001614AC" w:rsidRDefault="001614AC">
            <w:pPr>
              <w:keepNext/>
            </w:pPr>
          </w:p>
        </w:tc>
        <w:tc>
          <w:tcPr>
            <w:tcW w:w="160" w:type="dxa"/>
            <w:tcBorders>
              <w:top w:val="single" w:sz="8" w:space="0" w:color="E9E9E9"/>
              <w:left w:val="nil"/>
              <w:bottom w:val="single" w:sz="8" w:space="0" w:color="E9E9E9"/>
              <w:right w:val="nil"/>
            </w:tcBorders>
            <w:tcMar>
              <w:top w:w="0" w:type="dxa"/>
              <w:left w:w="53" w:type="dxa"/>
              <w:bottom w:w="0" w:type="dxa"/>
              <w:right w:w="0" w:type="dxa"/>
            </w:tcMar>
            <w:vAlign w:val="bottom"/>
          </w:tcPr>
          <w:p w14:paraId="0CF73A2E" w14:textId="77777777" w:rsidR="001614AC" w:rsidRDefault="004468F9">
            <w:pPr>
              <w:keepNext/>
              <w:spacing w:before="55" w:after="30" w:line="288" w:lineRule="auto"/>
            </w:pPr>
            <w:r>
              <w:rPr>
                <w:rFonts w:ascii="Arial" w:eastAsia="Arial" w:hAnsi="Arial" w:cs="Arial"/>
                <w:color w:val="000000"/>
                <w:sz w:val="18"/>
              </w:rPr>
              <w:t>$</w:t>
            </w:r>
          </w:p>
        </w:tc>
        <w:tc>
          <w:tcPr>
            <w:tcW w:w="745" w:type="dxa"/>
            <w:tcBorders>
              <w:top w:val="single" w:sz="8" w:space="0" w:color="E9E9E9"/>
              <w:left w:val="nil"/>
              <w:bottom w:val="single" w:sz="8" w:space="0" w:color="E9E9E9"/>
              <w:right w:val="nil"/>
            </w:tcBorders>
            <w:tcMar>
              <w:top w:w="0" w:type="dxa"/>
              <w:left w:w="0" w:type="dxa"/>
              <w:bottom w:w="0" w:type="dxa"/>
              <w:right w:w="0" w:type="dxa"/>
            </w:tcMar>
            <w:vAlign w:val="bottom"/>
          </w:tcPr>
          <w:p w14:paraId="037FA1F3" w14:textId="77777777" w:rsidR="001614AC" w:rsidRDefault="004468F9">
            <w:pPr>
              <w:keepNext/>
              <w:spacing w:before="55" w:after="30" w:line="288" w:lineRule="auto"/>
              <w:jc w:val="right"/>
            </w:pPr>
            <w:r>
              <w:rPr>
                <w:rFonts w:ascii="Arial" w:eastAsia="Arial" w:hAnsi="Arial" w:cs="Arial"/>
                <w:color w:val="000000"/>
                <w:sz w:val="18"/>
              </w:rPr>
              <w:t>6,190 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52749356" w14:textId="77777777" w:rsidR="001614AC" w:rsidRDefault="001614AC">
            <w:pPr>
              <w:keepNext/>
              <w:spacing w:before="55" w:after="30" w:line="288" w:lineRule="auto"/>
              <w:jc w:val="right"/>
            </w:pPr>
          </w:p>
        </w:tc>
      </w:tr>
      <w:tr w:rsidR="001614AC" w14:paraId="05D430E2" w14:textId="77777777">
        <w:trPr>
          <w:cantSplit/>
        </w:trPr>
        <w:tc>
          <w:tcPr>
            <w:tcW w:w="5280" w:type="dxa"/>
            <w:tcBorders>
              <w:top w:val="single" w:sz="8" w:space="0" w:color="E9E9E9"/>
              <w:left w:val="nil"/>
              <w:bottom w:val="single" w:sz="8" w:space="0" w:color="E9E9E9"/>
              <w:right w:val="nil"/>
            </w:tcBorders>
            <w:tcMar>
              <w:top w:w="0" w:type="dxa"/>
              <w:left w:w="53" w:type="dxa"/>
              <w:bottom w:w="0" w:type="dxa"/>
              <w:right w:w="53" w:type="dxa"/>
            </w:tcMar>
            <w:vAlign w:val="bottom"/>
          </w:tcPr>
          <w:p w14:paraId="3F66983C" w14:textId="77777777" w:rsidR="001614AC" w:rsidRDefault="004468F9">
            <w:pPr>
              <w:spacing w:before="55" w:after="30" w:line="288" w:lineRule="auto"/>
              <w:ind w:left="120"/>
            </w:pPr>
            <w:r>
              <w:rPr>
                <w:rFonts w:ascii="Arial" w:eastAsia="Arial" w:hAnsi="Arial" w:cs="Arial"/>
                <w:color w:val="000000"/>
                <w:sz w:val="18"/>
              </w:rPr>
              <w:t>Depreciation expense</w:t>
            </w:r>
          </w:p>
        </w:tc>
        <w:tc>
          <w:tcPr>
            <w:tcW w:w="105" w:type="dxa"/>
            <w:tcBorders>
              <w:top w:val="nil"/>
              <w:left w:val="nil"/>
              <w:bottom w:val="nil"/>
              <w:right w:val="nil"/>
            </w:tcBorders>
            <w:tcMar>
              <w:top w:w="0" w:type="dxa"/>
              <w:left w:w="0" w:type="dxa"/>
              <w:bottom w:w="0" w:type="dxa"/>
              <w:right w:w="0" w:type="dxa"/>
            </w:tcMar>
            <w:vAlign w:val="bottom"/>
          </w:tcPr>
          <w:p w14:paraId="5DEB054B" w14:textId="77777777" w:rsidR="001614AC" w:rsidRDefault="001614AC"/>
        </w:tc>
        <w:tc>
          <w:tcPr>
            <w:tcW w:w="90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1C3703BC" w14:textId="77777777" w:rsidR="001614AC" w:rsidRDefault="004468F9">
            <w:pPr>
              <w:spacing w:before="55" w:after="30" w:line="288" w:lineRule="auto"/>
              <w:jc w:val="right"/>
            </w:pPr>
            <w:r>
              <w:rPr>
                <w:rFonts w:ascii="Arial" w:eastAsia="Arial" w:hAnsi="Arial" w:cs="Arial"/>
                <w:color w:val="000000"/>
                <w:sz w:val="18"/>
              </w:rPr>
              <w:t>491 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059715F2" w14:textId="77777777" w:rsidR="001614AC" w:rsidRDefault="001614AC">
            <w:pPr>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1031A5CE" w14:textId="77777777" w:rsidR="001614AC" w:rsidRDefault="001614AC"/>
        </w:tc>
        <w:tc>
          <w:tcPr>
            <w:tcW w:w="90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5BB28ED9" w14:textId="77777777" w:rsidR="001614AC" w:rsidRDefault="004468F9">
            <w:pPr>
              <w:spacing w:before="55" w:after="30" w:line="288" w:lineRule="auto"/>
              <w:jc w:val="right"/>
            </w:pPr>
            <w:r>
              <w:rPr>
                <w:rFonts w:ascii="Arial" w:eastAsia="Arial" w:hAnsi="Arial" w:cs="Arial"/>
                <w:color w:val="000000"/>
                <w:sz w:val="18"/>
              </w:rPr>
              <w:t>719 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6C1F11D1" w14:textId="77777777" w:rsidR="001614AC" w:rsidRDefault="001614AC">
            <w:pPr>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7EFB69D8" w14:textId="77777777" w:rsidR="001614AC" w:rsidRDefault="001614AC"/>
        </w:tc>
        <w:tc>
          <w:tcPr>
            <w:tcW w:w="90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0E188B78" w14:textId="77777777" w:rsidR="001614AC" w:rsidRDefault="004468F9">
            <w:pPr>
              <w:spacing w:before="55" w:after="30" w:line="288" w:lineRule="auto"/>
              <w:jc w:val="right"/>
            </w:pPr>
            <w:r>
              <w:rPr>
                <w:rFonts w:ascii="Arial" w:eastAsia="Arial" w:hAnsi="Arial" w:cs="Arial"/>
                <w:color w:val="000000"/>
                <w:sz w:val="18"/>
              </w:rPr>
              <w:t>945 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5EAB21C8" w14:textId="77777777" w:rsidR="001614AC" w:rsidRDefault="001614AC">
            <w:pPr>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663BCF6B" w14:textId="77777777" w:rsidR="001614AC" w:rsidRDefault="001614AC"/>
        </w:tc>
        <w:tc>
          <w:tcPr>
            <w:tcW w:w="90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1F912CF1" w14:textId="77777777" w:rsidR="001614AC" w:rsidRDefault="004468F9">
            <w:pPr>
              <w:spacing w:before="55" w:after="30" w:line="288" w:lineRule="auto"/>
              <w:jc w:val="right"/>
            </w:pPr>
            <w:r>
              <w:rPr>
                <w:rFonts w:ascii="Arial" w:eastAsia="Arial" w:hAnsi="Arial" w:cs="Arial"/>
                <w:color w:val="000000"/>
                <w:sz w:val="18"/>
              </w:rPr>
              <w:t>1,329 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1F75D0B3" w14:textId="77777777" w:rsidR="001614AC" w:rsidRDefault="001614AC">
            <w:pPr>
              <w:spacing w:before="55" w:after="30" w:line="288" w:lineRule="auto"/>
              <w:jc w:val="right"/>
            </w:pPr>
          </w:p>
        </w:tc>
      </w:tr>
    </w:tbl>
    <w:p w14:paraId="3863F703" w14:textId="77777777" w:rsidR="001614AC" w:rsidRDefault="004468F9">
      <w:pPr>
        <w:keepNext/>
        <w:spacing w:before="180" w:after="140" w:line="288" w:lineRule="auto"/>
        <w:rPr>
          <w:rFonts w:ascii="Arial" w:eastAsia="Arial" w:hAnsi="Arial" w:cs="Arial"/>
          <w:b/>
          <w:color w:val="002B49"/>
          <w:sz w:val="26"/>
        </w:rPr>
      </w:pPr>
      <w:r>
        <w:rPr>
          <w:rFonts w:ascii="Arial" w:eastAsia="Arial" w:hAnsi="Arial" w:cs="Arial"/>
          <w:b/>
          <w:color w:val="002B49"/>
          <w:sz w:val="26"/>
        </w:rPr>
        <w:t>Revenue</w:t>
      </w:r>
    </w:p>
    <w:p w14:paraId="6E080EAC" w14:textId="77777777" w:rsidR="001614AC" w:rsidRDefault="004468F9">
      <w:pPr>
        <w:keepNext/>
        <w:spacing w:before="100" w:after="100" w:line="288" w:lineRule="auto"/>
        <w:ind w:firstLine="450"/>
        <w:rPr>
          <w:rFonts w:ascii="Arial" w:eastAsia="Arial" w:hAnsi="Arial" w:cs="Arial"/>
          <w:b/>
          <w:color w:val="002B49"/>
          <w:sz w:val="18"/>
        </w:rPr>
      </w:pPr>
      <w:r>
        <w:rPr>
          <w:rFonts w:ascii="Arial" w:eastAsia="Arial" w:hAnsi="Arial" w:cs="Arial"/>
          <w:sz w:val="18"/>
        </w:rPr>
        <w:t>The reconciliation of revenue for our reportable segments to consolidated revenues is as follows.</w:t>
      </w:r>
    </w:p>
    <w:tbl>
      <w:tblPr>
        <w:tblW w:w="102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54"/>
        <w:gridCol w:w="107"/>
        <w:gridCol w:w="163"/>
        <w:gridCol w:w="760"/>
        <w:gridCol w:w="102"/>
        <w:gridCol w:w="107"/>
        <w:gridCol w:w="163"/>
        <w:gridCol w:w="760"/>
        <w:gridCol w:w="102"/>
        <w:gridCol w:w="107"/>
        <w:gridCol w:w="163"/>
        <w:gridCol w:w="760"/>
        <w:gridCol w:w="102"/>
        <w:gridCol w:w="107"/>
        <w:gridCol w:w="163"/>
        <w:gridCol w:w="760"/>
        <w:gridCol w:w="102"/>
      </w:tblGrid>
      <w:tr w:rsidR="001614AC" w14:paraId="7D50B6E6" w14:textId="77777777">
        <w:trPr>
          <w:cantSplit/>
        </w:trPr>
        <w:tc>
          <w:tcPr>
            <w:tcW w:w="10080" w:type="dxa"/>
            <w:gridSpan w:val="17"/>
            <w:tcBorders>
              <w:top w:val="nil"/>
              <w:left w:val="nil"/>
              <w:bottom w:val="single" w:sz="12" w:space="0" w:color="99AAB6"/>
              <w:right w:val="nil"/>
            </w:tcBorders>
            <w:tcMar>
              <w:top w:w="0" w:type="dxa"/>
              <w:left w:w="53" w:type="dxa"/>
              <w:bottom w:w="0" w:type="dxa"/>
              <w:right w:w="53" w:type="dxa"/>
            </w:tcMar>
            <w:vAlign w:val="bottom"/>
          </w:tcPr>
          <w:p w14:paraId="4627BB7E" w14:textId="77777777" w:rsidR="001614AC" w:rsidRDefault="004468F9">
            <w:pPr>
              <w:keepNext/>
              <w:spacing w:before="75" w:after="30" w:line="288" w:lineRule="auto"/>
            </w:pPr>
            <w:r>
              <w:rPr>
                <w:rFonts w:ascii="Arial" w:eastAsia="Arial" w:hAnsi="Arial" w:cs="Arial"/>
                <w:b/>
                <w:color w:val="000000"/>
                <w:sz w:val="20"/>
              </w:rPr>
              <w:t>Reconciliation of revenues by se</w:t>
            </w:r>
            <w:r>
              <w:rPr>
                <w:rFonts w:ascii="Arial" w:eastAsia="Arial" w:hAnsi="Arial" w:cs="Arial"/>
                <w:b/>
                <w:color w:val="000000"/>
                <w:sz w:val="20"/>
              </w:rPr>
              <w:t>gment</w:t>
            </w:r>
          </w:p>
        </w:tc>
      </w:tr>
      <w:tr w:rsidR="001614AC" w14:paraId="2A831CD6" w14:textId="77777777">
        <w:trPr>
          <w:cantSplit/>
          <w:trHeight w:hRule="exact" w:val="135"/>
        </w:trPr>
        <w:tc>
          <w:tcPr>
            <w:tcW w:w="5640" w:type="dxa"/>
            <w:tcBorders>
              <w:top w:val="nil"/>
              <w:left w:val="nil"/>
              <w:bottom w:val="nil"/>
              <w:right w:val="nil"/>
            </w:tcBorders>
            <w:tcMar>
              <w:top w:w="0" w:type="dxa"/>
              <w:left w:w="0" w:type="dxa"/>
              <w:bottom w:w="0" w:type="dxa"/>
              <w:right w:w="0" w:type="dxa"/>
            </w:tcMar>
            <w:vAlign w:val="bottom"/>
          </w:tcPr>
          <w:p w14:paraId="1C858580" w14:textId="77777777" w:rsidR="001614AC" w:rsidRDefault="001614AC">
            <w:pPr>
              <w:keepNext/>
            </w:pPr>
          </w:p>
        </w:tc>
        <w:tc>
          <w:tcPr>
            <w:tcW w:w="105" w:type="dxa"/>
            <w:tcBorders>
              <w:top w:val="single" w:sz="12" w:space="0" w:color="99AAB6"/>
              <w:left w:val="nil"/>
              <w:bottom w:val="nil"/>
              <w:right w:val="nil"/>
            </w:tcBorders>
            <w:tcMar>
              <w:top w:w="0" w:type="dxa"/>
              <w:left w:w="0" w:type="dxa"/>
              <w:bottom w:w="0" w:type="dxa"/>
              <w:right w:w="0" w:type="dxa"/>
            </w:tcMar>
            <w:vAlign w:val="bottom"/>
          </w:tcPr>
          <w:p w14:paraId="495F415D" w14:textId="77777777" w:rsidR="001614AC" w:rsidRDefault="001614AC">
            <w:pPr>
              <w:keepNext/>
            </w:pPr>
          </w:p>
        </w:tc>
        <w:tc>
          <w:tcPr>
            <w:tcW w:w="1005" w:type="dxa"/>
            <w:gridSpan w:val="3"/>
            <w:tcBorders>
              <w:top w:val="single" w:sz="12" w:space="0" w:color="99AAB6"/>
              <w:left w:val="nil"/>
              <w:bottom w:val="nil"/>
              <w:right w:val="nil"/>
            </w:tcBorders>
            <w:tcMar>
              <w:top w:w="0" w:type="dxa"/>
              <w:left w:w="0" w:type="dxa"/>
              <w:bottom w:w="0" w:type="dxa"/>
              <w:right w:w="0" w:type="dxa"/>
            </w:tcMar>
            <w:vAlign w:val="bottom"/>
          </w:tcPr>
          <w:p w14:paraId="665B59A9" w14:textId="77777777" w:rsidR="001614AC" w:rsidRDefault="001614AC">
            <w:pPr>
              <w:keepNext/>
            </w:pPr>
          </w:p>
        </w:tc>
        <w:tc>
          <w:tcPr>
            <w:tcW w:w="105" w:type="dxa"/>
            <w:tcBorders>
              <w:top w:val="single" w:sz="12" w:space="0" w:color="99AAB6"/>
              <w:left w:val="nil"/>
              <w:bottom w:val="nil"/>
              <w:right w:val="nil"/>
            </w:tcBorders>
            <w:tcMar>
              <w:top w:w="0" w:type="dxa"/>
              <w:left w:w="0" w:type="dxa"/>
              <w:bottom w:w="0" w:type="dxa"/>
              <w:right w:w="0" w:type="dxa"/>
            </w:tcMar>
            <w:vAlign w:val="bottom"/>
          </w:tcPr>
          <w:p w14:paraId="598B902B" w14:textId="77777777" w:rsidR="001614AC" w:rsidRDefault="001614AC">
            <w:pPr>
              <w:keepNext/>
            </w:pPr>
          </w:p>
        </w:tc>
        <w:tc>
          <w:tcPr>
            <w:tcW w:w="1005" w:type="dxa"/>
            <w:gridSpan w:val="3"/>
            <w:tcBorders>
              <w:top w:val="single" w:sz="12" w:space="0" w:color="99AAB6"/>
              <w:left w:val="nil"/>
              <w:bottom w:val="nil"/>
              <w:right w:val="nil"/>
            </w:tcBorders>
            <w:tcMar>
              <w:top w:w="0" w:type="dxa"/>
              <w:left w:w="0" w:type="dxa"/>
              <w:bottom w:w="0" w:type="dxa"/>
              <w:right w:w="0" w:type="dxa"/>
            </w:tcMar>
            <w:vAlign w:val="bottom"/>
          </w:tcPr>
          <w:p w14:paraId="5A26B16A" w14:textId="77777777" w:rsidR="001614AC" w:rsidRDefault="001614AC">
            <w:pPr>
              <w:keepNext/>
            </w:pPr>
          </w:p>
        </w:tc>
        <w:tc>
          <w:tcPr>
            <w:tcW w:w="105" w:type="dxa"/>
            <w:tcBorders>
              <w:top w:val="single" w:sz="12" w:space="0" w:color="99AAB6"/>
              <w:left w:val="nil"/>
              <w:bottom w:val="nil"/>
              <w:right w:val="nil"/>
            </w:tcBorders>
            <w:tcMar>
              <w:top w:w="0" w:type="dxa"/>
              <w:left w:w="0" w:type="dxa"/>
              <w:bottom w:w="0" w:type="dxa"/>
              <w:right w:w="0" w:type="dxa"/>
            </w:tcMar>
            <w:vAlign w:val="bottom"/>
          </w:tcPr>
          <w:p w14:paraId="197109A6" w14:textId="77777777" w:rsidR="001614AC" w:rsidRDefault="001614AC">
            <w:pPr>
              <w:keepNext/>
            </w:pPr>
          </w:p>
        </w:tc>
        <w:tc>
          <w:tcPr>
            <w:tcW w:w="1005" w:type="dxa"/>
            <w:gridSpan w:val="3"/>
            <w:tcBorders>
              <w:top w:val="single" w:sz="12" w:space="0" w:color="99AAB6"/>
              <w:left w:val="nil"/>
              <w:bottom w:val="nil"/>
              <w:right w:val="nil"/>
            </w:tcBorders>
            <w:tcMar>
              <w:top w:w="0" w:type="dxa"/>
              <w:left w:w="0" w:type="dxa"/>
              <w:bottom w:w="0" w:type="dxa"/>
              <w:right w:w="0" w:type="dxa"/>
            </w:tcMar>
            <w:vAlign w:val="bottom"/>
          </w:tcPr>
          <w:p w14:paraId="208BEC7D" w14:textId="77777777" w:rsidR="001614AC" w:rsidRDefault="001614AC">
            <w:pPr>
              <w:keepNext/>
            </w:pPr>
          </w:p>
        </w:tc>
        <w:tc>
          <w:tcPr>
            <w:tcW w:w="105" w:type="dxa"/>
            <w:tcBorders>
              <w:top w:val="single" w:sz="12" w:space="0" w:color="99AAB6"/>
              <w:left w:val="nil"/>
              <w:bottom w:val="nil"/>
              <w:right w:val="nil"/>
            </w:tcBorders>
            <w:tcMar>
              <w:top w:w="0" w:type="dxa"/>
              <w:left w:w="0" w:type="dxa"/>
              <w:bottom w:w="0" w:type="dxa"/>
              <w:right w:w="0" w:type="dxa"/>
            </w:tcMar>
            <w:vAlign w:val="bottom"/>
          </w:tcPr>
          <w:p w14:paraId="32FC4051" w14:textId="77777777" w:rsidR="001614AC" w:rsidRDefault="001614AC">
            <w:pPr>
              <w:keepNext/>
            </w:pPr>
          </w:p>
        </w:tc>
        <w:tc>
          <w:tcPr>
            <w:tcW w:w="1005" w:type="dxa"/>
            <w:gridSpan w:val="3"/>
            <w:tcBorders>
              <w:top w:val="single" w:sz="12" w:space="0" w:color="99AAB6"/>
              <w:left w:val="nil"/>
              <w:bottom w:val="nil"/>
              <w:right w:val="nil"/>
            </w:tcBorders>
            <w:tcMar>
              <w:top w:w="0" w:type="dxa"/>
              <w:left w:w="0" w:type="dxa"/>
              <w:bottom w:w="0" w:type="dxa"/>
              <w:right w:w="0" w:type="dxa"/>
            </w:tcMar>
            <w:vAlign w:val="bottom"/>
          </w:tcPr>
          <w:p w14:paraId="123C3327" w14:textId="77777777" w:rsidR="001614AC" w:rsidRDefault="001614AC">
            <w:pPr>
              <w:keepNext/>
            </w:pPr>
          </w:p>
        </w:tc>
      </w:tr>
      <w:tr w:rsidR="001614AC" w14:paraId="2366B163" w14:textId="77777777">
        <w:trPr>
          <w:cantSplit/>
        </w:trPr>
        <w:tc>
          <w:tcPr>
            <w:tcW w:w="5640" w:type="dxa"/>
            <w:tcBorders>
              <w:top w:val="nil"/>
              <w:left w:val="nil"/>
              <w:bottom w:val="nil"/>
              <w:right w:val="nil"/>
            </w:tcBorders>
            <w:tcMar>
              <w:top w:w="0" w:type="dxa"/>
              <w:left w:w="0" w:type="dxa"/>
              <w:bottom w:w="0" w:type="dxa"/>
              <w:right w:w="0" w:type="dxa"/>
            </w:tcMar>
            <w:vAlign w:val="bottom"/>
          </w:tcPr>
          <w:p w14:paraId="02F60407" w14:textId="77777777" w:rsidR="001614AC" w:rsidRDefault="001614AC">
            <w:pPr>
              <w:keepNext/>
            </w:pPr>
          </w:p>
        </w:tc>
        <w:tc>
          <w:tcPr>
            <w:tcW w:w="105" w:type="dxa"/>
            <w:tcBorders>
              <w:top w:val="nil"/>
              <w:left w:val="nil"/>
              <w:bottom w:val="nil"/>
              <w:right w:val="nil"/>
            </w:tcBorders>
            <w:tcMar>
              <w:top w:w="0" w:type="dxa"/>
              <w:left w:w="0" w:type="dxa"/>
              <w:bottom w:w="0" w:type="dxa"/>
              <w:right w:w="0" w:type="dxa"/>
            </w:tcMar>
            <w:vAlign w:val="bottom"/>
          </w:tcPr>
          <w:p w14:paraId="3305428E" w14:textId="77777777" w:rsidR="001614AC" w:rsidRDefault="001614AC">
            <w:pPr>
              <w:keepNext/>
            </w:pPr>
          </w:p>
        </w:tc>
        <w:tc>
          <w:tcPr>
            <w:tcW w:w="2115" w:type="dxa"/>
            <w:gridSpan w:val="7"/>
            <w:tcBorders>
              <w:top w:val="nil"/>
              <w:left w:val="nil"/>
              <w:bottom w:val="single" w:sz="8" w:space="0" w:color="FFFFFF"/>
              <w:right w:val="nil"/>
            </w:tcBorders>
            <w:tcMar>
              <w:top w:w="0" w:type="dxa"/>
              <w:left w:w="53" w:type="dxa"/>
              <w:bottom w:w="0" w:type="dxa"/>
              <w:right w:w="53" w:type="dxa"/>
            </w:tcMar>
            <w:vAlign w:val="bottom"/>
          </w:tcPr>
          <w:p w14:paraId="6BD71C66" w14:textId="77777777" w:rsidR="001614AC" w:rsidRDefault="004468F9">
            <w:pPr>
              <w:keepNext/>
              <w:spacing w:before="75" w:line="288" w:lineRule="auto"/>
              <w:jc w:val="center"/>
            </w:pPr>
            <w:r>
              <w:rPr>
                <w:rFonts w:ascii="Arial" w:eastAsia="Arial" w:hAnsi="Arial" w:cs="Arial"/>
                <w:b/>
                <w:color w:val="00BAB3"/>
                <w:sz w:val="18"/>
              </w:rPr>
              <w:t>Three Months Ended</w:t>
            </w:r>
          </w:p>
          <w:p w14:paraId="36696B98" w14:textId="77777777" w:rsidR="001614AC" w:rsidRDefault="004468F9">
            <w:pPr>
              <w:spacing w:after="30" w:line="288" w:lineRule="auto"/>
              <w:jc w:val="center"/>
            </w:pPr>
            <w:r>
              <w:rPr>
                <w:rFonts w:ascii="Arial" w:eastAsia="Arial" w:hAnsi="Arial" w:cs="Arial"/>
                <w:b/>
                <w:color w:val="00BAB3"/>
                <w:sz w:val="18"/>
              </w:rPr>
              <w:t>June 30,</w:t>
            </w:r>
          </w:p>
        </w:tc>
        <w:tc>
          <w:tcPr>
            <w:tcW w:w="105" w:type="dxa"/>
            <w:tcBorders>
              <w:top w:val="nil"/>
              <w:left w:val="nil"/>
              <w:bottom w:val="nil"/>
              <w:right w:val="nil"/>
            </w:tcBorders>
            <w:tcMar>
              <w:top w:w="0" w:type="dxa"/>
              <w:left w:w="0" w:type="dxa"/>
              <w:bottom w:w="0" w:type="dxa"/>
              <w:right w:w="0" w:type="dxa"/>
            </w:tcMar>
            <w:vAlign w:val="bottom"/>
          </w:tcPr>
          <w:p w14:paraId="0551677C" w14:textId="77777777" w:rsidR="001614AC" w:rsidRDefault="001614AC">
            <w:pPr>
              <w:keepNext/>
            </w:pPr>
          </w:p>
        </w:tc>
        <w:tc>
          <w:tcPr>
            <w:tcW w:w="2115" w:type="dxa"/>
            <w:gridSpan w:val="7"/>
            <w:tcBorders>
              <w:top w:val="nil"/>
              <w:left w:val="nil"/>
              <w:bottom w:val="single" w:sz="8" w:space="0" w:color="FFFFFF"/>
              <w:right w:val="nil"/>
            </w:tcBorders>
            <w:tcMar>
              <w:top w:w="0" w:type="dxa"/>
              <w:left w:w="53" w:type="dxa"/>
              <w:bottom w:w="0" w:type="dxa"/>
              <w:right w:w="53" w:type="dxa"/>
            </w:tcMar>
            <w:vAlign w:val="bottom"/>
          </w:tcPr>
          <w:p w14:paraId="1EFBBB8B" w14:textId="77777777" w:rsidR="001614AC" w:rsidRDefault="004468F9">
            <w:pPr>
              <w:keepNext/>
              <w:spacing w:before="75" w:line="288" w:lineRule="auto"/>
              <w:jc w:val="center"/>
            </w:pPr>
            <w:r>
              <w:rPr>
                <w:rFonts w:ascii="Arial" w:eastAsia="Arial" w:hAnsi="Arial" w:cs="Arial"/>
                <w:b/>
                <w:color w:val="00BAB3"/>
                <w:sz w:val="18"/>
              </w:rPr>
              <w:t>Six Months Ended</w:t>
            </w:r>
          </w:p>
          <w:p w14:paraId="3A567F84" w14:textId="77777777" w:rsidR="001614AC" w:rsidRDefault="004468F9">
            <w:pPr>
              <w:spacing w:after="30" w:line="288" w:lineRule="auto"/>
              <w:jc w:val="center"/>
            </w:pPr>
            <w:r>
              <w:rPr>
                <w:rFonts w:ascii="Arial" w:eastAsia="Arial" w:hAnsi="Arial" w:cs="Arial"/>
                <w:b/>
                <w:color w:val="00BAB3"/>
                <w:sz w:val="18"/>
              </w:rPr>
              <w:t>June 30,</w:t>
            </w:r>
          </w:p>
        </w:tc>
      </w:tr>
      <w:tr w:rsidR="001614AC" w14:paraId="3B2BA682" w14:textId="77777777">
        <w:trPr>
          <w:cantSplit/>
        </w:trPr>
        <w:tc>
          <w:tcPr>
            <w:tcW w:w="5640" w:type="dxa"/>
            <w:tcBorders>
              <w:top w:val="nil"/>
              <w:left w:val="nil"/>
              <w:bottom w:val="single" w:sz="8" w:space="0" w:color="C7C9C7"/>
              <w:right w:val="nil"/>
            </w:tcBorders>
            <w:tcMar>
              <w:top w:w="0" w:type="dxa"/>
              <w:left w:w="53" w:type="dxa"/>
              <w:bottom w:w="0" w:type="dxa"/>
              <w:right w:w="53" w:type="dxa"/>
            </w:tcMar>
            <w:vAlign w:val="bottom"/>
          </w:tcPr>
          <w:p w14:paraId="35AFF2EA" w14:textId="77777777" w:rsidR="001614AC" w:rsidRDefault="004468F9">
            <w:pPr>
              <w:keepNext/>
              <w:spacing w:before="75" w:after="30" w:line="288" w:lineRule="auto"/>
            </w:pPr>
            <w:r>
              <w:rPr>
                <w:rFonts w:ascii="Arial" w:eastAsia="Arial" w:hAnsi="Arial" w:cs="Arial"/>
                <w:color w:val="8B8886"/>
                <w:sz w:val="16"/>
              </w:rPr>
              <w:t>(In thousands)</w:t>
            </w:r>
          </w:p>
        </w:tc>
        <w:tc>
          <w:tcPr>
            <w:tcW w:w="105" w:type="dxa"/>
            <w:tcBorders>
              <w:top w:val="nil"/>
              <w:left w:val="nil"/>
              <w:bottom w:val="single" w:sz="8" w:space="0" w:color="C7C9C7"/>
              <w:right w:val="nil"/>
            </w:tcBorders>
            <w:tcMar>
              <w:top w:w="0" w:type="dxa"/>
              <w:left w:w="0" w:type="dxa"/>
              <w:bottom w:w="0" w:type="dxa"/>
              <w:right w:w="0" w:type="dxa"/>
            </w:tcMar>
            <w:vAlign w:val="bottom"/>
          </w:tcPr>
          <w:p w14:paraId="3A06CD94" w14:textId="77777777" w:rsidR="001614AC" w:rsidRDefault="001614AC">
            <w:pPr>
              <w:keepNext/>
            </w:pPr>
          </w:p>
        </w:tc>
        <w:tc>
          <w:tcPr>
            <w:tcW w:w="1005" w:type="dxa"/>
            <w:gridSpan w:val="3"/>
            <w:tcBorders>
              <w:top w:val="nil"/>
              <w:left w:val="nil"/>
              <w:bottom w:val="single" w:sz="8" w:space="0" w:color="C7C9C7"/>
              <w:right w:val="nil"/>
            </w:tcBorders>
            <w:shd w:val="clear" w:color="auto" w:fill="E6F8F8"/>
            <w:tcMar>
              <w:top w:w="0" w:type="dxa"/>
              <w:left w:w="53" w:type="dxa"/>
              <w:bottom w:w="0" w:type="dxa"/>
              <w:right w:w="53" w:type="dxa"/>
            </w:tcMar>
            <w:vAlign w:val="bottom"/>
          </w:tcPr>
          <w:p w14:paraId="3209870D" w14:textId="77777777" w:rsidR="001614AC" w:rsidRDefault="004468F9">
            <w:pPr>
              <w:keepNext/>
              <w:spacing w:before="55" w:after="30" w:line="288" w:lineRule="auto"/>
              <w:jc w:val="center"/>
            </w:pPr>
            <w:r>
              <w:rPr>
                <w:rFonts w:ascii="Arial" w:eastAsia="Arial" w:hAnsi="Arial" w:cs="Arial"/>
                <w:b/>
                <w:color w:val="00BAB3"/>
                <w:sz w:val="18"/>
              </w:rPr>
              <w:t>2021</w:t>
            </w:r>
          </w:p>
        </w:tc>
        <w:tc>
          <w:tcPr>
            <w:tcW w:w="105" w:type="dxa"/>
            <w:tcBorders>
              <w:top w:val="single" w:sz="8" w:space="0" w:color="FFFFFF"/>
              <w:left w:val="nil"/>
              <w:bottom w:val="single" w:sz="8" w:space="0" w:color="C7C9C7"/>
              <w:right w:val="nil"/>
            </w:tcBorders>
            <w:tcMar>
              <w:top w:w="0" w:type="dxa"/>
              <w:left w:w="0" w:type="dxa"/>
              <w:bottom w:w="0" w:type="dxa"/>
              <w:right w:w="0" w:type="dxa"/>
            </w:tcMar>
            <w:vAlign w:val="bottom"/>
          </w:tcPr>
          <w:p w14:paraId="328EC0DC" w14:textId="77777777" w:rsidR="001614AC" w:rsidRDefault="001614AC">
            <w:pPr>
              <w:keepNext/>
            </w:pPr>
          </w:p>
        </w:tc>
        <w:tc>
          <w:tcPr>
            <w:tcW w:w="1005" w:type="dxa"/>
            <w:gridSpan w:val="3"/>
            <w:tcBorders>
              <w:top w:val="single" w:sz="8" w:space="0" w:color="FFFFFF"/>
              <w:left w:val="nil"/>
              <w:bottom w:val="single" w:sz="8" w:space="0" w:color="C7C9C7"/>
              <w:right w:val="nil"/>
            </w:tcBorders>
            <w:shd w:val="clear" w:color="auto" w:fill="F4F4F4"/>
            <w:tcMar>
              <w:top w:w="0" w:type="dxa"/>
              <w:left w:w="53" w:type="dxa"/>
              <w:bottom w:w="0" w:type="dxa"/>
              <w:right w:w="53" w:type="dxa"/>
            </w:tcMar>
            <w:vAlign w:val="bottom"/>
          </w:tcPr>
          <w:p w14:paraId="2989882C" w14:textId="77777777" w:rsidR="001614AC" w:rsidRDefault="004468F9">
            <w:pPr>
              <w:keepNext/>
              <w:spacing w:before="55" w:after="30" w:line="288" w:lineRule="auto"/>
              <w:jc w:val="center"/>
            </w:pPr>
            <w:r>
              <w:rPr>
                <w:rFonts w:ascii="Arial" w:eastAsia="Arial" w:hAnsi="Arial" w:cs="Arial"/>
                <w:b/>
                <w:color w:val="00BAB3"/>
                <w:sz w:val="18"/>
              </w:rPr>
              <w:t>2020</w:t>
            </w:r>
          </w:p>
        </w:tc>
        <w:tc>
          <w:tcPr>
            <w:tcW w:w="105" w:type="dxa"/>
            <w:tcBorders>
              <w:top w:val="nil"/>
              <w:left w:val="nil"/>
              <w:bottom w:val="single" w:sz="8" w:space="0" w:color="C7C9C7"/>
              <w:right w:val="nil"/>
            </w:tcBorders>
            <w:tcMar>
              <w:top w:w="0" w:type="dxa"/>
              <w:left w:w="0" w:type="dxa"/>
              <w:bottom w:w="0" w:type="dxa"/>
              <w:right w:w="0" w:type="dxa"/>
            </w:tcMar>
            <w:vAlign w:val="bottom"/>
          </w:tcPr>
          <w:p w14:paraId="1C39C811" w14:textId="77777777" w:rsidR="001614AC" w:rsidRDefault="001614AC">
            <w:pPr>
              <w:keepNext/>
            </w:pPr>
          </w:p>
        </w:tc>
        <w:tc>
          <w:tcPr>
            <w:tcW w:w="1005" w:type="dxa"/>
            <w:gridSpan w:val="3"/>
            <w:tcBorders>
              <w:top w:val="nil"/>
              <w:left w:val="nil"/>
              <w:bottom w:val="single" w:sz="8" w:space="0" w:color="C7C9C7"/>
              <w:right w:val="nil"/>
            </w:tcBorders>
            <w:shd w:val="clear" w:color="auto" w:fill="E6F8F8"/>
            <w:tcMar>
              <w:top w:w="0" w:type="dxa"/>
              <w:left w:w="53" w:type="dxa"/>
              <w:bottom w:w="0" w:type="dxa"/>
              <w:right w:w="53" w:type="dxa"/>
            </w:tcMar>
            <w:vAlign w:val="bottom"/>
          </w:tcPr>
          <w:p w14:paraId="6FBD03F9" w14:textId="77777777" w:rsidR="001614AC" w:rsidRDefault="004468F9">
            <w:pPr>
              <w:keepNext/>
              <w:spacing w:before="55" w:after="30" w:line="288" w:lineRule="auto"/>
              <w:jc w:val="center"/>
            </w:pPr>
            <w:r>
              <w:rPr>
                <w:rFonts w:ascii="Arial" w:eastAsia="Arial" w:hAnsi="Arial" w:cs="Arial"/>
                <w:b/>
                <w:color w:val="00BAB3"/>
                <w:sz w:val="18"/>
              </w:rPr>
              <w:t>2021</w:t>
            </w:r>
          </w:p>
        </w:tc>
        <w:tc>
          <w:tcPr>
            <w:tcW w:w="105" w:type="dxa"/>
            <w:tcBorders>
              <w:top w:val="single" w:sz="8" w:space="0" w:color="FFFFFF"/>
              <w:left w:val="nil"/>
              <w:bottom w:val="single" w:sz="8" w:space="0" w:color="C7C9C7"/>
              <w:right w:val="nil"/>
            </w:tcBorders>
            <w:tcMar>
              <w:top w:w="0" w:type="dxa"/>
              <w:left w:w="0" w:type="dxa"/>
              <w:bottom w:w="0" w:type="dxa"/>
              <w:right w:w="0" w:type="dxa"/>
            </w:tcMar>
            <w:vAlign w:val="bottom"/>
          </w:tcPr>
          <w:p w14:paraId="414E5274" w14:textId="77777777" w:rsidR="001614AC" w:rsidRDefault="001614AC">
            <w:pPr>
              <w:keepNext/>
            </w:pPr>
          </w:p>
        </w:tc>
        <w:tc>
          <w:tcPr>
            <w:tcW w:w="1005" w:type="dxa"/>
            <w:gridSpan w:val="3"/>
            <w:tcBorders>
              <w:top w:val="single" w:sz="8" w:space="0" w:color="FFFFFF"/>
              <w:left w:val="nil"/>
              <w:bottom w:val="single" w:sz="8" w:space="0" w:color="C7C9C7"/>
              <w:right w:val="nil"/>
            </w:tcBorders>
            <w:shd w:val="clear" w:color="auto" w:fill="F4F4F4"/>
            <w:tcMar>
              <w:top w:w="0" w:type="dxa"/>
              <w:left w:w="53" w:type="dxa"/>
              <w:bottom w:w="0" w:type="dxa"/>
              <w:right w:w="53" w:type="dxa"/>
            </w:tcMar>
            <w:vAlign w:val="bottom"/>
          </w:tcPr>
          <w:p w14:paraId="74BE14AA" w14:textId="77777777" w:rsidR="001614AC" w:rsidRDefault="004468F9">
            <w:pPr>
              <w:keepNext/>
              <w:spacing w:before="55" w:after="30" w:line="288" w:lineRule="auto"/>
              <w:jc w:val="center"/>
            </w:pPr>
            <w:r>
              <w:rPr>
                <w:rFonts w:ascii="Arial" w:eastAsia="Arial" w:hAnsi="Arial" w:cs="Arial"/>
                <w:b/>
                <w:color w:val="00BAB3"/>
                <w:sz w:val="18"/>
              </w:rPr>
              <w:t>2020</w:t>
            </w:r>
          </w:p>
        </w:tc>
      </w:tr>
      <w:tr w:rsidR="001614AC" w14:paraId="24E47CC4" w14:textId="77777777">
        <w:trPr>
          <w:cantSplit/>
        </w:trPr>
        <w:tc>
          <w:tcPr>
            <w:tcW w:w="5640" w:type="dxa"/>
            <w:tcBorders>
              <w:top w:val="single" w:sz="8" w:space="0" w:color="C7C9C7"/>
              <w:left w:val="nil"/>
              <w:bottom w:val="single" w:sz="8" w:space="0" w:color="E9E9E9"/>
              <w:right w:val="nil"/>
            </w:tcBorders>
            <w:tcMar>
              <w:top w:w="0" w:type="dxa"/>
              <w:left w:w="53" w:type="dxa"/>
              <w:bottom w:w="0" w:type="dxa"/>
              <w:right w:w="53" w:type="dxa"/>
            </w:tcMar>
            <w:vAlign w:val="bottom"/>
          </w:tcPr>
          <w:p w14:paraId="149FA0AC" w14:textId="77777777" w:rsidR="001614AC" w:rsidRDefault="004468F9">
            <w:pPr>
              <w:keepNext/>
              <w:spacing w:before="55" w:after="30" w:line="288" w:lineRule="auto"/>
            </w:pPr>
            <w:r>
              <w:rPr>
                <w:rFonts w:ascii="Arial" w:eastAsia="Arial" w:hAnsi="Arial" w:cs="Arial"/>
                <w:color w:val="000000"/>
                <w:sz w:val="18"/>
              </w:rPr>
              <w:t>Revenues</w:t>
            </w:r>
          </w:p>
        </w:tc>
        <w:tc>
          <w:tcPr>
            <w:tcW w:w="105" w:type="dxa"/>
            <w:tcBorders>
              <w:top w:val="single" w:sz="8" w:space="0" w:color="C7C9C7"/>
              <w:left w:val="nil"/>
              <w:bottom w:val="nil"/>
              <w:right w:val="nil"/>
            </w:tcBorders>
            <w:tcMar>
              <w:top w:w="0" w:type="dxa"/>
              <w:left w:w="0" w:type="dxa"/>
              <w:bottom w:w="0" w:type="dxa"/>
              <w:right w:w="0" w:type="dxa"/>
            </w:tcMar>
            <w:vAlign w:val="bottom"/>
          </w:tcPr>
          <w:p w14:paraId="4AE398FC" w14:textId="77777777" w:rsidR="001614AC" w:rsidRDefault="001614AC">
            <w:pPr>
              <w:keepNext/>
            </w:pPr>
          </w:p>
        </w:tc>
        <w:tc>
          <w:tcPr>
            <w:tcW w:w="1005" w:type="dxa"/>
            <w:gridSpan w:val="3"/>
            <w:tcBorders>
              <w:top w:val="single" w:sz="8" w:space="0" w:color="C7C9C7"/>
              <w:left w:val="nil"/>
              <w:bottom w:val="single" w:sz="8" w:space="0" w:color="E9E9E9"/>
              <w:right w:val="nil"/>
            </w:tcBorders>
            <w:tcMar>
              <w:top w:w="0" w:type="dxa"/>
              <w:left w:w="0" w:type="dxa"/>
              <w:bottom w:w="0" w:type="dxa"/>
              <w:right w:w="0" w:type="dxa"/>
            </w:tcMar>
            <w:vAlign w:val="bottom"/>
          </w:tcPr>
          <w:p w14:paraId="1870E5B9" w14:textId="77777777" w:rsidR="001614AC" w:rsidRDefault="001614AC">
            <w:pPr>
              <w:keepNext/>
            </w:pPr>
          </w:p>
        </w:tc>
        <w:tc>
          <w:tcPr>
            <w:tcW w:w="105" w:type="dxa"/>
            <w:tcBorders>
              <w:top w:val="single" w:sz="8" w:space="0" w:color="C7C9C7"/>
              <w:left w:val="nil"/>
              <w:bottom w:val="nil"/>
              <w:right w:val="nil"/>
            </w:tcBorders>
            <w:tcMar>
              <w:top w:w="0" w:type="dxa"/>
              <w:left w:w="0" w:type="dxa"/>
              <w:bottom w:w="0" w:type="dxa"/>
              <w:right w:w="0" w:type="dxa"/>
            </w:tcMar>
            <w:vAlign w:val="bottom"/>
          </w:tcPr>
          <w:p w14:paraId="3E29AC72" w14:textId="77777777" w:rsidR="001614AC" w:rsidRDefault="001614AC">
            <w:pPr>
              <w:keepNext/>
            </w:pPr>
          </w:p>
        </w:tc>
        <w:tc>
          <w:tcPr>
            <w:tcW w:w="1005" w:type="dxa"/>
            <w:gridSpan w:val="3"/>
            <w:tcBorders>
              <w:top w:val="single" w:sz="8" w:space="0" w:color="C7C9C7"/>
              <w:left w:val="nil"/>
              <w:bottom w:val="single" w:sz="8" w:space="0" w:color="E9E9E9"/>
              <w:right w:val="nil"/>
            </w:tcBorders>
            <w:tcMar>
              <w:top w:w="0" w:type="dxa"/>
              <w:left w:w="0" w:type="dxa"/>
              <w:bottom w:w="0" w:type="dxa"/>
              <w:right w:w="0" w:type="dxa"/>
            </w:tcMar>
            <w:vAlign w:val="bottom"/>
          </w:tcPr>
          <w:p w14:paraId="5FC95AC4" w14:textId="77777777" w:rsidR="001614AC" w:rsidRDefault="001614AC">
            <w:pPr>
              <w:keepNext/>
            </w:pPr>
          </w:p>
        </w:tc>
        <w:tc>
          <w:tcPr>
            <w:tcW w:w="105" w:type="dxa"/>
            <w:tcBorders>
              <w:top w:val="single" w:sz="8" w:space="0" w:color="C7C9C7"/>
              <w:left w:val="nil"/>
              <w:bottom w:val="nil"/>
              <w:right w:val="nil"/>
            </w:tcBorders>
            <w:tcMar>
              <w:top w:w="0" w:type="dxa"/>
              <w:left w:w="0" w:type="dxa"/>
              <w:bottom w:w="0" w:type="dxa"/>
              <w:right w:w="0" w:type="dxa"/>
            </w:tcMar>
            <w:vAlign w:val="bottom"/>
          </w:tcPr>
          <w:p w14:paraId="4AAC0ABD" w14:textId="77777777" w:rsidR="001614AC" w:rsidRDefault="001614AC">
            <w:pPr>
              <w:keepNext/>
            </w:pPr>
          </w:p>
        </w:tc>
        <w:tc>
          <w:tcPr>
            <w:tcW w:w="1005" w:type="dxa"/>
            <w:gridSpan w:val="3"/>
            <w:tcBorders>
              <w:top w:val="single" w:sz="8" w:space="0" w:color="C7C9C7"/>
              <w:left w:val="nil"/>
              <w:bottom w:val="single" w:sz="8" w:space="0" w:color="E9E9E9"/>
              <w:right w:val="nil"/>
            </w:tcBorders>
            <w:tcMar>
              <w:top w:w="0" w:type="dxa"/>
              <w:left w:w="0" w:type="dxa"/>
              <w:bottom w:w="0" w:type="dxa"/>
              <w:right w:w="0" w:type="dxa"/>
            </w:tcMar>
            <w:vAlign w:val="bottom"/>
          </w:tcPr>
          <w:p w14:paraId="4524BFF7" w14:textId="77777777" w:rsidR="001614AC" w:rsidRDefault="001614AC">
            <w:pPr>
              <w:keepNext/>
            </w:pPr>
          </w:p>
        </w:tc>
        <w:tc>
          <w:tcPr>
            <w:tcW w:w="105" w:type="dxa"/>
            <w:tcBorders>
              <w:top w:val="single" w:sz="8" w:space="0" w:color="C7C9C7"/>
              <w:left w:val="nil"/>
              <w:bottom w:val="nil"/>
              <w:right w:val="nil"/>
            </w:tcBorders>
            <w:tcMar>
              <w:top w:w="0" w:type="dxa"/>
              <w:left w:w="0" w:type="dxa"/>
              <w:bottom w:w="0" w:type="dxa"/>
              <w:right w:w="0" w:type="dxa"/>
            </w:tcMar>
            <w:vAlign w:val="bottom"/>
          </w:tcPr>
          <w:p w14:paraId="2DE52F43" w14:textId="77777777" w:rsidR="001614AC" w:rsidRDefault="001614AC">
            <w:pPr>
              <w:keepNext/>
            </w:pPr>
          </w:p>
        </w:tc>
        <w:tc>
          <w:tcPr>
            <w:tcW w:w="1005" w:type="dxa"/>
            <w:gridSpan w:val="3"/>
            <w:tcBorders>
              <w:top w:val="single" w:sz="8" w:space="0" w:color="C7C9C7"/>
              <w:left w:val="nil"/>
              <w:bottom w:val="single" w:sz="8" w:space="0" w:color="E9E9E9"/>
              <w:right w:val="nil"/>
            </w:tcBorders>
            <w:tcMar>
              <w:top w:w="0" w:type="dxa"/>
              <w:left w:w="0" w:type="dxa"/>
              <w:bottom w:w="0" w:type="dxa"/>
              <w:right w:w="0" w:type="dxa"/>
            </w:tcMar>
            <w:vAlign w:val="bottom"/>
          </w:tcPr>
          <w:p w14:paraId="4C52F096" w14:textId="77777777" w:rsidR="001614AC" w:rsidRDefault="001614AC">
            <w:pPr>
              <w:keepNext/>
            </w:pPr>
          </w:p>
        </w:tc>
      </w:tr>
      <w:tr w:rsidR="001614AC" w14:paraId="0A8FEAC8" w14:textId="77777777">
        <w:trPr>
          <w:cantSplit/>
        </w:trPr>
        <w:tc>
          <w:tcPr>
            <w:tcW w:w="5640" w:type="dxa"/>
            <w:tcBorders>
              <w:top w:val="single" w:sz="8" w:space="0" w:color="E9E9E9"/>
              <w:left w:val="nil"/>
              <w:bottom w:val="single" w:sz="8" w:space="0" w:color="E9E9E9"/>
              <w:right w:val="nil"/>
            </w:tcBorders>
            <w:tcMar>
              <w:top w:w="0" w:type="dxa"/>
              <w:left w:w="53" w:type="dxa"/>
              <w:bottom w:w="0" w:type="dxa"/>
              <w:right w:w="53" w:type="dxa"/>
            </w:tcMar>
            <w:vAlign w:val="bottom"/>
          </w:tcPr>
          <w:p w14:paraId="6C932F9C" w14:textId="77777777" w:rsidR="001614AC" w:rsidRDefault="004468F9">
            <w:pPr>
              <w:keepNext/>
              <w:spacing w:before="55" w:after="30" w:line="288" w:lineRule="auto"/>
              <w:ind w:left="240"/>
              <w:rPr>
                <w:rFonts w:ascii="Arial" w:eastAsia="Arial" w:hAnsi="Arial" w:cs="Arial"/>
                <w:sz w:val="18"/>
              </w:rPr>
            </w:pPr>
            <w:r>
              <w:rPr>
                <w:rFonts w:ascii="Arial" w:eastAsia="Arial" w:hAnsi="Arial" w:cs="Arial"/>
                <w:sz w:val="18"/>
              </w:rPr>
              <w:t xml:space="preserve">Mortgage </w:t>
            </w:r>
            <w:r>
              <w:rPr>
                <w:rFonts w:ascii="Arial" w:eastAsia="Arial" w:hAnsi="Arial" w:cs="Arial"/>
                <w:sz w:val="18"/>
                <w:vertAlign w:val="superscript"/>
              </w:rPr>
              <w:t xml:space="preserve">(1) </w:t>
            </w:r>
          </w:p>
        </w:tc>
        <w:tc>
          <w:tcPr>
            <w:tcW w:w="105" w:type="dxa"/>
            <w:tcBorders>
              <w:top w:val="nil"/>
              <w:left w:val="nil"/>
              <w:bottom w:val="nil"/>
              <w:right w:val="nil"/>
            </w:tcBorders>
            <w:tcMar>
              <w:top w:w="0" w:type="dxa"/>
              <w:left w:w="0" w:type="dxa"/>
              <w:bottom w:w="0" w:type="dxa"/>
              <w:right w:w="0" w:type="dxa"/>
            </w:tcMar>
            <w:vAlign w:val="bottom"/>
          </w:tcPr>
          <w:p w14:paraId="65966DA7" w14:textId="77777777" w:rsidR="001614AC" w:rsidRDefault="001614AC">
            <w:pPr>
              <w:keepNext/>
            </w:pPr>
          </w:p>
        </w:tc>
        <w:tc>
          <w:tcPr>
            <w:tcW w:w="160" w:type="dxa"/>
            <w:tcBorders>
              <w:top w:val="single" w:sz="8" w:space="0" w:color="E9E9E9"/>
              <w:left w:val="nil"/>
              <w:bottom w:val="single" w:sz="8" w:space="0" w:color="E9E9E9"/>
              <w:right w:val="nil"/>
            </w:tcBorders>
            <w:tcMar>
              <w:top w:w="0" w:type="dxa"/>
              <w:left w:w="53" w:type="dxa"/>
              <w:bottom w:w="0" w:type="dxa"/>
              <w:right w:w="0" w:type="dxa"/>
            </w:tcMar>
            <w:vAlign w:val="bottom"/>
          </w:tcPr>
          <w:p w14:paraId="56F994C8" w14:textId="77777777" w:rsidR="001614AC" w:rsidRDefault="004468F9">
            <w:pPr>
              <w:keepNext/>
              <w:spacing w:before="55" w:after="30" w:line="288" w:lineRule="auto"/>
            </w:pPr>
            <w:r>
              <w:rPr>
                <w:rFonts w:ascii="Arial" w:eastAsia="Arial" w:hAnsi="Arial" w:cs="Arial"/>
                <w:color w:val="000000"/>
                <w:sz w:val="18"/>
              </w:rPr>
              <w:t>$</w:t>
            </w:r>
          </w:p>
        </w:tc>
        <w:tc>
          <w:tcPr>
            <w:tcW w:w="745" w:type="dxa"/>
            <w:tcBorders>
              <w:top w:val="single" w:sz="8" w:space="0" w:color="E9E9E9"/>
              <w:left w:val="nil"/>
              <w:bottom w:val="single" w:sz="8" w:space="0" w:color="E9E9E9"/>
              <w:right w:val="nil"/>
            </w:tcBorders>
            <w:tcMar>
              <w:top w:w="0" w:type="dxa"/>
              <w:left w:w="0" w:type="dxa"/>
              <w:bottom w:w="0" w:type="dxa"/>
              <w:right w:w="0" w:type="dxa"/>
            </w:tcMar>
            <w:vAlign w:val="bottom"/>
          </w:tcPr>
          <w:p w14:paraId="3FCD92D3" w14:textId="77777777" w:rsidR="001614AC" w:rsidRDefault="004468F9">
            <w:pPr>
              <w:keepNext/>
              <w:spacing w:before="55" w:after="30" w:line="288" w:lineRule="auto"/>
              <w:jc w:val="right"/>
            </w:pPr>
            <w:r>
              <w:rPr>
                <w:rFonts w:ascii="Arial" w:eastAsia="Arial" w:hAnsi="Arial" w:cs="Arial"/>
                <w:color w:val="000000"/>
                <w:sz w:val="18"/>
              </w:rPr>
              <w:t>284,301 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4C867E25" w14:textId="77777777" w:rsidR="001614AC" w:rsidRDefault="001614AC">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5EA234F2" w14:textId="77777777" w:rsidR="001614AC" w:rsidRDefault="001614AC">
            <w:pPr>
              <w:keepNext/>
            </w:pPr>
          </w:p>
        </w:tc>
        <w:tc>
          <w:tcPr>
            <w:tcW w:w="160" w:type="dxa"/>
            <w:tcBorders>
              <w:top w:val="single" w:sz="8" w:space="0" w:color="E9E9E9"/>
              <w:left w:val="nil"/>
              <w:bottom w:val="single" w:sz="8" w:space="0" w:color="E9E9E9"/>
              <w:right w:val="nil"/>
            </w:tcBorders>
            <w:tcMar>
              <w:top w:w="0" w:type="dxa"/>
              <w:left w:w="53" w:type="dxa"/>
              <w:bottom w:w="0" w:type="dxa"/>
              <w:right w:w="0" w:type="dxa"/>
            </w:tcMar>
            <w:vAlign w:val="bottom"/>
          </w:tcPr>
          <w:p w14:paraId="0FD60A26" w14:textId="77777777" w:rsidR="001614AC" w:rsidRDefault="004468F9">
            <w:pPr>
              <w:keepNext/>
              <w:spacing w:before="55" w:after="30" w:line="288" w:lineRule="auto"/>
            </w:pPr>
            <w:r>
              <w:rPr>
                <w:rFonts w:ascii="Arial" w:eastAsia="Arial" w:hAnsi="Arial" w:cs="Arial"/>
                <w:color w:val="000000"/>
                <w:sz w:val="18"/>
              </w:rPr>
              <w:t>$</w:t>
            </w:r>
          </w:p>
        </w:tc>
        <w:tc>
          <w:tcPr>
            <w:tcW w:w="745" w:type="dxa"/>
            <w:tcBorders>
              <w:top w:val="single" w:sz="8" w:space="0" w:color="E9E9E9"/>
              <w:left w:val="nil"/>
              <w:bottom w:val="single" w:sz="8" w:space="0" w:color="E9E9E9"/>
              <w:right w:val="nil"/>
            </w:tcBorders>
            <w:tcMar>
              <w:top w:w="0" w:type="dxa"/>
              <w:left w:w="0" w:type="dxa"/>
              <w:bottom w:w="0" w:type="dxa"/>
              <w:right w:w="0" w:type="dxa"/>
            </w:tcMar>
            <w:vAlign w:val="bottom"/>
          </w:tcPr>
          <w:p w14:paraId="21500C4E" w14:textId="77777777" w:rsidR="001614AC" w:rsidRDefault="004468F9">
            <w:pPr>
              <w:keepNext/>
              <w:spacing w:before="55" w:after="30" w:line="288" w:lineRule="auto"/>
              <w:jc w:val="right"/>
            </w:pPr>
            <w:r>
              <w:rPr>
                <w:rFonts w:ascii="Arial" w:eastAsia="Arial" w:hAnsi="Arial" w:cs="Arial"/>
                <w:color w:val="000000"/>
                <w:sz w:val="18"/>
              </w:rPr>
              <w:t>286,943 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16F4BE2B" w14:textId="77777777" w:rsidR="001614AC" w:rsidRDefault="001614AC">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46302314" w14:textId="77777777" w:rsidR="001614AC" w:rsidRDefault="001614AC">
            <w:pPr>
              <w:keepNext/>
            </w:pPr>
          </w:p>
        </w:tc>
        <w:tc>
          <w:tcPr>
            <w:tcW w:w="160" w:type="dxa"/>
            <w:tcBorders>
              <w:top w:val="single" w:sz="8" w:space="0" w:color="E9E9E9"/>
              <w:left w:val="nil"/>
              <w:bottom w:val="single" w:sz="8" w:space="0" w:color="E9E9E9"/>
              <w:right w:val="nil"/>
            </w:tcBorders>
            <w:tcMar>
              <w:top w:w="0" w:type="dxa"/>
              <w:left w:w="53" w:type="dxa"/>
              <w:bottom w:w="0" w:type="dxa"/>
              <w:right w:w="0" w:type="dxa"/>
            </w:tcMar>
            <w:vAlign w:val="bottom"/>
          </w:tcPr>
          <w:p w14:paraId="3FBE9D98" w14:textId="77777777" w:rsidR="001614AC" w:rsidRDefault="004468F9">
            <w:pPr>
              <w:keepNext/>
              <w:spacing w:before="55" w:after="30" w:line="288" w:lineRule="auto"/>
            </w:pPr>
            <w:r>
              <w:rPr>
                <w:rFonts w:ascii="Arial" w:eastAsia="Arial" w:hAnsi="Arial" w:cs="Arial"/>
                <w:color w:val="000000"/>
                <w:sz w:val="18"/>
              </w:rPr>
              <w:t>$</w:t>
            </w:r>
          </w:p>
        </w:tc>
        <w:tc>
          <w:tcPr>
            <w:tcW w:w="745" w:type="dxa"/>
            <w:tcBorders>
              <w:top w:val="single" w:sz="8" w:space="0" w:color="E9E9E9"/>
              <w:left w:val="nil"/>
              <w:bottom w:val="single" w:sz="8" w:space="0" w:color="E9E9E9"/>
              <w:right w:val="nil"/>
            </w:tcBorders>
            <w:tcMar>
              <w:top w:w="0" w:type="dxa"/>
              <w:left w:w="0" w:type="dxa"/>
              <w:bottom w:w="0" w:type="dxa"/>
              <w:right w:w="0" w:type="dxa"/>
            </w:tcMar>
            <w:vAlign w:val="bottom"/>
          </w:tcPr>
          <w:p w14:paraId="0EB09635" w14:textId="77777777" w:rsidR="001614AC" w:rsidRDefault="004468F9">
            <w:pPr>
              <w:keepNext/>
              <w:spacing w:before="55" w:after="30" w:line="288" w:lineRule="auto"/>
              <w:jc w:val="right"/>
            </w:pPr>
            <w:r>
              <w:rPr>
                <w:rFonts w:ascii="Arial" w:eastAsia="Arial" w:hAnsi="Arial" w:cs="Arial"/>
                <w:color w:val="000000"/>
                <w:sz w:val="18"/>
              </w:rPr>
              <w:t>588,098 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277F1565" w14:textId="77777777" w:rsidR="001614AC" w:rsidRDefault="001614AC">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516488A0" w14:textId="77777777" w:rsidR="001614AC" w:rsidRDefault="001614AC">
            <w:pPr>
              <w:keepNext/>
            </w:pPr>
          </w:p>
        </w:tc>
        <w:tc>
          <w:tcPr>
            <w:tcW w:w="160" w:type="dxa"/>
            <w:tcBorders>
              <w:top w:val="single" w:sz="8" w:space="0" w:color="E9E9E9"/>
              <w:left w:val="nil"/>
              <w:bottom w:val="single" w:sz="8" w:space="0" w:color="E9E9E9"/>
              <w:right w:val="nil"/>
            </w:tcBorders>
            <w:tcMar>
              <w:top w:w="0" w:type="dxa"/>
              <w:left w:w="53" w:type="dxa"/>
              <w:bottom w:w="0" w:type="dxa"/>
              <w:right w:w="0" w:type="dxa"/>
            </w:tcMar>
            <w:vAlign w:val="bottom"/>
          </w:tcPr>
          <w:p w14:paraId="18DA402A" w14:textId="77777777" w:rsidR="001614AC" w:rsidRDefault="004468F9">
            <w:pPr>
              <w:keepNext/>
              <w:spacing w:before="55" w:after="30" w:line="288" w:lineRule="auto"/>
            </w:pPr>
            <w:r>
              <w:rPr>
                <w:rFonts w:ascii="Arial" w:eastAsia="Arial" w:hAnsi="Arial" w:cs="Arial"/>
                <w:color w:val="000000"/>
                <w:sz w:val="18"/>
              </w:rPr>
              <w:t>$</w:t>
            </w:r>
          </w:p>
        </w:tc>
        <w:tc>
          <w:tcPr>
            <w:tcW w:w="745" w:type="dxa"/>
            <w:tcBorders>
              <w:top w:val="single" w:sz="8" w:space="0" w:color="E9E9E9"/>
              <w:left w:val="nil"/>
              <w:bottom w:val="single" w:sz="8" w:space="0" w:color="E9E9E9"/>
              <w:right w:val="nil"/>
            </w:tcBorders>
            <w:tcMar>
              <w:top w:w="0" w:type="dxa"/>
              <w:left w:w="0" w:type="dxa"/>
              <w:bottom w:w="0" w:type="dxa"/>
              <w:right w:w="0" w:type="dxa"/>
            </w:tcMar>
            <w:vAlign w:val="bottom"/>
          </w:tcPr>
          <w:p w14:paraId="07DC3D2A" w14:textId="77777777" w:rsidR="001614AC" w:rsidRDefault="004468F9">
            <w:pPr>
              <w:keepNext/>
              <w:spacing w:before="55" w:after="30" w:line="288" w:lineRule="auto"/>
              <w:jc w:val="right"/>
            </w:pPr>
            <w:r>
              <w:rPr>
                <w:rFonts w:ascii="Arial" w:eastAsia="Arial" w:hAnsi="Arial" w:cs="Arial"/>
                <w:color w:val="000000"/>
                <w:sz w:val="18"/>
              </w:rPr>
              <w:t>602,027 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272326B0" w14:textId="77777777" w:rsidR="001614AC" w:rsidRDefault="001614AC">
            <w:pPr>
              <w:keepNext/>
              <w:spacing w:before="55" w:after="30" w:line="288" w:lineRule="auto"/>
              <w:jc w:val="right"/>
            </w:pPr>
          </w:p>
        </w:tc>
      </w:tr>
      <w:tr w:rsidR="001614AC" w14:paraId="1532E360" w14:textId="77777777">
        <w:trPr>
          <w:cantSplit/>
        </w:trPr>
        <w:tc>
          <w:tcPr>
            <w:tcW w:w="5640" w:type="dxa"/>
            <w:tcBorders>
              <w:top w:val="single" w:sz="8" w:space="0" w:color="E9E9E9"/>
              <w:left w:val="nil"/>
              <w:bottom w:val="nil"/>
              <w:right w:val="nil"/>
            </w:tcBorders>
            <w:tcMar>
              <w:top w:w="0" w:type="dxa"/>
              <w:left w:w="53" w:type="dxa"/>
              <w:bottom w:w="0" w:type="dxa"/>
              <w:right w:w="53" w:type="dxa"/>
            </w:tcMar>
            <w:vAlign w:val="bottom"/>
          </w:tcPr>
          <w:p w14:paraId="4E2EC103" w14:textId="77777777" w:rsidR="001614AC" w:rsidRDefault="004468F9">
            <w:pPr>
              <w:keepNext/>
              <w:spacing w:before="55" w:after="30" w:line="288" w:lineRule="auto"/>
              <w:ind w:left="240"/>
              <w:rPr>
                <w:rFonts w:ascii="Arial" w:eastAsia="Arial" w:hAnsi="Arial" w:cs="Arial"/>
                <w:sz w:val="18"/>
              </w:rPr>
            </w:pPr>
            <w:r>
              <w:rPr>
                <w:rFonts w:ascii="Arial" w:eastAsia="Arial" w:hAnsi="Arial" w:cs="Arial"/>
                <w:sz w:val="18"/>
              </w:rPr>
              <w:t>homegenius</w:t>
            </w:r>
            <w:r>
              <w:rPr>
                <w:rFonts w:ascii="Arial" w:eastAsia="Arial" w:hAnsi="Arial" w:cs="Arial"/>
                <w:sz w:val="18"/>
                <w:vertAlign w:val="superscript"/>
              </w:rPr>
              <w:t xml:space="preserve"> (2)</w:t>
            </w:r>
            <w:r>
              <w:rPr>
                <w:rFonts w:ascii="Arial" w:eastAsia="Arial" w:hAnsi="Arial" w:cs="Arial"/>
                <w:sz w:val="18"/>
              </w:rPr>
              <w:t xml:space="preserve"> </w:t>
            </w:r>
          </w:p>
        </w:tc>
        <w:tc>
          <w:tcPr>
            <w:tcW w:w="105" w:type="dxa"/>
            <w:tcBorders>
              <w:top w:val="nil"/>
              <w:left w:val="nil"/>
              <w:bottom w:val="nil"/>
              <w:right w:val="nil"/>
            </w:tcBorders>
            <w:tcMar>
              <w:top w:w="0" w:type="dxa"/>
              <w:left w:w="0" w:type="dxa"/>
              <w:bottom w:w="0" w:type="dxa"/>
              <w:right w:w="0" w:type="dxa"/>
            </w:tcMar>
            <w:vAlign w:val="bottom"/>
          </w:tcPr>
          <w:p w14:paraId="72AF7F6E" w14:textId="77777777" w:rsidR="001614AC" w:rsidRDefault="001614AC">
            <w:pPr>
              <w:keepNext/>
            </w:pPr>
          </w:p>
        </w:tc>
        <w:tc>
          <w:tcPr>
            <w:tcW w:w="905" w:type="dxa"/>
            <w:gridSpan w:val="2"/>
            <w:tcBorders>
              <w:top w:val="single" w:sz="8" w:space="0" w:color="E9E9E9"/>
              <w:left w:val="nil"/>
              <w:bottom w:val="single" w:sz="8" w:space="0" w:color="C7C9C7"/>
              <w:right w:val="nil"/>
            </w:tcBorders>
            <w:tcMar>
              <w:top w:w="0" w:type="dxa"/>
              <w:left w:w="53" w:type="dxa"/>
              <w:bottom w:w="0" w:type="dxa"/>
              <w:right w:w="0" w:type="dxa"/>
            </w:tcMar>
            <w:vAlign w:val="bottom"/>
          </w:tcPr>
          <w:p w14:paraId="51B89C04" w14:textId="77777777" w:rsidR="001614AC" w:rsidRDefault="004468F9">
            <w:pPr>
              <w:keepNext/>
              <w:spacing w:before="55" w:after="30" w:line="288" w:lineRule="auto"/>
              <w:jc w:val="right"/>
            </w:pPr>
            <w:r>
              <w:rPr>
                <w:rFonts w:ascii="Arial" w:eastAsia="Arial" w:hAnsi="Arial" w:cs="Arial"/>
                <w:color w:val="000000"/>
                <w:sz w:val="18"/>
              </w:rPr>
              <w:t>33,451 </w:t>
            </w:r>
          </w:p>
        </w:tc>
        <w:tc>
          <w:tcPr>
            <w:tcW w:w="100" w:type="dxa"/>
            <w:tcBorders>
              <w:top w:val="single" w:sz="8" w:space="0" w:color="E9E9E9"/>
              <w:left w:val="nil"/>
              <w:bottom w:val="single" w:sz="8" w:space="0" w:color="C7C9C7"/>
              <w:right w:val="nil"/>
            </w:tcBorders>
            <w:tcMar>
              <w:top w:w="0" w:type="dxa"/>
              <w:left w:w="0" w:type="dxa"/>
              <w:bottom w:w="0" w:type="dxa"/>
              <w:right w:w="15" w:type="dxa"/>
            </w:tcMar>
            <w:vAlign w:val="bottom"/>
          </w:tcPr>
          <w:p w14:paraId="32462570" w14:textId="77777777" w:rsidR="001614AC" w:rsidRDefault="001614AC">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48170750" w14:textId="77777777" w:rsidR="001614AC" w:rsidRDefault="001614AC">
            <w:pPr>
              <w:keepNext/>
            </w:pPr>
          </w:p>
        </w:tc>
        <w:tc>
          <w:tcPr>
            <w:tcW w:w="905" w:type="dxa"/>
            <w:gridSpan w:val="2"/>
            <w:tcBorders>
              <w:top w:val="single" w:sz="8" w:space="0" w:color="E9E9E9"/>
              <w:left w:val="nil"/>
              <w:bottom w:val="single" w:sz="8" w:space="0" w:color="C7C9C7"/>
              <w:right w:val="nil"/>
            </w:tcBorders>
            <w:tcMar>
              <w:top w:w="0" w:type="dxa"/>
              <w:left w:w="53" w:type="dxa"/>
              <w:bottom w:w="0" w:type="dxa"/>
              <w:right w:w="0" w:type="dxa"/>
            </w:tcMar>
            <w:vAlign w:val="bottom"/>
          </w:tcPr>
          <w:p w14:paraId="368068CC" w14:textId="77777777" w:rsidR="001614AC" w:rsidRDefault="004468F9">
            <w:pPr>
              <w:keepNext/>
              <w:spacing w:before="55" w:after="30" w:line="288" w:lineRule="auto"/>
              <w:jc w:val="right"/>
            </w:pPr>
            <w:r>
              <w:rPr>
                <w:rFonts w:ascii="Arial" w:eastAsia="Arial" w:hAnsi="Arial" w:cs="Arial"/>
                <w:color w:val="000000"/>
                <w:sz w:val="18"/>
              </w:rPr>
              <w:t>22,548 </w:t>
            </w:r>
          </w:p>
        </w:tc>
        <w:tc>
          <w:tcPr>
            <w:tcW w:w="100" w:type="dxa"/>
            <w:tcBorders>
              <w:top w:val="single" w:sz="8" w:space="0" w:color="E9E9E9"/>
              <w:left w:val="nil"/>
              <w:bottom w:val="single" w:sz="8" w:space="0" w:color="C7C9C7"/>
              <w:right w:val="nil"/>
            </w:tcBorders>
            <w:tcMar>
              <w:top w:w="0" w:type="dxa"/>
              <w:left w:w="0" w:type="dxa"/>
              <w:bottom w:w="0" w:type="dxa"/>
              <w:right w:w="15" w:type="dxa"/>
            </w:tcMar>
            <w:vAlign w:val="bottom"/>
          </w:tcPr>
          <w:p w14:paraId="774120B0" w14:textId="77777777" w:rsidR="001614AC" w:rsidRDefault="001614AC">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18900430" w14:textId="77777777" w:rsidR="001614AC" w:rsidRDefault="001614AC">
            <w:pPr>
              <w:keepNext/>
            </w:pPr>
          </w:p>
        </w:tc>
        <w:tc>
          <w:tcPr>
            <w:tcW w:w="905" w:type="dxa"/>
            <w:gridSpan w:val="2"/>
            <w:tcBorders>
              <w:top w:val="single" w:sz="8" w:space="0" w:color="E9E9E9"/>
              <w:left w:val="nil"/>
              <w:bottom w:val="single" w:sz="8" w:space="0" w:color="C7C9C7"/>
              <w:right w:val="nil"/>
            </w:tcBorders>
            <w:tcMar>
              <w:top w:w="0" w:type="dxa"/>
              <w:left w:w="53" w:type="dxa"/>
              <w:bottom w:w="0" w:type="dxa"/>
              <w:right w:w="0" w:type="dxa"/>
            </w:tcMar>
            <w:vAlign w:val="bottom"/>
          </w:tcPr>
          <w:p w14:paraId="67FD6FD7" w14:textId="77777777" w:rsidR="001614AC" w:rsidRDefault="004468F9">
            <w:pPr>
              <w:keepNext/>
              <w:spacing w:before="55" w:after="30" w:line="288" w:lineRule="auto"/>
              <w:jc w:val="right"/>
            </w:pPr>
            <w:r>
              <w:rPr>
                <w:rFonts w:ascii="Arial" w:eastAsia="Arial" w:hAnsi="Arial" w:cs="Arial"/>
                <w:color w:val="000000"/>
                <w:sz w:val="18"/>
              </w:rPr>
              <w:t>59,246 </w:t>
            </w:r>
          </w:p>
        </w:tc>
        <w:tc>
          <w:tcPr>
            <w:tcW w:w="100" w:type="dxa"/>
            <w:tcBorders>
              <w:top w:val="single" w:sz="8" w:space="0" w:color="E9E9E9"/>
              <w:left w:val="nil"/>
              <w:bottom w:val="single" w:sz="8" w:space="0" w:color="C7C9C7"/>
              <w:right w:val="nil"/>
            </w:tcBorders>
            <w:tcMar>
              <w:top w:w="0" w:type="dxa"/>
              <w:left w:w="0" w:type="dxa"/>
              <w:bottom w:w="0" w:type="dxa"/>
              <w:right w:w="15" w:type="dxa"/>
            </w:tcMar>
            <w:vAlign w:val="bottom"/>
          </w:tcPr>
          <w:p w14:paraId="00B8731C" w14:textId="77777777" w:rsidR="001614AC" w:rsidRDefault="001614AC">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3F24B125" w14:textId="77777777" w:rsidR="001614AC" w:rsidRDefault="001614AC">
            <w:pPr>
              <w:keepNext/>
            </w:pPr>
          </w:p>
        </w:tc>
        <w:tc>
          <w:tcPr>
            <w:tcW w:w="905" w:type="dxa"/>
            <w:gridSpan w:val="2"/>
            <w:tcBorders>
              <w:top w:val="single" w:sz="8" w:space="0" w:color="E9E9E9"/>
              <w:left w:val="nil"/>
              <w:bottom w:val="single" w:sz="8" w:space="0" w:color="C7C9C7"/>
              <w:right w:val="nil"/>
            </w:tcBorders>
            <w:tcMar>
              <w:top w:w="0" w:type="dxa"/>
              <w:left w:w="53" w:type="dxa"/>
              <w:bottom w:w="0" w:type="dxa"/>
              <w:right w:w="0" w:type="dxa"/>
            </w:tcMar>
            <w:vAlign w:val="bottom"/>
          </w:tcPr>
          <w:p w14:paraId="7DACA637" w14:textId="77777777" w:rsidR="001614AC" w:rsidRDefault="004468F9">
            <w:pPr>
              <w:keepNext/>
              <w:spacing w:before="55" w:after="30" w:line="288" w:lineRule="auto"/>
              <w:jc w:val="right"/>
            </w:pPr>
            <w:r>
              <w:rPr>
                <w:rFonts w:ascii="Arial" w:eastAsia="Arial" w:hAnsi="Arial" w:cs="Arial"/>
                <w:color w:val="000000"/>
                <w:sz w:val="18"/>
              </w:rPr>
              <w:t>49,073 </w:t>
            </w:r>
          </w:p>
        </w:tc>
        <w:tc>
          <w:tcPr>
            <w:tcW w:w="100" w:type="dxa"/>
            <w:tcBorders>
              <w:top w:val="single" w:sz="8" w:space="0" w:color="E9E9E9"/>
              <w:left w:val="nil"/>
              <w:bottom w:val="single" w:sz="8" w:space="0" w:color="C7C9C7"/>
              <w:right w:val="nil"/>
            </w:tcBorders>
            <w:tcMar>
              <w:top w:w="0" w:type="dxa"/>
              <w:left w:w="0" w:type="dxa"/>
              <w:bottom w:w="0" w:type="dxa"/>
              <w:right w:w="15" w:type="dxa"/>
            </w:tcMar>
            <w:vAlign w:val="bottom"/>
          </w:tcPr>
          <w:p w14:paraId="6371861D" w14:textId="77777777" w:rsidR="001614AC" w:rsidRDefault="001614AC">
            <w:pPr>
              <w:keepNext/>
              <w:spacing w:before="55" w:after="30" w:line="288" w:lineRule="auto"/>
              <w:jc w:val="right"/>
            </w:pPr>
          </w:p>
        </w:tc>
      </w:tr>
      <w:tr w:rsidR="001614AC" w14:paraId="33C6E835" w14:textId="77777777">
        <w:trPr>
          <w:cantSplit/>
        </w:trPr>
        <w:tc>
          <w:tcPr>
            <w:tcW w:w="5640" w:type="dxa"/>
            <w:tcBorders>
              <w:top w:val="nil"/>
              <w:left w:val="nil"/>
              <w:bottom w:val="nil"/>
              <w:right w:val="nil"/>
            </w:tcBorders>
            <w:shd w:val="clear" w:color="auto" w:fill="F4F4F4"/>
            <w:tcMar>
              <w:top w:w="0" w:type="dxa"/>
              <w:left w:w="53" w:type="dxa"/>
              <w:bottom w:w="0" w:type="dxa"/>
              <w:right w:w="53" w:type="dxa"/>
            </w:tcMar>
            <w:vAlign w:val="bottom"/>
          </w:tcPr>
          <w:p w14:paraId="5C498F5F" w14:textId="77777777" w:rsidR="001614AC" w:rsidRDefault="004468F9">
            <w:pPr>
              <w:keepNext/>
              <w:spacing w:before="75" w:after="30" w:line="288" w:lineRule="auto"/>
              <w:ind w:left="240"/>
            </w:pPr>
            <w:r>
              <w:rPr>
                <w:rFonts w:ascii="Arial" w:eastAsia="Arial" w:hAnsi="Arial" w:cs="Arial"/>
                <w:color w:val="000000"/>
                <w:sz w:val="18"/>
              </w:rPr>
              <w:t>Total revenues for reportable segments</w:t>
            </w:r>
          </w:p>
        </w:tc>
        <w:tc>
          <w:tcPr>
            <w:tcW w:w="105" w:type="dxa"/>
            <w:tcBorders>
              <w:top w:val="nil"/>
              <w:left w:val="nil"/>
              <w:bottom w:val="nil"/>
              <w:right w:val="nil"/>
            </w:tcBorders>
            <w:shd w:val="clear" w:color="auto" w:fill="F4F4F4"/>
            <w:tcMar>
              <w:top w:w="0" w:type="dxa"/>
              <w:left w:w="0" w:type="dxa"/>
              <w:bottom w:w="0" w:type="dxa"/>
              <w:right w:w="0" w:type="dxa"/>
            </w:tcMar>
            <w:vAlign w:val="bottom"/>
          </w:tcPr>
          <w:p w14:paraId="0D0E23E1" w14:textId="77777777" w:rsidR="001614AC" w:rsidRDefault="001614AC">
            <w:pPr>
              <w:keepNext/>
            </w:pPr>
          </w:p>
        </w:tc>
        <w:tc>
          <w:tcPr>
            <w:tcW w:w="905" w:type="dxa"/>
            <w:gridSpan w:val="2"/>
            <w:tcBorders>
              <w:top w:val="single" w:sz="8" w:space="0" w:color="C7C9C7"/>
              <w:left w:val="nil"/>
              <w:bottom w:val="nil"/>
              <w:right w:val="nil"/>
            </w:tcBorders>
            <w:shd w:val="clear" w:color="auto" w:fill="F4F4F4"/>
            <w:tcMar>
              <w:top w:w="0" w:type="dxa"/>
              <w:left w:w="53" w:type="dxa"/>
              <w:bottom w:w="0" w:type="dxa"/>
              <w:right w:w="0" w:type="dxa"/>
            </w:tcMar>
            <w:vAlign w:val="bottom"/>
          </w:tcPr>
          <w:p w14:paraId="72832595" w14:textId="77777777" w:rsidR="001614AC" w:rsidRDefault="004468F9">
            <w:pPr>
              <w:keepNext/>
              <w:spacing w:before="55" w:after="30" w:line="288" w:lineRule="auto"/>
              <w:jc w:val="right"/>
            </w:pPr>
            <w:r>
              <w:rPr>
                <w:rFonts w:ascii="Arial" w:eastAsia="Arial" w:hAnsi="Arial" w:cs="Arial"/>
                <w:color w:val="000000"/>
                <w:sz w:val="18"/>
              </w:rPr>
              <w:t>317,752 </w:t>
            </w:r>
          </w:p>
        </w:tc>
        <w:tc>
          <w:tcPr>
            <w:tcW w:w="100" w:type="dxa"/>
            <w:tcBorders>
              <w:top w:val="single" w:sz="8" w:space="0" w:color="C7C9C7"/>
              <w:left w:val="nil"/>
              <w:bottom w:val="nil"/>
              <w:right w:val="nil"/>
            </w:tcBorders>
            <w:shd w:val="clear" w:color="auto" w:fill="F4F4F4"/>
            <w:tcMar>
              <w:top w:w="0" w:type="dxa"/>
              <w:left w:w="0" w:type="dxa"/>
              <w:bottom w:w="0" w:type="dxa"/>
              <w:right w:w="15" w:type="dxa"/>
            </w:tcMar>
            <w:vAlign w:val="bottom"/>
          </w:tcPr>
          <w:p w14:paraId="2C45C3D6" w14:textId="77777777" w:rsidR="001614AC" w:rsidRDefault="001614AC">
            <w:pPr>
              <w:keepNext/>
              <w:spacing w:before="55" w:after="30" w:line="288" w:lineRule="auto"/>
              <w:jc w:val="right"/>
            </w:pPr>
          </w:p>
        </w:tc>
        <w:tc>
          <w:tcPr>
            <w:tcW w:w="105" w:type="dxa"/>
            <w:tcBorders>
              <w:top w:val="nil"/>
              <w:left w:val="nil"/>
              <w:bottom w:val="nil"/>
              <w:right w:val="nil"/>
            </w:tcBorders>
            <w:shd w:val="clear" w:color="auto" w:fill="F4F4F4"/>
            <w:tcMar>
              <w:top w:w="0" w:type="dxa"/>
              <w:left w:w="0" w:type="dxa"/>
              <w:bottom w:w="0" w:type="dxa"/>
              <w:right w:w="0" w:type="dxa"/>
            </w:tcMar>
            <w:vAlign w:val="bottom"/>
          </w:tcPr>
          <w:p w14:paraId="0B76A237" w14:textId="77777777" w:rsidR="001614AC" w:rsidRDefault="001614AC">
            <w:pPr>
              <w:keepNext/>
            </w:pPr>
          </w:p>
        </w:tc>
        <w:tc>
          <w:tcPr>
            <w:tcW w:w="905" w:type="dxa"/>
            <w:gridSpan w:val="2"/>
            <w:tcBorders>
              <w:top w:val="single" w:sz="8" w:space="0" w:color="C7C9C7"/>
              <w:left w:val="nil"/>
              <w:bottom w:val="nil"/>
              <w:right w:val="nil"/>
            </w:tcBorders>
            <w:shd w:val="clear" w:color="auto" w:fill="F4F4F4"/>
            <w:tcMar>
              <w:top w:w="0" w:type="dxa"/>
              <w:left w:w="53" w:type="dxa"/>
              <w:bottom w:w="0" w:type="dxa"/>
              <w:right w:w="0" w:type="dxa"/>
            </w:tcMar>
            <w:vAlign w:val="bottom"/>
          </w:tcPr>
          <w:p w14:paraId="6139D7AB" w14:textId="77777777" w:rsidR="001614AC" w:rsidRDefault="004468F9">
            <w:pPr>
              <w:keepNext/>
              <w:spacing w:before="55" w:after="30" w:line="288" w:lineRule="auto"/>
              <w:jc w:val="right"/>
            </w:pPr>
            <w:r>
              <w:rPr>
                <w:rFonts w:ascii="Arial" w:eastAsia="Arial" w:hAnsi="Arial" w:cs="Arial"/>
                <w:color w:val="000000"/>
                <w:sz w:val="18"/>
              </w:rPr>
              <w:t>309,491 </w:t>
            </w:r>
          </w:p>
        </w:tc>
        <w:tc>
          <w:tcPr>
            <w:tcW w:w="100" w:type="dxa"/>
            <w:tcBorders>
              <w:top w:val="single" w:sz="8" w:space="0" w:color="C7C9C7"/>
              <w:left w:val="nil"/>
              <w:bottom w:val="nil"/>
              <w:right w:val="nil"/>
            </w:tcBorders>
            <w:shd w:val="clear" w:color="auto" w:fill="F4F4F4"/>
            <w:tcMar>
              <w:top w:w="0" w:type="dxa"/>
              <w:left w:w="0" w:type="dxa"/>
              <w:bottom w:w="0" w:type="dxa"/>
              <w:right w:w="15" w:type="dxa"/>
            </w:tcMar>
            <w:vAlign w:val="bottom"/>
          </w:tcPr>
          <w:p w14:paraId="0313A41A" w14:textId="77777777" w:rsidR="001614AC" w:rsidRDefault="001614AC">
            <w:pPr>
              <w:keepNext/>
              <w:spacing w:before="55" w:after="30" w:line="288" w:lineRule="auto"/>
              <w:jc w:val="right"/>
            </w:pPr>
          </w:p>
        </w:tc>
        <w:tc>
          <w:tcPr>
            <w:tcW w:w="105" w:type="dxa"/>
            <w:tcBorders>
              <w:top w:val="nil"/>
              <w:left w:val="nil"/>
              <w:bottom w:val="nil"/>
              <w:right w:val="nil"/>
            </w:tcBorders>
            <w:shd w:val="clear" w:color="auto" w:fill="F4F4F4"/>
            <w:tcMar>
              <w:top w:w="0" w:type="dxa"/>
              <w:left w:w="0" w:type="dxa"/>
              <w:bottom w:w="0" w:type="dxa"/>
              <w:right w:w="0" w:type="dxa"/>
            </w:tcMar>
            <w:vAlign w:val="bottom"/>
          </w:tcPr>
          <w:p w14:paraId="238B18EB" w14:textId="77777777" w:rsidR="001614AC" w:rsidRDefault="001614AC">
            <w:pPr>
              <w:keepNext/>
            </w:pPr>
          </w:p>
        </w:tc>
        <w:tc>
          <w:tcPr>
            <w:tcW w:w="905" w:type="dxa"/>
            <w:gridSpan w:val="2"/>
            <w:tcBorders>
              <w:top w:val="single" w:sz="8" w:space="0" w:color="C7C9C7"/>
              <w:left w:val="nil"/>
              <w:bottom w:val="nil"/>
              <w:right w:val="nil"/>
            </w:tcBorders>
            <w:shd w:val="clear" w:color="auto" w:fill="F4F4F4"/>
            <w:tcMar>
              <w:top w:w="0" w:type="dxa"/>
              <w:left w:w="53" w:type="dxa"/>
              <w:bottom w:w="0" w:type="dxa"/>
              <w:right w:w="0" w:type="dxa"/>
            </w:tcMar>
            <w:vAlign w:val="bottom"/>
          </w:tcPr>
          <w:p w14:paraId="2A47ADF1" w14:textId="77777777" w:rsidR="001614AC" w:rsidRDefault="004468F9">
            <w:pPr>
              <w:keepNext/>
              <w:spacing w:before="55" w:after="30" w:line="288" w:lineRule="auto"/>
              <w:jc w:val="right"/>
            </w:pPr>
            <w:r>
              <w:rPr>
                <w:rFonts w:ascii="Arial" w:eastAsia="Arial" w:hAnsi="Arial" w:cs="Arial"/>
                <w:color w:val="000000"/>
                <w:sz w:val="18"/>
              </w:rPr>
              <w:t>647,344 </w:t>
            </w:r>
          </w:p>
        </w:tc>
        <w:tc>
          <w:tcPr>
            <w:tcW w:w="100" w:type="dxa"/>
            <w:tcBorders>
              <w:top w:val="single" w:sz="8" w:space="0" w:color="C7C9C7"/>
              <w:left w:val="nil"/>
              <w:bottom w:val="nil"/>
              <w:right w:val="nil"/>
            </w:tcBorders>
            <w:shd w:val="clear" w:color="auto" w:fill="F4F4F4"/>
            <w:tcMar>
              <w:top w:w="0" w:type="dxa"/>
              <w:left w:w="0" w:type="dxa"/>
              <w:bottom w:w="0" w:type="dxa"/>
              <w:right w:w="15" w:type="dxa"/>
            </w:tcMar>
            <w:vAlign w:val="bottom"/>
          </w:tcPr>
          <w:p w14:paraId="1AE8B45F" w14:textId="77777777" w:rsidR="001614AC" w:rsidRDefault="001614AC">
            <w:pPr>
              <w:keepNext/>
              <w:spacing w:before="55" w:after="30" w:line="288" w:lineRule="auto"/>
              <w:jc w:val="right"/>
            </w:pPr>
          </w:p>
        </w:tc>
        <w:tc>
          <w:tcPr>
            <w:tcW w:w="105" w:type="dxa"/>
            <w:tcBorders>
              <w:top w:val="nil"/>
              <w:left w:val="nil"/>
              <w:bottom w:val="nil"/>
              <w:right w:val="nil"/>
            </w:tcBorders>
            <w:shd w:val="clear" w:color="auto" w:fill="F4F4F4"/>
            <w:tcMar>
              <w:top w:w="0" w:type="dxa"/>
              <w:left w:w="0" w:type="dxa"/>
              <w:bottom w:w="0" w:type="dxa"/>
              <w:right w:w="0" w:type="dxa"/>
            </w:tcMar>
            <w:vAlign w:val="bottom"/>
          </w:tcPr>
          <w:p w14:paraId="6C5C4E5E" w14:textId="77777777" w:rsidR="001614AC" w:rsidRDefault="001614AC">
            <w:pPr>
              <w:keepNext/>
            </w:pPr>
          </w:p>
        </w:tc>
        <w:tc>
          <w:tcPr>
            <w:tcW w:w="905" w:type="dxa"/>
            <w:gridSpan w:val="2"/>
            <w:tcBorders>
              <w:top w:val="single" w:sz="8" w:space="0" w:color="C7C9C7"/>
              <w:left w:val="nil"/>
              <w:bottom w:val="nil"/>
              <w:right w:val="nil"/>
            </w:tcBorders>
            <w:shd w:val="clear" w:color="auto" w:fill="F4F4F4"/>
            <w:tcMar>
              <w:top w:w="0" w:type="dxa"/>
              <w:left w:w="53" w:type="dxa"/>
              <w:bottom w:w="0" w:type="dxa"/>
              <w:right w:w="0" w:type="dxa"/>
            </w:tcMar>
            <w:vAlign w:val="bottom"/>
          </w:tcPr>
          <w:p w14:paraId="2C374C48" w14:textId="77777777" w:rsidR="001614AC" w:rsidRDefault="004468F9">
            <w:pPr>
              <w:keepNext/>
              <w:spacing w:before="55" w:after="30" w:line="288" w:lineRule="auto"/>
              <w:jc w:val="right"/>
            </w:pPr>
            <w:r>
              <w:rPr>
                <w:rFonts w:ascii="Arial" w:eastAsia="Arial" w:hAnsi="Arial" w:cs="Arial"/>
                <w:color w:val="000000"/>
                <w:sz w:val="18"/>
              </w:rPr>
              <w:t>651,100 </w:t>
            </w:r>
          </w:p>
        </w:tc>
        <w:tc>
          <w:tcPr>
            <w:tcW w:w="100" w:type="dxa"/>
            <w:tcBorders>
              <w:top w:val="single" w:sz="8" w:space="0" w:color="C7C9C7"/>
              <w:left w:val="nil"/>
              <w:bottom w:val="nil"/>
              <w:right w:val="nil"/>
            </w:tcBorders>
            <w:shd w:val="clear" w:color="auto" w:fill="F4F4F4"/>
            <w:tcMar>
              <w:top w:w="0" w:type="dxa"/>
              <w:left w:w="0" w:type="dxa"/>
              <w:bottom w:w="0" w:type="dxa"/>
              <w:right w:w="15" w:type="dxa"/>
            </w:tcMar>
            <w:vAlign w:val="bottom"/>
          </w:tcPr>
          <w:p w14:paraId="607641CB" w14:textId="77777777" w:rsidR="001614AC" w:rsidRDefault="001614AC">
            <w:pPr>
              <w:keepNext/>
              <w:spacing w:before="55" w:after="30" w:line="288" w:lineRule="auto"/>
              <w:jc w:val="right"/>
            </w:pPr>
          </w:p>
        </w:tc>
      </w:tr>
      <w:tr w:rsidR="001614AC" w14:paraId="07475D80" w14:textId="77777777">
        <w:trPr>
          <w:cantSplit/>
        </w:trPr>
        <w:tc>
          <w:tcPr>
            <w:tcW w:w="5640" w:type="dxa"/>
            <w:tcBorders>
              <w:top w:val="nil"/>
              <w:left w:val="nil"/>
              <w:bottom w:val="single" w:sz="8" w:space="0" w:color="E9E9E9"/>
              <w:right w:val="nil"/>
            </w:tcBorders>
            <w:tcMar>
              <w:top w:w="0" w:type="dxa"/>
              <w:left w:w="53" w:type="dxa"/>
              <w:bottom w:w="0" w:type="dxa"/>
              <w:right w:w="53" w:type="dxa"/>
            </w:tcMar>
            <w:vAlign w:val="bottom"/>
          </w:tcPr>
          <w:p w14:paraId="70C6FC76" w14:textId="77777777" w:rsidR="001614AC" w:rsidRDefault="004468F9">
            <w:pPr>
              <w:keepNext/>
              <w:spacing w:before="75" w:after="30" w:line="288" w:lineRule="auto"/>
              <w:rPr>
                <w:rFonts w:ascii="Arial" w:eastAsia="Arial" w:hAnsi="Arial" w:cs="Arial"/>
                <w:sz w:val="18"/>
              </w:rPr>
            </w:pPr>
            <w:r>
              <w:rPr>
                <w:rFonts w:ascii="Arial" w:eastAsia="Arial" w:hAnsi="Arial" w:cs="Arial"/>
                <w:sz w:val="18"/>
              </w:rPr>
              <w:t xml:space="preserve">All Other revenues </w:t>
            </w:r>
            <w:r>
              <w:rPr>
                <w:rFonts w:ascii="Arial" w:eastAsia="Arial" w:hAnsi="Arial" w:cs="Arial"/>
                <w:sz w:val="18"/>
                <w:vertAlign w:val="superscript"/>
              </w:rPr>
              <w:t xml:space="preserve">(1) </w:t>
            </w:r>
          </w:p>
        </w:tc>
        <w:tc>
          <w:tcPr>
            <w:tcW w:w="105" w:type="dxa"/>
            <w:tcBorders>
              <w:top w:val="nil"/>
              <w:left w:val="nil"/>
              <w:bottom w:val="nil"/>
              <w:right w:val="nil"/>
            </w:tcBorders>
            <w:tcMar>
              <w:top w:w="0" w:type="dxa"/>
              <w:left w:w="0" w:type="dxa"/>
              <w:bottom w:w="0" w:type="dxa"/>
              <w:right w:w="0" w:type="dxa"/>
            </w:tcMar>
            <w:vAlign w:val="bottom"/>
          </w:tcPr>
          <w:p w14:paraId="1CD03873" w14:textId="77777777" w:rsidR="001614AC" w:rsidRDefault="001614AC">
            <w:pPr>
              <w:keepNext/>
            </w:pPr>
          </w:p>
        </w:tc>
        <w:tc>
          <w:tcPr>
            <w:tcW w:w="905" w:type="dxa"/>
            <w:gridSpan w:val="2"/>
            <w:tcBorders>
              <w:top w:val="nil"/>
              <w:left w:val="nil"/>
              <w:bottom w:val="single" w:sz="8" w:space="0" w:color="E9E9E9"/>
              <w:right w:val="nil"/>
            </w:tcBorders>
            <w:tcMar>
              <w:top w:w="0" w:type="dxa"/>
              <w:left w:w="53" w:type="dxa"/>
              <w:bottom w:w="0" w:type="dxa"/>
              <w:right w:w="0" w:type="dxa"/>
            </w:tcMar>
            <w:vAlign w:val="bottom"/>
          </w:tcPr>
          <w:p w14:paraId="7B1257BC" w14:textId="77777777" w:rsidR="001614AC" w:rsidRDefault="004468F9">
            <w:pPr>
              <w:keepNext/>
              <w:spacing w:before="75" w:after="30" w:line="288" w:lineRule="auto"/>
              <w:jc w:val="right"/>
            </w:pPr>
            <w:r>
              <w:rPr>
                <w:rFonts w:ascii="Arial" w:eastAsia="Arial" w:hAnsi="Arial" w:cs="Arial"/>
                <w:color w:val="000000"/>
                <w:sz w:val="18"/>
              </w:rPr>
              <w:t>3,643 </w:t>
            </w:r>
          </w:p>
        </w:tc>
        <w:tc>
          <w:tcPr>
            <w:tcW w:w="100" w:type="dxa"/>
            <w:tcBorders>
              <w:top w:val="nil"/>
              <w:left w:val="nil"/>
              <w:bottom w:val="single" w:sz="8" w:space="0" w:color="E9E9E9"/>
              <w:right w:val="nil"/>
            </w:tcBorders>
            <w:tcMar>
              <w:top w:w="0" w:type="dxa"/>
              <w:left w:w="0" w:type="dxa"/>
              <w:bottom w:w="0" w:type="dxa"/>
              <w:right w:w="15" w:type="dxa"/>
            </w:tcMar>
            <w:vAlign w:val="bottom"/>
          </w:tcPr>
          <w:p w14:paraId="09BCBDD6" w14:textId="77777777" w:rsidR="001614AC" w:rsidRDefault="001614AC">
            <w:pPr>
              <w:keepNext/>
              <w:spacing w:before="7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28CB7C02" w14:textId="77777777" w:rsidR="001614AC" w:rsidRDefault="001614AC">
            <w:pPr>
              <w:keepNext/>
            </w:pPr>
          </w:p>
        </w:tc>
        <w:tc>
          <w:tcPr>
            <w:tcW w:w="905" w:type="dxa"/>
            <w:gridSpan w:val="2"/>
            <w:tcBorders>
              <w:top w:val="nil"/>
              <w:left w:val="nil"/>
              <w:bottom w:val="single" w:sz="8" w:space="0" w:color="E9E9E9"/>
              <w:right w:val="nil"/>
            </w:tcBorders>
            <w:tcMar>
              <w:top w:w="0" w:type="dxa"/>
              <w:left w:w="53" w:type="dxa"/>
              <w:bottom w:w="0" w:type="dxa"/>
              <w:right w:w="0" w:type="dxa"/>
            </w:tcMar>
            <w:vAlign w:val="bottom"/>
          </w:tcPr>
          <w:p w14:paraId="21611439" w14:textId="77777777" w:rsidR="001614AC" w:rsidRDefault="004468F9">
            <w:pPr>
              <w:keepNext/>
              <w:spacing w:before="75" w:after="30" w:line="288" w:lineRule="auto"/>
              <w:jc w:val="right"/>
            </w:pPr>
            <w:r>
              <w:rPr>
                <w:rFonts w:ascii="Arial" w:eastAsia="Arial" w:hAnsi="Arial" w:cs="Arial"/>
                <w:color w:val="000000"/>
                <w:sz w:val="18"/>
              </w:rPr>
              <w:t>7,537 </w:t>
            </w:r>
          </w:p>
        </w:tc>
        <w:tc>
          <w:tcPr>
            <w:tcW w:w="100" w:type="dxa"/>
            <w:tcBorders>
              <w:top w:val="nil"/>
              <w:left w:val="nil"/>
              <w:bottom w:val="single" w:sz="8" w:space="0" w:color="E9E9E9"/>
              <w:right w:val="nil"/>
            </w:tcBorders>
            <w:tcMar>
              <w:top w:w="0" w:type="dxa"/>
              <w:left w:w="0" w:type="dxa"/>
              <w:bottom w:w="0" w:type="dxa"/>
              <w:right w:w="15" w:type="dxa"/>
            </w:tcMar>
            <w:vAlign w:val="bottom"/>
          </w:tcPr>
          <w:p w14:paraId="24518ABA" w14:textId="77777777" w:rsidR="001614AC" w:rsidRDefault="001614AC">
            <w:pPr>
              <w:keepNext/>
              <w:spacing w:before="7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6743C800" w14:textId="77777777" w:rsidR="001614AC" w:rsidRDefault="001614AC">
            <w:pPr>
              <w:keepNext/>
            </w:pPr>
          </w:p>
        </w:tc>
        <w:tc>
          <w:tcPr>
            <w:tcW w:w="905" w:type="dxa"/>
            <w:gridSpan w:val="2"/>
            <w:tcBorders>
              <w:top w:val="nil"/>
              <w:left w:val="nil"/>
              <w:bottom w:val="single" w:sz="8" w:space="0" w:color="E9E9E9"/>
              <w:right w:val="nil"/>
            </w:tcBorders>
            <w:tcMar>
              <w:top w:w="0" w:type="dxa"/>
              <w:left w:w="53" w:type="dxa"/>
              <w:bottom w:w="0" w:type="dxa"/>
              <w:right w:w="0" w:type="dxa"/>
            </w:tcMar>
            <w:vAlign w:val="bottom"/>
          </w:tcPr>
          <w:p w14:paraId="2E5C9E50" w14:textId="77777777" w:rsidR="001614AC" w:rsidRDefault="004468F9">
            <w:pPr>
              <w:keepNext/>
              <w:spacing w:before="75" w:after="30" w:line="288" w:lineRule="auto"/>
              <w:jc w:val="right"/>
            </w:pPr>
            <w:r>
              <w:rPr>
                <w:rFonts w:ascii="Arial" w:eastAsia="Arial" w:hAnsi="Arial" w:cs="Arial"/>
                <w:color w:val="000000"/>
                <w:sz w:val="18"/>
              </w:rPr>
              <w:t>8,104 </w:t>
            </w:r>
          </w:p>
        </w:tc>
        <w:tc>
          <w:tcPr>
            <w:tcW w:w="100" w:type="dxa"/>
            <w:tcBorders>
              <w:top w:val="nil"/>
              <w:left w:val="nil"/>
              <w:bottom w:val="single" w:sz="8" w:space="0" w:color="E9E9E9"/>
              <w:right w:val="nil"/>
            </w:tcBorders>
            <w:tcMar>
              <w:top w:w="0" w:type="dxa"/>
              <w:left w:w="0" w:type="dxa"/>
              <w:bottom w:w="0" w:type="dxa"/>
              <w:right w:w="15" w:type="dxa"/>
            </w:tcMar>
            <w:vAlign w:val="bottom"/>
          </w:tcPr>
          <w:p w14:paraId="323235A2" w14:textId="77777777" w:rsidR="001614AC" w:rsidRDefault="001614AC">
            <w:pPr>
              <w:keepNext/>
              <w:spacing w:before="7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4B406822" w14:textId="77777777" w:rsidR="001614AC" w:rsidRDefault="001614AC">
            <w:pPr>
              <w:keepNext/>
            </w:pPr>
          </w:p>
        </w:tc>
        <w:tc>
          <w:tcPr>
            <w:tcW w:w="905" w:type="dxa"/>
            <w:gridSpan w:val="2"/>
            <w:tcBorders>
              <w:top w:val="nil"/>
              <w:left w:val="nil"/>
              <w:bottom w:val="single" w:sz="8" w:space="0" w:color="E9E9E9"/>
              <w:right w:val="nil"/>
            </w:tcBorders>
            <w:tcMar>
              <w:top w:w="0" w:type="dxa"/>
              <w:left w:w="53" w:type="dxa"/>
              <w:bottom w:w="0" w:type="dxa"/>
              <w:right w:w="0" w:type="dxa"/>
            </w:tcMar>
            <w:vAlign w:val="bottom"/>
          </w:tcPr>
          <w:p w14:paraId="00E7C9DB" w14:textId="77777777" w:rsidR="001614AC" w:rsidRDefault="004468F9">
            <w:pPr>
              <w:keepNext/>
              <w:spacing w:before="75" w:after="30" w:line="288" w:lineRule="auto"/>
              <w:jc w:val="right"/>
            </w:pPr>
            <w:r>
              <w:rPr>
                <w:rFonts w:ascii="Arial" w:eastAsia="Arial" w:hAnsi="Arial" w:cs="Arial"/>
                <w:color w:val="000000"/>
                <w:sz w:val="18"/>
              </w:rPr>
              <w:t>17,228 </w:t>
            </w:r>
          </w:p>
        </w:tc>
        <w:tc>
          <w:tcPr>
            <w:tcW w:w="100" w:type="dxa"/>
            <w:tcBorders>
              <w:top w:val="nil"/>
              <w:left w:val="nil"/>
              <w:bottom w:val="single" w:sz="8" w:space="0" w:color="E9E9E9"/>
              <w:right w:val="nil"/>
            </w:tcBorders>
            <w:tcMar>
              <w:top w:w="0" w:type="dxa"/>
              <w:left w:w="0" w:type="dxa"/>
              <w:bottom w:w="0" w:type="dxa"/>
              <w:right w:w="15" w:type="dxa"/>
            </w:tcMar>
            <w:vAlign w:val="bottom"/>
          </w:tcPr>
          <w:p w14:paraId="57378071" w14:textId="77777777" w:rsidR="001614AC" w:rsidRDefault="001614AC">
            <w:pPr>
              <w:keepNext/>
              <w:spacing w:before="75" w:after="30" w:line="288" w:lineRule="auto"/>
              <w:jc w:val="right"/>
            </w:pPr>
          </w:p>
        </w:tc>
      </w:tr>
      <w:tr w:rsidR="001614AC" w14:paraId="2FA95ED5" w14:textId="77777777">
        <w:trPr>
          <w:cantSplit/>
        </w:trPr>
        <w:tc>
          <w:tcPr>
            <w:tcW w:w="5640" w:type="dxa"/>
            <w:tcBorders>
              <w:top w:val="single" w:sz="8" w:space="0" w:color="E9E9E9"/>
              <w:left w:val="nil"/>
              <w:bottom w:val="single" w:sz="8" w:space="0" w:color="E9E9E9"/>
              <w:right w:val="nil"/>
            </w:tcBorders>
            <w:tcMar>
              <w:top w:w="0" w:type="dxa"/>
              <w:left w:w="53" w:type="dxa"/>
              <w:bottom w:w="0" w:type="dxa"/>
              <w:right w:w="53" w:type="dxa"/>
            </w:tcMar>
            <w:vAlign w:val="bottom"/>
          </w:tcPr>
          <w:p w14:paraId="57DAAC66" w14:textId="77777777" w:rsidR="001614AC" w:rsidRDefault="004468F9">
            <w:pPr>
              <w:keepNext/>
              <w:spacing w:before="55" w:after="30" w:line="288" w:lineRule="auto"/>
            </w:pPr>
            <w:r>
              <w:rPr>
                <w:rFonts w:ascii="Arial" w:eastAsia="Arial" w:hAnsi="Arial" w:cs="Arial"/>
                <w:color w:val="000000"/>
                <w:sz w:val="18"/>
              </w:rPr>
              <w:t>Net gains (losses) on investments and other financial instruments</w:t>
            </w:r>
          </w:p>
        </w:tc>
        <w:tc>
          <w:tcPr>
            <w:tcW w:w="105" w:type="dxa"/>
            <w:tcBorders>
              <w:top w:val="nil"/>
              <w:left w:val="nil"/>
              <w:bottom w:val="nil"/>
              <w:right w:val="nil"/>
            </w:tcBorders>
            <w:tcMar>
              <w:top w:w="0" w:type="dxa"/>
              <w:left w:w="0" w:type="dxa"/>
              <w:bottom w:w="0" w:type="dxa"/>
              <w:right w:w="0" w:type="dxa"/>
            </w:tcMar>
            <w:vAlign w:val="bottom"/>
          </w:tcPr>
          <w:p w14:paraId="7B14A808" w14:textId="77777777" w:rsidR="001614AC" w:rsidRDefault="001614AC">
            <w:pPr>
              <w:keepNext/>
            </w:pPr>
          </w:p>
        </w:tc>
        <w:tc>
          <w:tcPr>
            <w:tcW w:w="90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627F3915" w14:textId="77777777" w:rsidR="001614AC" w:rsidRDefault="004468F9">
            <w:pPr>
              <w:keepNext/>
              <w:spacing w:before="55" w:after="30" w:line="288" w:lineRule="auto"/>
              <w:jc w:val="right"/>
            </w:pPr>
            <w:r>
              <w:rPr>
                <w:rFonts w:ascii="Arial" w:eastAsia="Arial" w:hAnsi="Arial" w:cs="Arial"/>
                <w:color w:val="000000"/>
                <w:sz w:val="18"/>
              </w:rPr>
              <w:t>15,661 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45BDD656" w14:textId="77777777" w:rsidR="001614AC" w:rsidRDefault="001614AC">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1ED476D0" w14:textId="77777777" w:rsidR="001614AC" w:rsidRDefault="001614AC">
            <w:pPr>
              <w:keepNext/>
            </w:pPr>
          </w:p>
        </w:tc>
        <w:tc>
          <w:tcPr>
            <w:tcW w:w="90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57DECDAC" w14:textId="77777777" w:rsidR="001614AC" w:rsidRDefault="004468F9">
            <w:pPr>
              <w:keepNext/>
              <w:spacing w:before="55" w:after="30" w:line="288" w:lineRule="auto"/>
              <w:jc w:val="right"/>
            </w:pPr>
            <w:r>
              <w:rPr>
                <w:rFonts w:ascii="Arial" w:eastAsia="Arial" w:hAnsi="Arial" w:cs="Arial"/>
                <w:color w:val="000000"/>
                <w:sz w:val="18"/>
              </w:rPr>
              <w:t>47,276 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19851D99" w14:textId="77777777" w:rsidR="001614AC" w:rsidRDefault="001614AC">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22CD2F74" w14:textId="77777777" w:rsidR="001614AC" w:rsidRDefault="001614AC">
            <w:pPr>
              <w:keepNext/>
            </w:pPr>
          </w:p>
        </w:tc>
        <w:tc>
          <w:tcPr>
            <w:tcW w:w="90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34A249D0" w14:textId="77777777" w:rsidR="001614AC" w:rsidRDefault="004468F9">
            <w:pPr>
              <w:keepNext/>
              <w:spacing w:before="55" w:after="30" w:line="288" w:lineRule="auto"/>
              <w:jc w:val="right"/>
            </w:pPr>
            <w:r>
              <w:rPr>
                <w:rFonts w:ascii="Arial" w:eastAsia="Arial" w:hAnsi="Arial" w:cs="Arial"/>
                <w:color w:val="000000"/>
                <w:sz w:val="18"/>
              </w:rPr>
              <w:t>10,480 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50F66DC7" w14:textId="77777777" w:rsidR="001614AC" w:rsidRDefault="001614AC">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18DE547F" w14:textId="77777777" w:rsidR="001614AC" w:rsidRDefault="001614AC">
            <w:pPr>
              <w:keepNext/>
            </w:pPr>
          </w:p>
        </w:tc>
        <w:tc>
          <w:tcPr>
            <w:tcW w:w="90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245C4083" w14:textId="77777777" w:rsidR="001614AC" w:rsidRDefault="004468F9">
            <w:pPr>
              <w:keepNext/>
              <w:spacing w:before="55" w:after="30" w:line="288" w:lineRule="auto"/>
              <w:jc w:val="right"/>
            </w:pPr>
            <w:r>
              <w:rPr>
                <w:rFonts w:ascii="Arial" w:eastAsia="Arial" w:hAnsi="Arial" w:cs="Arial"/>
                <w:color w:val="000000"/>
                <w:sz w:val="18"/>
              </w:rPr>
              <w:t>25,249 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0223BA29" w14:textId="77777777" w:rsidR="001614AC" w:rsidRDefault="001614AC">
            <w:pPr>
              <w:keepNext/>
              <w:spacing w:before="55" w:after="30" w:line="288" w:lineRule="auto"/>
              <w:jc w:val="right"/>
            </w:pPr>
          </w:p>
        </w:tc>
      </w:tr>
      <w:tr w:rsidR="001614AC" w14:paraId="06BCF82D" w14:textId="77777777">
        <w:trPr>
          <w:cantSplit/>
        </w:trPr>
        <w:tc>
          <w:tcPr>
            <w:tcW w:w="5640" w:type="dxa"/>
            <w:tcBorders>
              <w:top w:val="single" w:sz="8" w:space="0" w:color="E9E9E9"/>
              <w:left w:val="nil"/>
              <w:bottom w:val="single" w:sz="8" w:space="0" w:color="E9E9E9"/>
              <w:right w:val="nil"/>
            </w:tcBorders>
            <w:tcMar>
              <w:top w:w="0" w:type="dxa"/>
              <w:left w:w="53" w:type="dxa"/>
              <w:bottom w:w="0" w:type="dxa"/>
              <w:right w:w="53" w:type="dxa"/>
            </w:tcMar>
            <w:vAlign w:val="bottom"/>
          </w:tcPr>
          <w:p w14:paraId="0FA7E41B" w14:textId="77777777" w:rsidR="001614AC" w:rsidRDefault="004468F9">
            <w:pPr>
              <w:keepNext/>
              <w:spacing w:before="55" w:after="30" w:line="288" w:lineRule="auto"/>
            </w:pPr>
            <w:r>
              <w:rPr>
                <w:rFonts w:ascii="Arial" w:eastAsia="Arial" w:hAnsi="Arial" w:cs="Arial"/>
                <w:color w:val="000000"/>
                <w:sz w:val="18"/>
              </w:rPr>
              <w:t>Other non-operating revenue</w:t>
            </w:r>
          </w:p>
        </w:tc>
        <w:tc>
          <w:tcPr>
            <w:tcW w:w="105" w:type="dxa"/>
            <w:tcBorders>
              <w:top w:val="nil"/>
              <w:left w:val="nil"/>
              <w:bottom w:val="nil"/>
              <w:right w:val="nil"/>
            </w:tcBorders>
            <w:tcMar>
              <w:top w:w="0" w:type="dxa"/>
              <w:left w:w="0" w:type="dxa"/>
              <w:bottom w:w="0" w:type="dxa"/>
              <w:right w:w="0" w:type="dxa"/>
            </w:tcMar>
            <w:vAlign w:val="bottom"/>
          </w:tcPr>
          <w:p w14:paraId="36E6984E" w14:textId="77777777" w:rsidR="001614AC" w:rsidRDefault="001614AC">
            <w:pPr>
              <w:keepNext/>
            </w:pPr>
          </w:p>
        </w:tc>
        <w:tc>
          <w:tcPr>
            <w:tcW w:w="90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476DC087" w14:textId="77777777" w:rsidR="001614AC" w:rsidRDefault="004468F9">
            <w:pPr>
              <w:keepNext/>
              <w:spacing w:before="55" w:after="30" w:line="288" w:lineRule="auto"/>
              <w:jc w:val="right"/>
            </w:pPr>
            <w:r>
              <w:rPr>
                <w:rFonts w:ascii="Arial" w:eastAsia="Arial" w:hAnsi="Arial" w:cs="Arial"/>
                <w:color w:val="000000"/>
                <w:sz w:val="18"/>
              </w:rPr>
              <w:t>—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587FCCDD" w14:textId="77777777" w:rsidR="001614AC" w:rsidRDefault="001614AC">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39E3219D" w14:textId="77777777" w:rsidR="001614AC" w:rsidRDefault="001614AC">
            <w:pPr>
              <w:keepNext/>
            </w:pPr>
          </w:p>
        </w:tc>
        <w:tc>
          <w:tcPr>
            <w:tcW w:w="90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598D4A04" w14:textId="77777777" w:rsidR="001614AC" w:rsidRDefault="004468F9">
            <w:pPr>
              <w:keepNext/>
              <w:spacing w:before="55" w:after="30" w:line="288" w:lineRule="auto"/>
              <w:jc w:val="right"/>
            </w:pPr>
            <w:r>
              <w:rPr>
                <w:rFonts w:ascii="Arial" w:eastAsia="Arial" w:hAnsi="Arial" w:cs="Arial"/>
                <w:color w:val="000000"/>
                <w:sz w:val="18"/>
              </w:rPr>
              <w:t>247 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1C5D6E52" w14:textId="77777777" w:rsidR="001614AC" w:rsidRDefault="001614AC">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475E04B9" w14:textId="77777777" w:rsidR="001614AC" w:rsidRDefault="001614AC">
            <w:pPr>
              <w:keepNext/>
            </w:pPr>
          </w:p>
        </w:tc>
        <w:tc>
          <w:tcPr>
            <w:tcW w:w="90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7CE80B3D" w14:textId="77777777" w:rsidR="001614AC" w:rsidRDefault="004468F9">
            <w:pPr>
              <w:keepNext/>
              <w:spacing w:before="55" w:after="30" w:line="288" w:lineRule="auto"/>
              <w:jc w:val="right"/>
            </w:pPr>
            <w:r>
              <w:rPr>
                <w:rFonts w:ascii="Arial" w:eastAsia="Arial" w:hAnsi="Arial" w:cs="Arial"/>
                <w:color w:val="000000"/>
                <w:sz w:val="18"/>
              </w:rPr>
              <w:t>—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6D0421C9" w14:textId="77777777" w:rsidR="001614AC" w:rsidRDefault="001614AC">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52911B52" w14:textId="77777777" w:rsidR="001614AC" w:rsidRDefault="001614AC">
            <w:pPr>
              <w:keepNext/>
            </w:pPr>
          </w:p>
        </w:tc>
        <w:tc>
          <w:tcPr>
            <w:tcW w:w="90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23D20A02" w14:textId="77777777" w:rsidR="001614AC" w:rsidRDefault="004468F9">
            <w:pPr>
              <w:keepNext/>
              <w:spacing w:before="55" w:after="30" w:line="288" w:lineRule="auto"/>
              <w:jc w:val="right"/>
            </w:pPr>
            <w:r>
              <w:rPr>
                <w:rFonts w:ascii="Arial" w:eastAsia="Arial" w:hAnsi="Arial" w:cs="Arial"/>
                <w:color w:val="000000"/>
                <w:sz w:val="18"/>
              </w:rPr>
              <w:t>247 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4BD6B3CF" w14:textId="77777777" w:rsidR="001614AC" w:rsidRDefault="001614AC">
            <w:pPr>
              <w:keepNext/>
              <w:spacing w:before="55" w:after="30" w:line="288" w:lineRule="auto"/>
              <w:jc w:val="right"/>
            </w:pPr>
          </w:p>
        </w:tc>
      </w:tr>
      <w:tr w:rsidR="001614AC" w14:paraId="41BED947" w14:textId="77777777">
        <w:trPr>
          <w:cantSplit/>
        </w:trPr>
        <w:tc>
          <w:tcPr>
            <w:tcW w:w="5640" w:type="dxa"/>
            <w:tcBorders>
              <w:top w:val="single" w:sz="8" w:space="0" w:color="E9E9E9"/>
              <w:left w:val="nil"/>
              <w:bottom w:val="nil"/>
              <w:right w:val="nil"/>
            </w:tcBorders>
            <w:tcMar>
              <w:top w:w="0" w:type="dxa"/>
              <w:left w:w="53" w:type="dxa"/>
              <w:bottom w:w="0" w:type="dxa"/>
              <w:right w:w="53" w:type="dxa"/>
            </w:tcMar>
            <w:vAlign w:val="bottom"/>
          </w:tcPr>
          <w:p w14:paraId="1A898003" w14:textId="77777777" w:rsidR="001614AC" w:rsidRDefault="004468F9">
            <w:pPr>
              <w:keepNext/>
              <w:spacing w:before="55" w:after="30" w:line="288" w:lineRule="auto"/>
            </w:pPr>
            <w:r>
              <w:rPr>
                <w:rFonts w:ascii="Arial" w:eastAsia="Arial" w:hAnsi="Arial" w:cs="Arial"/>
                <w:color w:val="000000"/>
                <w:sz w:val="18"/>
              </w:rPr>
              <w:t>Elimination of inter-segment revenues</w:t>
            </w:r>
          </w:p>
        </w:tc>
        <w:tc>
          <w:tcPr>
            <w:tcW w:w="105" w:type="dxa"/>
            <w:tcBorders>
              <w:top w:val="nil"/>
              <w:left w:val="nil"/>
              <w:bottom w:val="nil"/>
              <w:right w:val="nil"/>
            </w:tcBorders>
            <w:tcMar>
              <w:top w:w="0" w:type="dxa"/>
              <w:left w:w="0" w:type="dxa"/>
              <w:bottom w:w="0" w:type="dxa"/>
              <w:right w:w="0" w:type="dxa"/>
            </w:tcMar>
            <w:vAlign w:val="bottom"/>
          </w:tcPr>
          <w:p w14:paraId="2800A645" w14:textId="77777777" w:rsidR="001614AC" w:rsidRDefault="001614AC">
            <w:pPr>
              <w:keepNext/>
            </w:pPr>
          </w:p>
        </w:tc>
        <w:tc>
          <w:tcPr>
            <w:tcW w:w="905" w:type="dxa"/>
            <w:gridSpan w:val="2"/>
            <w:tcBorders>
              <w:top w:val="single" w:sz="8" w:space="0" w:color="E9E9E9"/>
              <w:left w:val="nil"/>
              <w:bottom w:val="single" w:sz="8" w:space="0" w:color="C7C9C7"/>
              <w:right w:val="nil"/>
            </w:tcBorders>
            <w:tcMar>
              <w:top w:w="0" w:type="dxa"/>
              <w:left w:w="53" w:type="dxa"/>
              <w:bottom w:w="0" w:type="dxa"/>
              <w:right w:w="0" w:type="dxa"/>
            </w:tcMar>
            <w:vAlign w:val="bottom"/>
          </w:tcPr>
          <w:p w14:paraId="3BF75ADE" w14:textId="77777777" w:rsidR="001614AC" w:rsidRDefault="004468F9">
            <w:pPr>
              <w:keepNext/>
              <w:spacing w:before="55" w:after="30" w:line="288" w:lineRule="auto"/>
              <w:jc w:val="right"/>
            </w:pPr>
            <w:r>
              <w:rPr>
                <w:rFonts w:ascii="Arial" w:eastAsia="Arial" w:hAnsi="Arial" w:cs="Arial"/>
                <w:color w:val="000000"/>
                <w:sz w:val="18"/>
              </w:rPr>
              <w:t>(62)</w:t>
            </w:r>
          </w:p>
        </w:tc>
        <w:tc>
          <w:tcPr>
            <w:tcW w:w="100" w:type="dxa"/>
            <w:tcBorders>
              <w:top w:val="single" w:sz="8" w:space="0" w:color="E9E9E9"/>
              <w:left w:val="nil"/>
              <w:bottom w:val="single" w:sz="8" w:space="0" w:color="C7C9C7"/>
              <w:right w:val="nil"/>
            </w:tcBorders>
            <w:tcMar>
              <w:top w:w="0" w:type="dxa"/>
              <w:left w:w="0" w:type="dxa"/>
              <w:bottom w:w="0" w:type="dxa"/>
              <w:right w:w="15" w:type="dxa"/>
            </w:tcMar>
            <w:vAlign w:val="bottom"/>
          </w:tcPr>
          <w:p w14:paraId="1B65BA29" w14:textId="77777777" w:rsidR="001614AC" w:rsidRDefault="001614AC">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28A3839F" w14:textId="77777777" w:rsidR="001614AC" w:rsidRDefault="001614AC">
            <w:pPr>
              <w:keepNext/>
            </w:pPr>
          </w:p>
        </w:tc>
        <w:tc>
          <w:tcPr>
            <w:tcW w:w="905" w:type="dxa"/>
            <w:gridSpan w:val="2"/>
            <w:tcBorders>
              <w:top w:val="single" w:sz="8" w:space="0" w:color="E9E9E9"/>
              <w:left w:val="nil"/>
              <w:bottom w:val="single" w:sz="8" w:space="0" w:color="C7C9C7"/>
              <w:right w:val="nil"/>
            </w:tcBorders>
            <w:tcMar>
              <w:top w:w="0" w:type="dxa"/>
              <w:left w:w="53" w:type="dxa"/>
              <w:bottom w:w="0" w:type="dxa"/>
              <w:right w:w="0" w:type="dxa"/>
            </w:tcMar>
            <w:vAlign w:val="bottom"/>
          </w:tcPr>
          <w:p w14:paraId="23FD449A" w14:textId="77777777" w:rsidR="001614AC" w:rsidRDefault="004468F9">
            <w:pPr>
              <w:keepNext/>
              <w:spacing w:before="55" w:after="30" w:line="288" w:lineRule="auto"/>
              <w:jc w:val="right"/>
            </w:pPr>
            <w:r>
              <w:rPr>
                <w:rFonts w:ascii="Arial" w:eastAsia="Arial" w:hAnsi="Arial" w:cs="Arial"/>
                <w:color w:val="000000"/>
                <w:sz w:val="18"/>
              </w:rPr>
              <w:t>(110)</w:t>
            </w:r>
          </w:p>
        </w:tc>
        <w:tc>
          <w:tcPr>
            <w:tcW w:w="100" w:type="dxa"/>
            <w:tcBorders>
              <w:top w:val="single" w:sz="8" w:space="0" w:color="E9E9E9"/>
              <w:left w:val="nil"/>
              <w:bottom w:val="single" w:sz="8" w:space="0" w:color="C7C9C7"/>
              <w:right w:val="nil"/>
            </w:tcBorders>
            <w:tcMar>
              <w:top w:w="0" w:type="dxa"/>
              <w:left w:w="0" w:type="dxa"/>
              <w:bottom w:w="0" w:type="dxa"/>
              <w:right w:w="15" w:type="dxa"/>
            </w:tcMar>
            <w:vAlign w:val="bottom"/>
          </w:tcPr>
          <w:p w14:paraId="463D999E" w14:textId="77777777" w:rsidR="001614AC" w:rsidRDefault="001614AC">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443B1BCA" w14:textId="77777777" w:rsidR="001614AC" w:rsidRDefault="001614AC">
            <w:pPr>
              <w:keepNext/>
            </w:pPr>
          </w:p>
        </w:tc>
        <w:tc>
          <w:tcPr>
            <w:tcW w:w="905" w:type="dxa"/>
            <w:gridSpan w:val="2"/>
            <w:tcBorders>
              <w:top w:val="single" w:sz="8" w:space="0" w:color="E9E9E9"/>
              <w:left w:val="nil"/>
              <w:bottom w:val="single" w:sz="8" w:space="0" w:color="C7C9C7"/>
              <w:right w:val="nil"/>
            </w:tcBorders>
            <w:tcMar>
              <w:top w:w="0" w:type="dxa"/>
              <w:left w:w="53" w:type="dxa"/>
              <w:bottom w:w="0" w:type="dxa"/>
              <w:right w:w="0" w:type="dxa"/>
            </w:tcMar>
            <w:vAlign w:val="bottom"/>
          </w:tcPr>
          <w:p w14:paraId="2AA5E29C" w14:textId="77777777" w:rsidR="001614AC" w:rsidRDefault="004468F9">
            <w:pPr>
              <w:keepNext/>
              <w:spacing w:before="55" w:after="30" w:line="288" w:lineRule="auto"/>
              <w:jc w:val="right"/>
            </w:pPr>
            <w:r>
              <w:rPr>
                <w:rFonts w:ascii="Arial" w:eastAsia="Arial" w:hAnsi="Arial" w:cs="Arial"/>
                <w:color w:val="000000"/>
                <w:sz w:val="18"/>
              </w:rPr>
              <w:t>(121)</w:t>
            </w:r>
          </w:p>
        </w:tc>
        <w:tc>
          <w:tcPr>
            <w:tcW w:w="100" w:type="dxa"/>
            <w:tcBorders>
              <w:top w:val="single" w:sz="8" w:space="0" w:color="E9E9E9"/>
              <w:left w:val="nil"/>
              <w:bottom w:val="single" w:sz="8" w:space="0" w:color="C7C9C7"/>
              <w:right w:val="nil"/>
            </w:tcBorders>
            <w:tcMar>
              <w:top w:w="0" w:type="dxa"/>
              <w:left w:w="0" w:type="dxa"/>
              <w:bottom w:w="0" w:type="dxa"/>
              <w:right w:w="15" w:type="dxa"/>
            </w:tcMar>
            <w:vAlign w:val="bottom"/>
          </w:tcPr>
          <w:p w14:paraId="38F3466D" w14:textId="77777777" w:rsidR="001614AC" w:rsidRDefault="001614AC">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67E18F93" w14:textId="77777777" w:rsidR="001614AC" w:rsidRDefault="001614AC">
            <w:pPr>
              <w:keepNext/>
            </w:pPr>
          </w:p>
        </w:tc>
        <w:tc>
          <w:tcPr>
            <w:tcW w:w="905" w:type="dxa"/>
            <w:gridSpan w:val="2"/>
            <w:tcBorders>
              <w:top w:val="single" w:sz="8" w:space="0" w:color="E9E9E9"/>
              <w:left w:val="nil"/>
              <w:bottom w:val="single" w:sz="8" w:space="0" w:color="C7C9C7"/>
              <w:right w:val="nil"/>
            </w:tcBorders>
            <w:tcMar>
              <w:top w:w="0" w:type="dxa"/>
              <w:left w:w="53" w:type="dxa"/>
              <w:bottom w:w="0" w:type="dxa"/>
              <w:right w:w="0" w:type="dxa"/>
            </w:tcMar>
            <w:vAlign w:val="bottom"/>
          </w:tcPr>
          <w:p w14:paraId="534DDB49" w14:textId="77777777" w:rsidR="001614AC" w:rsidRDefault="004468F9">
            <w:pPr>
              <w:keepNext/>
              <w:spacing w:before="55" w:after="30" w:line="288" w:lineRule="auto"/>
              <w:jc w:val="right"/>
            </w:pPr>
            <w:r>
              <w:rPr>
                <w:rFonts w:ascii="Arial" w:eastAsia="Arial" w:hAnsi="Arial" w:cs="Arial"/>
                <w:color w:val="000000"/>
                <w:sz w:val="18"/>
              </w:rPr>
              <w:t>(302)</w:t>
            </w:r>
          </w:p>
        </w:tc>
        <w:tc>
          <w:tcPr>
            <w:tcW w:w="100" w:type="dxa"/>
            <w:tcBorders>
              <w:top w:val="single" w:sz="8" w:space="0" w:color="E9E9E9"/>
              <w:left w:val="nil"/>
              <w:bottom w:val="single" w:sz="8" w:space="0" w:color="C7C9C7"/>
              <w:right w:val="nil"/>
            </w:tcBorders>
            <w:tcMar>
              <w:top w:w="0" w:type="dxa"/>
              <w:left w:w="0" w:type="dxa"/>
              <w:bottom w:w="0" w:type="dxa"/>
              <w:right w:w="15" w:type="dxa"/>
            </w:tcMar>
            <w:vAlign w:val="bottom"/>
          </w:tcPr>
          <w:p w14:paraId="6CE25409" w14:textId="77777777" w:rsidR="001614AC" w:rsidRDefault="001614AC">
            <w:pPr>
              <w:keepNext/>
              <w:spacing w:before="55" w:after="30" w:line="288" w:lineRule="auto"/>
              <w:jc w:val="right"/>
            </w:pPr>
          </w:p>
        </w:tc>
      </w:tr>
      <w:tr w:rsidR="001614AC" w14:paraId="513F6391" w14:textId="77777777">
        <w:trPr>
          <w:cantSplit/>
        </w:trPr>
        <w:tc>
          <w:tcPr>
            <w:tcW w:w="5640" w:type="dxa"/>
            <w:tcBorders>
              <w:top w:val="nil"/>
              <w:left w:val="nil"/>
              <w:bottom w:val="nil"/>
              <w:right w:val="nil"/>
            </w:tcBorders>
            <w:shd w:val="clear" w:color="auto" w:fill="F4F4F4"/>
            <w:tcMar>
              <w:top w:w="0" w:type="dxa"/>
              <w:left w:w="53" w:type="dxa"/>
              <w:bottom w:w="0" w:type="dxa"/>
              <w:right w:w="53" w:type="dxa"/>
            </w:tcMar>
            <w:vAlign w:val="bottom"/>
          </w:tcPr>
          <w:p w14:paraId="51A243F2" w14:textId="77777777" w:rsidR="001614AC" w:rsidRDefault="004468F9">
            <w:pPr>
              <w:spacing w:before="75" w:after="30" w:line="288" w:lineRule="auto"/>
            </w:pPr>
            <w:r>
              <w:rPr>
                <w:rFonts w:ascii="Arial" w:eastAsia="Arial" w:hAnsi="Arial" w:cs="Arial"/>
                <w:color w:val="000000"/>
                <w:sz w:val="18"/>
              </w:rPr>
              <w:t>Total revenues</w:t>
            </w:r>
          </w:p>
        </w:tc>
        <w:tc>
          <w:tcPr>
            <w:tcW w:w="105" w:type="dxa"/>
            <w:tcBorders>
              <w:top w:val="nil"/>
              <w:left w:val="nil"/>
              <w:bottom w:val="nil"/>
              <w:right w:val="nil"/>
            </w:tcBorders>
            <w:shd w:val="clear" w:color="auto" w:fill="F4F4F4"/>
            <w:tcMar>
              <w:top w:w="0" w:type="dxa"/>
              <w:left w:w="0" w:type="dxa"/>
              <w:bottom w:w="0" w:type="dxa"/>
              <w:right w:w="0" w:type="dxa"/>
            </w:tcMar>
            <w:vAlign w:val="bottom"/>
          </w:tcPr>
          <w:p w14:paraId="59157BDF" w14:textId="77777777" w:rsidR="001614AC" w:rsidRDefault="001614AC"/>
        </w:tc>
        <w:tc>
          <w:tcPr>
            <w:tcW w:w="160" w:type="dxa"/>
            <w:tcBorders>
              <w:top w:val="single" w:sz="8" w:space="0" w:color="C7C9C7"/>
              <w:left w:val="nil"/>
              <w:bottom w:val="double" w:sz="8" w:space="0" w:color="C7C9C7"/>
              <w:right w:val="nil"/>
            </w:tcBorders>
            <w:shd w:val="clear" w:color="auto" w:fill="F4F4F4"/>
            <w:tcMar>
              <w:top w:w="0" w:type="dxa"/>
              <w:left w:w="53" w:type="dxa"/>
              <w:bottom w:w="0" w:type="dxa"/>
              <w:right w:w="0" w:type="dxa"/>
            </w:tcMar>
            <w:vAlign w:val="bottom"/>
          </w:tcPr>
          <w:p w14:paraId="283DF580" w14:textId="77777777" w:rsidR="001614AC" w:rsidRDefault="004468F9">
            <w:pPr>
              <w:spacing w:before="55" w:after="30" w:line="288" w:lineRule="auto"/>
            </w:pPr>
            <w:r>
              <w:rPr>
                <w:rFonts w:ascii="Arial" w:eastAsia="Arial" w:hAnsi="Arial" w:cs="Arial"/>
                <w:color w:val="000000"/>
                <w:sz w:val="18"/>
              </w:rPr>
              <w:t>$</w:t>
            </w:r>
          </w:p>
        </w:tc>
        <w:tc>
          <w:tcPr>
            <w:tcW w:w="745" w:type="dxa"/>
            <w:tcBorders>
              <w:top w:val="single" w:sz="8" w:space="0" w:color="C7C9C7"/>
              <w:left w:val="nil"/>
              <w:bottom w:val="double" w:sz="8" w:space="0" w:color="C7C9C7"/>
              <w:right w:val="nil"/>
            </w:tcBorders>
            <w:shd w:val="clear" w:color="auto" w:fill="F4F4F4"/>
            <w:tcMar>
              <w:top w:w="0" w:type="dxa"/>
              <w:left w:w="0" w:type="dxa"/>
              <w:bottom w:w="0" w:type="dxa"/>
              <w:right w:w="0" w:type="dxa"/>
            </w:tcMar>
            <w:vAlign w:val="bottom"/>
          </w:tcPr>
          <w:p w14:paraId="6C000105" w14:textId="77777777" w:rsidR="001614AC" w:rsidRDefault="004468F9">
            <w:pPr>
              <w:spacing w:before="55" w:after="30" w:line="288" w:lineRule="auto"/>
              <w:jc w:val="right"/>
            </w:pPr>
            <w:r>
              <w:rPr>
                <w:rFonts w:ascii="Arial" w:eastAsia="Arial" w:hAnsi="Arial" w:cs="Arial"/>
                <w:color w:val="000000"/>
                <w:sz w:val="18"/>
              </w:rPr>
              <w:t>336,994 </w:t>
            </w:r>
          </w:p>
        </w:tc>
        <w:tc>
          <w:tcPr>
            <w:tcW w:w="100" w:type="dxa"/>
            <w:tcBorders>
              <w:top w:val="single" w:sz="8" w:space="0" w:color="C7C9C7"/>
              <w:left w:val="nil"/>
              <w:bottom w:val="double" w:sz="8" w:space="0" w:color="C7C9C7"/>
              <w:right w:val="nil"/>
            </w:tcBorders>
            <w:shd w:val="clear" w:color="auto" w:fill="F4F4F4"/>
            <w:tcMar>
              <w:top w:w="0" w:type="dxa"/>
              <w:left w:w="0" w:type="dxa"/>
              <w:bottom w:w="0" w:type="dxa"/>
              <w:right w:w="15" w:type="dxa"/>
            </w:tcMar>
            <w:vAlign w:val="bottom"/>
          </w:tcPr>
          <w:p w14:paraId="57340EA2" w14:textId="77777777" w:rsidR="001614AC" w:rsidRDefault="001614AC">
            <w:pPr>
              <w:spacing w:before="55" w:after="30" w:line="288" w:lineRule="auto"/>
              <w:jc w:val="right"/>
            </w:pPr>
          </w:p>
        </w:tc>
        <w:tc>
          <w:tcPr>
            <w:tcW w:w="105" w:type="dxa"/>
            <w:tcBorders>
              <w:top w:val="nil"/>
              <w:left w:val="nil"/>
              <w:bottom w:val="nil"/>
              <w:right w:val="nil"/>
            </w:tcBorders>
            <w:shd w:val="clear" w:color="auto" w:fill="F4F4F4"/>
            <w:tcMar>
              <w:top w:w="0" w:type="dxa"/>
              <w:left w:w="0" w:type="dxa"/>
              <w:bottom w:w="0" w:type="dxa"/>
              <w:right w:w="0" w:type="dxa"/>
            </w:tcMar>
            <w:vAlign w:val="bottom"/>
          </w:tcPr>
          <w:p w14:paraId="03223366" w14:textId="77777777" w:rsidR="001614AC" w:rsidRDefault="001614AC"/>
        </w:tc>
        <w:tc>
          <w:tcPr>
            <w:tcW w:w="160" w:type="dxa"/>
            <w:tcBorders>
              <w:top w:val="single" w:sz="8" w:space="0" w:color="C7C9C7"/>
              <w:left w:val="nil"/>
              <w:bottom w:val="double" w:sz="8" w:space="0" w:color="C7C9C7"/>
              <w:right w:val="nil"/>
            </w:tcBorders>
            <w:shd w:val="clear" w:color="auto" w:fill="F4F4F4"/>
            <w:tcMar>
              <w:top w:w="0" w:type="dxa"/>
              <w:left w:w="53" w:type="dxa"/>
              <w:bottom w:w="0" w:type="dxa"/>
              <w:right w:w="0" w:type="dxa"/>
            </w:tcMar>
            <w:vAlign w:val="bottom"/>
          </w:tcPr>
          <w:p w14:paraId="521A7BAA" w14:textId="77777777" w:rsidR="001614AC" w:rsidRDefault="004468F9">
            <w:pPr>
              <w:spacing w:before="55" w:after="30" w:line="288" w:lineRule="auto"/>
            </w:pPr>
            <w:r>
              <w:rPr>
                <w:rFonts w:ascii="Arial" w:eastAsia="Arial" w:hAnsi="Arial" w:cs="Arial"/>
                <w:color w:val="000000"/>
                <w:sz w:val="18"/>
              </w:rPr>
              <w:t>$</w:t>
            </w:r>
          </w:p>
        </w:tc>
        <w:tc>
          <w:tcPr>
            <w:tcW w:w="745" w:type="dxa"/>
            <w:tcBorders>
              <w:top w:val="single" w:sz="8" w:space="0" w:color="C7C9C7"/>
              <w:left w:val="nil"/>
              <w:bottom w:val="double" w:sz="8" w:space="0" w:color="C7C9C7"/>
              <w:right w:val="nil"/>
            </w:tcBorders>
            <w:shd w:val="clear" w:color="auto" w:fill="F4F4F4"/>
            <w:tcMar>
              <w:top w:w="0" w:type="dxa"/>
              <w:left w:w="0" w:type="dxa"/>
              <w:bottom w:w="0" w:type="dxa"/>
              <w:right w:w="0" w:type="dxa"/>
            </w:tcMar>
            <w:vAlign w:val="bottom"/>
          </w:tcPr>
          <w:p w14:paraId="5D06F7A8" w14:textId="77777777" w:rsidR="001614AC" w:rsidRDefault="004468F9">
            <w:pPr>
              <w:spacing w:before="55" w:after="30" w:line="288" w:lineRule="auto"/>
              <w:jc w:val="right"/>
            </w:pPr>
            <w:r>
              <w:rPr>
                <w:rFonts w:ascii="Arial" w:eastAsia="Arial" w:hAnsi="Arial" w:cs="Arial"/>
                <w:color w:val="000000"/>
                <w:sz w:val="18"/>
              </w:rPr>
              <w:t>364,441 </w:t>
            </w:r>
          </w:p>
        </w:tc>
        <w:tc>
          <w:tcPr>
            <w:tcW w:w="100" w:type="dxa"/>
            <w:tcBorders>
              <w:top w:val="single" w:sz="8" w:space="0" w:color="C7C9C7"/>
              <w:left w:val="nil"/>
              <w:bottom w:val="double" w:sz="8" w:space="0" w:color="C7C9C7"/>
              <w:right w:val="nil"/>
            </w:tcBorders>
            <w:shd w:val="clear" w:color="auto" w:fill="F4F4F4"/>
            <w:tcMar>
              <w:top w:w="0" w:type="dxa"/>
              <w:left w:w="0" w:type="dxa"/>
              <w:bottom w:w="0" w:type="dxa"/>
              <w:right w:w="15" w:type="dxa"/>
            </w:tcMar>
            <w:vAlign w:val="bottom"/>
          </w:tcPr>
          <w:p w14:paraId="6F57E323" w14:textId="77777777" w:rsidR="001614AC" w:rsidRDefault="001614AC">
            <w:pPr>
              <w:spacing w:before="55" w:after="30" w:line="288" w:lineRule="auto"/>
              <w:jc w:val="right"/>
            </w:pPr>
          </w:p>
        </w:tc>
        <w:tc>
          <w:tcPr>
            <w:tcW w:w="105" w:type="dxa"/>
            <w:tcBorders>
              <w:top w:val="nil"/>
              <w:left w:val="nil"/>
              <w:bottom w:val="nil"/>
              <w:right w:val="nil"/>
            </w:tcBorders>
            <w:shd w:val="clear" w:color="auto" w:fill="F4F4F4"/>
            <w:tcMar>
              <w:top w:w="0" w:type="dxa"/>
              <w:left w:w="0" w:type="dxa"/>
              <w:bottom w:w="0" w:type="dxa"/>
              <w:right w:w="0" w:type="dxa"/>
            </w:tcMar>
            <w:vAlign w:val="bottom"/>
          </w:tcPr>
          <w:p w14:paraId="19B1A044" w14:textId="77777777" w:rsidR="001614AC" w:rsidRDefault="001614AC"/>
        </w:tc>
        <w:tc>
          <w:tcPr>
            <w:tcW w:w="160" w:type="dxa"/>
            <w:tcBorders>
              <w:top w:val="single" w:sz="8" w:space="0" w:color="C7C9C7"/>
              <w:left w:val="nil"/>
              <w:bottom w:val="double" w:sz="8" w:space="0" w:color="C7C9C7"/>
              <w:right w:val="nil"/>
            </w:tcBorders>
            <w:shd w:val="clear" w:color="auto" w:fill="F4F4F4"/>
            <w:tcMar>
              <w:top w:w="0" w:type="dxa"/>
              <w:left w:w="53" w:type="dxa"/>
              <w:bottom w:w="0" w:type="dxa"/>
              <w:right w:w="0" w:type="dxa"/>
            </w:tcMar>
            <w:vAlign w:val="bottom"/>
          </w:tcPr>
          <w:p w14:paraId="4E5E0F91" w14:textId="77777777" w:rsidR="001614AC" w:rsidRDefault="004468F9">
            <w:pPr>
              <w:spacing w:before="55" w:after="30" w:line="288" w:lineRule="auto"/>
            </w:pPr>
            <w:r>
              <w:rPr>
                <w:rFonts w:ascii="Arial" w:eastAsia="Arial" w:hAnsi="Arial" w:cs="Arial"/>
                <w:color w:val="000000"/>
                <w:sz w:val="18"/>
              </w:rPr>
              <w:t>$</w:t>
            </w:r>
          </w:p>
        </w:tc>
        <w:tc>
          <w:tcPr>
            <w:tcW w:w="745" w:type="dxa"/>
            <w:tcBorders>
              <w:top w:val="single" w:sz="8" w:space="0" w:color="C7C9C7"/>
              <w:left w:val="nil"/>
              <w:bottom w:val="double" w:sz="8" w:space="0" w:color="C7C9C7"/>
              <w:right w:val="nil"/>
            </w:tcBorders>
            <w:shd w:val="clear" w:color="auto" w:fill="F4F4F4"/>
            <w:tcMar>
              <w:top w:w="0" w:type="dxa"/>
              <w:left w:w="0" w:type="dxa"/>
              <w:bottom w:w="0" w:type="dxa"/>
              <w:right w:w="0" w:type="dxa"/>
            </w:tcMar>
            <w:vAlign w:val="bottom"/>
          </w:tcPr>
          <w:p w14:paraId="098816BB" w14:textId="77777777" w:rsidR="001614AC" w:rsidRDefault="004468F9">
            <w:pPr>
              <w:spacing w:before="55" w:after="30" w:line="288" w:lineRule="auto"/>
              <w:jc w:val="right"/>
            </w:pPr>
            <w:r>
              <w:rPr>
                <w:rFonts w:ascii="Arial" w:eastAsia="Arial" w:hAnsi="Arial" w:cs="Arial"/>
                <w:color w:val="000000"/>
                <w:sz w:val="18"/>
              </w:rPr>
              <w:t>665,807 </w:t>
            </w:r>
          </w:p>
        </w:tc>
        <w:tc>
          <w:tcPr>
            <w:tcW w:w="100" w:type="dxa"/>
            <w:tcBorders>
              <w:top w:val="single" w:sz="8" w:space="0" w:color="C7C9C7"/>
              <w:left w:val="nil"/>
              <w:bottom w:val="double" w:sz="8" w:space="0" w:color="C7C9C7"/>
              <w:right w:val="nil"/>
            </w:tcBorders>
            <w:shd w:val="clear" w:color="auto" w:fill="F4F4F4"/>
            <w:tcMar>
              <w:top w:w="0" w:type="dxa"/>
              <w:left w:w="0" w:type="dxa"/>
              <w:bottom w:w="0" w:type="dxa"/>
              <w:right w:w="15" w:type="dxa"/>
            </w:tcMar>
            <w:vAlign w:val="bottom"/>
          </w:tcPr>
          <w:p w14:paraId="44DCAA5F" w14:textId="77777777" w:rsidR="001614AC" w:rsidRDefault="001614AC">
            <w:pPr>
              <w:spacing w:before="55" w:after="30" w:line="288" w:lineRule="auto"/>
              <w:jc w:val="right"/>
            </w:pPr>
          </w:p>
        </w:tc>
        <w:tc>
          <w:tcPr>
            <w:tcW w:w="105" w:type="dxa"/>
            <w:tcBorders>
              <w:top w:val="nil"/>
              <w:left w:val="nil"/>
              <w:bottom w:val="nil"/>
              <w:right w:val="nil"/>
            </w:tcBorders>
            <w:shd w:val="clear" w:color="auto" w:fill="F4F4F4"/>
            <w:tcMar>
              <w:top w:w="0" w:type="dxa"/>
              <w:left w:w="0" w:type="dxa"/>
              <w:bottom w:w="0" w:type="dxa"/>
              <w:right w:w="0" w:type="dxa"/>
            </w:tcMar>
            <w:vAlign w:val="bottom"/>
          </w:tcPr>
          <w:p w14:paraId="6080DF51" w14:textId="77777777" w:rsidR="001614AC" w:rsidRDefault="001614AC"/>
        </w:tc>
        <w:tc>
          <w:tcPr>
            <w:tcW w:w="160" w:type="dxa"/>
            <w:tcBorders>
              <w:top w:val="single" w:sz="8" w:space="0" w:color="C7C9C7"/>
              <w:left w:val="nil"/>
              <w:bottom w:val="double" w:sz="8" w:space="0" w:color="C7C9C7"/>
              <w:right w:val="nil"/>
            </w:tcBorders>
            <w:shd w:val="clear" w:color="auto" w:fill="F4F4F4"/>
            <w:tcMar>
              <w:top w:w="0" w:type="dxa"/>
              <w:left w:w="53" w:type="dxa"/>
              <w:bottom w:w="0" w:type="dxa"/>
              <w:right w:w="0" w:type="dxa"/>
            </w:tcMar>
            <w:vAlign w:val="bottom"/>
          </w:tcPr>
          <w:p w14:paraId="4B041A57" w14:textId="77777777" w:rsidR="001614AC" w:rsidRDefault="004468F9">
            <w:pPr>
              <w:spacing w:before="55" w:after="30" w:line="288" w:lineRule="auto"/>
            </w:pPr>
            <w:r>
              <w:rPr>
                <w:rFonts w:ascii="Arial" w:eastAsia="Arial" w:hAnsi="Arial" w:cs="Arial"/>
                <w:color w:val="000000"/>
                <w:sz w:val="18"/>
              </w:rPr>
              <w:t>$</w:t>
            </w:r>
          </w:p>
        </w:tc>
        <w:tc>
          <w:tcPr>
            <w:tcW w:w="745" w:type="dxa"/>
            <w:tcBorders>
              <w:top w:val="single" w:sz="8" w:space="0" w:color="C7C9C7"/>
              <w:left w:val="nil"/>
              <w:bottom w:val="double" w:sz="8" w:space="0" w:color="C7C9C7"/>
              <w:right w:val="nil"/>
            </w:tcBorders>
            <w:shd w:val="clear" w:color="auto" w:fill="F4F4F4"/>
            <w:tcMar>
              <w:top w:w="0" w:type="dxa"/>
              <w:left w:w="0" w:type="dxa"/>
              <w:bottom w:w="0" w:type="dxa"/>
              <w:right w:w="0" w:type="dxa"/>
            </w:tcMar>
            <w:vAlign w:val="bottom"/>
          </w:tcPr>
          <w:p w14:paraId="7773555E" w14:textId="77777777" w:rsidR="001614AC" w:rsidRDefault="004468F9">
            <w:pPr>
              <w:spacing w:before="55" w:after="30" w:line="288" w:lineRule="auto"/>
              <w:jc w:val="right"/>
            </w:pPr>
            <w:r>
              <w:rPr>
                <w:rFonts w:ascii="Arial" w:eastAsia="Arial" w:hAnsi="Arial" w:cs="Arial"/>
                <w:color w:val="000000"/>
                <w:sz w:val="18"/>
              </w:rPr>
              <w:t>693,522 </w:t>
            </w:r>
          </w:p>
        </w:tc>
        <w:tc>
          <w:tcPr>
            <w:tcW w:w="100" w:type="dxa"/>
            <w:tcBorders>
              <w:top w:val="single" w:sz="8" w:space="0" w:color="C7C9C7"/>
              <w:left w:val="nil"/>
              <w:bottom w:val="double" w:sz="8" w:space="0" w:color="C7C9C7"/>
              <w:right w:val="nil"/>
            </w:tcBorders>
            <w:shd w:val="clear" w:color="auto" w:fill="F4F4F4"/>
            <w:tcMar>
              <w:top w:w="0" w:type="dxa"/>
              <w:left w:w="0" w:type="dxa"/>
              <w:bottom w:w="0" w:type="dxa"/>
              <w:right w:w="15" w:type="dxa"/>
            </w:tcMar>
            <w:vAlign w:val="bottom"/>
          </w:tcPr>
          <w:p w14:paraId="1E9EE838" w14:textId="77777777" w:rsidR="001614AC" w:rsidRDefault="001614AC">
            <w:pPr>
              <w:spacing w:before="55" w:after="30" w:line="288" w:lineRule="auto"/>
              <w:jc w:val="right"/>
            </w:pPr>
          </w:p>
        </w:tc>
      </w:tr>
    </w:tbl>
    <w:p w14:paraId="07DB8680" w14:textId="77777777" w:rsidR="001614AC" w:rsidRDefault="004468F9" w:rsidP="004468F9">
      <w:pPr>
        <w:keepNext/>
        <w:numPr>
          <w:ilvl w:val="0"/>
          <w:numId w:val="10"/>
        </w:numPr>
        <w:spacing w:line="288" w:lineRule="auto"/>
        <w:ind w:left="360"/>
        <w:rPr>
          <w:rFonts w:ascii="Arial" w:eastAsia="Arial" w:hAnsi="Arial" w:cs="Arial"/>
          <w:b/>
          <w:color w:val="64615D"/>
          <w:sz w:val="16"/>
        </w:rPr>
      </w:pPr>
      <w:r>
        <w:rPr>
          <w:rFonts w:ascii="Arial" w:eastAsia="Arial" w:hAnsi="Arial" w:cs="Arial"/>
          <w:color w:val="64615D"/>
          <w:sz w:val="16"/>
        </w:rPr>
        <w:lastRenderedPageBreak/>
        <w:t>I</w:t>
      </w:r>
      <w:r>
        <w:rPr>
          <w:rFonts w:ascii="Arial" w:eastAsia="Arial" w:hAnsi="Arial" w:cs="Arial"/>
          <w:color w:val="64615D"/>
          <w:sz w:val="16"/>
        </w:rPr>
        <w:t>ncludes immaterial inter-segment revenues for the three and six months ended June 30, 2020.</w:t>
      </w:r>
    </w:p>
    <w:p w14:paraId="0BC3814B" w14:textId="77777777" w:rsidR="001614AC" w:rsidRDefault="004468F9" w:rsidP="004468F9">
      <w:pPr>
        <w:keepNext/>
        <w:numPr>
          <w:ilvl w:val="0"/>
          <w:numId w:val="10"/>
        </w:numPr>
        <w:spacing w:line="288" w:lineRule="auto"/>
        <w:ind w:left="360"/>
        <w:rPr>
          <w:rFonts w:ascii="Arial" w:eastAsia="Arial" w:hAnsi="Arial" w:cs="Arial"/>
          <w:b/>
          <w:color w:val="64615D"/>
          <w:sz w:val="16"/>
        </w:rPr>
      </w:pPr>
      <w:r>
        <w:rPr>
          <w:rFonts w:ascii="Arial" w:eastAsia="Arial" w:hAnsi="Arial" w:cs="Arial"/>
          <w:color w:val="64615D"/>
          <w:sz w:val="16"/>
        </w:rPr>
        <w:t>Includes immaterial inter-segment revenues for the three and six months ended June 30, 2021 and 2020.</w:t>
      </w:r>
    </w:p>
    <w:p w14:paraId="6643D4D7" w14:textId="77777777" w:rsidR="001614AC" w:rsidRDefault="004468F9">
      <w:pPr>
        <w:keepNext/>
        <w:spacing w:before="200" w:after="100" w:line="288" w:lineRule="auto"/>
        <w:ind w:firstLine="450"/>
        <w:rPr>
          <w:rFonts w:ascii="Arial" w:eastAsia="Arial" w:hAnsi="Arial" w:cs="Arial"/>
          <w:b/>
          <w:color w:val="64615D"/>
          <w:sz w:val="18"/>
        </w:rPr>
      </w:pPr>
      <w:r>
        <w:rPr>
          <w:rFonts w:ascii="Arial" w:eastAsia="Arial" w:hAnsi="Arial" w:cs="Arial"/>
          <w:sz w:val="18"/>
        </w:rPr>
        <w:t>The table below, which represents total services revenue on ou</w:t>
      </w:r>
      <w:r>
        <w:rPr>
          <w:rFonts w:ascii="Arial" w:eastAsia="Arial" w:hAnsi="Arial" w:cs="Arial"/>
          <w:sz w:val="18"/>
        </w:rPr>
        <w:t>r condensed consolidated statements of operations for the periods indicated, represents the disaggregation of services revenues from external customers, by type.</w:t>
      </w:r>
    </w:p>
    <w:tbl>
      <w:tblPr>
        <w:tblW w:w="102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54"/>
        <w:gridCol w:w="107"/>
        <w:gridCol w:w="163"/>
        <w:gridCol w:w="760"/>
        <w:gridCol w:w="102"/>
        <w:gridCol w:w="107"/>
        <w:gridCol w:w="163"/>
        <w:gridCol w:w="760"/>
        <w:gridCol w:w="102"/>
        <w:gridCol w:w="107"/>
        <w:gridCol w:w="163"/>
        <w:gridCol w:w="760"/>
        <w:gridCol w:w="102"/>
        <w:gridCol w:w="107"/>
        <w:gridCol w:w="163"/>
        <w:gridCol w:w="760"/>
        <w:gridCol w:w="102"/>
      </w:tblGrid>
      <w:tr w:rsidR="001614AC" w14:paraId="361AF3BE" w14:textId="77777777">
        <w:trPr>
          <w:cantSplit/>
        </w:trPr>
        <w:tc>
          <w:tcPr>
            <w:tcW w:w="10080" w:type="dxa"/>
            <w:gridSpan w:val="17"/>
            <w:tcBorders>
              <w:top w:val="nil"/>
              <w:left w:val="nil"/>
              <w:bottom w:val="single" w:sz="12" w:space="0" w:color="99AAB6"/>
              <w:right w:val="nil"/>
            </w:tcBorders>
            <w:shd w:val="clear" w:color="auto" w:fill="FFFFFF"/>
            <w:tcMar>
              <w:top w:w="0" w:type="dxa"/>
              <w:left w:w="53" w:type="dxa"/>
              <w:bottom w:w="0" w:type="dxa"/>
              <w:right w:w="53" w:type="dxa"/>
            </w:tcMar>
            <w:vAlign w:val="bottom"/>
          </w:tcPr>
          <w:p w14:paraId="53491798" w14:textId="77777777" w:rsidR="001614AC" w:rsidRDefault="004468F9">
            <w:pPr>
              <w:keepNext/>
              <w:spacing w:before="75" w:after="30" w:line="288" w:lineRule="auto"/>
              <w:rPr>
                <w:rFonts w:ascii="Arial" w:eastAsia="Arial" w:hAnsi="Arial" w:cs="Arial"/>
                <w:b/>
                <w:sz w:val="20"/>
              </w:rPr>
            </w:pPr>
            <w:r>
              <w:rPr>
                <w:rFonts w:ascii="Arial" w:eastAsia="Arial" w:hAnsi="Arial" w:cs="Arial"/>
                <w:b/>
                <w:sz w:val="20"/>
              </w:rPr>
              <w:t>Services revenue</w:t>
            </w:r>
          </w:p>
        </w:tc>
      </w:tr>
      <w:tr w:rsidR="001614AC" w14:paraId="4C0C5A3E" w14:textId="77777777">
        <w:trPr>
          <w:cantSplit/>
          <w:trHeight w:hRule="exact" w:val="135"/>
        </w:trPr>
        <w:tc>
          <w:tcPr>
            <w:tcW w:w="5640" w:type="dxa"/>
            <w:tcBorders>
              <w:top w:val="nil"/>
              <w:left w:val="nil"/>
              <w:bottom w:val="nil"/>
              <w:right w:val="nil"/>
            </w:tcBorders>
            <w:tcMar>
              <w:top w:w="0" w:type="dxa"/>
              <w:left w:w="0" w:type="dxa"/>
              <w:bottom w:w="0" w:type="dxa"/>
              <w:right w:w="0" w:type="dxa"/>
            </w:tcMar>
            <w:vAlign w:val="bottom"/>
          </w:tcPr>
          <w:p w14:paraId="43058B7A" w14:textId="77777777" w:rsidR="001614AC" w:rsidRDefault="001614AC">
            <w:pPr>
              <w:keepNext/>
            </w:pPr>
          </w:p>
        </w:tc>
        <w:tc>
          <w:tcPr>
            <w:tcW w:w="105" w:type="dxa"/>
            <w:tcBorders>
              <w:top w:val="single" w:sz="12" w:space="0" w:color="99AAB6"/>
              <w:left w:val="nil"/>
              <w:bottom w:val="nil"/>
              <w:right w:val="nil"/>
            </w:tcBorders>
            <w:tcMar>
              <w:top w:w="0" w:type="dxa"/>
              <w:left w:w="0" w:type="dxa"/>
              <w:bottom w:w="0" w:type="dxa"/>
              <w:right w:w="0" w:type="dxa"/>
            </w:tcMar>
            <w:vAlign w:val="bottom"/>
          </w:tcPr>
          <w:p w14:paraId="46C49DCA" w14:textId="77777777" w:rsidR="001614AC" w:rsidRDefault="001614AC">
            <w:pPr>
              <w:keepNext/>
            </w:pPr>
          </w:p>
        </w:tc>
        <w:tc>
          <w:tcPr>
            <w:tcW w:w="1005" w:type="dxa"/>
            <w:gridSpan w:val="3"/>
            <w:tcBorders>
              <w:top w:val="single" w:sz="12" w:space="0" w:color="99AAB6"/>
              <w:left w:val="nil"/>
              <w:bottom w:val="nil"/>
              <w:right w:val="nil"/>
            </w:tcBorders>
            <w:tcMar>
              <w:top w:w="0" w:type="dxa"/>
              <w:left w:w="0" w:type="dxa"/>
              <w:bottom w:w="0" w:type="dxa"/>
              <w:right w:w="0" w:type="dxa"/>
            </w:tcMar>
            <w:vAlign w:val="bottom"/>
          </w:tcPr>
          <w:p w14:paraId="7FE61962" w14:textId="77777777" w:rsidR="001614AC" w:rsidRDefault="001614AC">
            <w:pPr>
              <w:keepNext/>
            </w:pPr>
          </w:p>
        </w:tc>
        <w:tc>
          <w:tcPr>
            <w:tcW w:w="105" w:type="dxa"/>
            <w:tcBorders>
              <w:top w:val="single" w:sz="12" w:space="0" w:color="99AAB6"/>
              <w:left w:val="nil"/>
              <w:bottom w:val="nil"/>
              <w:right w:val="nil"/>
            </w:tcBorders>
            <w:tcMar>
              <w:top w:w="0" w:type="dxa"/>
              <w:left w:w="0" w:type="dxa"/>
              <w:bottom w:w="0" w:type="dxa"/>
              <w:right w:w="0" w:type="dxa"/>
            </w:tcMar>
            <w:vAlign w:val="bottom"/>
          </w:tcPr>
          <w:p w14:paraId="3968BDFC" w14:textId="77777777" w:rsidR="001614AC" w:rsidRDefault="001614AC">
            <w:pPr>
              <w:keepNext/>
            </w:pPr>
          </w:p>
        </w:tc>
        <w:tc>
          <w:tcPr>
            <w:tcW w:w="1005" w:type="dxa"/>
            <w:gridSpan w:val="3"/>
            <w:tcBorders>
              <w:top w:val="single" w:sz="12" w:space="0" w:color="99AAB6"/>
              <w:left w:val="nil"/>
              <w:bottom w:val="nil"/>
              <w:right w:val="nil"/>
            </w:tcBorders>
            <w:tcMar>
              <w:top w:w="0" w:type="dxa"/>
              <w:left w:w="0" w:type="dxa"/>
              <w:bottom w:w="0" w:type="dxa"/>
              <w:right w:w="0" w:type="dxa"/>
            </w:tcMar>
            <w:vAlign w:val="bottom"/>
          </w:tcPr>
          <w:p w14:paraId="024D5048" w14:textId="77777777" w:rsidR="001614AC" w:rsidRDefault="001614AC">
            <w:pPr>
              <w:keepNext/>
            </w:pPr>
          </w:p>
        </w:tc>
        <w:tc>
          <w:tcPr>
            <w:tcW w:w="105" w:type="dxa"/>
            <w:tcBorders>
              <w:top w:val="single" w:sz="12" w:space="0" w:color="99AAB6"/>
              <w:left w:val="nil"/>
              <w:bottom w:val="nil"/>
              <w:right w:val="nil"/>
            </w:tcBorders>
            <w:tcMar>
              <w:top w:w="0" w:type="dxa"/>
              <w:left w:w="0" w:type="dxa"/>
              <w:bottom w:w="0" w:type="dxa"/>
              <w:right w:w="0" w:type="dxa"/>
            </w:tcMar>
            <w:vAlign w:val="bottom"/>
          </w:tcPr>
          <w:p w14:paraId="6B0D8490" w14:textId="77777777" w:rsidR="001614AC" w:rsidRDefault="001614AC">
            <w:pPr>
              <w:keepNext/>
            </w:pPr>
          </w:p>
        </w:tc>
        <w:tc>
          <w:tcPr>
            <w:tcW w:w="1005" w:type="dxa"/>
            <w:gridSpan w:val="3"/>
            <w:tcBorders>
              <w:top w:val="single" w:sz="12" w:space="0" w:color="99AAB6"/>
              <w:left w:val="nil"/>
              <w:bottom w:val="nil"/>
              <w:right w:val="nil"/>
            </w:tcBorders>
            <w:tcMar>
              <w:top w:w="0" w:type="dxa"/>
              <w:left w:w="0" w:type="dxa"/>
              <w:bottom w:w="0" w:type="dxa"/>
              <w:right w:w="0" w:type="dxa"/>
            </w:tcMar>
            <w:vAlign w:val="bottom"/>
          </w:tcPr>
          <w:p w14:paraId="00A3812E" w14:textId="77777777" w:rsidR="001614AC" w:rsidRDefault="001614AC">
            <w:pPr>
              <w:keepNext/>
            </w:pPr>
          </w:p>
        </w:tc>
        <w:tc>
          <w:tcPr>
            <w:tcW w:w="105" w:type="dxa"/>
            <w:tcBorders>
              <w:top w:val="single" w:sz="12" w:space="0" w:color="99AAB6"/>
              <w:left w:val="nil"/>
              <w:bottom w:val="nil"/>
              <w:right w:val="nil"/>
            </w:tcBorders>
            <w:tcMar>
              <w:top w:w="0" w:type="dxa"/>
              <w:left w:w="0" w:type="dxa"/>
              <w:bottom w:w="0" w:type="dxa"/>
              <w:right w:w="0" w:type="dxa"/>
            </w:tcMar>
            <w:vAlign w:val="bottom"/>
          </w:tcPr>
          <w:p w14:paraId="1B9F654E" w14:textId="77777777" w:rsidR="001614AC" w:rsidRDefault="001614AC">
            <w:pPr>
              <w:keepNext/>
            </w:pPr>
          </w:p>
        </w:tc>
        <w:tc>
          <w:tcPr>
            <w:tcW w:w="1005" w:type="dxa"/>
            <w:gridSpan w:val="3"/>
            <w:tcBorders>
              <w:top w:val="single" w:sz="12" w:space="0" w:color="99AAB6"/>
              <w:left w:val="nil"/>
              <w:bottom w:val="nil"/>
              <w:right w:val="nil"/>
            </w:tcBorders>
            <w:tcMar>
              <w:top w:w="0" w:type="dxa"/>
              <w:left w:w="0" w:type="dxa"/>
              <w:bottom w:w="0" w:type="dxa"/>
              <w:right w:w="0" w:type="dxa"/>
            </w:tcMar>
            <w:vAlign w:val="bottom"/>
          </w:tcPr>
          <w:p w14:paraId="4CFE1F87" w14:textId="77777777" w:rsidR="001614AC" w:rsidRDefault="001614AC">
            <w:pPr>
              <w:keepNext/>
            </w:pPr>
          </w:p>
        </w:tc>
      </w:tr>
      <w:tr w:rsidR="001614AC" w14:paraId="7C7CD6A6" w14:textId="77777777">
        <w:trPr>
          <w:cantSplit/>
        </w:trPr>
        <w:tc>
          <w:tcPr>
            <w:tcW w:w="5640" w:type="dxa"/>
            <w:tcBorders>
              <w:top w:val="nil"/>
              <w:left w:val="nil"/>
              <w:bottom w:val="nil"/>
              <w:right w:val="nil"/>
            </w:tcBorders>
            <w:tcMar>
              <w:top w:w="0" w:type="dxa"/>
              <w:left w:w="0" w:type="dxa"/>
              <w:bottom w:w="0" w:type="dxa"/>
              <w:right w:w="0" w:type="dxa"/>
            </w:tcMar>
            <w:vAlign w:val="bottom"/>
          </w:tcPr>
          <w:p w14:paraId="10EED6BE" w14:textId="77777777" w:rsidR="001614AC" w:rsidRDefault="001614AC">
            <w:pPr>
              <w:keepNext/>
            </w:pPr>
          </w:p>
        </w:tc>
        <w:tc>
          <w:tcPr>
            <w:tcW w:w="105" w:type="dxa"/>
            <w:tcBorders>
              <w:top w:val="nil"/>
              <w:left w:val="nil"/>
              <w:bottom w:val="nil"/>
              <w:right w:val="nil"/>
            </w:tcBorders>
            <w:tcMar>
              <w:top w:w="0" w:type="dxa"/>
              <w:left w:w="0" w:type="dxa"/>
              <w:bottom w:w="0" w:type="dxa"/>
              <w:right w:w="0" w:type="dxa"/>
            </w:tcMar>
            <w:vAlign w:val="bottom"/>
          </w:tcPr>
          <w:p w14:paraId="35B0DED0" w14:textId="77777777" w:rsidR="001614AC" w:rsidRDefault="001614AC">
            <w:pPr>
              <w:keepNext/>
            </w:pPr>
          </w:p>
        </w:tc>
        <w:tc>
          <w:tcPr>
            <w:tcW w:w="2115" w:type="dxa"/>
            <w:gridSpan w:val="7"/>
            <w:tcBorders>
              <w:top w:val="nil"/>
              <w:left w:val="nil"/>
              <w:bottom w:val="single" w:sz="8" w:space="0" w:color="FFFFFF"/>
              <w:right w:val="nil"/>
            </w:tcBorders>
            <w:tcMar>
              <w:top w:w="0" w:type="dxa"/>
              <w:left w:w="53" w:type="dxa"/>
              <w:bottom w:w="0" w:type="dxa"/>
              <w:right w:w="53" w:type="dxa"/>
            </w:tcMar>
            <w:vAlign w:val="bottom"/>
          </w:tcPr>
          <w:p w14:paraId="5D609658" w14:textId="77777777" w:rsidR="001614AC" w:rsidRDefault="004468F9">
            <w:pPr>
              <w:keepNext/>
              <w:spacing w:before="75" w:line="288" w:lineRule="auto"/>
              <w:jc w:val="center"/>
            </w:pPr>
            <w:r>
              <w:rPr>
                <w:rFonts w:ascii="Arial" w:eastAsia="Arial" w:hAnsi="Arial" w:cs="Arial"/>
                <w:b/>
                <w:color w:val="00BAB3"/>
                <w:sz w:val="18"/>
              </w:rPr>
              <w:t>Three Months Ended</w:t>
            </w:r>
          </w:p>
          <w:p w14:paraId="5D74A46E" w14:textId="77777777" w:rsidR="001614AC" w:rsidRDefault="004468F9">
            <w:pPr>
              <w:spacing w:after="30" w:line="288" w:lineRule="auto"/>
              <w:jc w:val="center"/>
            </w:pPr>
            <w:r>
              <w:rPr>
                <w:rFonts w:ascii="Arial" w:eastAsia="Arial" w:hAnsi="Arial" w:cs="Arial"/>
                <w:b/>
                <w:color w:val="00BAB3"/>
                <w:sz w:val="18"/>
              </w:rPr>
              <w:t>June 30,</w:t>
            </w:r>
          </w:p>
        </w:tc>
        <w:tc>
          <w:tcPr>
            <w:tcW w:w="105" w:type="dxa"/>
            <w:tcBorders>
              <w:top w:val="nil"/>
              <w:left w:val="nil"/>
              <w:bottom w:val="nil"/>
              <w:right w:val="nil"/>
            </w:tcBorders>
            <w:tcMar>
              <w:top w:w="0" w:type="dxa"/>
              <w:left w:w="0" w:type="dxa"/>
              <w:bottom w:w="0" w:type="dxa"/>
              <w:right w:w="0" w:type="dxa"/>
            </w:tcMar>
            <w:vAlign w:val="bottom"/>
          </w:tcPr>
          <w:p w14:paraId="5ED4F078" w14:textId="77777777" w:rsidR="001614AC" w:rsidRDefault="001614AC">
            <w:pPr>
              <w:keepNext/>
            </w:pPr>
          </w:p>
        </w:tc>
        <w:tc>
          <w:tcPr>
            <w:tcW w:w="2115" w:type="dxa"/>
            <w:gridSpan w:val="7"/>
            <w:tcBorders>
              <w:top w:val="nil"/>
              <w:left w:val="nil"/>
              <w:bottom w:val="single" w:sz="8" w:space="0" w:color="FFFFFF"/>
              <w:right w:val="nil"/>
            </w:tcBorders>
            <w:tcMar>
              <w:top w:w="0" w:type="dxa"/>
              <w:left w:w="53" w:type="dxa"/>
              <w:bottom w:w="0" w:type="dxa"/>
              <w:right w:w="53" w:type="dxa"/>
            </w:tcMar>
            <w:vAlign w:val="bottom"/>
          </w:tcPr>
          <w:p w14:paraId="2A1A03A3" w14:textId="77777777" w:rsidR="001614AC" w:rsidRDefault="004468F9">
            <w:pPr>
              <w:keepNext/>
              <w:spacing w:before="75" w:line="288" w:lineRule="auto"/>
              <w:jc w:val="center"/>
            </w:pPr>
            <w:r>
              <w:rPr>
                <w:rFonts w:ascii="Arial" w:eastAsia="Arial" w:hAnsi="Arial" w:cs="Arial"/>
                <w:b/>
                <w:color w:val="00BAB3"/>
                <w:sz w:val="18"/>
              </w:rPr>
              <w:t>Six Months Ended</w:t>
            </w:r>
          </w:p>
          <w:p w14:paraId="430A481A" w14:textId="77777777" w:rsidR="001614AC" w:rsidRDefault="004468F9">
            <w:pPr>
              <w:spacing w:after="30" w:line="288" w:lineRule="auto"/>
              <w:jc w:val="center"/>
            </w:pPr>
            <w:r>
              <w:rPr>
                <w:rFonts w:ascii="Arial" w:eastAsia="Arial" w:hAnsi="Arial" w:cs="Arial"/>
                <w:b/>
                <w:color w:val="00BAB3"/>
                <w:sz w:val="18"/>
              </w:rPr>
              <w:t>June 30,</w:t>
            </w:r>
          </w:p>
        </w:tc>
      </w:tr>
      <w:tr w:rsidR="001614AC" w14:paraId="7F394369" w14:textId="77777777">
        <w:trPr>
          <w:cantSplit/>
        </w:trPr>
        <w:tc>
          <w:tcPr>
            <w:tcW w:w="5640" w:type="dxa"/>
            <w:tcBorders>
              <w:top w:val="nil"/>
              <w:left w:val="nil"/>
              <w:bottom w:val="single" w:sz="8" w:space="0" w:color="C7C9C7"/>
              <w:right w:val="nil"/>
            </w:tcBorders>
            <w:tcMar>
              <w:top w:w="0" w:type="dxa"/>
              <w:left w:w="53" w:type="dxa"/>
              <w:bottom w:w="0" w:type="dxa"/>
              <w:right w:w="53" w:type="dxa"/>
            </w:tcMar>
            <w:vAlign w:val="bottom"/>
          </w:tcPr>
          <w:p w14:paraId="5C4389E6" w14:textId="77777777" w:rsidR="001614AC" w:rsidRDefault="004468F9">
            <w:pPr>
              <w:keepNext/>
              <w:spacing w:before="75" w:after="30" w:line="288" w:lineRule="auto"/>
            </w:pPr>
            <w:r>
              <w:rPr>
                <w:rFonts w:ascii="Arial" w:eastAsia="Arial" w:hAnsi="Arial" w:cs="Arial"/>
                <w:color w:val="8B8886"/>
                <w:sz w:val="16"/>
              </w:rPr>
              <w:t xml:space="preserve">(In </w:t>
            </w:r>
            <w:r>
              <w:rPr>
                <w:rFonts w:ascii="Arial" w:eastAsia="Arial" w:hAnsi="Arial" w:cs="Arial"/>
                <w:color w:val="8B8886"/>
                <w:sz w:val="16"/>
              </w:rPr>
              <w:t>thousands)</w:t>
            </w:r>
          </w:p>
        </w:tc>
        <w:tc>
          <w:tcPr>
            <w:tcW w:w="105" w:type="dxa"/>
            <w:tcBorders>
              <w:top w:val="nil"/>
              <w:left w:val="nil"/>
              <w:bottom w:val="single" w:sz="8" w:space="0" w:color="C7C9C7"/>
              <w:right w:val="nil"/>
            </w:tcBorders>
            <w:tcMar>
              <w:top w:w="0" w:type="dxa"/>
              <w:left w:w="0" w:type="dxa"/>
              <w:bottom w:w="0" w:type="dxa"/>
              <w:right w:w="0" w:type="dxa"/>
            </w:tcMar>
            <w:vAlign w:val="bottom"/>
          </w:tcPr>
          <w:p w14:paraId="260E3677" w14:textId="77777777" w:rsidR="001614AC" w:rsidRDefault="001614AC">
            <w:pPr>
              <w:keepNext/>
            </w:pPr>
          </w:p>
        </w:tc>
        <w:tc>
          <w:tcPr>
            <w:tcW w:w="1005" w:type="dxa"/>
            <w:gridSpan w:val="3"/>
            <w:tcBorders>
              <w:top w:val="nil"/>
              <w:left w:val="nil"/>
              <w:bottom w:val="single" w:sz="8" w:space="0" w:color="C7C9C7"/>
              <w:right w:val="nil"/>
            </w:tcBorders>
            <w:shd w:val="clear" w:color="auto" w:fill="E6F8F8"/>
            <w:tcMar>
              <w:top w:w="0" w:type="dxa"/>
              <w:left w:w="53" w:type="dxa"/>
              <w:bottom w:w="0" w:type="dxa"/>
              <w:right w:w="53" w:type="dxa"/>
            </w:tcMar>
            <w:vAlign w:val="bottom"/>
          </w:tcPr>
          <w:p w14:paraId="0A4C3B04" w14:textId="77777777" w:rsidR="001614AC" w:rsidRDefault="004468F9">
            <w:pPr>
              <w:keepNext/>
              <w:spacing w:before="55" w:after="30" w:line="288" w:lineRule="auto"/>
              <w:jc w:val="center"/>
            </w:pPr>
            <w:r>
              <w:rPr>
                <w:rFonts w:ascii="Arial" w:eastAsia="Arial" w:hAnsi="Arial" w:cs="Arial"/>
                <w:b/>
                <w:color w:val="00BAB3"/>
                <w:sz w:val="18"/>
              </w:rPr>
              <w:t>2021</w:t>
            </w:r>
          </w:p>
        </w:tc>
        <w:tc>
          <w:tcPr>
            <w:tcW w:w="105" w:type="dxa"/>
            <w:tcBorders>
              <w:top w:val="single" w:sz="8" w:space="0" w:color="FFFFFF"/>
              <w:left w:val="nil"/>
              <w:bottom w:val="single" w:sz="8" w:space="0" w:color="C7C9C7"/>
              <w:right w:val="nil"/>
            </w:tcBorders>
            <w:tcMar>
              <w:top w:w="0" w:type="dxa"/>
              <w:left w:w="0" w:type="dxa"/>
              <w:bottom w:w="0" w:type="dxa"/>
              <w:right w:w="0" w:type="dxa"/>
            </w:tcMar>
            <w:vAlign w:val="bottom"/>
          </w:tcPr>
          <w:p w14:paraId="2980BC61" w14:textId="77777777" w:rsidR="001614AC" w:rsidRDefault="001614AC">
            <w:pPr>
              <w:keepNext/>
            </w:pPr>
          </w:p>
        </w:tc>
        <w:tc>
          <w:tcPr>
            <w:tcW w:w="1005" w:type="dxa"/>
            <w:gridSpan w:val="3"/>
            <w:tcBorders>
              <w:top w:val="single" w:sz="8" w:space="0" w:color="FFFFFF"/>
              <w:left w:val="nil"/>
              <w:bottom w:val="single" w:sz="8" w:space="0" w:color="C7C9C7"/>
              <w:right w:val="nil"/>
            </w:tcBorders>
            <w:shd w:val="clear" w:color="auto" w:fill="F4F4F4"/>
            <w:tcMar>
              <w:top w:w="0" w:type="dxa"/>
              <w:left w:w="53" w:type="dxa"/>
              <w:bottom w:w="0" w:type="dxa"/>
              <w:right w:w="53" w:type="dxa"/>
            </w:tcMar>
            <w:vAlign w:val="bottom"/>
          </w:tcPr>
          <w:p w14:paraId="4AC7AA5B" w14:textId="77777777" w:rsidR="001614AC" w:rsidRDefault="004468F9">
            <w:pPr>
              <w:keepNext/>
              <w:spacing w:before="55" w:after="30" w:line="288" w:lineRule="auto"/>
              <w:jc w:val="center"/>
            </w:pPr>
            <w:r>
              <w:rPr>
                <w:rFonts w:ascii="Arial" w:eastAsia="Arial" w:hAnsi="Arial" w:cs="Arial"/>
                <w:b/>
                <w:color w:val="00BAB3"/>
                <w:sz w:val="18"/>
              </w:rPr>
              <w:t>2020</w:t>
            </w:r>
          </w:p>
        </w:tc>
        <w:tc>
          <w:tcPr>
            <w:tcW w:w="105" w:type="dxa"/>
            <w:tcBorders>
              <w:top w:val="nil"/>
              <w:left w:val="nil"/>
              <w:bottom w:val="single" w:sz="8" w:space="0" w:color="C7C9C7"/>
              <w:right w:val="nil"/>
            </w:tcBorders>
            <w:tcMar>
              <w:top w:w="0" w:type="dxa"/>
              <w:left w:w="0" w:type="dxa"/>
              <w:bottom w:w="0" w:type="dxa"/>
              <w:right w:w="0" w:type="dxa"/>
            </w:tcMar>
            <w:vAlign w:val="bottom"/>
          </w:tcPr>
          <w:p w14:paraId="68DF4C15" w14:textId="77777777" w:rsidR="001614AC" w:rsidRDefault="001614AC">
            <w:pPr>
              <w:keepNext/>
            </w:pPr>
          </w:p>
        </w:tc>
        <w:tc>
          <w:tcPr>
            <w:tcW w:w="1005" w:type="dxa"/>
            <w:gridSpan w:val="3"/>
            <w:tcBorders>
              <w:top w:val="nil"/>
              <w:left w:val="nil"/>
              <w:bottom w:val="single" w:sz="8" w:space="0" w:color="C7C9C7"/>
              <w:right w:val="nil"/>
            </w:tcBorders>
            <w:shd w:val="clear" w:color="auto" w:fill="E6F8F8"/>
            <w:tcMar>
              <w:top w:w="0" w:type="dxa"/>
              <w:left w:w="53" w:type="dxa"/>
              <w:bottom w:w="0" w:type="dxa"/>
              <w:right w:w="53" w:type="dxa"/>
            </w:tcMar>
            <w:vAlign w:val="bottom"/>
          </w:tcPr>
          <w:p w14:paraId="5976B877" w14:textId="77777777" w:rsidR="001614AC" w:rsidRDefault="004468F9">
            <w:pPr>
              <w:keepNext/>
              <w:spacing w:before="55" w:after="30" w:line="288" w:lineRule="auto"/>
              <w:jc w:val="center"/>
            </w:pPr>
            <w:r>
              <w:rPr>
                <w:rFonts w:ascii="Arial" w:eastAsia="Arial" w:hAnsi="Arial" w:cs="Arial"/>
                <w:b/>
                <w:color w:val="00BAB3"/>
                <w:sz w:val="18"/>
              </w:rPr>
              <w:t>2021</w:t>
            </w:r>
          </w:p>
        </w:tc>
        <w:tc>
          <w:tcPr>
            <w:tcW w:w="105" w:type="dxa"/>
            <w:tcBorders>
              <w:top w:val="single" w:sz="8" w:space="0" w:color="FFFFFF"/>
              <w:left w:val="nil"/>
              <w:bottom w:val="single" w:sz="8" w:space="0" w:color="C7C9C7"/>
              <w:right w:val="nil"/>
            </w:tcBorders>
            <w:tcMar>
              <w:top w:w="0" w:type="dxa"/>
              <w:left w:w="0" w:type="dxa"/>
              <w:bottom w:w="0" w:type="dxa"/>
              <w:right w:w="0" w:type="dxa"/>
            </w:tcMar>
            <w:vAlign w:val="bottom"/>
          </w:tcPr>
          <w:p w14:paraId="3A8F8A38" w14:textId="77777777" w:rsidR="001614AC" w:rsidRDefault="001614AC">
            <w:pPr>
              <w:keepNext/>
            </w:pPr>
          </w:p>
        </w:tc>
        <w:tc>
          <w:tcPr>
            <w:tcW w:w="1005" w:type="dxa"/>
            <w:gridSpan w:val="3"/>
            <w:tcBorders>
              <w:top w:val="single" w:sz="8" w:space="0" w:color="FFFFFF"/>
              <w:left w:val="nil"/>
              <w:bottom w:val="single" w:sz="8" w:space="0" w:color="C7C9C7"/>
              <w:right w:val="nil"/>
            </w:tcBorders>
            <w:shd w:val="clear" w:color="auto" w:fill="F4F4F4"/>
            <w:tcMar>
              <w:top w:w="0" w:type="dxa"/>
              <w:left w:w="53" w:type="dxa"/>
              <w:bottom w:w="0" w:type="dxa"/>
              <w:right w:w="53" w:type="dxa"/>
            </w:tcMar>
            <w:vAlign w:val="bottom"/>
          </w:tcPr>
          <w:p w14:paraId="2FB649C8" w14:textId="77777777" w:rsidR="001614AC" w:rsidRDefault="004468F9">
            <w:pPr>
              <w:keepNext/>
              <w:spacing w:before="55" w:after="30" w:line="288" w:lineRule="auto"/>
              <w:jc w:val="center"/>
            </w:pPr>
            <w:r>
              <w:rPr>
                <w:rFonts w:ascii="Arial" w:eastAsia="Arial" w:hAnsi="Arial" w:cs="Arial"/>
                <w:b/>
                <w:color w:val="00BAB3"/>
                <w:sz w:val="18"/>
              </w:rPr>
              <w:t>2020</w:t>
            </w:r>
          </w:p>
        </w:tc>
      </w:tr>
      <w:tr w:rsidR="001614AC" w14:paraId="5C9658E0" w14:textId="77777777">
        <w:trPr>
          <w:cantSplit/>
        </w:trPr>
        <w:tc>
          <w:tcPr>
            <w:tcW w:w="5640" w:type="dxa"/>
            <w:tcBorders>
              <w:top w:val="single" w:sz="8" w:space="0" w:color="C7C9C7"/>
              <w:left w:val="nil"/>
              <w:bottom w:val="single" w:sz="8" w:space="0" w:color="E9E9E9"/>
              <w:right w:val="nil"/>
            </w:tcBorders>
            <w:tcMar>
              <w:top w:w="0" w:type="dxa"/>
              <w:left w:w="53" w:type="dxa"/>
              <w:bottom w:w="0" w:type="dxa"/>
              <w:right w:w="53" w:type="dxa"/>
            </w:tcMar>
            <w:vAlign w:val="bottom"/>
          </w:tcPr>
          <w:p w14:paraId="52DC1778" w14:textId="77777777" w:rsidR="001614AC" w:rsidRDefault="004468F9">
            <w:pPr>
              <w:keepNext/>
              <w:spacing w:before="55" w:after="30" w:line="288" w:lineRule="auto"/>
            </w:pPr>
            <w:r>
              <w:rPr>
                <w:rFonts w:ascii="Arial" w:eastAsia="Arial" w:hAnsi="Arial" w:cs="Arial"/>
                <w:color w:val="000000"/>
                <w:sz w:val="18"/>
              </w:rPr>
              <w:t>homegenius services</w:t>
            </w:r>
          </w:p>
        </w:tc>
        <w:tc>
          <w:tcPr>
            <w:tcW w:w="105" w:type="dxa"/>
            <w:tcBorders>
              <w:top w:val="single" w:sz="8" w:space="0" w:color="C7C9C7"/>
              <w:left w:val="nil"/>
              <w:bottom w:val="nil"/>
              <w:right w:val="nil"/>
            </w:tcBorders>
            <w:tcMar>
              <w:top w:w="0" w:type="dxa"/>
              <w:left w:w="0" w:type="dxa"/>
              <w:bottom w:w="0" w:type="dxa"/>
              <w:right w:w="0" w:type="dxa"/>
            </w:tcMar>
            <w:vAlign w:val="bottom"/>
          </w:tcPr>
          <w:p w14:paraId="607D280A" w14:textId="77777777" w:rsidR="001614AC" w:rsidRDefault="001614AC">
            <w:pPr>
              <w:keepNext/>
            </w:pPr>
          </w:p>
        </w:tc>
        <w:tc>
          <w:tcPr>
            <w:tcW w:w="1005" w:type="dxa"/>
            <w:gridSpan w:val="3"/>
            <w:tcBorders>
              <w:top w:val="single" w:sz="8" w:space="0" w:color="C7C9C7"/>
              <w:left w:val="nil"/>
              <w:bottom w:val="single" w:sz="8" w:space="0" w:color="E9E9E9"/>
              <w:right w:val="nil"/>
            </w:tcBorders>
            <w:tcMar>
              <w:top w:w="0" w:type="dxa"/>
              <w:left w:w="0" w:type="dxa"/>
              <w:bottom w:w="0" w:type="dxa"/>
              <w:right w:w="0" w:type="dxa"/>
            </w:tcMar>
            <w:vAlign w:val="bottom"/>
          </w:tcPr>
          <w:p w14:paraId="3C75F27B" w14:textId="77777777" w:rsidR="001614AC" w:rsidRDefault="001614AC">
            <w:pPr>
              <w:keepNext/>
            </w:pPr>
          </w:p>
        </w:tc>
        <w:tc>
          <w:tcPr>
            <w:tcW w:w="105" w:type="dxa"/>
            <w:tcBorders>
              <w:top w:val="single" w:sz="8" w:space="0" w:color="C7C9C7"/>
              <w:left w:val="nil"/>
              <w:bottom w:val="nil"/>
              <w:right w:val="nil"/>
            </w:tcBorders>
            <w:tcMar>
              <w:top w:w="0" w:type="dxa"/>
              <w:left w:w="0" w:type="dxa"/>
              <w:bottom w:w="0" w:type="dxa"/>
              <w:right w:w="0" w:type="dxa"/>
            </w:tcMar>
            <w:vAlign w:val="bottom"/>
          </w:tcPr>
          <w:p w14:paraId="13E43346" w14:textId="77777777" w:rsidR="001614AC" w:rsidRDefault="001614AC">
            <w:pPr>
              <w:keepNext/>
            </w:pPr>
          </w:p>
        </w:tc>
        <w:tc>
          <w:tcPr>
            <w:tcW w:w="1005" w:type="dxa"/>
            <w:gridSpan w:val="3"/>
            <w:tcBorders>
              <w:top w:val="single" w:sz="8" w:space="0" w:color="C7C9C7"/>
              <w:left w:val="nil"/>
              <w:bottom w:val="single" w:sz="8" w:space="0" w:color="E9E9E9"/>
              <w:right w:val="nil"/>
            </w:tcBorders>
            <w:tcMar>
              <w:top w:w="0" w:type="dxa"/>
              <w:left w:w="0" w:type="dxa"/>
              <w:bottom w:w="0" w:type="dxa"/>
              <w:right w:w="0" w:type="dxa"/>
            </w:tcMar>
            <w:vAlign w:val="bottom"/>
          </w:tcPr>
          <w:p w14:paraId="348FCF0F" w14:textId="77777777" w:rsidR="001614AC" w:rsidRDefault="001614AC">
            <w:pPr>
              <w:keepNext/>
            </w:pPr>
          </w:p>
        </w:tc>
        <w:tc>
          <w:tcPr>
            <w:tcW w:w="105" w:type="dxa"/>
            <w:tcBorders>
              <w:top w:val="single" w:sz="8" w:space="0" w:color="C7C9C7"/>
              <w:left w:val="nil"/>
              <w:bottom w:val="nil"/>
              <w:right w:val="nil"/>
            </w:tcBorders>
            <w:tcMar>
              <w:top w:w="0" w:type="dxa"/>
              <w:left w:w="0" w:type="dxa"/>
              <w:bottom w:w="0" w:type="dxa"/>
              <w:right w:w="0" w:type="dxa"/>
            </w:tcMar>
            <w:vAlign w:val="bottom"/>
          </w:tcPr>
          <w:p w14:paraId="0C0748FF" w14:textId="77777777" w:rsidR="001614AC" w:rsidRDefault="001614AC">
            <w:pPr>
              <w:keepNext/>
            </w:pPr>
          </w:p>
        </w:tc>
        <w:tc>
          <w:tcPr>
            <w:tcW w:w="1005" w:type="dxa"/>
            <w:gridSpan w:val="3"/>
            <w:tcBorders>
              <w:top w:val="single" w:sz="8" w:space="0" w:color="C7C9C7"/>
              <w:left w:val="nil"/>
              <w:bottom w:val="single" w:sz="8" w:space="0" w:color="E9E9E9"/>
              <w:right w:val="nil"/>
            </w:tcBorders>
            <w:tcMar>
              <w:top w:w="0" w:type="dxa"/>
              <w:left w:w="0" w:type="dxa"/>
              <w:bottom w:w="0" w:type="dxa"/>
              <w:right w:w="0" w:type="dxa"/>
            </w:tcMar>
            <w:vAlign w:val="bottom"/>
          </w:tcPr>
          <w:p w14:paraId="0E880A40" w14:textId="77777777" w:rsidR="001614AC" w:rsidRDefault="001614AC">
            <w:pPr>
              <w:keepNext/>
            </w:pPr>
          </w:p>
        </w:tc>
        <w:tc>
          <w:tcPr>
            <w:tcW w:w="105" w:type="dxa"/>
            <w:tcBorders>
              <w:top w:val="single" w:sz="8" w:space="0" w:color="C7C9C7"/>
              <w:left w:val="nil"/>
              <w:bottom w:val="nil"/>
              <w:right w:val="nil"/>
            </w:tcBorders>
            <w:tcMar>
              <w:top w:w="0" w:type="dxa"/>
              <w:left w:w="0" w:type="dxa"/>
              <w:bottom w:w="0" w:type="dxa"/>
              <w:right w:w="0" w:type="dxa"/>
            </w:tcMar>
            <w:vAlign w:val="bottom"/>
          </w:tcPr>
          <w:p w14:paraId="13FDE1CA" w14:textId="77777777" w:rsidR="001614AC" w:rsidRDefault="001614AC">
            <w:pPr>
              <w:keepNext/>
            </w:pPr>
          </w:p>
        </w:tc>
        <w:tc>
          <w:tcPr>
            <w:tcW w:w="1005" w:type="dxa"/>
            <w:gridSpan w:val="3"/>
            <w:tcBorders>
              <w:top w:val="single" w:sz="8" w:space="0" w:color="C7C9C7"/>
              <w:left w:val="nil"/>
              <w:bottom w:val="single" w:sz="8" w:space="0" w:color="E9E9E9"/>
              <w:right w:val="nil"/>
            </w:tcBorders>
            <w:tcMar>
              <w:top w:w="0" w:type="dxa"/>
              <w:left w:w="0" w:type="dxa"/>
              <w:bottom w:w="0" w:type="dxa"/>
              <w:right w:w="0" w:type="dxa"/>
            </w:tcMar>
            <w:vAlign w:val="bottom"/>
          </w:tcPr>
          <w:p w14:paraId="0DCBC021" w14:textId="77777777" w:rsidR="001614AC" w:rsidRDefault="001614AC">
            <w:pPr>
              <w:keepNext/>
            </w:pPr>
          </w:p>
        </w:tc>
      </w:tr>
      <w:tr w:rsidR="001614AC" w14:paraId="13C082B3" w14:textId="77777777">
        <w:trPr>
          <w:cantSplit/>
        </w:trPr>
        <w:tc>
          <w:tcPr>
            <w:tcW w:w="5640" w:type="dxa"/>
            <w:tcBorders>
              <w:top w:val="single" w:sz="8" w:space="0" w:color="E9E9E9"/>
              <w:left w:val="nil"/>
              <w:bottom w:val="single" w:sz="8" w:space="0" w:color="E9E9E9"/>
              <w:right w:val="nil"/>
            </w:tcBorders>
            <w:tcMar>
              <w:top w:w="0" w:type="dxa"/>
              <w:left w:w="53" w:type="dxa"/>
              <w:bottom w:w="0" w:type="dxa"/>
              <w:right w:w="53" w:type="dxa"/>
            </w:tcMar>
            <w:vAlign w:val="bottom"/>
          </w:tcPr>
          <w:p w14:paraId="0EDC6DA2" w14:textId="77777777" w:rsidR="001614AC" w:rsidRDefault="004468F9">
            <w:pPr>
              <w:keepNext/>
              <w:spacing w:before="55" w:after="30" w:line="288" w:lineRule="auto"/>
              <w:ind w:left="240"/>
            </w:pPr>
            <w:r>
              <w:rPr>
                <w:rFonts w:ascii="Arial" w:eastAsia="Arial" w:hAnsi="Arial" w:cs="Arial"/>
                <w:color w:val="000000"/>
                <w:sz w:val="18"/>
              </w:rPr>
              <w:t>Title services</w:t>
            </w:r>
          </w:p>
        </w:tc>
        <w:tc>
          <w:tcPr>
            <w:tcW w:w="105" w:type="dxa"/>
            <w:tcBorders>
              <w:top w:val="nil"/>
              <w:left w:val="nil"/>
              <w:bottom w:val="nil"/>
              <w:right w:val="nil"/>
            </w:tcBorders>
            <w:tcMar>
              <w:top w:w="0" w:type="dxa"/>
              <w:left w:w="0" w:type="dxa"/>
              <w:bottom w:w="0" w:type="dxa"/>
              <w:right w:w="0" w:type="dxa"/>
            </w:tcMar>
            <w:vAlign w:val="bottom"/>
          </w:tcPr>
          <w:p w14:paraId="396694AD" w14:textId="77777777" w:rsidR="001614AC" w:rsidRDefault="001614AC">
            <w:pPr>
              <w:keepNext/>
            </w:pPr>
          </w:p>
        </w:tc>
        <w:tc>
          <w:tcPr>
            <w:tcW w:w="160" w:type="dxa"/>
            <w:tcBorders>
              <w:top w:val="single" w:sz="8" w:space="0" w:color="E9E9E9"/>
              <w:left w:val="nil"/>
              <w:bottom w:val="single" w:sz="8" w:space="0" w:color="E9E9E9"/>
              <w:right w:val="nil"/>
            </w:tcBorders>
            <w:tcMar>
              <w:top w:w="0" w:type="dxa"/>
              <w:left w:w="53" w:type="dxa"/>
              <w:bottom w:w="0" w:type="dxa"/>
              <w:right w:w="0" w:type="dxa"/>
            </w:tcMar>
            <w:vAlign w:val="bottom"/>
          </w:tcPr>
          <w:p w14:paraId="2F628CDC" w14:textId="77777777" w:rsidR="001614AC" w:rsidRDefault="004468F9">
            <w:pPr>
              <w:keepNext/>
              <w:spacing w:before="55" w:after="30" w:line="288" w:lineRule="auto"/>
            </w:pPr>
            <w:r>
              <w:rPr>
                <w:rFonts w:ascii="Arial" w:eastAsia="Arial" w:hAnsi="Arial" w:cs="Arial"/>
                <w:color w:val="000000"/>
                <w:sz w:val="18"/>
              </w:rPr>
              <w:t>$</w:t>
            </w:r>
          </w:p>
        </w:tc>
        <w:tc>
          <w:tcPr>
            <w:tcW w:w="745" w:type="dxa"/>
            <w:tcBorders>
              <w:top w:val="single" w:sz="8" w:space="0" w:color="E9E9E9"/>
              <w:left w:val="nil"/>
              <w:bottom w:val="single" w:sz="8" w:space="0" w:color="E9E9E9"/>
              <w:right w:val="nil"/>
            </w:tcBorders>
            <w:tcMar>
              <w:top w:w="0" w:type="dxa"/>
              <w:left w:w="0" w:type="dxa"/>
              <w:bottom w:w="0" w:type="dxa"/>
              <w:right w:w="0" w:type="dxa"/>
            </w:tcMar>
            <w:vAlign w:val="bottom"/>
          </w:tcPr>
          <w:p w14:paraId="72C2AFDB" w14:textId="77777777" w:rsidR="001614AC" w:rsidRDefault="004468F9">
            <w:pPr>
              <w:keepNext/>
              <w:spacing w:before="55" w:after="30" w:line="288" w:lineRule="auto"/>
              <w:jc w:val="right"/>
            </w:pPr>
            <w:r>
              <w:rPr>
                <w:rFonts w:ascii="Arial" w:eastAsia="Arial" w:hAnsi="Arial" w:cs="Arial"/>
                <w:color w:val="000000"/>
                <w:sz w:val="18"/>
              </w:rPr>
              <w:t>9,399 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31E15FE4" w14:textId="77777777" w:rsidR="001614AC" w:rsidRDefault="001614AC">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2E288712" w14:textId="77777777" w:rsidR="001614AC" w:rsidRDefault="001614AC">
            <w:pPr>
              <w:keepNext/>
            </w:pPr>
          </w:p>
        </w:tc>
        <w:tc>
          <w:tcPr>
            <w:tcW w:w="160" w:type="dxa"/>
            <w:tcBorders>
              <w:top w:val="single" w:sz="8" w:space="0" w:color="E9E9E9"/>
              <w:left w:val="nil"/>
              <w:bottom w:val="single" w:sz="8" w:space="0" w:color="E9E9E9"/>
              <w:right w:val="nil"/>
            </w:tcBorders>
            <w:tcMar>
              <w:top w:w="0" w:type="dxa"/>
              <w:left w:w="53" w:type="dxa"/>
              <w:bottom w:w="0" w:type="dxa"/>
              <w:right w:w="0" w:type="dxa"/>
            </w:tcMar>
            <w:vAlign w:val="bottom"/>
          </w:tcPr>
          <w:p w14:paraId="63D27DD3" w14:textId="77777777" w:rsidR="001614AC" w:rsidRDefault="004468F9">
            <w:pPr>
              <w:keepNext/>
              <w:spacing w:before="55" w:after="30" w:line="288" w:lineRule="auto"/>
            </w:pPr>
            <w:r>
              <w:rPr>
                <w:rFonts w:ascii="Arial" w:eastAsia="Arial" w:hAnsi="Arial" w:cs="Arial"/>
                <w:color w:val="000000"/>
                <w:sz w:val="18"/>
              </w:rPr>
              <w:t>$</w:t>
            </w:r>
          </w:p>
        </w:tc>
        <w:tc>
          <w:tcPr>
            <w:tcW w:w="745" w:type="dxa"/>
            <w:tcBorders>
              <w:top w:val="single" w:sz="8" w:space="0" w:color="E9E9E9"/>
              <w:left w:val="nil"/>
              <w:bottom w:val="single" w:sz="8" w:space="0" w:color="E9E9E9"/>
              <w:right w:val="nil"/>
            </w:tcBorders>
            <w:tcMar>
              <w:top w:w="0" w:type="dxa"/>
              <w:left w:w="0" w:type="dxa"/>
              <w:bottom w:w="0" w:type="dxa"/>
              <w:right w:w="0" w:type="dxa"/>
            </w:tcMar>
            <w:vAlign w:val="bottom"/>
          </w:tcPr>
          <w:p w14:paraId="1D320203" w14:textId="77777777" w:rsidR="001614AC" w:rsidRDefault="004468F9">
            <w:pPr>
              <w:keepNext/>
              <w:spacing w:before="55" w:after="30" w:line="288" w:lineRule="auto"/>
              <w:jc w:val="right"/>
            </w:pPr>
            <w:r>
              <w:rPr>
                <w:rFonts w:ascii="Arial" w:eastAsia="Arial" w:hAnsi="Arial" w:cs="Arial"/>
                <w:color w:val="000000"/>
                <w:sz w:val="18"/>
              </w:rPr>
              <w:t>6,021 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2283F852" w14:textId="77777777" w:rsidR="001614AC" w:rsidRDefault="001614AC">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3BDA235A" w14:textId="77777777" w:rsidR="001614AC" w:rsidRDefault="001614AC">
            <w:pPr>
              <w:keepNext/>
            </w:pPr>
          </w:p>
        </w:tc>
        <w:tc>
          <w:tcPr>
            <w:tcW w:w="160" w:type="dxa"/>
            <w:tcBorders>
              <w:top w:val="single" w:sz="8" w:space="0" w:color="E9E9E9"/>
              <w:left w:val="nil"/>
              <w:bottom w:val="single" w:sz="8" w:space="0" w:color="E9E9E9"/>
              <w:right w:val="nil"/>
            </w:tcBorders>
            <w:tcMar>
              <w:top w:w="0" w:type="dxa"/>
              <w:left w:w="53" w:type="dxa"/>
              <w:bottom w:w="0" w:type="dxa"/>
              <w:right w:w="0" w:type="dxa"/>
            </w:tcMar>
            <w:vAlign w:val="bottom"/>
          </w:tcPr>
          <w:p w14:paraId="3A8B0B10" w14:textId="77777777" w:rsidR="001614AC" w:rsidRDefault="004468F9">
            <w:pPr>
              <w:keepNext/>
              <w:spacing w:before="55" w:after="30" w:line="288" w:lineRule="auto"/>
            </w:pPr>
            <w:r>
              <w:rPr>
                <w:rFonts w:ascii="Arial" w:eastAsia="Arial" w:hAnsi="Arial" w:cs="Arial"/>
                <w:color w:val="000000"/>
                <w:sz w:val="18"/>
              </w:rPr>
              <w:t>$</w:t>
            </w:r>
          </w:p>
        </w:tc>
        <w:tc>
          <w:tcPr>
            <w:tcW w:w="745" w:type="dxa"/>
            <w:tcBorders>
              <w:top w:val="single" w:sz="8" w:space="0" w:color="E9E9E9"/>
              <w:left w:val="nil"/>
              <w:bottom w:val="single" w:sz="8" w:space="0" w:color="E9E9E9"/>
              <w:right w:val="nil"/>
            </w:tcBorders>
            <w:tcMar>
              <w:top w:w="0" w:type="dxa"/>
              <w:left w:w="0" w:type="dxa"/>
              <w:bottom w:w="0" w:type="dxa"/>
              <w:right w:w="0" w:type="dxa"/>
            </w:tcMar>
            <w:vAlign w:val="bottom"/>
          </w:tcPr>
          <w:p w14:paraId="033436B7" w14:textId="77777777" w:rsidR="001614AC" w:rsidRDefault="004468F9">
            <w:pPr>
              <w:keepNext/>
              <w:spacing w:before="55" w:after="30" w:line="288" w:lineRule="auto"/>
              <w:jc w:val="right"/>
            </w:pPr>
            <w:r>
              <w:rPr>
                <w:rFonts w:ascii="Arial" w:eastAsia="Arial" w:hAnsi="Arial" w:cs="Arial"/>
                <w:color w:val="000000"/>
                <w:sz w:val="18"/>
              </w:rPr>
              <w:t>17,456 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0523AC0D" w14:textId="77777777" w:rsidR="001614AC" w:rsidRDefault="001614AC">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448C3096" w14:textId="77777777" w:rsidR="001614AC" w:rsidRDefault="001614AC">
            <w:pPr>
              <w:keepNext/>
            </w:pPr>
          </w:p>
        </w:tc>
        <w:tc>
          <w:tcPr>
            <w:tcW w:w="160" w:type="dxa"/>
            <w:tcBorders>
              <w:top w:val="single" w:sz="8" w:space="0" w:color="E9E9E9"/>
              <w:left w:val="nil"/>
              <w:bottom w:val="single" w:sz="8" w:space="0" w:color="E9E9E9"/>
              <w:right w:val="nil"/>
            </w:tcBorders>
            <w:tcMar>
              <w:top w:w="0" w:type="dxa"/>
              <w:left w:w="53" w:type="dxa"/>
              <w:bottom w:w="0" w:type="dxa"/>
              <w:right w:w="0" w:type="dxa"/>
            </w:tcMar>
            <w:vAlign w:val="bottom"/>
          </w:tcPr>
          <w:p w14:paraId="5130CE5D" w14:textId="77777777" w:rsidR="001614AC" w:rsidRDefault="004468F9">
            <w:pPr>
              <w:keepNext/>
              <w:spacing w:before="55" w:after="30" w:line="288" w:lineRule="auto"/>
            </w:pPr>
            <w:r>
              <w:rPr>
                <w:rFonts w:ascii="Arial" w:eastAsia="Arial" w:hAnsi="Arial" w:cs="Arial"/>
                <w:color w:val="000000"/>
                <w:sz w:val="18"/>
              </w:rPr>
              <w:t>$</w:t>
            </w:r>
          </w:p>
        </w:tc>
        <w:tc>
          <w:tcPr>
            <w:tcW w:w="745" w:type="dxa"/>
            <w:tcBorders>
              <w:top w:val="single" w:sz="8" w:space="0" w:color="E9E9E9"/>
              <w:left w:val="nil"/>
              <w:bottom w:val="single" w:sz="8" w:space="0" w:color="E9E9E9"/>
              <w:right w:val="nil"/>
            </w:tcBorders>
            <w:tcMar>
              <w:top w:w="0" w:type="dxa"/>
              <w:left w:w="0" w:type="dxa"/>
              <w:bottom w:w="0" w:type="dxa"/>
              <w:right w:w="0" w:type="dxa"/>
            </w:tcMar>
            <w:vAlign w:val="bottom"/>
          </w:tcPr>
          <w:p w14:paraId="58699535" w14:textId="77777777" w:rsidR="001614AC" w:rsidRDefault="004468F9">
            <w:pPr>
              <w:keepNext/>
              <w:spacing w:before="55" w:after="30" w:line="288" w:lineRule="auto"/>
              <w:jc w:val="right"/>
            </w:pPr>
            <w:r>
              <w:rPr>
                <w:rFonts w:ascii="Arial" w:eastAsia="Arial" w:hAnsi="Arial" w:cs="Arial"/>
                <w:color w:val="000000"/>
                <w:sz w:val="18"/>
              </w:rPr>
              <w:t>12,586 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658E00C5" w14:textId="77777777" w:rsidR="001614AC" w:rsidRDefault="001614AC">
            <w:pPr>
              <w:keepNext/>
              <w:spacing w:before="55" w:after="30" w:line="288" w:lineRule="auto"/>
              <w:jc w:val="right"/>
            </w:pPr>
          </w:p>
        </w:tc>
      </w:tr>
      <w:tr w:rsidR="001614AC" w14:paraId="11939931" w14:textId="77777777">
        <w:trPr>
          <w:cantSplit/>
        </w:trPr>
        <w:tc>
          <w:tcPr>
            <w:tcW w:w="5640" w:type="dxa"/>
            <w:tcBorders>
              <w:top w:val="single" w:sz="8" w:space="0" w:color="E9E9E9"/>
              <w:left w:val="nil"/>
              <w:bottom w:val="single" w:sz="8" w:space="0" w:color="E9E9E9"/>
              <w:right w:val="nil"/>
            </w:tcBorders>
            <w:tcMar>
              <w:top w:w="0" w:type="dxa"/>
              <w:left w:w="53" w:type="dxa"/>
              <w:bottom w:w="0" w:type="dxa"/>
              <w:right w:w="53" w:type="dxa"/>
            </w:tcMar>
            <w:vAlign w:val="bottom"/>
          </w:tcPr>
          <w:p w14:paraId="5B62CD8A" w14:textId="77777777" w:rsidR="001614AC" w:rsidRDefault="004468F9">
            <w:pPr>
              <w:keepNext/>
              <w:spacing w:before="55" w:after="30" w:line="288" w:lineRule="auto"/>
              <w:ind w:left="240"/>
            </w:pPr>
            <w:r>
              <w:rPr>
                <w:rFonts w:ascii="Arial" w:eastAsia="Arial" w:hAnsi="Arial" w:cs="Arial"/>
                <w:color w:val="000000"/>
                <w:sz w:val="18"/>
              </w:rPr>
              <w:t>Asset management services</w:t>
            </w:r>
          </w:p>
        </w:tc>
        <w:tc>
          <w:tcPr>
            <w:tcW w:w="105" w:type="dxa"/>
            <w:tcBorders>
              <w:top w:val="nil"/>
              <w:left w:val="nil"/>
              <w:bottom w:val="nil"/>
              <w:right w:val="nil"/>
            </w:tcBorders>
            <w:tcMar>
              <w:top w:w="0" w:type="dxa"/>
              <w:left w:w="0" w:type="dxa"/>
              <w:bottom w:w="0" w:type="dxa"/>
              <w:right w:w="0" w:type="dxa"/>
            </w:tcMar>
            <w:vAlign w:val="bottom"/>
          </w:tcPr>
          <w:p w14:paraId="78741008" w14:textId="77777777" w:rsidR="001614AC" w:rsidRDefault="001614AC">
            <w:pPr>
              <w:keepNext/>
            </w:pPr>
          </w:p>
        </w:tc>
        <w:tc>
          <w:tcPr>
            <w:tcW w:w="90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1797E823" w14:textId="77777777" w:rsidR="001614AC" w:rsidRDefault="004468F9">
            <w:pPr>
              <w:keepNext/>
              <w:spacing w:before="55" w:after="30" w:line="288" w:lineRule="auto"/>
              <w:jc w:val="right"/>
            </w:pPr>
            <w:r>
              <w:rPr>
                <w:rFonts w:ascii="Arial" w:eastAsia="Arial" w:hAnsi="Arial" w:cs="Arial"/>
                <w:color w:val="000000"/>
                <w:sz w:val="18"/>
              </w:rPr>
              <w:t>6,824 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39B1497A" w14:textId="77777777" w:rsidR="001614AC" w:rsidRDefault="001614AC">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615CA117" w14:textId="77777777" w:rsidR="001614AC" w:rsidRDefault="001614AC">
            <w:pPr>
              <w:keepNext/>
            </w:pPr>
          </w:p>
        </w:tc>
        <w:tc>
          <w:tcPr>
            <w:tcW w:w="90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399CCC0B" w14:textId="77777777" w:rsidR="001614AC" w:rsidRDefault="004468F9">
            <w:pPr>
              <w:keepNext/>
              <w:spacing w:before="55" w:after="30" w:line="288" w:lineRule="auto"/>
              <w:jc w:val="right"/>
            </w:pPr>
            <w:r>
              <w:rPr>
                <w:rFonts w:ascii="Arial" w:eastAsia="Arial" w:hAnsi="Arial" w:cs="Arial"/>
                <w:color w:val="000000"/>
                <w:sz w:val="18"/>
              </w:rPr>
              <w:t>6,036 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4F4C8FEC" w14:textId="77777777" w:rsidR="001614AC" w:rsidRDefault="001614AC">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473A26FA" w14:textId="77777777" w:rsidR="001614AC" w:rsidRDefault="001614AC">
            <w:pPr>
              <w:keepNext/>
            </w:pPr>
          </w:p>
        </w:tc>
        <w:tc>
          <w:tcPr>
            <w:tcW w:w="90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1CF62149" w14:textId="77777777" w:rsidR="001614AC" w:rsidRDefault="004468F9">
            <w:pPr>
              <w:keepNext/>
              <w:spacing w:before="55" w:after="30" w:line="288" w:lineRule="auto"/>
              <w:jc w:val="right"/>
            </w:pPr>
            <w:r>
              <w:rPr>
                <w:rFonts w:ascii="Arial" w:eastAsia="Arial" w:hAnsi="Arial" w:cs="Arial"/>
                <w:color w:val="000000"/>
                <w:sz w:val="18"/>
              </w:rPr>
              <w:t>11,438 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2967A68B" w14:textId="77777777" w:rsidR="001614AC" w:rsidRDefault="001614AC">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086CDEBE" w14:textId="77777777" w:rsidR="001614AC" w:rsidRDefault="001614AC">
            <w:pPr>
              <w:keepNext/>
            </w:pPr>
          </w:p>
        </w:tc>
        <w:tc>
          <w:tcPr>
            <w:tcW w:w="90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53A9D3FF" w14:textId="77777777" w:rsidR="001614AC" w:rsidRDefault="004468F9">
            <w:pPr>
              <w:keepNext/>
              <w:spacing w:before="55" w:after="30" w:line="288" w:lineRule="auto"/>
              <w:jc w:val="right"/>
            </w:pPr>
            <w:r>
              <w:rPr>
                <w:rFonts w:ascii="Arial" w:eastAsia="Arial" w:hAnsi="Arial" w:cs="Arial"/>
                <w:color w:val="000000"/>
                <w:sz w:val="18"/>
              </w:rPr>
              <w:t>14,896 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3536C796" w14:textId="77777777" w:rsidR="001614AC" w:rsidRDefault="001614AC">
            <w:pPr>
              <w:keepNext/>
              <w:spacing w:before="55" w:after="30" w:line="288" w:lineRule="auto"/>
              <w:jc w:val="right"/>
            </w:pPr>
          </w:p>
        </w:tc>
      </w:tr>
      <w:tr w:rsidR="001614AC" w14:paraId="56AD92FC" w14:textId="77777777">
        <w:trPr>
          <w:cantSplit/>
        </w:trPr>
        <w:tc>
          <w:tcPr>
            <w:tcW w:w="5640" w:type="dxa"/>
            <w:tcBorders>
              <w:top w:val="single" w:sz="8" w:space="0" w:color="E9E9E9"/>
              <w:left w:val="nil"/>
              <w:bottom w:val="single" w:sz="8" w:space="0" w:color="E9E9E9"/>
              <w:right w:val="nil"/>
            </w:tcBorders>
            <w:tcMar>
              <w:top w:w="0" w:type="dxa"/>
              <w:left w:w="53" w:type="dxa"/>
              <w:bottom w:w="0" w:type="dxa"/>
              <w:right w:w="53" w:type="dxa"/>
            </w:tcMar>
            <w:vAlign w:val="bottom"/>
          </w:tcPr>
          <w:p w14:paraId="66689C27" w14:textId="77777777" w:rsidR="001614AC" w:rsidRDefault="004468F9">
            <w:pPr>
              <w:keepNext/>
              <w:spacing w:before="55" w:after="30" w:line="288" w:lineRule="auto"/>
              <w:ind w:left="240"/>
            </w:pPr>
            <w:r>
              <w:rPr>
                <w:rFonts w:ascii="Arial" w:eastAsia="Arial" w:hAnsi="Arial" w:cs="Arial"/>
                <w:color w:val="000000"/>
                <w:sz w:val="18"/>
              </w:rPr>
              <w:t xml:space="preserve">Valuation services </w:t>
            </w:r>
          </w:p>
        </w:tc>
        <w:tc>
          <w:tcPr>
            <w:tcW w:w="105" w:type="dxa"/>
            <w:tcBorders>
              <w:top w:val="nil"/>
              <w:left w:val="nil"/>
              <w:bottom w:val="nil"/>
              <w:right w:val="nil"/>
            </w:tcBorders>
            <w:tcMar>
              <w:top w:w="0" w:type="dxa"/>
              <w:left w:w="0" w:type="dxa"/>
              <w:bottom w:w="0" w:type="dxa"/>
              <w:right w:w="0" w:type="dxa"/>
            </w:tcMar>
            <w:vAlign w:val="bottom"/>
          </w:tcPr>
          <w:p w14:paraId="563B7C94" w14:textId="77777777" w:rsidR="001614AC" w:rsidRDefault="001614AC">
            <w:pPr>
              <w:keepNext/>
            </w:pPr>
          </w:p>
        </w:tc>
        <w:tc>
          <w:tcPr>
            <w:tcW w:w="90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43270FA2" w14:textId="77777777" w:rsidR="001614AC" w:rsidRDefault="004468F9">
            <w:pPr>
              <w:keepNext/>
              <w:spacing w:before="55" w:after="30" w:line="288" w:lineRule="auto"/>
              <w:jc w:val="right"/>
            </w:pPr>
            <w:r>
              <w:rPr>
                <w:rFonts w:ascii="Arial" w:eastAsia="Arial" w:hAnsi="Arial" w:cs="Arial"/>
                <w:color w:val="000000"/>
                <w:sz w:val="18"/>
              </w:rPr>
              <w:t>8,494 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4C8F99D6" w14:textId="77777777" w:rsidR="001614AC" w:rsidRDefault="001614AC">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3C0D745E" w14:textId="77777777" w:rsidR="001614AC" w:rsidRDefault="001614AC">
            <w:pPr>
              <w:keepNext/>
            </w:pPr>
          </w:p>
        </w:tc>
        <w:tc>
          <w:tcPr>
            <w:tcW w:w="90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6B361AE1" w14:textId="77777777" w:rsidR="001614AC" w:rsidRDefault="004468F9">
            <w:pPr>
              <w:keepNext/>
              <w:spacing w:before="55" w:after="30" w:line="288" w:lineRule="auto"/>
              <w:jc w:val="right"/>
            </w:pPr>
            <w:r>
              <w:rPr>
                <w:rFonts w:ascii="Arial" w:eastAsia="Arial" w:hAnsi="Arial" w:cs="Arial"/>
                <w:color w:val="000000"/>
                <w:sz w:val="18"/>
              </w:rPr>
              <w:t>3,837 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15B216B0" w14:textId="77777777" w:rsidR="001614AC" w:rsidRDefault="001614AC">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6C1D159B" w14:textId="77777777" w:rsidR="001614AC" w:rsidRDefault="001614AC">
            <w:pPr>
              <w:keepNext/>
            </w:pPr>
          </w:p>
        </w:tc>
        <w:tc>
          <w:tcPr>
            <w:tcW w:w="90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32D2D9F0" w14:textId="77777777" w:rsidR="001614AC" w:rsidRDefault="004468F9">
            <w:pPr>
              <w:keepNext/>
              <w:spacing w:before="55" w:after="30" w:line="288" w:lineRule="auto"/>
              <w:jc w:val="right"/>
            </w:pPr>
            <w:r>
              <w:rPr>
                <w:rFonts w:ascii="Arial" w:eastAsia="Arial" w:hAnsi="Arial" w:cs="Arial"/>
                <w:color w:val="000000"/>
                <w:sz w:val="18"/>
              </w:rPr>
              <w:t>13,380 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5DFFA520" w14:textId="77777777" w:rsidR="001614AC" w:rsidRDefault="001614AC">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336EADC5" w14:textId="77777777" w:rsidR="001614AC" w:rsidRDefault="001614AC">
            <w:pPr>
              <w:keepNext/>
            </w:pPr>
          </w:p>
        </w:tc>
        <w:tc>
          <w:tcPr>
            <w:tcW w:w="90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380D1CAF" w14:textId="77777777" w:rsidR="001614AC" w:rsidRDefault="004468F9">
            <w:pPr>
              <w:keepNext/>
              <w:spacing w:before="55" w:after="30" w:line="288" w:lineRule="auto"/>
              <w:jc w:val="right"/>
            </w:pPr>
            <w:r>
              <w:rPr>
                <w:rFonts w:ascii="Arial" w:eastAsia="Arial" w:hAnsi="Arial" w:cs="Arial"/>
                <w:color w:val="000000"/>
                <w:sz w:val="18"/>
              </w:rPr>
              <w:t>10,018 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6A122F4D" w14:textId="77777777" w:rsidR="001614AC" w:rsidRDefault="001614AC">
            <w:pPr>
              <w:keepNext/>
              <w:spacing w:before="55" w:after="30" w:line="288" w:lineRule="auto"/>
              <w:jc w:val="right"/>
            </w:pPr>
          </w:p>
        </w:tc>
      </w:tr>
      <w:tr w:rsidR="001614AC" w14:paraId="069A0BC3" w14:textId="77777777">
        <w:trPr>
          <w:cantSplit/>
        </w:trPr>
        <w:tc>
          <w:tcPr>
            <w:tcW w:w="5640" w:type="dxa"/>
            <w:tcBorders>
              <w:top w:val="single" w:sz="8" w:space="0" w:color="E9E9E9"/>
              <w:left w:val="nil"/>
              <w:bottom w:val="single" w:sz="8" w:space="0" w:color="E9E9E9"/>
              <w:right w:val="nil"/>
            </w:tcBorders>
            <w:tcMar>
              <w:top w:w="0" w:type="dxa"/>
              <w:left w:w="53" w:type="dxa"/>
              <w:bottom w:w="0" w:type="dxa"/>
              <w:right w:w="53" w:type="dxa"/>
            </w:tcMar>
            <w:vAlign w:val="bottom"/>
          </w:tcPr>
          <w:p w14:paraId="5BECAA9B" w14:textId="77777777" w:rsidR="001614AC" w:rsidRDefault="004468F9">
            <w:pPr>
              <w:keepNext/>
              <w:spacing w:before="55" w:after="30" w:line="288" w:lineRule="auto"/>
              <w:ind w:left="240"/>
            </w:pPr>
            <w:r>
              <w:rPr>
                <w:rFonts w:ascii="Arial" w:eastAsia="Arial" w:hAnsi="Arial" w:cs="Arial"/>
                <w:color w:val="000000"/>
                <w:sz w:val="18"/>
              </w:rPr>
              <w:t>SaaS</w:t>
            </w:r>
          </w:p>
        </w:tc>
        <w:tc>
          <w:tcPr>
            <w:tcW w:w="105" w:type="dxa"/>
            <w:tcBorders>
              <w:top w:val="nil"/>
              <w:left w:val="nil"/>
              <w:bottom w:val="nil"/>
              <w:right w:val="nil"/>
            </w:tcBorders>
            <w:tcMar>
              <w:top w:w="0" w:type="dxa"/>
              <w:left w:w="0" w:type="dxa"/>
              <w:bottom w:w="0" w:type="dxa"/>
              <w:right w:w="0" w:type="dxa"/>
            </w:tcMar>
            <w:vAlign w:val="bottom"/>
          </w:tcPr>
          <w:p w14:paraId="2159ED14" w14:textId="77777777" w:rsidR="001614AC" w:rsidRDefault="001614AC">
            <w:pPr>
              <w:keepNext/>
            </w:pPr>
          </w:p>
        </w:tc>
        <w:tc>
          <w:tcPr>
            <w:tcW w:w="90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11E8D9E8" w14:textId="77777777" w:rsidR="001614AC" w:rsidRDefault="004468F9">
            <w:pPr>
              <w:keepNext/>
              <w:spacing w:before="55" w:after="30" w:line="288" w:lineRule="auto"/>
              <w:jc w:val="right"/>
            </w:pPr>
            <w:r>
              <w:rPr>
                <w:rFonts w:ascii="Arial" w:eastAsia="Arial" w:hAnsi="Arial" w:cs="Arial"/>
                <w:color w:val="000000"/>
                <w:sz w:val="18"/>
              </w:rPr>
              <w:t>909 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2CFC5141" w14:textId="77777777" w:rsidR="001614AC" w:rsidRDefault="001614AC">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66C5F863" w14:textId="77777777" w:rsidR="001614AC" w:rsidRDefault="001614AC">
            <w:pPr>
              <w:keepNext/>
            </w:pPr>
          </w:p>
        </w:tc>
        <w:tc>
          <w:tcPr>
            <w:tcW w:w="90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53D6DCA2" w14:textId="77777777" w:rsidR="001614AC" w:rsidRDefault="004468F9">
            <w:pPr>
              <w:keepNext/>
              <w:spacing w:before="55" w:after="30" w:line="288" w:lineRule="auto"/>
              <w:jc w:val="right"/>
            </w:pPr>
            <w:r>
              <w:rPr>
                <w:rFonts w:ascii="Arial" w:eastAsia="Arial" w:hAnsi="Arial" w:cs="Arial"/>
                <w:color w:val="000000"/>
                <w:sz w:val="18"/>
              </w:rPr>
              <w:t>1,099 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74DB178D" w14:textId="77777777" w:rsidR="001614AC" w:rsidRDefault="001614AC">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14238139" w14:textId="77777777" w:rsidR="001614AC" w:rsidRDefault="001614AC">
            <w:pPr>
              <w:keepNext/>
            </w:pPr>
          </w:p>
        </w:tc>
        <w:tc>
          <w:tcPr>
            <w:tcW w:w="90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31212B12" w14:textId="77777777" w:rsidR="001614AC" w:rsidRDefault="004468F9">
            <w:pPr>
              <w:keepNext/>
              <w:spacing w:before="55" w:after="30" w:line="288" w:lineRule="auto"/>
              <w:jc w:val="right"/>
            </w:pPr>
            <w:r>
              <w:rPr>
                <w:rFonts w:ascii="Arial" w:eastAsia="Arial" w:hAnsi="Arial" w:cs="Arial"/>
                <w:color w:val="000000"/>
                <w:sz w:val="18"/>
              </w:rPr>
              <w:t>1,829 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607E1054" w14:textId="77777777" w:rsidR="001614AC" w:rsidRDefault="001614AC">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5F454898" w14:textId="77777777" w:rsidR="001614AC" w:rsidRDefault="001614AC">
            <w:pPr>
              <w:keepNext/>
            </w:pPr>
          </w:p>
        </w:tc>
        <w:tc>
          <w:tcPr>
            <w:tcW w:w="90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7FFEE680" w14:textId="77777777" w:rsidR="001614AC" w:rsidRDefault="004468F9">
            <w:pPr>
              <w:keepNext/>
              <w:spacing w:before="55" w:after="30" w:line="288" w:lineRule="auto"/>
              <w:jc w:val="right"/>
            </w:pPr>
            <w:r>
              <w:rPr>
                <w:rFonts w:ascii="Arial" w:eastAsia="Arial" w:hAnsi="Arial" w:cs="Arial"/>
                <w:color w:val="000000"/>
                <w:sz w:val="18"/>
              </w:rPr>
              <w:t>1,981 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70DDC34B" w14:textId="77777777" w:rsidR="001614AC" w:rsidRDefault="001614AC">
            <w:pPr>
              <w:keepNext/>
              <w:spacing w:before="55" w:after="30" w:line="288" w:lineRule="auto"/>
              <w:jc w:val="right"/>
            </w:pPr>
          </w:p>
        </w:tc>
      </w:tr>
      <w:tr w:rsidR="001614AC" w14:paraId="3E0A8979" w14:textId="77777777">
        <w:trPr>
          <w:cantSplit/>
        </w:trPr>
        <w:tc>
          <w:tcPr>
            <w:tcW w:w="5640" w:type="dxa"/>
            <w:tcBorders>
              <w:top w:val="single" w:sz="8" w:space="0" w:color="E9E9E9"/>
              <w:left w:val="nil"/>
              <w:bottom w:val="single" w:sz="8" w:space="0" w:color="E9E9E9"/>
              <w:right w:val="nil"/>
            </w:tcBorders>
            <w:tcMar>
              <w:top w:w="0" w:type="dxa"/>
              <w:left w:w="53" w:type="dxa"/>
              <w:bottom w:w="0" w:type="dxa"/>
              <w:right w:w="53" w:type="dxa"/>
            </w:tcMar>
            <w:vAlign w:val="bottom"/>
          </w:tcPr>
          <w:p w14:paraId="5EC1E086" w14:textId="77777777" w:rsidR="001614AC" w:rsidRDefault="004468F9">
            <w:pPr>
              <w:keepNext/>
              <w:spacing w:before="55" w:after="30" w:line="288" w:lineRule="auto"/>
              <w:ind w:left="240"/>
            </w:pPr>
            <w:r>
              <w:rPr>
                <w:rFonts w:ascii="Arial" w:eastAsia="Arial" w:hAnsi="Arial" w:cs="Arial"/>
                <w:color w:val="000000"/>
                <w:sz w:val="18"/>
              </w:rPr>
              <w:t>Other real estate services</w:t>
            </w:r>
          </w:p>
        </w:tc>
        <w:tc>
          <w:tcPr>
            <w:tcW w:w="105" w:type="dxa"/>
            <w:tcBorders>
              <w:top w:val="nil"/>
              <w:left w:val="nil"/>
              <w:bottom w:val="nil"/>
              <w:right w:val="nil"/>
            </w:tcBorders>
            <w:tcMar>
              <w:top w:w="0" w:type="dxa"/>
              <w:left w:w="0" w:type="dxa"/>
              <w:bottom w:w="0" w:type="dxa"/>
              <w:right w:w="0" w:type="dxa"/>
            </w:tcMar>
            <w:vAlign w:val="bottom"/>
          </w:tcPr>
          <w:p w14:paraId="4ECF66B8" w14:textId="77777777" w:rsidR="001614AC" w:rsidRDefault="001614AC">
            <w:pPr>
              <w:keepNext/>
            </w:pPr>
          </w:p>
        </w:tc>
        <w:tc>
          <w:tcPr>
            <w:tcW w:w="90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05A48C38" w14:textId="77777777" w:rsidR="001614AC" w:rsidRDefault="004468F9">
            <w:pPr>
              <w:keepNext/>
              <w:spacing w:before="55" w:after="30" w:line="288" w:lineRule="auto"/>
              <w:jc w:val="right"/>
            </w:pPr>
            <w:r>
              <w:rPr>
                <w:rFonts w:ascii="Arial" w:eastAsia="Arial" w:hAnsi="Arial" w:cs="Arial"/>
                <w:color w:val="000000"/>
                <w:sz w:val="18"/>
              </w:rPr>
              <w:t>62 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14A3FEFD" w14:textId="77777777" w:rsidR="001614AC" w:rsidRDefault="001614AC">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7279DDB0" w14:textId="77777777" w:rsidR="001614AC" w:rsidRDefault="001614AC">
            <w:pPr>
              <w:keepNext/>
            </w:pPr>
          </w:p>
        </w:tc>
        <w:tc>
          <w:tcPr>
            <w:tcW w:w="90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483AA877" w14:textId="77777777" w:rsidR="001614AC" w:rsidRDefault="004468F9">
            <w:pPr>
              <w:keepNext/>
              <w:spacing w:before="55" w:after="30" w:line="288" w:lineRule="auto"/>
              <w:jc w:val="right"/>
            </w:pPr>
            <w:r>
              <w:rPr>
                <w:rFonts w:ascii="Arial" w:eastAsia="Arial" w:hAnsi="Arial" w:cs="Arial"/>
                <w:color w:val="000000"/>
                <w:sz w:val="18"/>
              </w:rPr>
              <w:t>586 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0D5DBD11" w14:textId="77777777" w:rsidR="001614AC" w:rsidRDefault="001614AC">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602AF4DD" w14:textId="77777777" w:rsidR="001614AC" w:rsidRDefault="001614AC">
            <w:pPr>
              <w:keepNext/>
            </w:pPr>
          </w:p>
        </w:tc>
        <w:tc>
          <w:tcPr>
            <w:tcW w:w="90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6B00AB42" w14:textId="77777777" w:rsidR="001614AC" w:rsidRDefault="004468F9">
            <w:pPr>
              <w:keepNext/>
              <w:spacing w:before="55" w:after="30" w:line="288" w:lineRule="auto"/>
              <w:jc w:val="right"/>
            </w:pPr>
            <w:r>
              <w:rPr>
                <w:rFonts w:ascii="Arial" w:eastAsia="Arial" w:hAnsi="Arial" w:cs="Arial"/>
                <w:color w:val="000000"/>
                <w:sz w:val="18"/>
              </w:rPr>
              <w:t>76 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13B6EF2D" w14:textId="77777777" w:rsidR="001614AC" w:rsidRDefault="001614AC">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6C024FE9" w14:textId="77777777" w:rsidR="001614AC" w:rsidRDefault="001614AC">
            <w:pPr>
              <w:keepNext/>
            </w:pPr>
          </w:p>
        </w:tc>
        <w:tc>
          <w:tcPr>
            <w:tcW w:w="90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2FC0912F" w14:textId="77777777" w:rsidR="001614AC" w:rsidRDefault="004468F9">
            <w:pPr>
              <w:keepNext/>
              <w:spacing w:before="55" w:after="30" w:line="288" w:lineRule="auto"/>
              <w:jc w:val="right"/>
            </w:pPr>
            <w:r>
              <w:rPr>
                <w:rFonts w:ascii="Arial" w:eastAsia="Arial" w:hAnsi="Arial" w:cs="Arial"/>
                <w:color w:val="000000"/>
                <w:sz w:val="18"/>
              </w:rPr>
              <w:t>1,239 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098E9583" w14:textId="77777777" w:rsidR="001614AC" w:rsidRDefault="001614AC">
            <w:pPr>
              <w:keepNext/>
              <w:spacing w:before="55" w:after="30" w:line="288" w:lineRule="auto"/>
              <w:jc w:val="right"/>
            </w:pPr>
          </w:p>
        </w:tc>
      </w:tr>
      <w:tr w:rsidR="001614AC" w14:paraId="669E4F31" w14:textId="77777777">
        <w:trPr>
          <w:cantSplit/>
        </w:trPr>
        <w:tc>
          <w:tcPr>
            <w:tcW w:w="5640" w:type="dxa"/>
            <w:tcBorders>
              <w:top w:val="single" w:sz="8" w:space="0" w:color="E9E9E9"/>
              <w:left w:val="nil"/>
              <w:bottom w:val="single" w:sz="8" w:space="0" w:color="E9E9E9"/>
              <w:right w:val="nil"/>
            </w:tcBorders>
            <w:tcMar>
              <w:top w:w="0" w:type="dxa"/>
              <w:left w:w="53" w:type="dxa"/>
              <w:bottom w:w="0" w:type="dxa"/>
              <w:right w:w="53" w:type="dxa"/>
            </w:tcMar>
            <w:vAlign w:val="bottom"/>
          </w:tcPr>
          <w:p w14:paraId="3548BA5A" w14:textId="77777777" w:rsidR="001614AC" w:rsidRDefault="004468F9">
            <w:pPr>
              <w:keepNext/>
              <w:spacing w:before="55" w:after="30" w:line="288" w:lineRule="auto"/>
            </w:pPr>
            <w:r>
              <w:rPr>
                <w:rFonts w:ascii="Arial" w:eastAsia="Arial" w:hAnsi="Arial" w:cs="Arial"/>
                <w:color w:val="000000"/>
                <w:sz w:val="18"/>
              </w:rPr>
              <w:t xml:space="preserve">Mortgage services </w:t>
            </w:r>
          </w:p>
        </w:tc>
        <w:tc>
          <w:tcPr>
            <w:tcW w:w="105" w:type="dxa"/>
            <w:tcBorders>
              <w:top w:val="nil"/>
              <w:left w:val="nil"/>
              <w:bottom w:val="nil"/>
              <w:right w:val="nil"/>
            </w:tcBorders>
            <w:tcMar>
              <w:top w:w="0" w:type="dxa"/>
              <w:left w:w="0" w:type="dxa"/>
              <w:bottom w:w="0" w:type="dxa"/>
              <w:right w:w="0" w:type="dxa"/>
            </w:tcMar>
            <w:vAlign w:val="bottom"/>
          </w:tcPr>
          <w:p w14:paraId="4221EEE7" w14:textId="77777777" w:rsidR="001614AC" w:rsidRDefault="001614AC">
            <w:pPr>
              <w:keepNext/>
            </w:pPr>
          </w:p>
        </w:tc>
        <w:tc>
          <w:tcPr>
            <w:tcW w:w="905" w:type="dxa"/>
            <w:gridSpan w:val="2"/>
            <w:tcBorders>
              <w:top w:val="single" w:sz="8" w:space="0" w:color="E9E9E9"/>
              <w:left w:val="nil"/>
              <w:bottom w:val="single" w:sz="8" w:space="0" w:color="E6EAED"/>
              <w:right w:val="nil"/>
            </w:tcBorders>
            <w:tcMar>
              <w:top w:w="0" w:type="dxa"/>
              <w:left w:w="53" w:type="dxa"/>
              <w:bottom w:w="0" w:type="dxa"/>
              <w:right w:w="0" w:type="dxa"/>
            </w:tcMar>
            <w:vAlign w:val="bottom"/>
          </w:tcPr>
          <w:p w14:paraId="2AD6F673" w14:textId="77777777" w:rsidR="001614AC" w:rsidRDefault="004468F9">
            <w:pPr>
              <w:keepNext/>
              <w:spacing w:before="55" w:after="30" w:line="288" w:lineRule="auto"/>
              <w:jc w:val="right"/>
            </w:pPr>
            <w:r>
              <w:rPr>
                <w:rFonts w:ascii="Arial" w:eastAsia="Arial" w:hAnsi="Arial" w:cs="Arial"/>
                <w:color w:val="000000"/>
                <w:sz w:val="18"/>
              </w:rPr>
              <w:t>3,732 </w:t>
            </w:r>
          </w:p>
        </w:tc>
        <w:tc>
          <w:tcPr>
            <w:tcW w:w="100" w:type="dxa"/>
            <w:tcBorders>
              <w:top w:val="single" w:sz="8" w:space="0" w:color="E9E9E9"/>
              <w:left w:val="nil"/>
              <w:bottom w:val="single" w:sz="8" w:space="0" w:color="E6EAED"/>
              <w:right w:val="nil"/>
            </w:tcBorders>
            <w:tcMar>
              <w:top w:w="0" w:type="dxa"/>
              <w:left w:w="0" w:type="dxa"/>
              <w:bottom w:w="0" w:type="dxa"/>
              <w:right w:w="15" w:type="dxa"/>
            </w:tcMar>
            <w:vAlign w:val="bottom"/>
          </w:tcPr>
          <w:p w14:paraId="13B96E26" w14:textId="77777777" w:rsidR="001614AC" w:rsidRDefault="001614AC">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4BC36F83" w14:textId="77777777" w:rsidR="001614AC" w:rsidRDefault="001614AC">
            <w:pPr>
              <w:keepNext/>
            </w:pPr>
          </w:p>
        </w:tc>
        <w:tc>
          <w:tcPr>
            <w:tcW w:w="905" w:type="dxa"/>
            <w:gridSpan w:val="2"/>
            <w:tcBorders>
              <w:top w:val="single" w:sz="8" w:space="0" w:color="E9E9E9"/>
              <w:left w:val="nil"/>
              <w:bottom w:val="single" w:sz="8" w:space="0" w:color="E6EAED"/>
              <w:right w:val="nil"/>
            </w:tcBorders>
            <w:tcMar>
              <w:top w:w="0" w:type="dxa"/>
              <w:left w:w="53" w:type="dxa"/>
              <w:bottom w:w="0" w:type="dxa"/>
              <w:right w:w="0" w:type="dxa"/>
            </w:tcMar>
            <w:vAlign w:val="bottom"/>
          </w:tcPr>
          <w:p w14:paraId="2399C7EA" w14:textId="77777777" w:rsidR="001614AC" w:rsidRDefault="004468F9">
            <w:pPr>
              <w:keepNext/>
              <w:spacing w:before="55" w:after="30" w:line="288" w:lineRule="auto"/>
              <w:jc w:val="right"/>
            </w:pPr>
            <w:r>
              <w:rPr>
                <w:rFonts w:ascii="Arial" w:eastAsia="Arial" w:hAnsi="Arial" w:cs="Arial"/>
                <w:color w:val="000000"/>
                <w:sz w:val="18"/>
              </w:rPr>
              <w:t>3,918 </w:t>
            </w:r>
          </w:p>
        </w:tc>
        <w:tc>
          <w:tcPr>
            <w:tcW w:w="100" w:type="dxa"/>
            <w:tcBorders>
              <w:top w:val="single" w:sz="8" w:space="0" w:color="E9E9E9"/>
              <w:left w:val="nil"/>
              <w:bottom w:val="single" w:sz="8" w:space="0" w:color="E6EAED"/>
              <w:right w:val="nil"/>
            </w:tcBorders>
            <w:tcMar>
              <w:top w:w="0" w:type="dxa"/>
              <w:left w:w="0" w:type="dxa"/>
              <w:bottom w:w="0" w:type="dxa"/>
              <w:right w:w="15" w:type="dxa"/>
            </w:tcMar>
            <w:vAlign w:val="bottom"/>
          </w:tcPr>
          <w:p w14:paraId="5D970EE2" w14:textId="77777777" w:rsidR="001614AC" w:rsidRDefault="001614AC">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0722DAC2" w14:textId="77777777" w:rsidR="001614AC" w:rsidRDefault="001614AC">
            <w:pPr>
              <w:keepNext/>
            </w:pPr>
          </w:p>
        </w:tc>
        <w:tc>
          <w:tcPr>
            <w:tcW w:w="905" w:type="dxa"/>
            <w:gridSpan w:val="2"/>
            <w:tcBorders>
              <w:top w:val="single" w:sz="8" w:space="0" w:color="E9E9E9"/>
              <w:left w:val="nil"/>
              <w:bottom w:val="single" w:sz="8" w:space="0" w:color="E6EAED"/>
              <w:right w:val="nil"/>
            </w:tcBorders>
            <w:tcMar>
              <w:top w:w="0" w:type="dxa"/>
              <w:left w:w="53" w:type="dxa"/>
              <w:bottom w:w="0" w:type="dxa"/>
              <w:right w:w="0" w:type="dxa"/>
            </w:tcMar>
            <w:vAlign w:val="bottom"/>
          </w:tcPr>
          <w:p w14:paraId="5F2EF21B" w14:textId="77777777" w:rsidR="001614AC" w:rsidRDefault="004468F9">
            <w:pPr>
              <w:keepNext/>
              <w:spacing w:before="55" w:after="30" w:line="288" w:lineRule="auto"/>
              <w:jc w:val="right"/>
            </w:pPr>
            <w:r>
              <w:rPr>
                <w:rFonts w:ascii="Arial" w:eastAsia="Arial" w:hAnsi="Arial" w:cs="Arial"/>
                <w:color w:val="000000"/>
                <w:sz w:val="18"/>
              </w:rPr>
              <w:t>8,083 </w:t>
            </w:r>
          </w:p>
        </w:tc>
        <w:tc>
          <w:tcPr>
            <w:tcW w:w="100" w:type="dxa"/>
            <w:tcBorders>
              <w:top w:val="single" w:sz="8" w:space="0" w:color="E9E9E9"/>
              <w:left w:val="nil"/>
              <w:bottom w:val="single" w:sz="8" w:space="0" w:color="E6EAED"/>
              <w:right w:val="nil"/>
            </w:tcBorders>
            <w:tcMar>
              <w:top w:w="0" w:type="dxa"/>
              <w:left w:w="0" w:type="dxa"/>
              <w:bottom w:w="0" w:type="dxa"/>
              <w:right w:w="15" w:type="dxa"/>
            </w:tcMar>
            <w:vAlign w:val="bottom"/>
          </w:tcPr>
          <w:p w14:paraId="270AE767" w14:textId="77777777" w:rsidR="001614AC" w:rsidRDefault="001614AC">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685C1BFA" w14:textId="77777777" w:rsidR="001614AC" w:rsidRDefault="001614AC">
            <w:pPr>
              <w:keepNext/>
            </w:pPr>
          </w:p>
        </w:tc>
        <w:tc>
          <w:tcPr>
            <w:tcW w:w="905" w:type="dxa"/>
            <w:gridSpan w:val="2"/>
            <w:tcBorders>
              <w:top w:val="single" w:sz="8" w:space="0" w:color="E9E9E9"/>
              <w:left w:val="nil"/>
              <w:bottom w:val="single" w:sz="8" w:space="0" w:color="E6EAED"/>
              <w:right w:val="nil"/>
            </w:tcBorders>
            <w:tcMar>
              <w:top w:w="0" w:type="dxa"/>
              <w:left w:w="53" w:type="dxa"/>
              <w:bottom w:w="0" w:type="dxa"/>
              <w:right w:w="0" w:type="dxa"/>
            </w:tcMar>
            <w:vAlign w:val="bottom"/>
          </w:tcPr>
          <w:p w14:paraId="30AA438D" w14:textId="77777777" w:rsidR="001614AC" w:rsidRDefault="004468F9">
            <w:pPr>
              <w:keepNext/>
              <w:spacing w:before="55" w:after="30" w:line="288" w:lineRule="auto"/>
              <w:jc w:val="right"/>
            </w:pPr>
            <w:r>
              <w:rPr>
                <w:rFonts w:ascii="Arial" w:eastAsia="Arial" w:hAnsi="Arial" w:cs="Arial"/>
                <w:color w:val="000000"/>
                <w:sz w:val="18"/>
              </w:rPr>
              <w:t>7,051 </w:t>
            </w:r>
          </w:p>
        </w:tc>
        <w:tc>
          <w:tcPr>
            <w:tcW w:w="100" w:type="dxa"/>
            <w:tcBorders>
              <w:top w:val="single" w:sz="8" w:space="0" w:color="E9E9E9"/>
              <w:left w:val="nil"/>
              <w:bottom w:val="single" w:sz="8" w:space="0" w:color="E6EAED"/>
              <w:right w:val="nil"/>
            </w:tcBorders>
            <w:tcMar>
              <w:top w:w="0" w:type="dxa"/>
              <w:left w:w="0" w:type="dxa"/>
              <w:bottom w:w="0" w:type="dxa"/>
              <w:right w:w="15" w:type="dxa"/>
            </w:tcMar>
            <w:vAlign w:val="bottom"/>
          </w:tcPr>
          <w:p w14:paraId="0EEE4A1F" w14:textId="77777777" w:rsidR="001614AC" w:rsidRDefault="001614AC">
            <w:pPr>
              <w:keepNext/>
              <w:spacing w:before="55" w:after="30" w:line="288" w:lineRule="auto"/>
              <w:jc w:val="right"/>
            </w:pPr>
          </w:p>
        </w:tc>
      </w:tr>
      <w:tr w:rsidR="001614AC" w14:paraId="6573D88E" w14:textId="77777777">
        <w:trPr>
          <w:cantSplit/>
        </w:trPr>
        <w:tc>
          <w:tcPr>
            <w:tcW w:w="5640" w:type="dxa"/>
            <w:tcBorders>
              <w:top w:val="single" w:sz="8" w:space="0" w:color="E9E9E9"/>
              <w:left w:val="nil"/>
              <w:bottom w:val="nil"/>
              <w:right w:val="nil"/>
            </w:tcBorders>
            <w:tcMar>
              <w:top w:w="0" w:type="dxa"/>
              <w:left w:w="53" w:type="dxa"/>
              <w:bottom w:w="0" w:type="dxa"/>
              <w:right w:w="53" w:type="dxa"/>
            </w:tcMar>
            <w:vAlign w:val="bottom"/>
          </w:tcPr>
          <w:p w14:paraId="6250F306" w14:textId="77777777" w:rsidR="001614AC" w:rsidRDefault="004468F9">
            <w:pPr>
              <w:keepNext/>
              <w:spacing w:before="55" w:after="30" w:line="288" w:lineRule="auto"/>
              <w:rPr>
                <w:rFonts w:ascii="Arial" w:eastAsia="Arial" w:hAnsi="Arial" w:cs="Arial"/>
                <w:sz w:val="18"/>
              </w:rPr>
            </w:pPr>
            <w:r>
              <w:rPr>
                <w:rFonts w:ascii="Arial" w:eastAsia="Arial" w:hAnsi="Arial" w:cs="Arial"/>
                <w:sz w:val="18"/>
              </w:rPr>
              <w:t xml:space="preserve">All Other services </w:t>
            </w:r>
            <w:r>
              <w:rPr>
                <w:rFonts w:ascii="Arial" w:eastAsia="Arial" w:hAnsi="Arial" w:cs="Arial"/>
                <w:sz w:val="18"/>
                <w:vertAlign w:val="superscript"/>
              </w:rPr>
              <w:t xml:space="preserve">(1) </w:t>
            </w:r>
          </w:p>
        </w:tc>
        <w:tc>
          <w:tcPr>
            <w:tcW w:w="105" w:type="dxa"/>
            <w:tcBorders>
              <w:top w:val="nil"/>
              <w:left w:val="nil"/>
              <w:bottom w:val="nil"/>
              <w:right w:val="nil"/>
            </w:tcBorders>
            <w:tcMar>
              <w:top w:w="0" w:type="dxa"/>
              <w:left w:w="0" w:type="dxa"/>
              <w:bottom w:w="0" w:type="dxa"/>
              <w:right w:w="0" w:type="dxa"/>
            </w:tcMar>
            <w:vAlign w:val="bottom"/>
          </w:tcPr>
          <w:p w14:paraId="5688206B" w14:textId="77777777" w:rsidR="001614AC" w:rsidRDefault="001614AC">
            <w:pPr>
              <w:keepNext/>
            </w:pPr>
          </w:p>
        </w:tc>
        <w:tc>
          <w:tcPr>
            <w:tcW w:w="905" w:type="dxa"/>
            <w:gridSpan w:val="2"/>
            <w:tcBorders>
              <w:top w:val="single" w:sz="8" w:space="0" w:color="E6EAED"/>
              <w:left w:val="nil"/>
              <w:bottom w:val="single" w:sz="8" w:space="0" w:color="C7C9C7"/>
              <w:right w:val="nil"/>
            </w:tcBorders>
            <w:tcMar>
              <w:top w:w="0" w:type="dxa"/>
              <w:left w:w="53" w:type="dxa"/>
              <w:bottom w:w="0" w:type="dxa"/>
              <w:right w:w="0" w:type="dxa"/>
            </w:tcMar>
            <w:vAlign w:val="bottom"/>
          </w:tcPr>
          <w:p w14:paraId="3F5090A6" w14:textId="77777777" w:rsidR="001614AC" w:rsidRDefault="004468F9">
            <w:pPr>
              <w:keepNext/>
              <w:spacing w:before="55" w:after="30" w:line="288" w:lineRule="auto"/>
              <w:jc w:val="right"/>
            </w:pPr>
            <w:r>
              <w:rPr>
                <w:rFonts w:ascii="Arial" w:eastAsia="Arial" w:hAnsi="Arial" w:cs="Arial"/>
                <w:color w:val="000000"/>
                <w:sz w:val="18"/>
              </w:rPr>
              <w:t>44 </w:t>
            </w:r>
          </w:p>
        </w:tc>
        <w:tc>
          <w:tcPr>
            <w:tcW w:w="100" w:type="dxa"/>
            <w:tcBorders>
              <w:top w:val="single" w:sz="8" w:space="0" w:color="E6EAED"/>
              <w:left w:val="nil"/>
              <w:bottom w:val="single" w:sz="8" w:space="0" w:color="C7C9C7"/>
              <w:right w:val="nil"/>
            </w:tcBorders>
            <w:tcMar>
              <w:top w:w="0" w:type="dxa"/>
              <w:left w:w="0" w:type="dxa"/>
              <w:bottom w:w="0" w:type="dxa"/>
              <w:right w:w="15" w:type="dxa"/>
            </w:tcMar>
            <w:vAlign w:val="bottom"/>
          </w:tcPr>
          <w:p w14:paraId="10C9F9BD" w14:textId="77777777" w:rsidR="001614AC" w:rsidRDefault="001614AC">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2F7E7B70" w14:textId="77777777" w:rsidR="001614AC" w:rsidRDefault="001614AC">
            <w:pPr>
              <w:keepNext/>
            </w:pPr>
          </w:p>
        </w:tc>
        <w:tc>
          <w:tcPr>
            <w:tcW w:w="905" w:type="dxa"/>
            <w:gridSpan w:val="2"/>
            <w:tcBorders>
              <w:top w:val="single" w:sz="8" w:space="0" w:color="E6EAED"/>
              <w:left w:val="nil"/>
              <w:bottom w:val="single" w:sz="8" w:space="0" w:color="C7C9C7"/>
              <w:right w:val="nil"/>
            </w:tcBorders>
            <w:tcMar>
              <w:top w:w="0" w:type="dxa"/>
              <w:left w:w="53" w:type="dxa"/>
              <w:bottom w:w="0" w:type="dxa"/>
              <w:right w:w="0" w:type="dxa"/>
            </w:tcMar>
            <w:vAlign w:val="bottom"/>
          </w:tcPr>
          <w:p w14:paraId="22523EDF" w14:textId="77777777" w:rsidR="001614AC" w:rsidRDefault="004468F9">
            <w:pPr>
              <w:keepNext/>
              <w:spacing w:before="55" w:after="30" w:line="288" w:lineRule="auto"/>
              <w:jc w:val="right"/>
            </w:pPr>
            <w:r>
              <w:rPr>
                <w:rFonts w:ascii="Arial" w:eastAsia="Arial" w:hAnsi="Arial" w:cs="Arial"/>
                <w:color w:val="000000"/>
                <w:sz w:val="18"/>
              </w:rPr>
              <w:t>6,578 </w:t>
            </w:r>
          </w:p>
        </w:tc>
        <w:tc>
          <w:tcPr>
            <w:tcW w:w="100" w:type="dxa"/>
            <w:tcBorders>
              <w:top w:val="single" w:sz="8" w:space="0" w:color="E6EAED"/>
              <w:left w:val="nil"/>
              <w:bottom w:val="single" w:sz="8" w:space="0" w:color="C7C9C7"/>
              <w:right w:val="nil"/>
            </w:tcBorders>
            <w:tcMar>
              <w:top w:w="0" w:type="dxa"/>
              <w:left w:w="0" w:type="dxa"/>
              <w:bottom w:w="0" w:type="dxa"/>
              <w:right w:w="15" w:type="dxa"/>
            </w:tcMar>
            <w:vAlign w:val="bottom"/>
          </w:tcPr>
          <w:p w14:paraId="4842B9EB" w14:textId="77777777" w:rsidR="001614AC" w:rsidRDefault="001614AC">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42E33C18" w14:textId="77777777" w:rsidR="001614AC" w:rsidRDefault="001614AC">
            <w:pPr>
              <w:keepNext/>
            </w:pPr>
          </w:p>
        </w:tc>
        <w:tc>
          <w:tcPr>
            <w:tcW w:w="905" w:type="dxa"/>
            <w:gridSpan w:val="2"/>
            <w:tcBorders>
              <w:top w:val="single" w:sz="8" w:space="0" w:color="E6EAED"/>
              <w:left w:val="nil"/>
              <w:bottom w:val="single" w:sz="8" w:space="0" w:color="C7C9C7"/>
              <w:right w:val="nil"/>
            </w:tcBorders>
            <w:tcMar>
              <w:top w:w="0" w:type="dxa"/>
              <w:left w:w="53" w:type="dxa"/>
              <w:bottom w:w="0" w:type="dxa"/>
              <w:right w:w="0" w:type="dxa"/>
            </w:tcMar>
            <w:vAlign w:val="bottom"/>
          </w:tcPr>
          <w:p w14:paraId="228548C0" w14:textId="77777777" w:rsidR="001614AC" w:rsidRDefault="004468F9">
            <w:pPr>
              <w:keepNext/>
              <w:spacing w:before="55" w:after="30" w:line="288" w:lineRule="auto"/>
              <w:jc w:val="right"/>
            </w:pPr>
            <w:r>
              <w:rPr>
                <w:rFonts w:ascii="Arial" w:eastAsia="Arial" w:hAnsi="Arial" w:cs="Arial"/>
                <w:color w:val="000000"/>
                <w:sz w:val="18"/>
              </w:rPr>
              <w:t>97 </w:t>
            </w:r>
          </w:p>
        </w:tc>
        <w:tc>
          <w:tcPr>
            <w:tcW w:w="100" w:type="dxa"/>
            <w:tcBorders>
              <w:top w:val="single" w:sz="8" w:space="0" w:color="E6EAED"/>
              <w:left w:val="nil"/>
              <w:bottom w:val="single" w:sz="8" w:space="0" w:color="C7C9C7"/>
              <w:right w:val="nil"/>
            </w:tcBorders>
            <w:tcMar>
              <w:top w:w="0" w:type="dxa"/>
              <w:left w:w="0" w:type="dxa"/>
              <w:bottom w:w="0" w:type="dxa"/>
              <w:right w:w="15" w:type="dxa"/>
            </w:tcMar>
            <w:vAlign w:val="bottom"/>
          </w:tcPr>
          <w:p w14:paraId="6E44B408" w14:textId="77777777" w:rsidR="001614AC" w:rsidRDefault="001614AC">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5CBB7F48" w14:textId="77777777" w:rsidR="001614AC" w:rsidRDefault="001614AC">
            <w:pPr>
              <w:keepNext/>
            </w:pPr>
          </w:p>
        </w:tc>
        <w:tc>
          <w:tcPr>
            <w:tcW w:w="905" w:type="dxa"/>
            <w:gridSpan w:val="2"/>
            <w:tcBorders>
              <w:top w:val="single" w:sz="8" w:space="0" w:color="E6EAED"/>
              <w:left w:val="nil"/>
              <w:bottom w:val="single" w:sz="8" w:space="0" w:color="C7C9C7"/>
              <w:right w:val="nil"/>
            </w:tcBorders>
            <w:tcMar>
              <w:top w:w="0" w:type="dxa"/>
              <w:left w:w="53" w:type="dxa"/>
              <w:bottom w:w="0" w:type="dxa"/>
              <w:right w:w="0" w:type="dxa"/>
            </w:tcMar>
            <w:vAlign w:val="bottom"/>
          </w:tcPr>
          <w:p w14:paraId="200EC80C" w14:textId="77777777" w:rsidR="001614AC" w:rsidRDefault="004468F9">
            <w:pPr>
              <w:keepNext/>
              <w:spacing w:before="55" w:after="30" w:line="288" w:lineRule="auto"/>
              <w:jc w:val="right"/>
            </w:pPr>
            <w:r>
              <w:rPr>
                <w:rFonts w:ascii="Arial" w:eastAsia="Arial" w:hAnsi="Arial" w:cs="Arial"/>
                <w:color w:val="000000"/>
                <w:sz w:val="18"/>
              </w:rPr>
              <w:t>12,231 </w:t>
            </w:r>
          </w:p>
        </w:tc>
        <w:tc>
          <w:tcPr>
            <w:tcW w:w="100" w:type="dxa"/>
            <w:tcBorders>
              <w:top w:val="single" w:sz="8" w:space="0" w:color="E6EAED"/>
              <w:left w:val="nil"/>
              <w:bottom w:val="single" w:sz="8" w:space="0" w:color="C7C9C7"/>
              <w:right w:val="nil"/>
            </w:tcBorders>
            <w:tcMar>
              <w:top w:w="0" w:type="dxa"/>
              <w:left w:w="0" w:type="dxa"/>
              <w:bottom w:w="0" w:type="dxa"/>
              <w:right w:w="15" w:type="dxa"/>
            </w:tcMar>
            <w:vAlign w:val="bottom"/>
          </w:tcPr>
          <w:p w14:paraId="721D347F" w14:textId="77777777" w:rsidR="001614AC" w:rsidRDefault="001614AC">
            <w:pPr>
              <w:keepNext/>
              <w:spacing w:before="55" w:after="30" w:line="288" w:lineRule="auto"/>
              <w:jc w:val="right"/>
            </w:pPr>
          </w:p>
        </w:tc>
      </w:tr>
      <w:tr w:rsidR="001614AC" w14:paraId="780EDC25" w14:textId="77777777">
        <w:trPr>
          <w:cantSplit/>
        </w:trPr>
        <w:tc>
          <w:tcPr>
            <w:tcW w:w="5640" w:type="dxa"/>
            <w:tcBorders>
              <w:top w:val="nil"/>
              <w:left w:val="nil"/>
              <w:bottom w:val="nil"/>
              <w:right w:val="nil"/>
            </w:tcBorders>
            <w:shd w:val="clear" w:color="auto" w:fill="F4F4F4"/>
            <w:tcMar>
              <w:top w:w="0" w:type="dxa"/>
              <w:left w:w="53" w:type="dxa"/>
              <w:bottom w:w="0" w:type="dxa"/>
              <w:right w:w="53" w:type="dxa"/>
            </w:tcMar>
            <w:vAlign w:val="bottom"/>
          </w:tcPr>
          <w:p w14:paraId="2847B97F" w14:textId="77777777" w:rsidR="001614AC" w:rsidRDefault="004468F9">
            <w:pPr>
              <w:spacing w:before="75" w:after="30" w:line="288" w:lineRule="auto"/>
            </w:pPr>
            <w:r>
              <w:rPr>
                <w:rFonts w:ascii="Arial" w:eastAsia="Arial" w:hAnsi="Arial" w:cs="Arial"/>
                <w:color w:val="000000"/>
                <w:sz w:val="18"/>
              </w:rPr>
              <w:t xml:space="preserve">Total services revenue </w:t>
            </w:r>
          </w:p>
        </w:tc>
        <w:tc>
          <w:tcPr>
            <w:tcW w:w="105" w:type="dxa"/>
            <w:tcBorders>
              <w:top w:val="nil"/>
              <w:left w:val="nil"/>
              <w:bottom w:val="nil"/>
              <w:right w:val="nil"/>
            </w:tcBorders>
            <w:shd w:val="clear" w:color="auto" w:fill="F4F4F4"/>
            <w:tcMar>
              <w:top w:w="0" w:type="dxa"/>
              <w:left w:w="0" w:type="dxa"/>
              <w:bottom w:w="0" w:type="dxa"/>
              <w:right w:w="0" w:type="dxa"/>
            </w:tcMar>
            <w:vAlign w:val="bottom"/>
          </w:tcPr>
          <w:p w14:paraId="62A404EB" w14:textId="77777777" w:rsidR="001614AC" w:rsidRDefault="001614AC"/>
        </w:tc>
        <w:tc>
          <w:tcPr>
            <w:tcW w:w="160" w:type="dxa"/>
            <w:tcBorders>
              <w:top w:val="single" w:sz="8" w:space="0" w:color="C7C9C7"/>
              <w:left w:val="nil"/>
              <w:bottom w:val="double" w:sz="8" w:space="0" w:color="C7C9C7"/>
              <w:right w:val="nil"/>
            </w:tcBorders>
            <w:shd w:val="clear" w:color="auto" w:fill="F4F4F4"/>
            <w:tcMar>
              <w:top w:w="0" w:type="dxa"/>
              <w:left w:w="53" w:type="dxa"/>
              <w:bottom w:w="0" w:type="dxa"/>
              <w:right w:w="0" w:type="dxa"/>
            </w:tcMar>
            <w:vAlign w:val="bottom"/>
          </w:tcPr>
          <w:p w14:paraId="495D85A9" w14:textId="77777777" w:rsidR="001614AC" w:rsidRDefault="004468F9">
            <w:pPr>
              <w:spacing w:before="55" w:after="30" w:line="288" w:lineRule="auto"/>
            </w:pPr>
            <w:r>
              <w:rPr>
                <w:rFonts w:ascii="Arial" w:eastAsia="Arial" w:hAnsi="Arial" w:cs="Arial"/>
                <w:color w:val="000000"/>
                <w:sz w:val="18"/>
              </w:rPr>
              <w:t>$</w:t>
            </w:r>
          </w:p>
        </w:tc>
        <w:tc>
          <w:tcPr>
            <w:tcW w:w="745" w:type="dxa"/>
            <w:tcBorders>
              <w:top w:val="single" w:sz="8" w:space="0" w:color="C7C9C7"/>
              <w:left w:val="nil"/>
              <w:bottom w:val="double" w:sz="8" w:space="0" w:color="C7C9C7"/>
              <w:right w:val="nil"/>
            </w:tcBorders>
            <w:shd w:val="clear" w:color="auto" w:fill="F4F4F4"/>
            <w:tcMar>
              <w:top w:w="0" w:type="dxa"/>
              <w:left w:w="0" w:type="dxa"/>
              <w:bottom w:w="0" w:type="dxa"/>
              <w:right w:w="0" w:type="dxa"/>
            </w:tcMar>
            <w:vAlign w:val="bottom"/>
          </w:tcPr>
          <w:p w14:paraId="23DD7984" w14:textId="77777777" w:rsidR="001614AC" w:rsidRDefault="004468F9">
            <w:pPr>
              <w:spacing w:before="55" w:after="30" w:line="288" w:lineRule="auto"/>
              <w:jc w:val="right"/>
            </w:pPr>
            <w:r>
              <w:rPr>
                <w:rFonts w:ascii="Arial" w:eastAsia="Arial" w:hAnsi="Arial" w:cs="Arial"/>
                <w:color w:val="000000"/>
                <w:sz w:val="18"/>
              </w:rPr>
              <w:t>29,464 </w:t>
            </w:r>
          </w:p>
        </w:tc>
        <w:tc>
          <w:tcPr>
            <w:tcW w:w="100" w:type="dxa"/>
            <w:tcBorders>
              <w:top w:val="single" w:sz="8" w:space="0" w:color="C7C9C7"/>
              <w:left w:val="nil"/>
              <w:bottom w:val="double" w:sz="8" w:space="0" w:color="C7C9C7"/>
              <w:right w:val="nil"/>
            </w:tcBorders>
            <w:shd w:val="clear" w:color="auto" w:fill="F4F4F4"/>
            <w:tcMar>
              <w:top w:w="0" w:type="dxa"/>
              <w:left w:w="0" w:type="dxa"/>
              <w:bottom w:w="0" w:type="dxa"/>
              <w:right w:w="15" w:type="dxa"/>
            </w:tcMar>
            <w:vAlign w:val="bottom"/>
          </w:tcPr>
          <w:p w14:paraId="028B7D9F" w14:textId="77777777" w:rsidR="001614AC" w:rsidRDefault="001614AC">
            <w:pPr>
              <w:spacing w:before="55" w:after="30" w:line="288" w:lineRule="auto"/>
              <w:jc w:val="right"/>
            </w:pPr>
          </w:p>
        </w:tc>
        <w:tc>
          <w:tcPr>
            <w:tcW w:w="105" w:type="dxa"/>
            <w:tcBorders>
              <w:top w:val="nil"/>
              <w:left w:val="nil"/>
              <w:bottom w:val="nil"/>
              <w:right w:val="nil"/>
            </w:tcBorders>
            <w:shd w:val="clear" w:color="auto" w:fill="F4F4F4"/>
            <w:tcMar>
              <w:top w:w="0" w:type="dxa"/>
              <w:left w:w="0" w:type="dxa"/>
              <w:bottom w:w="0" w:type="dxa"/>
              <w:right w:w="0" w:type="dxa"/>
            </w:tcMar>
            <w:vAlign w:val="bottom"/>
          </w:tcPr>
          <w:p w14:paraId="3C5EE6DF" w14:textId="77777777" w:rsidR="001614AC" w:rsidRDefault="001614AC"/>
        </w:tc>
        <w:tc>
          <w:tcPr>
            <w:tcW w:w="160" w:type="dxa"/>
            <w:tcBorders>
              <w:top w:val="single" w:sz="8" w:space="0" w:color="C7C9C7"/>
              <w:left w:val="nil"/>
              <w:bottom w:val="double" w:sz="8" w:space="0" w:color="C7C9C7"/>
              <w:right w:val="nil"/>
            </w:tcBorders>
            <w:shd w:val="clear" w:color="auto" w:fill="F4F4F4"/>
            <w:tcMar>
              <w:top w:w="0" w:type="dxa"/>
              <w:left w:w="53" w:type="dxa"/>
              <w:bottom w:w="0" w:type="dxa"/>
              <w:right w:w="0" w:type="dxa"/>
            </w:tcMar>
            <w:vAlign w:val="bottom"/>
          </w:tcPr>
          <w:p w14:paraId="1FCBD601" w14:textId="77777777" w:rsidR="001614AC" w:rsidRDefault="004468F9">
            <w:pPr>
              <w:spacing w:before="55" w:after="30" w:line="288" w:lineRule="auto"/>
            </w:pPr>
            <w:r>
              <w:rPr>
                <w:rFonts w:ascii="Arial" w:eastAsia="Arial" w:hAnsi="Arial" w:cs="Arial"/>
                <w:color w:val="000000"/>
                <w:sz w:val="18"/>
              </w:rPr>
              <w:t>$</w:t>
            </w:r>
          </w:p>
        </w:tc>
        <w:tc>
          <w:tcPr>
            <w:tcW w:w="745" w:type="dxa"/>
            <w:tcBorders>
              <w:top w:val="single" w:sz="8" w:space="0" w:color="C7C9C7"/>
              <w:left w:val="nil"/>
              <w:bottom w:val="double" w:sz="8" w:space="0" w:color="C7C9C7"/>
              <w:right w:val="nil"/>
            </w:tcBorders>
            <w:shd w:val="clear" w:color="auto" w:fill="F4F4F4"/>
            <w:tcMar>
              <w:top w:w="0" w:type="dxa"/>
              <w:left w:w="0" w:type="dxa"/>
              <w:bottom w:w="0" w:type="dxa"/>
              <w:right w:w="0" w:type="dxa"/>
            </w:tcMar>
            <w:vAlign w:val="bottom"/>
          </w:tcPr>
          <w:p w14:paraId="69DD9870" w14:textId="77777777" w:rsidR="001614AC" w:rsidRDefault="004468F9">
            <w:pPr>
              <w:spacing w:before="55" w:after="30" w:line="288" w:lineRule="auto"/>
              <w:jc w:val="right"/>
            </w:pPr>
            <w:r>
              <w:rPr>
                <w:rFonts w:ascii="Arial" w:eastAsia="Arial" w:hAnsi="Arial" w:cs="Arial"/>
                <w:color w:val="000000"/>
                <w:sz w:val="18"/>
              </w:rPr>
              <w:t>28,075 </w:t>
            </w:r>
          </w:p>
        </w:tc>
        <w:tc>
          <w:tcPr>
            <w:tcW w:w="100" w:type="dxa"/>
            <w:tcBorders>
              <w:top w:val="single" w:sz="8" w:space="0" w:color="C7C9C7"/>
              <w:left w:val="nil"/>
              <w:bottom w:val="double" w:sz="8" w:space="0" w:color="C7C9C7"/>
              <w:right w:val="nil"/>
            </w:tcBorders>
            <w:shd w:val="clear" w:color="auto" w:fill="F4F4F4"/>
            <w:tcMar>
              <w:top w:w="0" w:type="dxa"/>
              <w:left w:w="0" w:type="dxa"/>
              <w:bottom w:w="0" w:type="dxa"/>
              <w:right w:w="15" w:type="dxa"/>
            </w:tcMar>
            <w:vAlign w:val="bottom"/>
          </w:tcPr>
          <w:p w14:paraId="752DE3BD" w14:textId="77777777" w:rsidR="001614AC" w:rsidRDefault="001614AC">
            <w:pPr>
              <w:spacing w:before="55" w:after="30" w:line="288" w:lineRule="auto"/>
              <w:jc w:val="right"/>
            </w:pPr>
          </w:p>
        </w:tc>
        <w:tc>
          <w:tcPr>
            <w:tcW w:w="105" w:type="dxa"/>
            <w:tcBorders>
              <w:top w:val="nil"/>
              <w:left w:val="nil"/>
              <w:bottom w:val="nil"/>
              <w:right w:val="nil"/>
            </w:tcBorders>
            <w:shd w:val="clear" w:color="auto" w:fill="F4F4F4"/>
            <w:tcMar>
              <w:top w:w="0" w:type="dxa"/>
              <w:left w:w="0" w:type="dxa"/>
              <w:bottom w:w="0" w:type="dxa"/>
              <w:right w:w="0" w:type="dxa"/>
            </w:tcMar>
            <w:vAlign w:val="bottom"/>
          </w:tcPr>
          <w:p w14:paraId="7C86CECE" w14:textId="77777777" w:rsidR="001614AC" w:rsidRDefault="001614AC"/>
        </w:tc>
        <w:tc>
          <w:tcPr>
            <w:tcW w:w="160" w:type="dxa"/>
            <w:tcBorders>
              <w:top w:val="single" w:sz="8" w:space="0" w:color="C7C9C7"/>
              <w:left w:val="nil"/>
              <w:bottom w:val="double" w:sz="8" w:space="0" w:color="C7C9C7"/>
              <w:right w:val="nil"/>
            </w:tcBorders>
            <w:shd w:val="clear" w:color="auto" w:fill="F4F4F4"/>
            <w:tcMar>
              <w:top w:w="0" w:type="dxa"/>
              <w:left w:w="53" w:type="dxa"/>
              <w:bottom w:w="0" w:type="dxa"/>
              <w:right w:w="0" w:type="dxa"/>
            </w:tcMar>
            <w:vAlign w:val="bottom"/>
          </w:tcPr>
          <w:p w14:paraId="5AB8AC7F" w14:textId="77777777" w:rsidR="001614AC" w:rsidRDefault="004468F9">
            <w:pPr>
              <w:spacing w:before="55" w:after="30" w:line="288" w:lineRule="auto"/>
            </w:pPr>
            <w:r>
              <w:rPr>
                <w:rFonts w:ascii="Arial" w:eastAsia="Arial" w:hAnsi="Arial" w:cs="Arial"/>
                <w:color w:val="000000"/>
                <w:sz w:val="18"/>
              </w:rPr>
              <w:t>$</w:t>
            </w:r>
          </w:p>
        </w:tc>
        <w:tc>
          <w:tcPr>
            <w:tcW w:w="745" w:type="dxa"/>
            <w:tcBorders>
              <w:top w:val="single" w:sz="8" w:space="0" w:color="C7C9C7"/>
              <w:left w:val="nil"/>
              <w:bottom w:val="double" w:sz="8" w:space="0" w:color="C7C9C7"/>
              <w:right w:val="nil"/>
            </w:tcBorders>
            <w:shd w:val="clear" w:color="auto" w:fill="F4F4F4"/>
            <w:tcMar>
              <w:top w:w="0" w:type="dxa"/>
              <w:left w:w="0" w:type="dxa"/>
              <w:bottom w:w="0" w:type="dxa"/>
              <w:right w:w="0" w:type="dxa"/>
            </w:tcMar>
            <w:vAlign w:val="bottom"/>
          </w:tcPr>
          <w:p w14:paraId="79BE611F" w14:textId="77777777" w:rsidR="001614AC" w:rsidRDefault="004468F9">
            <w:pPr>
              <w:spacing w:before="55" w:after="30" w:line="288" w:lineRule="auto"/>
              <w:jc w:val="right"/>
            </w:pPr>
            <w:r>
              <w:rPr>
                <w:rFonts w:ascii="Arial" w:eastAsia="Arial" w:hAnsi="Arial" w:cs="Arial"/>
                <w:color w:val="000000"/>
                <w:sz w:val="18"/>
              </w:rPr>
              <w:t>52,359 </w:t>
            </w:r>
          </w:p>
        </w:tc>
        <w:tc>
          <w:tcPr>
            <w:tcW w:w="100" w:type="dxa"/>
            <w:tcBorders>
              <w:top w:val="single" w:sz="8" w:space="0" w:color="C7C9C7"/>
              <w:left w:val="nil"/>
              <w:bottom w:val="double" w:sz="8" w:space="0" w:color="C7C9C7"/>
              <w:right w:val="nil"/>
            </w:tcBorders>
            <w:shd w:val="clear" w:color="auto" w:fill="F4F4F4"/>
            <w:tcMar>
              <w:top w:w="0" w:type="dxa"/>
              <w:left w:w="0" w:type="dxa"/>
              <w:bottom w:w="0" w:type="dxa"/>
              <w:right w:w="15" w:type="dxa"/>
            </w:tcMar>
            <w:vAlign w:val="bottom"/>
          </w:tcPr>
          <w:p w14:paraId="17A0CC10" w14:textId="77777777" w:rsidR="001614AC" w:rsidRDefault="001614AC">
            <w:pPr>
              <w:spacing w:before="55" w:after="30" w:line="288" w:lineRule="auto"/>
              <w:jc w:val="right"/>
            </w:pPr>
          </w:p>
        </w:tc>
        <w:tc>
          <w:tcPr>
            <w:tcW w:w="105" w:type="dxa"/>
            <w:tcBorders>
              <w:top w:val="nil"/>
              <w:left w:val="nil"/>
              <w:bottom w:val="nil"/>
              <w:right w:val="nil"/>
            </w:tcBorders>
            <w:shd w:val="clear" w:color="auto" w:fill="F4F4F4"/>
            <w:tcMar>
              <w:top w:w="0" w:type="dxa"/>
              <w:left w:w="0" w:type="dxa"/>
              <w:bottom w:w="0" w:type="dxa"/>
              <w:right w:w="0" w:type="dxa"/>
            </w:tcMar>
            <w:vAlign w:val="bottom"/>
          </w:tcPr>
          <w:p w14:paraId="0EC14793" w14:textId="77777777" w:rsidR="001614AC" w:rsidRDefault="001614AC"/>
        </w:tc>
        <w:tc>
          <w:tcPr>
            <w:tcW w:w="160" w:type="dxa"/>
            <w:tcBorders>
              <w:top w:val="single" w:sz="8" w:space="0" w:color="C7C9C7"/>
              <w:left w:val="nil"/>
              <w:bottom w:val="double" w:sz="8" w:space="0" w:color="C7C9C7"/>
              <w:right w:val="nil"/>
            </w:tcBorders>
            <w:shd w:val="clear" w:color="auto" w:fill="F4F4F4"/>
            <w:tcMar>
              <w:top w:w="0" w:type="dxa"/>
              <w:left w:w="53" w:type="dxa"/>
              <w:bottom w:w="0" w:type="dxa"/>
              <w:right w:w="0" w:type="dxa"/>
            </w:tcMar>
            <w:vAlign w:val="bottom"/>
          </w:tcPr>
          <w:p w14:paraId="27E38A00" w14:textId="77777777" w:rsidR="001614AC" w:rsidRDefault="004468F9">
            <w:pPr>
              <w:spacing w:before="55" w:after="30" w:line="288" w:lineRule="auto"/>
            </w:pPr>
            <w:r>
              <w:rPr>
                <w:rFonts w:ascii="Arial" w:eastAsia="Arial" w:hAnsi="Arial" w:cs="Arial"/>
                <w:color w:val="000000"/>
                <w:sz w:val="18"/>
              </w:rPr>
              <w:t>$</w:t>
            </w:r>
          </w:p>
        </w:tc>
        <w:tc>
          <w:tcPr>
            <w:tcW w:w="745" w:type="dxa"/>
            <w:tcBorders>
              <w:top w:val="single" w:sz="8" w:space="0" w:color="C7C9C7"/>
              <w:left w:val="nil"/>
              <w:bottom w:val="double" w:sz="8" w:space="0" w:color="C7C9C7"/>
              <w:right w:val="nil"/>
            </w:tcBorders>
            <w:shd w:val="clear" w:color="auto" w:fill="F4F4F4"/>
            <w:tcMar>
              <w:top w:w="0" w:type="dxa"/>
              <w:left w:w="0" w:type="dxa"/>
              <w:bottom w:w="0" w:type="dxa"/>
              <w:right w:w="0" w:type="dxa"/>
            </w:tcMar>
            <w:vAlign w:val="bottom"/>
          </w:tcPr>
          <w:p w14:paraId="5F31F34C" w14:textId="77777777" w:rsidR="001614AC" w:rsidRDefault="004468F9">
            <w:pPr>
              <w:spacing w:before="55" w:after="30" w:line="288" w:lineRule="auto"/>
              <w:jc w:val="right"/>
            </w:pPr>
            <w:r>
              <w:rPr>
                <w:rFonts w:ascii="Arial" w:eastAsia="Arial" w:hAnsi="Arial" w:cs="Arial"/>
                <w:color w:val="000000"/>
                <w:sz w:val="18"/>
              </w:rPr>
              <w:t>60,002 </w:t>
            </w:r>
          </w:p>
        </w:tc>
        <w:tc>
          <w:tcPr>
            <w:tcW w:w="100" w:type="dxa"/>
            <w:tcBorders>
              <w:top w:val="single" w:sz="8" w:space="0" w:color="C7C9C7"/>
              <w:left w:val="nil"/>
              <w:bottom w:val="double" w:sz="8" w:space="0" w:color="C7C9C7"/>
              <w:right w:val="nil"/>
            </w:tcBorders>
            <w:shd w:val="clear" w:color="auto" w:fill="F4F4F4"/>
            <w:tcMar>
              <w:top w:w="0" w:type="dxa"/>
              <w:left w:w="0" w:type="dxa"/>
              <w:bottom w:w="0" w:type="dxa"/>
              <w:right w:w="15" w:type="dxa"/>
            </w:tcMar>
            <w:vAlign w:val="bottom"/>
          </w:tcPr>
          <w:p w14:paraId="1A4F8786" w14:textId="77777777" w:rsidR="001614AC" w:rsidRDefault="001614AC">
            <w:pPr>
              <w:spacing w:before="55" w:after="30" w:line="288" w:lineRule="auto"/>
              <w:jc w:val="right"/>
            </w:pPr>
          </w:p>
        </w:tc>
      </w:tr>
    </w:tbl>
    <w:p w14:paraId="6D2067AE" w14:textId="77777777" w:rsidR="001614AC" w:rsidRDefault="004468F9" w:rsidP="004468F9">
      <w:pPr>
        <w:keepNext/>
        <w:numPr>
          <w:ilvl w:val="0"/>
          <w:numId w:val="11"/>
        </w:numPr>
        <w:spacing w:line="288" w:lineRule="auto"/>
        <w:ind w:left="360"/>
        <w:rPr>
          <w:rFonts w:ascii="Arial" w:eastAsia="Arial" w:hAnsi="Arial" w:cs="Arial"/>
          <w:b/>
          <w:color w:val="64615D"/>
          <w:sz w:val="16"/>
        </w:rPr>
      </w:pPr>
      <w:r>
        <w:rPr>
          <w:rFonts w:ascii="Arial" w:eastAsia="Arial" w:hAnsi="Arial" w:cs="Arial"/>
          <w:color w:val="64615D"/>
          <w:sz w:val="16"/>
        </w:rPr>
        <w:t>I</w:t>
      </w:r>
      <w:r>
        <w:rPr>
          <w:rFonts w:ascii="Arial" w:eastAsia="Arial" w:hAnsi="Arial" w:cs="Arial"/>
          <w:color w:val="64615D"/>
          <w:sz w:val="16"/>
        </w:rPr>
        <w:t>ncludes services revenue from Clayton prior to its sale in January 2020 and amounts related to our traditional appraisal business, which we wound down beginning in the fourth quarter of 2020.</w:t>
      </w:r>
    </w:p>
    <w:p w14:paraId="0F368250" w14:textId="77777777" w:rsidR="001614AC" w:rsidRDefault="004468F9">
      <w:pPr>
        <w:spacing w:before="200" w:line="288" w:lineRule="auto"/>
        <w:ind w:firstLine="450"/>
        <w:rPr>
          <w:rFonts w:ascii="Arial" w:eastAsia="Arial" w:hAnsi="Arial" w:cs="Arial"/>
          <w:b/>
          <w:color w:val="64615D"/>
          <w:sz w:val="18"/>
          <w:shd w:val="clear" w:color="auto" w:fill="DBDBDB"/>
        </w:rPr>
      </w:pPr>
      <w:r>
        <w:rPr>
          <w:rFonts w:ascii="Arial" w:eastAsia="Arial" w:hAnsi="Arial" w:cs="Arial"/>
          <w:sz w:val="18"/>
        </w:rPr>
        <w:t>Revenue recognized related to services made available to customers and billed is reflected in accounts and notes receivable. Accounts and notes receivable includes $17.0 million and $18.8 million as of June 30, 2021 and December 31, 2020, respectively, rel</w:t>
      </w:r>
      <w:r>
        <w:rPr>
          <w:rFonts w:ascii="Arial" w:eastAsia="Arial" w:hAnsi="Arial" w:cs="Arial"/>
          <w:sz w:val="18"/>
        </w:rPr>
        <w:t>ated to services revenue contracts. Revenue recognized related to services performed and not yet billed is recorded in unbilled receivables and reflected in other assets. See Note 2 of Notes to Consolidated Financial Statements in our 2020 Form 10-K for in</w:t>
      </w:r>
      <w:r>
        <w:rPr>
          <w:rFonts w:ascii="Arial" w:eastAsia="Arial" w:hAnsi="Arial" w:cs="Arial"/>
          <w:sz w:val="18"/>
        </w:rPr>
        <w:t xml:space="preserve">formation regarding our accounting policies and the services we offer. </w:t>
      </w:r>
    </w:p>
    <w:p w14:paraId="3931F388" w14:textId="77777777" w:rsidR="001614AC" w:rsidRDefault="001614AC">
      <w:pPr>
        <w:spacing w:before="200" w:line="288" w:lineRule="auto"/>
        <w:ind w:firstLine="450"/>
        <w:rPr>
          <w:rFonts w:ascii="Arial" w:eastAsia="Arial" w:hAnsi="Arial" w:cs="Arial"/>
          <w:b/>
          <w:color w:val="64615D"/>
          <w:sz w:val="16"/>
        </w:rPr>
        <w:sectPr w:rsidR="001614AC">
          <w:headerReference w:type="default" r:id="rId27"/>
          <w:type w:val="continuous"/>
          <w:pgSz w:w="12240" w:h="15840"/>
          <w:pgMar w:top="1260" w:right="1080" w:bottom="1080" w:left="1080" w:header="270" w:footer="270" w:gutter="0"/>
          <w:cols w:space="708"/>
        </w:sectPr>
      </w:pPr>
    </w:p>
    <w:p w14:paraId="4C587249" w14:textId="77777777" w:rsidR="001614AC" w:rsidRDefault="004468F9">
      <w:pPr>
        <w:spacing w:before="200" w:after="160" w:line="288" w:lineRule="auto"/>
        <w:ind w:left="360" w:hanging="360"/>
        <w:outlineLvl w:val="3"/>
        <w:rPr>
          <w:rFonts w:ascii="Arial" w:eastAsia="Arial" w:hAnsi="Arial" w:cs="Arial"/>
          <w:b/>
          <w:color w:val="4D6B80"/>
          <w:sz w:val="30"/>
        </w:rPr>
      </w:pPr>
      <w:bookmarkStart w:id="16" w:name="Section17"/>
      <w:bookmarkEnd w:id="16"/>
      <w:r>
        <w:rPr>
          <w:rFonts w:ascii="Arial" w:eastAsia="Arial" w:hAnsi="Arial" w:cs="Arial"/>
          <w:b/>
          <w:color w:val="4D6B80"/>
          <w:sz w:val="30"/>
        </w:rPr>
        <w:t>5. Fair Value of Financial Instruments</w:t>
      </w:r>
    </w:p>
    <w:p w14:paraId="7825381A" w14:textId="77777777" w:rsidR="001614AC" w:rsidRDefault="004468F9">
      <w:pPr>
        <w:spacing w:before="100" w:after="100" w:line="288" w:lineRule="auto"/>
        <w:ind w:firstLine="450"/>
        <w:rPr>
          <w:rFonts w:ascii="Arial" w:eastAsia="Arial" w:hAnsi="Arial" w:cs="Arial"/>
          <w:b/>
          <w:color w:val="4D6B80"/>
          <w:sz w:val="18"/>
        </w:rPr>
      </w:pPr>
      <w:r>
        <w:rPr>
          <w:rFonts w:ascii="Arial" w:eastAsia="Arial" w:hAnsi="Arial" w:cs="Arial"/>
          <w:sz w:val="18"/>
        </w:rPr>
        <w:t>For discussion of our valuation methodologies for assets and liabilities measured at fair value and the fair value hierarchy, see Note 5 of Notes to Consolidated Financial Statements in our 2020 Form</w:t>
      </w:r>
      <w:r>
        <w:rPr>
          <w:rFonts w:ascii="Arial" w:eastAsia="Arial" w:hAnsi="Arial" w:cs="Arial"/>
          <w:sz w:val="18"/>
        </w:rPr>
        <w:t xml:space="preserve"> 10-K. </w:t>
      </w:r>
    </w:p>
    <w:p w14:paraId="46E638A1" w14:textId="77777777" w:rsidR="001614AC" w:rsidRDefault="001614AC">
      <w:pPr>
        <w:keepNext/>
        <w:spacing w:before="100" w:after="100" w:line="288" w:lineRule="auto"/>
        <w:ind w:firstLine="450"/>
        <w:rPr>
          <w:rFonts w:ascii="Arial" w:eastAsia="Arial" w:hAnsi="Arial" w:cs="Arial"/>
          <w:b/>
          <w:color w:val="4D6B80"/>
          <w:sz w:val="18"/>
        </w:rPr>
      </w:pPr>
    </w:p>
    <w:p w14:paraId="091743A5" w14:textId="77777777" w:rsidR="001614AC" w:rsidRDefault="004468F9">
      <w:pPr>
        <w:keepNext/>
        <w:pageBreakBefore/>
        <w:spacing w:after="100" w:line="288" w:lineRule="auto"/>
        <w:ind w:firstLine="450"/>
        <w:rPr>
          <w:rFonts w:ascii="Arial" w:eastAsia="Arial" w:hAnsi="Arial" w:cs="Arial"/>
          <w:b/>
          <w:color w:val="4D6B80"/>
          <w:sz w:val="18"/>
        </w:rPr>
      </w:pPr>
      <w:r>
        <w:rPr>
          <w:rFonts w:ascii="Arial" w:eastAsia="Arial" w:hAnsi="Arial" w:cs="Arial"/>
          <w:sz w:val="18"/>
        </w:rPr>
        <w:lastRenderedPageBreak/>
        <w:t>The following tables include a list of assets that are measured at fair value by hierarchy level as of June 30, 2021 and December 31, 2020.</w:t>
      </w:r>
    </w:p>
    <w:tbl>
      <w:tblPr>
        <w:tblW w:w="102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68"/>
        <w:gridCol w:w="106"/>
        <w:gridCol w:w="162"/>
        <w:gridCol w:w="849"/>
        <w:gridCol w:w="102"/>
        <w:gridCol w:w="107"/>
        <w:gridCol w:w="163"/>
        <w:gridCol w:w="865"/>
        <w:gridCol w:w="102"/>
        <w:gridCol w:w="107"/>
        <w:gridCol w:w="163"/>
        <w:gridCol w:w="849"/>
        <w:gridCol w:w="102"/>
        <w:gridCol w:w="107"/>
        <w:gridCol w:w="163"/>
        <w:gridCol w:w="865"/>
        <w:gridCol w:w="102"/>
      </w:tblGrid>
      <w:tr w:rsidR="001614AC" w14:paraId="53AF2242" w14:textId="77777777">
        <w:trPr>
          <w:cantSplit/>
          <w:tblHeader/>
        </w:trPr>
        <w:tc>
          <w:tcPr>
            <w:tcW w:w="10080" w:type="dxa"/>
            <w:gridSpan w:val="17"/>
            <w:tcBorders>
              <w:top w:val="nil"/>
              <w:left w:val="nil"/>
              <w:bottom w:val="single" w:sz="12" w:space="0" w:color="99AAB6"/>
              <w:right w:val="nil"/>
            </w:tcBorders>
            <w:tcMar>
              <w:top w:w="0" w:type="dxa"/>
              <w:left w:w="53" w:type="dxa"/>
              <w:bottom w:w="0" w:type="dxa"/>
              <w:right w:w="53" w:type="dxa"/>
            </w:tcMar>
            <w:vAlign w:val="bottom"/>
          </w:tcPr>
          <w:p w14:paraId="5C8ACB89" w14:textId="77777777" w:rsidR="001614AC" w:rsidRDefault="004468F9">
            <w:pPr>
              <w:spacing w:before="75" w:after="30" w:line="288" w:lineRule="auto"/>
              <w:rPr>
                <w:rFonts w:ascii="Arial" w:eastAsia="Arial" w:hAnsi="Arial" w:cs="Arial"/>
                <w:b/>
                <w:sz w:val="20"/>
              </w:rPr>
            </w:pPr>
            <w:r>
              <w:rPr>
                <w:rFonts w:ascii="Arial" w:eastAsia="Arial" w:hAnsi="Arial" w:cs="Arial"/>
                <w:b/>
                <w:sz w:val="20"/>
              </w:rPr>
              <w:t>Assets carried at fair value by hierarchy level</w:t>
            </w:r>
          </w:p>
        </w:tc>
      </w:tr>
      <w:tr w:rsidR="001614AC" w14:paraId="1EEBCE11" w14:textId="77777777">
        <w:trPr>
          <w:cantSplit/>
          <w:trHeight w:hRule="exact" w:val="135"/>
          <w:tblHeader/>
        </w:trPr>
        <w:tc>
          <w:tcPr>
            <w:tcW w:w="5280" w:type="dxa"/>
            <w:tcBorders>
              <w:top w:val="nil"/>
              <w:left w:val="nil"/>
              <w:bottom w:val="nil"/>
              <w:right w:val="nil"/>
            </w:tcBorders>
            <w:tcMar>
              <w:top w:w="0" w:type="dxa"/>
              <w:left w:w="0" w:type="dxa"/>
              <w:bottom w:w="0" w:type="dxa"/>
              <w:right w:w="0" w:type="dxa"/>
            </w:tcMar>
            <w:vAlign w:val="bottom"/>
          </w:tcPr>
          <w:p w14:paraId="00C20F81" w14:textId="77777777" w:rsidR="001614AC" w:rsidRDefault="001614AC"/>
        </w:tc>
        <w:tc>
          <w:tcPr>
            <w:tcW w:w="105" w:type="dxa"/>
            <w:tcBorders>
              <w:top w:val="single" w:sz="12" w:space="0" w:color="99AAB6"/>
              <w:left w:val="nil"/>
              <w:bottom w:val="nil"/>
              <w:right w:val="nil"/>
            </w:tcBorders>
            <w:tcMar>
              <w:top w:w="0" w:type="dxa"/>
              <w:left w:w="0" w:type="dxa"/>
              <w:bottom w:w="0" w:type="dxa"/>
              <w:right w:w="0" w:type="dxa"/>
            </w:tcMar>
            <w:vAlign w:val="bottom"/>
          </w:tcPr>
          <w:p w14:paraId="2FD96CF4" w14:textId="77777777" w:rsidR="001614AC" w:rsidRDefault="001614AC"/>
        </w:tc>
        <w:tc>
          <w:tcPr>
            <w:tcW w:w="1095" w:type="dxa"/>
            <w:gridSpan w:val="3"/>
            <w:tcBorders>
              <w:top w:val="single" w:sz="12" w:space="0" w:color="99AAB6"/>
              <w:left w:val="nil"/>
              <w:bottom w:val="single" w:sz="8" w:space="0" w:color="FFFFFF"/>
              <w:right w:val="nil"/>
            </w:tcBorders>
            <w:tcMar>
              <w:top w:w="0" w:type="dxa"/>
              <w:left w:w="0" w:type="dxa"/>
              <w:bottom w:w="0" w:type="dxa"/>
              <w:right w:w="0" w:type="dxa"/>
            </w:tcMar>
            <w:vAlign w:val="bottom"/>
          </w:tcPr>
          <w:p w14:paraId="4335A31C" w14:textId="77777777" w:rsidR="001614AC" w:rsidRDefault="001614AC"/>
        </w:tc>
        <w:tc>
          <w:tcPr>
            <w:tcW w:w="105" w:type="dxa"/>
            <w:tcBorders>
              <w:top w:val="single" w:sz="12" w:space="0" w:color="99AAB6"/>
              <w:left w:val="nil"/>
              <w:bottom w:val="nil"/>
              <w:right w:val="nil"/>
            </w:tcBorders>
            <w:tcMar>
              <w:top w:w="0" w:type="dxa"/>
              <w:left w:w="0" w:type="dxa"/>
              <w:bottom w:w="0" w:type="dxa"/>
              <w:right w:w="0" w:type="dxa"/>
            </w:tcMar>
            <w:vAlign w:val="bottom"/>
          </w:tcPr>
          <w:p w14:paraId="7BBF3FAC" w14:textId="77777777" w:rsidR="001614AC" w:rsidRDefault="001614AC"/>
        </w:tc>
        <w:tc>
          <w:tcPr>
            <w:tcW w:w="1095" w:type="dxa"/>
            <w:gridSpan w:val="3"/>
            <w:tcBorders>
              <w:top w:val="single" w:sz="12" w:space="0" w:color="99AAB6"/>
              <w:left w:val="nil"/>
              <w:bottom w:val="nil"/>
              <w:right w:val="nil"/>
            </w:tcBorders>
            <w:tcMar>
              <w:top w:w="0" w:type="dxa"/>
              <w:left w:w="0" w:type="dxa"/>
              <w:bottom w:w="0" w:type="dxa"/>
              <w:right w:w="0" w:type="dxa"/>
            </w:tcMar>
            <w:vAlign w:val="bottom"/>
          </w:tcPr>
          <w:p w14:paraId="72FAB18D" w14:textId="77777777" w:rsidR="001614AC" w:rsidRDefault="001614AC"/>
        </w:tc>
        <w:tc>
          <w:tcPr>
            <w:tcW w:w="105" w:type="dxa"/>
            <w:tcBorders>
              <w:top w:val="single" w:sz="12" w:space="0" w:color="99AAB6"/>
              <w:left w:val="nil"/>
              <w:bottom w:val="nil"/>
              <w:right w:val="nil"/>
            </w:tcBorders>
            <w:tcMar>
              <w:top w:w="0" w:type="dxa"/>
              <w:left w:w="0" w:type="dxa"/>
              <w:bottom w:w="0" w:type="dxa"/>
              <w:right w:w="0" w:type="dxa"/>
            </w:tcMar>
            <w:vAlign w:val="bottom"/>
          </w:tcPr>
          <w:p w14:paraId="167A6908" w14:textId="77777777" w:rsidR="001614AC" w:rsidRDefault="001614AC"/>
        </w:tc>
        <w:tc>
          <w:tcPr>
            <w:tcW w:w="1095" w:type="dxa"/>
            <w:gridSpan w:val="3"/>
            <w:tcBorders>
              <w:top w:val="single" w:sz="12" w:space="0" w:color="99AAB6"/>
              <w:left w:val="nil"/>
              <w:bottom w:val="nil"/>
              <w:right w:val="nil"/>
            </w:tcBorders>
            <w:tcMar>
              <w:top w:w="0" w:type="dxa"/>
              <w:left w:w="0" w:type="dxa"/>
              <w:bottom w:w="0" w:type="dxa"/>
              <w:right w:w="0" w:type="dxa"/>
            </w:tcMar>
            <w:vAlign w:val="bottom"/>
          </w:tcPr>
          <w:p w14:paraId="711C26A7" w14:textId="77777777" w:rsidR="001614AC" w:rsidRDefault="001614AC"/>
        </w:tc>
        <w:tc>
          <w:tcPr>
            <w:tcW w:w="105" w:type="dxa"/>
            <w:tcBorders>
              <w:top w:val="single" w:sz="12" w:space="0" w:color="99AAB6"/>
              <w:left w:val="nil"/>
              <w:bottom w:val="nil"/>
              <w:right w:val="nil"/>
            </w:tcBorders>
            <w:tcMar>
              <w:top w:w="0" w:type="dxa"/>
              <w:left w:w="0" w:type="dxa"/>
              <w:bottom w:w="0" w:type="dxa"/>
              <w:right w:w="0" w:type="dxa"/>
            </w:tcMar>
            <w:vAlign w:val="bottom"/>
          </w:tcPr>
          <w:p w14:paraId="6003D132" w14:textId="77777777" w:rsidR="001614AC" w:rsidRDefault="001614AC"/>
        </w:tc>
        <w:tc>
          <w:tcPr>
            <w:tcW w:w="1095" w:type="dxa"/>
            <w:gridSpan w:val="3"/>
            <w:tcBorders>
              <w:top w:val="single" w:sz="12" w:space="0" w:color="99AAB6"/>
              <w:left w:val="nil"/>
              <w:bottom w:val="nil"/>
              <w:right w:val="nil"/>
            </w:tcBorders>
            <w:tcMar>
              <w:top w:w="0" w:type="dxa"/>
              <w:left w:w="0" w:type="dxa"/>
              <w:bottom w:w="0" w:type="dxa"/>
              <w:right w:w="0" w:type="dxa"/>
            </w:tcMar>
            <w:vAlign w:val="bottom"/>
          </w:tcPr>
          <w:p w14:paraId="0D7D672C" w14:textId="77777777" w:rsidR="001614AC" w:rsidRDefault="001614AC"/>
        </w:tc>
      </w:tr>
      <w:tr w:rsidR="001614AC" w14:paraId="76D6C044" w14:textId="77777777">
        <w:trPr>
          <w:cantSplit/>
          <w:tblHeader/>
        </w:trPr>
        <w:tc>
          <w:tcPr>
            <w:tcW w:w="5280" w:type="dxa"/>
            <w:tcBorders>
              <w:top w:val="nil"/>
              <w:left w:val="nil"/>
              <w:bottom w:val="nil"/>
              <w:right w:val="nil"/>
            </w:tcBorders>
            <w:tcMar>
              <w:top w:w="0" w:type="dxa"/>
              <w:left w:w="0" w:type="dxa"/>
              <w:bottom w:w="0" w:type="dxa"/>
              <w:right w:w="0" w:type="dxa"/>
            </w:tcMar>
            <w:vAlign w:val="bottom"/>
          </w:tcPr>
          <w:p w14:paraId="574D15CD" w14:textId="77777777" w:rsidR="001614AC" w:rsidRDefault="001614AC"/>
        </w:tc>
        <w:tc>
          <w:tcPr>
            <w:tcW w:w="105" w:type="dxa"/>
            <w:tcBorders>
              <w:top w:val="nil"/>
              <w:left w:val="nil"/>
              <w:bottom w:val="nil"/>
              <w:right w:val="nil"/>
            </w:tcBorders>
            <w:tcMar>
              <w:top w:w="0" w:type="dxa"/>
              <w:left w:w="0" w:type="dxa"/>
              <w:bottom w:w="0" w:type="dxa"/>
              <w:right w:w="0" w:type="dxa"/>
            </w:tcMar>
            <w:vAlign w:val="bottom"/>
          </w:tcPr>
          <w:p w14:paraId="434A3915" w14:textId="77777777" w:rsidR="001614AC" w:rsidRDefault="001614AC"/>
        </w:tc>
        <w:tc>
          <w:tcPr>
            <w:tcW w:w="4695" w:type="dxa"/>
            <w:gridSpan w:val="15"/>
            <w:tcBorders>
              <w:top w:val="nil"/>
              <w:left w:val="nil"/>
              <w:bottom w:val="single" w:sz="8" w:space="0" w:color="FFFFFF"/>
              <w:right w:val="nil"/>
            </w:tcBorders>
            <w:shd w:val="clear" w:color="auto" w:fill="E6F8F8"/>
            <w:tcMar>
              <w:top w:w="0" w:type="dxa"/>
              <w:left w:w="53" w:type="dxa"/>
              <w:bottom w:w="0" w:type="dxa"/>
              <w:right w:w="53" w:type="dxa"/>
            </w:tcMar>
            <w:vAlign w:val="bottom"/>
          </w:tcPr>
          <w:p w14:paraId="117CABC8" w14:textId="77777777" w:rsidR="001614AC" w:rsidRDefault="004468F9">
            <w:pPr>
              <w:spacing w:before="55" w:after="30" w:line="288" w:lineRule="auto"/>
              <w:jc w:val="center"/>
              <w:rPr>
                <w:rFonts w:ascii="Arial" w:eastAsia="Arial" w:hAnsi="Arial" w:cs="Arial"/>
                <w:b/>
                <w:color w:val="00BAB3"/>
                <w:sz w:val="18"/>
              </w:rPr>
            </w:pPr>
            <w:r>
              <w:rPr>
                <w:rFonts w:ascii="Arial" w:eastAsia="Arial" w:hAnsi="Arial" w:cs="Arial"/>
                <w:b/>
                <w:color w:val="00BAB3"/>
                <w:sz w:val="18"/>
              </w:rPr>
              <w:t>June 30, 2021</w:t>
            </w:r>
          </w:p>
        </w:tc>
      </w:tr>
      <w:tr w:rsidR="001614AC" w14:paraId="4C055DB0" w14:textId="77777777">
        <w:trPr>
          <w:cantSplit/>
          <w:tblHeader/>
        </w:trPr>
        <w:tc>
          <w:tcPr>
            <w:tcW w:w="5280" w:type="dxa"/>
            <w:tcBorders>
              <w:top w:val="nil"/>
              <w:left w:val="nil"/>
              <w:bottom w:val="single" w:sz="8" w:space="0" w:color="C7C9C7"/>
              <w:right w:val="nil"/>
            </w:tcBorders>
            <w:tcMar>
              <w:top w:w="0" w:type="dxa"/>
              <w:left w:w="53" w:type="dxa"/>
              <w:bottom w:w="0" w:type="dxa"/>
              <w:right w:w="53" w:type="dxa"/>
            </w:tcMar>
            <w:vAlign w:val="bottom"/>
          </w:tcPr>
          <w:p w14:paraId="279ADBC7" w14:textId="77777777" w:rsidR="001614AC" w:rsidRDefault="004468F9">
            <w:pPr>
              <w:spacing w:before="75" w:after="30" w:line="288" w:lineRule="auto"/>
            </w:pPr>
            <w:r>
              <w:rPr>
                <w:rFonts w:ascii="Arial" w:eastAsia="Arial" w:hAnsi="Arial" w:cs="Arial"/>
                <w:color w:val="8B8886"/>
                <w:sz w:val="16"/>
              </w:rPr>
              <w:t>(In thousands)</w:t>
            </w:r>
          </w:p>
        </w:tc>
        <w:tc>
          <w:tcPr>
            <w:tcW w:w="105" w:type="dxa"/>
            <w:tcBorders>
              <w:top w:val="nil"/>
              <w:left w:val="nil"/>
              <w:bottom w:val="single" w:sz="8" w:space="0" w:color="C7C9C7"/>
              <w:right w:val="nil"/>
            </w:tcBorders>
            <w:tcMar>
              <w:top w:w="0" w:type="dxa"/>
              <w:left w:w="0" w:type="dxa"/>
              <w:bottom w:w="0" w:type="dxa"/>
              <w:right w:w="0" w:type="dxa"/>
            </w:tcMar>
            <w:vAlign w:val="bottom"/>
          </w:tcPr>
          <w:p w14:paraId="7AEE2A7F" w14:textId="77777777" w:rsidR="001614AC" w:rsidRDefault="001614AC"/>
        </w:tc>
        <w:tc>
          <w:tcPr>
            <w:tcW w:w="1095" w:type="dxa"/>
            <w:gridSpan w:val="3"/>
            <w:tcBorders>
              <w:top w:val="nil"/>
              <w:left w:val="nil"/>
              <w:bottom w:val="single" w:sz="8" w:space="0" w:color="C7C9C7"/>
              <w:right w:val="nil"/>
            </w:tcBorders>
            <w:tcMar>
              <w:top w:w="0" w:type="dxa"/>
              <w:left w:w="53" w:type="dxa"/>
              <w:bottom w:w="0" w:type="dxa"/>
              <w:right w:w="53" w:type="dxa"/>
            </w:tcMar>
            <w:vAlign w:val="bottom"/>
          </w:tcPr>
          <w:p w14:paraId="1DE135BC" w14:textId="77777777" w:rsidR="001614AC" w:rsidRDefault="004468F9">
            <w:pPr>
              <w:spacing w:before="55" w:after="30" w:line="288" w:lineRule="auto"/>
              <w:jc w:val="center"/>
            </w:pPr>
            <w:r>
              <w:rPr>
                <w:rFonts w:ascii="Arial" w:eastAsia="Arial" w:hAnsi="Arial" w:cs="Arial"/>
                <w:b/>
                <w:color w:val="000000"/>
                <w:sz w:val="18"/>
              </w:rPr>
              <w:t>Level I</w:t>
            </w:r>
          </w:p>
        </w:tc>
        <w:tc>
          <w:tcPr>
            <w:tcW w:w="105" w:type="dxa"/>
            <w:tcBorders>
              <w:top w:val="single" w:sz="8" w:space="0" w:color="FFFFFF"/>
              <w:left w:val="nil"/>
              <w:bottom w:val="single" w:sz="8" w:space="0" w:color="C7C9C7"/>
              <w:right w:val="nil"/>
            </w:tcBorders>
            <w:tcMar>
              <w:top w:w="0" w:type="dxa"/>
              <w:left w:w="0" w:type="dxa"/>
              <w:bottom w:w="0" w:type="dxa"/>
              <w:right w:w="0" w:type="dxa"/>
            </w:tcMar>
            <w:vAlign w:val="bottom"/>
          </w:tcPr>
          <w:p w14:paraId="63D740D7" w14:textId="77777777" w:rsidR="001614AC" w:rsidRDefault="001614AC"/>
        </w:tc>
        <w:tc>
          <w:tcPr>
            <w:tcW w:w="1095" w:type="dxa"/>
            <w:gridSpan w:val="3"/>
            <w:tcBorders>
              <w:top w:val="single" w:sz="8" w:space="0" w:color="FFFFFF"/>
              <w:left w:val="nil"/>
              <w:bottom w:val="single" w:sz="8" w:space="0" w:color="C7C9C7"/>
              <w:right w:val="nil"/>
            </w:tcBorders>
            <w:tcMar>
              <w:top w:w="0" w:type="dxa"/>
              <w:left w:w="53" w:type="dxa"/>
              <w:bottom w:w="0" w:type="dxa"/>
              <w:right w:w="53" w:type="dxa"/>
            </w:tcMar>
            <w:vAlign w:val="bottom"/>
          </w:tcPr>
          <w:p w14:paraId="53DF6640" w14:textId="77777777" w:rsidR="001614AC" w:rsidRDefault="004468F9">
            <w:pPr>
              <w:spacing w:before="55" w:after="30" w:line="288" w:lineRule="auto"/>
              <w:jc w:val="center"/>
            </w:pPr>
            <w:r>
              <w:rPr>
                <w:rFonts w:ascii="Arial" w:eastAsia="Arial" w:hAnsi="Arial" w:cs="Arial"/>
                <w:b/>
                <w:color w:val="000000"/>
                <w:sz w:val="18"/>
              </w:rPr>
              <w:t>Level II</w:t>
            </w:r>
          </w:p>
        </w:tc>
        <w:tc>
          <w:tcPr>
            <w:tcW w:w="105" w:type="dxa"/>
            <w:tcBorders>
              <w:top w:val="single" w:sz="8" w:space="0" w:color="FFFFFF"/>
              <w:left w:val="nil"/>
              <w:bottom w:val="single" w:sz="8" w:space="0" w:color="C7C9C7"/>
              <w:right w:val="nil"/>
            </w:tcBorders>
            <w:tcMar>
              <w:top w:w="0" w:type="dxa"/>
              <w:left w:w="0" w:type="dxa"/>
              <w:bottom w:w="0" w:type="dxa"/>
              <w:right w:w="0" w:type="dxa"/>
            </w:tcMar>
            <w:vAlign w:val="bottom"/>
          </w:tcPr>
          <w:p w14:paraId="3C627F8A" w14:textId="77777777" w:rsidR="001614AC" w:rsidRDefault="001614AC"/>
        </w:tc>
        <w:tc>
          <w:tcPr>
            <w:tcW w:w="1095" w:type="dxa"/>
            <w:gridSpan w:val="3"/>
            <w:tcBorders>
              <w:top w:val="single" w:sz="8" w:space="0" w:color="FFFFFF"/>
              <w:left w:val="nil"/>
              <w:bottom w:val="single" w:sz="8" w:space="0" w:color="C7C9C7"/>
              <w:right w:val="nil"/>
            </w:tcBorders>
            <w:tcMar>
              <w:top w:w="0" w:type="dxa"/>
              <w:left w:w="53" w:type="dxa"/>
              <w:bottom w:w="0" w:type="dxa"/>
              <w:right w:w="53" w:type="dxa"/>
            </w:tcMar>
            <w:vAlign w:val="bottom"/>
          </w:tcPr>
          <w:p w14:paraId="29C3A641" w14:textId="77777777" w:rsidR="001614AC" w:rsidRDefault="004468F9">
            <w:pPr>
              <w:spacing w:before="55" w:after="30" w:line="288" w:lineRule="auto"/>
              <w:jc w:val="center"/>
            </w:pPr>
            <w:r>
              <w:rPr>
                <w:rFonts w:ascii="Arial" w:eastAsia="Arial" w:hAnsi="Arial" w:cs="Arial"/>
                <w:b/>
                <w:color w:val="000000"/>
                <w:sz w:val="18"/>
              </w:rPr>
              <w:t>Level III</w:t>
            </w:r>
          </w:p>
        </w:tc>
        <w:tc>
          <w:tcPr>
            <w:tcW w:w="105" w:type="dxa"/>
            <w:tcBorders>
              <w:top w:val="single" w:sz="8" w:space="0" w:color="FFFFFF"/>
              <w:left w:val="nil"/>
              <w:bottom w:val="single" w:sz="8" w:space="0" w:color="C7C9C7"/>
              <w:right w:val="nil"/>
            </w:tcBorders>
            <w:tcMar>
              <w:top w:w="0" w:type="dxa"/>
              <w:left w:w="0" w:type="dxa"/>
              <w:bottom w:w="0" w:type="dxa"/>
              <w:right w:w="0" w:type="dxa"/>
            </w:tcMar>
            <w:vAlign w:val="bottom"/>
          </w:tcPr>
          <w:p w14:paraId="51CDCC47" w14:textId="77777777" w:rsidR="001614AC" w:rsidRDefault="001614AC"/>
        </w:tc>
        <w:tc>
          <w:tcPr>
            <w:tcW w:w="1095" w:type="dxa"/>
            <w:gridSpan w:val="3"/>
            <w:tcBorders>
              <w:top w:val="single" w:sz="8" w:space="0" w:color="FFFFFF"/>
              <w:left w:val="nil"/>
              <w:bottom w:val="single" w:sz="8" w:space="0" w:color="C7C9C7"/>
              <w:right w:val="nil"/>
            </w:tcBorders>
            <w:tcMar>
              <w:top w:w="0" w:type="dxa"/>
              <w:left w:w="53" w:type="dxa"/>
              <w:bottom w:w="0" w:type="dxa"/>
              <w:right w:w="53" w:type="dxa"/>
            </w:tcMar>
            <w:vAlign w:val="bottom"/>
          </w:tcPr>
          <w:p w14:paraId="5F229044" w14:textId="77777777" w:rsidR="001614AC" w:rsidRDefault="004468F9">
            <w:pPr>
              <w:spacing w:before="55" w:after="30" w:line="288" w:lineRule="auto"/>
              <w:jc w:val="center"/>
            </w:pPr>
            <w:r>
              <w:rPr>
                <w:rFonts w:ascii="Arial" w:eastAsia="Arial" w:hAnsi="Arial" w:cs="Arial"/>
                <w:b/>
                <w:color w:val="000000"/>
                <w:sz w:val="18"/>
              </w:rPr>
              <w:t>Total</w:t>
            </w:r>
          </w:p>
        </w:tc>
      </w:tr>
      <w:tr w:rsidR="001614AC" w14:paraId="0A48CCE4" w14:textId="77777777">
        <w:trPr>
          <w:cantSplit/>
        </w:trPr>
        <w:tc>
          <w:tcPr>
            <w:tcW w:w="5280" w:type="dxa"/>
            <w:tcBorders>
              <w:top w:val="single" w:sz="8" w:space="0" w:color="C7C9C7"/>
              <w:left w:val="nil"/>
              <w:bottom w:val="single" w:sz="8" w:space="0" w:color="F4F4F4"/>
              <w:right w:val="nil"/>
            </w:tcBorders>
            <w:tcMar>
              <w:top w:w="0" w:type="dxa"/>
              <w:left w:w="53" w:type="dxa"/>
              <w:bottom w:w="0" w:type="dxa"/>
              <w:right w:w="53" w:type="dxa"/>
            </w:tcMar>
            <w:vAlign w:val="bottom"/>
          </w:tcPr>
          <w:p w14:paraId="04E812BD" w14:textId="77777777" w:rsidR="001614AC" w:rsidRDefault="004468F9">
            <w:pPr>
              <w:spacing w:before="55" w:after="30" w:line="288" w:lineRule="auto"/>
            </w:pPr>
            <w:r>
              <w:rPr>
                <w:rFonts w:ascii="Arial" w:eastAsia="Arial" w:hAnsi="Arial" w:cs="Arial"/>
                <w:b/>
                <w:color w:val="000000"/>
                <w:sz w:val="18"/>
              </w:rPr>
              <w:t>Investments</w:t>
            </w:r>
          </w:p>
        </w:tc>
        <w:tc>
          <w:tcPr>
            <w:tcW w:w="105" w:type="dxa"/>
            <w:tcBorders>
              <w:top w:val="single" w:sz="8" w:space="0" w:color="C7C9C7"/>
              <w:left w:val="nil"/>
              <w:bottom w:val="nil"/>
              <w:right w:val="nil"/>
            </w:tcBorders>
            <w:tcMar>
              <w:top w:w="0" w:type="dxa"/>
              <w:left w:w="0" w:type="dxa"/>
              <w:bottom w:w="0" w:type="dxa"/>
              <w:right w:w="0" w:type="dxa"/>
            </w:tcMar>
            <w:vAlign w:val="bottom"/>
          </w:tcPr>
          <w:p w14:paraId="5623A26B" w14:textId="77777777" w:rsidR="001614AC" w:rsidRDefault="001614AC"/>
        </w:tc>
        <w:tc>
          <w:tcPr>
            <w:tcW w:w="1095" w:type="dxa"/>
            <w:gridSpan w:val="3"/>
            <w:tcBorders>
              <w:top w:val="single" w:sz="8" w:space="0" w:color="C7C9C7"/>
              <w:left w:val="nil"/>
              <w:bottom w:val="single" w:sz="8" w:space="0" w:color="F4F4F4"/>
              <w:right w:val="nil"/>
            </w:tcBorders>
            <w:tcMar>
              <w:top w:w="0" w:type="dxa"/>
              <w:left w:w="0" w:type="dxa"/>
              <w:bottom w:w="0" w:type="dxa"/>
              <w:right w:w="0" w:type="dxa"/>
            </w:tcMar>
            <w:vAlign w:val="bottom"/>
          </w:tcPr>
          <w:p w14:paraId="301AC0D5" w14:textId="77777777" w:rsidR="001614AC" w:rsidRDefault="001614AC"/>
        </w:tc>
        <w:tc>
          <w:tcPr>
            <w:tcW w:w="105" w:type="dxa"/>
            <w:tcBorders>
              <w:top w:val="single" w:sz="8" w:space="0" w:color="C7C9C7"/>
              <w:left w:val="nil"/>
              <w:bottom w:val="nil"/>
              <w:right w:val="nil"/>
            </w:tcBorders>
            <w:tcMar>
              <w:top w:w="0" w:type="dxa"/>
              <w:left w:w="0" w:type="dxa"/>
              <w:bottom w:w="0" w:type="dxa"/>
              <w:right w:w="0" w:type="dxa"/>
            </w:tcMar>
            <w:vAlign w:val="bottom"/>
          </w:tcPr>
          <w:p w14:paraId="0D647CAE" w14:textId="77777777" w:rsidR="001614AC" w:rsidRDefault="001614AC"/>
        </w:tc>
        <w:tc>
          <w:tcPr>
            <w:tcW w:w="1095" w:type="dxa"/>
            <w:gridSpan w:val="3"/>
            <w:tcBorders>
              <w:top w:val="single" w:sz="8" w:space="0" w:color="C7C9C7"/>
              <w:left w:val="nil"/>
              <w:bottom w:val="single" w:sz="8" w:space="0" w:color="F4F4F4"/>
              <w:right w:val="nil"/>
            </w:tcBorders>
            <w:tcMar>
              <w:top w:w="0" w:type="dxa"/>
              <w:left w:w="0" w:type="dxa"/>
              <w:bottom w:w="0" w:type="dxa"/>
              <w:right w:w="0" w:type="dxa"/>
            </w:tcMar>
            <w:vAlign w:val="bottom"/>
          </w:tcPr>
          <w:p w14:paraId="630FD5C2" w14:textId="77777777" w:rsidR="001614AC" w:rsidRDefault="001614AC"/>
        </w:tc>
        <w:tc>
          <w:tcPr>
            <w:tcW w:w="105" w:type="dxa"/>
            <w:tcBorders>
              <w:top w:val="single" w:sz="8" w:space="0" w:color="C7C9C7"/>
              <w:left w:val="nil"/>
              <w:bottom w:val="nil"/>
              <w:right w:val="nil"/>
            </w:tcBorders>
            <w:tcMar>
              <w:top w:w="0" w:type="dxa"/>
              <w:left w:w="0" w:type="dxa"/>
              <w:bottom w:w="0" w:type="dxa"/>
              <w:right w:w="0" w:type="dxa"/>
            </w:tcMar>
            <w:vAlign w:val="bottom"/>
          </w:tcPr>
          <w:p w14:paraId="7188564E" w14:textId="77777777" w:rsidR="001614AC" w:rsidRDefault="001614AC"/>
        </w:tc>
        <w:tc>
          <w:tcPr>
            <w:tcW w:w="1095" w:type="dxa"/>
            <w:gridSpan w:val="3"/>
            <w:tcBorders>
              <w:top w:val="single" w:sz="8" w:space="0" w:color="C7C9C7"/>
              <w:left w:val="nil"/>
              <w:bottom w:val="single" w:sz="8" w:space="0" w:color="F4F4F4"/>
              <w:right w:val="nil"/>
            </w:tcBorders>
            <w:tcMar>
              <w:top w:w="0" w:type="dxa"/>
              <w:left w:w="0" w:type="dxa"/>
              <w:bottom w:w="0" w:type="dxa"/>
              <w:right w:w="0" w:type="dxa"/>
            </w:tcMar>
            <w:vAlign w:val="bottom"/>
          </w:tcPr>
          <w:p w14:paraId="1663DE95" w14:textId="77777777" w:rsidR="001614AC" w:rsidRDefault="001614AC"/>
        </w:tc>
        <w:tc>
          <w:tcPr>
            <w:tcW w:w="105" w:type="dxa"/>
            <w:tcBorders>
              <w:top w:val="single" w:sz="8" w:space="0" w:color="C7C9C7"/>
              <w:left w:val="nil"/>
              <w:bottom w:val="nil"/>
              <w:right w:val="nil"/>
            </w:tcBorders>
            <w:tcMar>
              <w:top w:w="0" w:type="dxa"/>
              <w:left w:w="0" w:type="dxa"/>
              <w:bottom w:w="0" w:type="dxa"/>
              <w:right w:w="0" w:type="dxa"/>
            </w:tcMar>
            <w:vAlign w:val="bottom"/>
          </w:tcPr>
          <w:p w14:paraId="105EB181" w14:textId="77777777" w:rsidR="001614AC" w:rsidRDefault="001614AC"/>
        </w:tc>
        <w:tc>
          <w:tcPr>
            <w:tcW w:w="1095" w:type="dxa"/>
            <w:gridSpan w:val="3"/>
            <w:tcBorders>
              <w:top w:val="single" w:sz="8" w:space="0" w:color="C7C9C7"/>
              <w:left w:val="nil"/>
              <w:bottom w:val="single" w:sz="8" w:space="0" w:color="F4F4F4"/>
              <w:right w:val="nil"/>
            </w:tcBorders>
            <w:tcMar>
              <w:top w:w="0" w:type="dxa"/>
              <w:left w:w="0" w:type="dxa"/>
              <w:bottom w:w="0" w:type="dxa"/>
              <w:right w:w="0" w:type="dxa"/>
            </w:tcMar>
            <w:vAlign w:val="bottom"/>
          </w:tcPr>
          <w:p w14:paraId="1BCC5E42" w14:textId="77777777" w:rsidR="001614AC" w:rsidRDefault="001614AC"/>
        </w:tc>
      </w:tr>
      <w:tr w:rsidR="001614AC" w14:paraId="0AA93AFE" w14:textId="77777777">
        <w:trPr>
          <w:cantSplit/>
        </w:trPr>
        <w:tc>
          <w:tcPr>
            <w:tcW w:w="5280" w:type="dxa"/>
            <w:tcBorders>
              <w:top w:val="single" w:sz="8" w:space="0" w:color="F4F4F4"/>
              <w:left w:val="nil"/>
              <w:bottom w:val="single" w:sz="8" w:space="0" w:color="F4F4F4"/>
              <w:right w:val="nil"/>
            </w:tcBorders>
            <w:tcMar>
              <w:top w:w="0" w:type="dxa"/>
              <w:left w:w="53" w:type="dxa"/>
              <w:bottom w:w="0" w:type="dxa"/>
              <w:right w:w="53" w:type="dxa"/>
            </w:tcMar>
            <w:vAlign w:val="bottom"/>
          </w:tcPr>
          <w:p w14:paraId="25E9022C" w14:textId="77777777" w:rsidR="001614AC" w:rsidRDefault="004468F9">
            <w:pPr>
              <w:spacing w:before="55" w:after="30" w:line="288" w:lineRule="auto"/>
            </w:pPr>
            <w:r>
              <w:rPr>
                <w:rFonts w:ascii="Arial" w:eastAsia="Arial" w:hAnsi="Arial" w:cs="Arial"/>
                <w:color w:val="000000"/>
                <w:sz w:val="18"/>
              </w:rPr>
              <w:t>Fixed-maturities available for sale</w:t>
            </w:r>
          </w:p>
        </w:tc>
        <w:tc>
          <w:tcPr>
            <w:tcW w:w="105" w:type="dxa"/>
            <w:tcBorders>
              <w:top w:val="nil"/>
              <w:left w:val="nil"/>
              <w:bottom w:val="nil"/>
              <w:right w:val="nil"/>
            </w:tcBorders>
            <w:tcMar>
              <w:top w:w="0" w:type="dxa"/>
              <w:left w:w="0" w:type="dxa"/>
              <w:bottom w:w="0" w:type="dxa"/>
              <w:right w:w="0" w:type="dxa"/>
            </w:tcMar>
            <w:vAlign w:val="bottom"/>
          </w:tcPr>
          <w:p w14:paraId="7705266D" w14:textId="77777777" w:rsidR="001614AC" w:rsidRDefault="001614AC"/>
        </w:tc>
        <w:tc>
          <w:tcPr>
            <w:tcW w:w="1095" w:type="dxa"/>
            <w:gridSpan w:val="3"/>
            <w:tcBorders>
              <w:top w:val="single" w:sz="8" w:space="0" w:color="F4F4F4"/>
              <w:left w:val="nil"/>
              <w:bottom w:val="single" w:sz="8" w:space="0" w:color="F4F4F4"/>
              <w:right w:val="nil"/>
            </w:tcBorders>
            <w:tcMar>
              <w:top w:w="0" w:type="dxa"/>
              <w:left w:w="0" w:type="dxa"/>
              <w:bottom w:w="0" w:type="dxa"/>
              <w:right w:w="0" w:type="dxa"/>
            </w:tcMar>
            <w:vAlign w:val="bottom"/>
          </w:tcPr>
          <w:p w14:paraId="1BA018A3" w14:textId="77777777" w:rsidR="001614AC" w:rsidRDefault="001614AC"/>
        </w:tc>
        <w:tc>
          <w:tcPr>
            <w:tcW w:w="105" w:type="dxa"/>
            <w:tcBorders>
              <w:top w:val="nil"/>
              <w:left w:val="nil"/>
              <w:bottom w:val="nil"/>
              <w:right w:val="nil"/>
            </w:tcBorders>
            <w:tcMar>
              <w:top w:w="0" w:type="dxa"/>
              <w:left w:w="0" w:type="dxa"/>
              <w:bottom w:w="0" w:type="dxa"/>
              <w:right w:w="0" w:type="dxa"/>
            </w:tcMar>
            <w:vAlign w:val="bottom"/>
          </w:tcPr>
          <w:p w14:paraId="67DDF490" w14:textId="77777777" w:rsidR="001614AC" w:rsidRDefault="001614AC"/>
        </w:tc>
        <w:tc>
          <w:tcPr>
            <w:tcW w:w="1095" w:type="dxa"/>
            <w:gridSpan w:val="3"/>
            <w:tcBorders>
              <w:top w:val="single" w:sz="8" w:space="0" w:color="F4F4F4"/>
              <w:left w:val="nil"/>
              <w:bottom w:val="single" w:sz="8" w:space="0" w:color="F4F4F4"/>
              <w:right w:val="nil"/>
            </w:tcBorders>
            <w:tcMar>
              <w:top w:w="0" w:type="dxa"/>
              <w:left w:w="0" w:type="dxa"/>
              <w:bottom w:w="0" w:type="dxa"/>
              <w:right w:w="0" w:type="dxa"/>
            </w:tcMar>
            <w:vAlign w:val="bottom"/>
          </w:tcPr>
          <w:p w14:paraId="48FC1FDD" w14:textId="77777777" w:rsidR="001614AC" w:rsidRDefault="001614AC"/>
        </w:tc>
        <w:tc>
          <w:tcPr>
            <w:tcW w:w="105" w:type="dxa"/>
            <w:tcBorders>
              <w:top w:val="nil"/>
              <w:left w:val="nil"/>
              <w:bottom w:val="nil"/>
              <w:right w:val="nil"/>
            </w:tcBorders>
            <w:tcMar>
              <w:top w:w="0" w:type="dxa"/>
              <w:left w:w="0" w:type="dxa"/>
              <w:bottom w:w="0" w:type="dxa"/>
              <w:right w:w="0" w:type="dxa"/>
            </w:tcMar>
            <w:vAlign w:val="bottom"/>
          </w:tcPr>
          <w:p w14:paraId="0B5F3C2D" w14:textId="77777777" w:rsidR="001614AC" w:rsidRDefault="001614AC"/>
        </w:tc>
        <w:tc>
          <w:tcPr>
            <w:tcW w:w="1095" w:type="dxa"/>
            <w:gridSpan w:val="3"/>
            <w:tcBorders>
              <w:top w:val="single" w:sz="8" w:space="0" w:color="F4F4F4"/>
              <w:left w:val="nil"/>
              <w:bottom w:val="single" w:sz="8" w:space="0" w:color="F4F4F4"/>
              <w:right w:val="nil"/>
            </w:tcBorders>
            <w:tcMar>
              <w:top w:w="0" w:type="dxa"/>
              <w:left w:w="0" w:type="dxa"/>
              <w:bottom w:w="0" w:type="dxa"/>
              <w:right w:w="0" w:type="dxa"/>
            </w:tcMar>
            <w:vAlign w:val="bottom"/>
          </w:tcPr>
          <w:p w14:paraId="5F944A7C" w14:textId="77777777" w:rsidR="001614AC" w:rsidRDefault="001614AC"/>
        </w:tc>
        <w:tc>
          <w:tcPr>
            <w:tcW w:w="105" w:type="dxa"/>
            <w:tcBorders>
              <w:top w:val="nil"/>
              <w:left w:val="nil"/>
              <w:bottom w:val="nil"/>
              <w:right w:val="nil"/>
            </w:tcBorders>
            <w:tcMar>
              <w:top w:w="0" w:type="dxa"/>
              <w:left w:w="0" w:type="dxa"/>
              <w:bottom w:w="0" w:type="dxa"/>
              <w:right w:w="0" w:type="dxa"/>
            </w:tcMar>
            <w:vAlign w:val="bottom"/>
          </w:tcPr>
          <w:p w14:paraId="56FA6378" w14:textId="77777777" w:rsidR="001614AC" w:rsidRDefault="001614AC"/>
        </w:tc>
        <w:tc>
          <w:tcPr>
            <w:tcW w:w="1095" w:type="dxa"/>
            <w:gridSpan w:val="3"/>
            <w:tcBorders>
              <w:top w:val="single" w:sz="8" w:space="0" w:color="F4F4F4"/>
              <w:left w:val="nil"/>
              <w:bottom w:val="single" w:sz="8" w:space="0" w:color="F4F4F4"/>
              <w:right w:val="nil"/>
            </w:tcBorders>
            <w:tcMar>
              <w:top w:w="0" w:type="dxa"/>
              <w:left w:w="0" w:type="dxa"/>
              <w:bottom w:w="0" w:type="dxa"/>
              <w:right w:w="0" w:type="dxa"/>
            </w:tcMar>
            <w:vAlign w:val="bottom"/>
          </w:tcPr>
          <w:p w14:paraId="5EC6C610" w14:textId="77777777" w:rsidR="001614AC" w:rsidRDefault="001614AC"/>
        </w:tc>
      </w:tr>
      <w:tr w:rsidR="001614AC" w14:paraId="4A949393" w14:textId="77777777">
        <w:trPr>
          <w:cantSplit/>
        </w:trPr>
        <w:tc>
          <w:tcPr>
            <w:tcW w:w="5280" w:type="dxa"/>
            <w:tcBorders>
              <w:top w:val="single" w:sz="8" w:space="0" w:color="F4F4F4"/>
              <w:left w:val="nil"/>
              <w:bottom w:val="single" w:sz="8" w:space="0" w:color="F4F4F4"/>
              <w:right w:val="nil"/>
            </w:tcBorders>
            <w:tcMar>
              <w:top w:w="0" w:type="dxa"/>
              <w:left w:w="53" w:type="dxa"/>
              <w:bottom w:w="0" w:type="dxa"/>
              <w:right w:w="53" w:type="dxa"/>
            </w:tcMar>
            <w:vAlign w:val="bottom"/>
          </w:tcPr>
          <w:p w14:paraId="1948DA53" w14:textId="77777777" w:rsidR="001614AC" w:rsidRDefault="004468F9">
            <w:pPr>
              <w:spacing w:before="55" w:after="30" w:line="288" w:lineRule="auto"/>
              <w:ind w:left="240"/>
            </w:pPr>
            <w:r>
              <w:rPr>
                <w:rFonts w:ascii="Arial" w:eastAsia="Arial" w:hAnsi="Arial" w:cs="Arial"/>
                <w:color w:val="000000"/>
                <w:sz w:val="18"/>
              </w:rPr>
              <w:t>U.S. government and agency securities</w:t>
            </w:r>
          </w:p>
        </w:tc>
        <w:tc>
          <w:tcPr>
            <w:tcW w:w="105" w:type="dxa"/>
            <w:tcBorders>
              <w:top w:val="nil"/>
              <w:left w:val="nil"/>
              <w:bottom w:val="nil"/>
              <w:right w:val="nil"/>
            </w:tcBorders>
            <w:tcMar>
              <w:top w:w="0" w:type="dxa"/>
              <w:left w:w="0" w:type="dxa"/>
              <w:bottom w:w="0" w:type="dxa"/>
              <w:right w:w="0" w:type="dxa"/>
            </w:tcMar>
            <w:vAlign w:val="bottom"/>
          </w:tcPr>
          <w:p w14:paraId="1AEC5089" w14:textId="77777777" w:rsidR="001614AC" w:rsidRDefault="001614AC"/>
        </w:tc>
        <w:tc>
          <w:tcPr>
            <w:tcW w:w="160" w:type="dxa"/>
            <w:tcBorders>
              <w:top w:val="single" w:sz="8" w:space="0" w:color="F4F4F4"/>
              <w:left w:val="nil"/>
              <w:bottom w:val="single" w:sz="8" w:space="0" w:color="F4F4F4"/>
              <w:right w:val="nil"/>
            </w:tcBorders>
            <w:tcMar>
              <w:top w:w="0" w:type="dxa"/>
              <w:left w:w="53" w:type="dxa"/>
              <w:bottom w:w="0" w:type="dxa"/>
              <w:right w:w="0" w:type="dxa"/>
            </w:tcMar>
            <w:vAlign w:val="bottom"/>
          </w:tcPr>
          <w:p w14:paraId="76DA5BF4" w14:textId="77777777" w:rsidR="001614AC" w:rsidRDefault="004468F9">
            <w:pPr>
              <w:spacing w:before="55" w:after="30" w:line="288" w:lineRule="auto"/>
            </w:pPr>
            <w:r>
              <w:rPr>
                <w:rFonts w:ascii="Arial" w:eastAsia="Arial" w:hAnsi="Arial" w:cs="Arial"/>
                <w:color w:val="000000"/>
                <w:sz w:val="18"/>
              </w:rPr>
              <w:t>$</w:t>
            </w:r>
          </w:p>
        </w:tc>
        <w:tc>
          <w:tcPr>
            <w:tcW w:w="835" w:type="dxa"/>
            <w:tcBorders>
              <w:top w:val="single" w:sz="8" w:space="0" w:color="F4F4F4"/>
              <w:left w:val="nil"/>
              <w:bottom w:val="single" w:sz="8" w:space="0" w:color="F4F4F4"/>
              <w:right w:val="nil"/>
            </w:tcBorders>
            <w:tcMar>
              <w:top w:w="0" w:type="dxa"/>
              <w:left w:w="0" w:type="dxa"/>
              <w:bottom w:w="0" w:type="dxa"/>
              <w:right w:w="0" w:type="dxa"/>
            </w:tcMar>
            <w:vAlign w:val="bottom"/>
          </w:tcPr>
          <w:p w14:paraId="320684B8" w14:textId="77777777" w:rsidR="001614AC" w:rsidRDefault="004468F9">
            <w:pPr>
              <w:spacing w:before="55" w:after="30" w:line="288" w:lineRule="auto"/>
              <w:jc w:val="right"/>
            </w:pPr>
            <w:r>
              <w:rPr>
                <w:rFonts w:ascii="Arial" w:eastAsia="Arial" w:hAnsi="Arial" w:cs="Arial"/>
                <w:color w:val="000000"/>
                <w:sz w:val="18"/>
              </w:rPr>
              <w:t>178,709 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3F1E6208" w14:textId="77777777" w:rsidR="001614AC" w:rsidRDefault="001614AC">
            <w:pPr>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0BA3A8EC" w14:textId="77777777" w:rsidR="001614AC" w:rsidRDefault="001614AC"/>
        </w:tc>
        <w:tc>
          <w:tcPr>
            <w:tcW w:w="160" w:type="dxa"/>
            <w:tcBorders>
              <w:top w:val="single" w:sz="8" w:space="0" w:color="F4F4F4"/>
              <w:left w:val="nil"/>
              <w:bottom w:val="single" w:sz="8" w:space="0" w:color="F4F4F4"/>
              <w:right w:val="nil"/>
            </w:tcBorders>
            <w:tcMar>
              <w:top w:w="0" w:type="dxa"/>
              <w:left w:w="53" w:type="dxa"/>
              <w:bottom w:w="0" w:type="dxa"/>
              <w:right w:w="0" w:type="dxa"/>
            </w:tcMar>
            <w:vAlign w:val="bottom"/>
          </w:tcPr>
          <w:p w14:paraId="20941B4F" w14:textId="77777777" w:rsidR="001614AC" w:rsidRDefault="004468F9">
            <w:pPr>
              <w:spacing w:before="55" w:after="30" w:line="288" w:lineRule="auto"/>
            </w:pPr>
            <w:r>
              <w:rPr>
                <w:rFonts w:ascii="Arial" w:eastAsia="Arial" w:hAnsi="Arial" w:cs="Arial"/>
                <w:color w:val="000000"/>
                <w:sz w:val="18"/>
              </w:rPr>
              <w:t>$</w:t>
            </w:r>
          </w:p>
        </w:tc>
        <w:tc>
          <w:tcPr>
            <w:tcW w:w="835" w:type="dxa"/>
            <w:tcBorders>
              <w:top w:val="single" w:sz="8" w:space="0" w:color="F4F4F4"/>
              <w:left w:val="nil"/>
              <w:bottom w:val="single" w:sz="8" w:space="0" w:color="F4F4F4"/>
              <w:right w:val="nil"/>
            </w:tcBorders>
            <w:tcMar>
              <w:top w:w="0" w:type="dxa"/>
              <w:left w:w="0" w:type="dxa"/>
              <w:bottom w:w="0" w:type="dxa"/>
              <w:right w:w="0" w:type="dxa"/>
            </w:tcMar>
            <w:vAlign w:val="bottom"/>
          </w:tcPr>
          <w:p w14:paraId="6CE87AAA" w14:textId="77777777" w:rsidR="001614AC" w:rsidRDefault="004468F9">
            <w:pPr>
              <w:spacing w:before="55" w:after="30" w:line="288" w:lineRule="auto"/>
              <w:jc w:val="right"/>
            </w:pPr>
            <w:r>
              <w:rPr>
                <w:rFonts w:ascii="Arial" w:eastAsia="Arial" w:hAnsi="Arial" w:cs="Arial"/>
                <w:color w:val="000000"/>
                <w:sz w:val="18"/>
              </w:rPr>
              <w:t>29,954 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2DB6CB36" w14:textId="77777777" w:rsidR="001614AC" w:rsidRDefault="001614AC">
            <w:pPr>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589EAF68" w14:textId="77777777" w:rsidR="001614AC" w:rsidRDefault="001614AC"/>
        </w:tc>
        <w:tc>
          <w:tcPr>
            <w:tcW w:w="160" w:type="dxa"/>
            <w:tcBorders>
              <w:top w:val="single" w:sz="8" w:space="0" w:color="F4F4F4"/>
              <w:left w:val="nil"/>
              <w:bottom w:val="single" w:sz="8" w:space="0" w:color="F4F4F4"/>
              <w:right w:val="nil"/>
            </w:tcBorders>
            <w:tcMar>
              <w:top w:w="0" w:type="dxa"/>
              <w:left w:w="53" w:type="dxa"/>
              <w:bottom w:w="0" w:type="dxa"/>
              <w:right w:w="0" w:type="dxa"/>
            </w:tcMar>
            <w:vAlign w:val="bottom"/>
          </w:tcPr>
          <w:p w14:paraId="5ABC0BFC" w14:textId="77777777" w:rsidR="001614AC" w:rsidRDefault="004468F9">
            <w:pPr>
              <w:spacing w:before="55" w:after="30" w:line="288" w:lineRule="auto"/>
            </w:pPr>
            <w:r>
              <w:rPr>
                <w:rFonts w:ascii="Arial" w:eastAsia="Arial" w:hAnsi="Arial" w:cs="Arial"/>
                <w:color w:val="000000"/>
                <w:sz w:val="18"/>
              </w:rPr>
              <w:t>$</w:t>
            </w:r>
          </w:p>
        </w:tc>
        <w:tc>
          <w:tcPr>
            <w:tcW w:w="835" w:type="dxa"/>
            <w:tcBorders>
              <w:top w:val="single" w:sz="8" w:space="0" w:color="F4F4F4"/>
              <w:left w:val="nil"/>
              <w:bottom w:val="single" w:sz="8" w:space="0" w:color="F4F4F4"/>
              <w:right w:val="nil"/>
            </w:tcBorders>
            <w:tcMar>
              <w:top w:w="0" w:type="dxa"/>
              <w:left w:w="0" w:type="dxa"/>
              <w:bottom w:w="0" w:type="dxa"/>
              <w:right w:w="0" w:type="dxa"/>
            </w:tcMar>
            <w:vAlign w:val="bottom"/>
          </w:tcPr>
          <w:p w14:paraId="7B24AF44" w14:textId="77777777" w:rsidR="001614AC" w:rsidRDefault="004468F9">
            <w:pPr>
              <w:spacing w:before="55" w:after="30" w:line="288" w:lineRule="auto"/>
              <w:jc w:val="right"/>
            </w:pPr>
            <w:r>
              <w:rPr>
                <w:rFonts w:ascii="Arial" w:eastAsia="Arial" w:hAnsi="Arial" w:cs="Arial"/>
                <w:color w:val="000000"/>
                <w:sz w:val="18"/>
              </w:rPr>
              <w:t>—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4964B30C" w14:textId="77777777" w:rsidR="001614AC" w:rsidRDefault="001614AC">
            <w:pPr>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3735AA34" w14:textId="77777777" w:rsidR="001614AC" w:rsidRDefault="001614AC"/>
        </w:tc>
        <w:tc>
          <w:tcPr>
            <w:tcW w:w="160" w:type="dxa"/>
            <w:tcBorders>
              <w:top w:val="single" w:sz="8" w:space="0" w:color="F4F4F4"/>
              <w:left w:val="nil"/>
              <w:bottom w:val="single" w:sz="8" w:space="0" w:color="F4F4F4"/>
              <w:right w:val="nil"/>
            </w:tcBorders>
            <w:tcMar>
              <w:top w:w="0" w:type="dxa"/>
              <w:left w:w="53" w:type="dxa"/>
              <w:bottom w:w="0" w:type="dxa"/>
              <w:right w:w="0" w:type="dxa"/>
            </w:tcMar>
            <w:vAlign w:val="bottom"/>
          </w:tcPr>
          <w:p w14:paraId="20CF5460" w14:textId="77777777" w:rsidR="001614AC" w:rsidRDefault="004468F9">
            <w:pPr>
              <w:spacing w:before="55" w:after="30" w:line="288" w:lineRule="auto"/>
            </w:pPr>
            <w:r>
              <w:rPr>
                <w:rFonts w:ascii="Arial" w:eastAsia="Arial" w:hAnsi="Arial" w:cs="Arial"/>
                <w:color w:val="000000"/>
                <w:sz w:val="18"/>
              </w:rPr>
              <w:t>$</w:t>
            </w:r>
          </w:p>
        </w:tc>
        <w:tc>
          <w:tcPr>
            <w:tcW w:w="835" w:type="dxa"/>
            <w:tcBorders>
              <w:top w:val="single" w:sz="8" w:space="0" w:color="F4F4F4"/>
              <w:left w:val="nil"/>
              <w:bottom w:val="single" w:sz="8" w:space="0" w:color="F4F4F4"/>
              <w:right w:val="nil"/>
            </w:tcBorders>
            <w:tcMar>
              <w:top w:w="0" w:type="dxa"/>
              <w:left w:w="0" w:type="dxa"/>
              <w:bottom w:w="0" w:type="dxa"/>
              <w:right w:w="0" w:type="dxa"/>
            </w:tcMar>
            <w:vAlign w:val="bottom"/>
          </w:tcPr>
          <w:p w14:paraId="4CE4A54A" w14:textId="77777777" w:rsidR="001614AC" w:rsidRDefault="004468F9">
            <w:pPr>
              <w:spacing w:before="55" w:after="30" w:line="288" w:lineRule="auto"/>
              <w:jc w:val="right"/>
            </w:pPr>
            <w:r>
              <w:rPr>
                <w:rFonts w:ascii="Arial" w:eastAsia="Arial" w:hAnsi="Arial" w:cs="Arial"/>
                <w:color w:val="000000"/>
                <w:sz w:val="18"/>
              </w:rPr>
              <w:t>208,663 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7AA5ED7B" w14:textId="77777777" w:rsidR="001614AC" w:rsidRDefault="001614AC">
            <w:pPr>
              <w:spacing w:before="55" w:after="30" w:line="288" w:lineRule="auto"/>
              <w:jc w:val="right"/>
            </w:pPr>
          </w:p>
        </w:tc>
      </w:tr>
      <w:tr w:rsidR="001614AC" w14:paraId="50445372" w14:textId="77777777">
        <w:trPr>
          <w:cantSplit/>
        </w:trPr>
        <w:tc>
          <w:tcPr>
            <w:tcW w:w="5280" w:type="dxa"/>
            <w:tcBorders>
              <w:top w:val="single" w:sz="8" w:space="0" w:color="F4F4F4"/>
              <w:left w:val="nil"/>
              <w:bottom w:val="single" w:sz="8" w:space="0" w:color="F4F4F4"/>
              <w:right w:val="nil"/>
            </w:tcBorders>
            <w:tcMar>
              <w:top w:w="0" w:type="dxa"/>
              <w:left w:w="53" w:type="dxa"/>
              <w:bottom w:w="0" w:type="dxa"/>
              <w:right w:w="53" w:type="dxa"/>
            </w:tcMar>
            <w:vAlign w:val="bottom"/>
          </w:tcPr>
          <w:p w14:paraId="40EE4D09" w14:textId="77777777" w:rsidR="001614AC" w:rsidRDefault="004468F9">
            <w:pPr>
              <w:spacing w:before="55" w:after="30" w:line="288" w:lineRule="auto"/>
              <w:ind w:left="240"/>
            </w:pPr>
            <w:r>
              <w:rPr>
                <w:rFonts w:ascii="Arial" w:eastAsia="Arial" w:hAnsi="Arial" w:cs="Arial"/>
                <w:color w:val="000000"/>
                <w:sz w:val="18"/>
              </w:rPr>
              <w:t>State and municipal obligations</w:t>
            </w:r>
          </w:p>
        </w:tc>
        <w:tc>
          <w:tcPr>
            <w:tcW w:w="105" w:type="dxa"/>
            <w:tcBorders>
              <w:top w:val="nil"/>
              <w:left w:val="nil"/>
              <w:bottom w:val="nil"/>
              <w:right w:val="nil"/>
            </w:tcBorders>
            <w:tcMar>
              <w:top w:w="0" w:type="dxa"/>
              <w:left w:w="0" w:type="dxa"/>
              <w:bottom w:w="0" w:type="dxa"/>
              <w:right w:w="0" w:type="dxa"/>
            </w:tcMar>
            <w:vAlign w:val="bottom"/>
          </w:tcPr>
          <w:p w14:paraId="110E3BEC" w14:textId="77777777" w:rsidR="001614AC" w:rsidRDefault="001614AC"/>
        </w:tc>
        <w:tc>
          <w:tcPr>
            <w:tcW w:w="995"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6A1D848E" w14:textId="77777777" w:rsidR="001614AC" w:rsidRDefault="004468F9">
            <w:pPr>
              <w:spacing w:before="55" w:after="30" w:line="288" w:lineRule="auto"/>
              <w:jc w:val="right"/>
            </w:pPr>
            <w:r>
              <w:rPr>
                <w:rFonts w:ascii="Arial" w:eastAsia="Arial" w:hAnsi="Arial" w:cs="Arial"/>
                <w:color w:val="000000"/>
                <w:sz w:val="18"/>
              </w:rPr>
              <w:t>—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097321CB" w14:textId="77777777" w:rsidR="001614AC" w:rsidRDefault="001614AC">
            <w:pPr>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20E412EF" w14:textId="77777777" w:rsidR="001614AC" w:rsidRDefault="001614AC"/>
        </w:tc>
        <w:tc>
          <w:tcPr>
            <w:tcW w:w="995"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68B7186A" w14:textId="77777777" w:rsidR="001614AC" w:rsidRDefault="004468F9">
            <w:pPr>
              <w:spacing w:before="55" w:after="30" w:line="288" w:lineRule="auto"/>
              <w:jc w:val="right"/>
            </w:pPr>
            <w:r>
              <w:rPr>
                <w:rFonts w:ascii="Arial" w:eastAsia="Arial" w:hAnsi="Arial" w:cs="Arial"/>
                <w:color w:val="000000"/>
                <w:sz w:val="18"/>
              </w:rPr>
              <w:t>157,944 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5330802F" w14:textId="77777777" w:rsidR="001614AC" w:rsidRDefault="001614AC">
            <w:pPr>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06B27793" w14:textId="77777777" w:rsidR="001614AC" w:rsidRDefault="001614AC"/>
        </w:tc>
        <w:tc>
          <w:tcPr>
            <w:tcW w:w="995"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07A1F67B" w14:textId="77777777" w:rsidR="001614AC" w:rsidRDefault="004468F9">
            <w:pPr>
              <w:spacing w:before="55" w:after="30" w:line="288" w:lineRule="auto"/>
              <w:jc w:val="right"/>
            </w:pPr>
            <w:r>
              <w:rPr>
                <w:rFonts w:ascii="Arial" w:eastAsia="Arial" w:hAnsi="Arial" w:cs="Arial"/>
                <w:color w:val="000000"/>
                <w:sz w:val="18"/>
              </w:rPr>
              <w:t>—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6B798960" w14:textId="77777777" w:rsidR="001614AC" w:rsidRDefault="001614AC">
            <w:pPr>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309806A9" w14:textId="77777777" w:rsidR="001614AC" w:rsidRDefault="001614AC"/>
        </w:tc>
        <w:tc>
          <w:tcPr>
            <w:tcW w:w="995"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534452B1" w14:textId="77777777" w:rsidR="001614AC" w:rsidRDefault="004468F9">
            <w:pPr>
              <w:spacing w:before="55" w:after="30" w:line="288" w:lineRule="auto"/>
              <w:jc w:val="right"/>
            </w:pPr>
            <w:r>
              <w:rPr>
                <w:rFonts w:ascii="Arial" w:eastAsia="Arial" w:hAnsi="Arial" w:cs="Arial"/>
                <w:color w:val="000000"/>
                <w:sz w:val="18"/>
              </w:rPr>
              <w:t>157,944 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7F252D35" w14:textId="77777777" w:rsidR="001614AC" w:rsidRDefault="001614AC">
            <w:pPr>
              <w:spacing w:before="55" w:after="30" w:line="288" w:lineRule="auto"/>
              <w:jc w:val="right"/>
            </w:pPr>
          </w:p>
        </w:tc>
      </w:tr>
      <w:tr w:rsidR="001614AC" w14:paraId="64A1550F" w14:textId="77777777">
        <w:trPr>
          <w:cantSplit/>
        </w:trPr>
        <w:tc>
          <w:tcPr>
            <w:tcW w:w="5280" w:type="dxa"/>
            <w:tcBorders>
              <w:top w:val="single" w:sz="8" w:space="0" w:color="F4F4F4"/>
              <w:left w:val="nil"/>
              <w:bottom w:val="single" w:sz="8" w:space="0" w:color="F4F4F4"/>
              <w:right w:val="nil"/>
            </w:tcBorders>
            <w:tcMar>
              <w:top w:w="0" w:type="dxa"/>
              <w:left w:w="53" w:type="dxa"/>
              <w:bottom w:w="0" w:type="dxa"/>
              <w:right w:w="53" w:type="dxa"/>
            </w:tcMar>
            <w:vAlign w:val="bottom"/>
          </w:tcPr>
          <w:p w14:paraId="68422CBB" w14:textId="77777777" w:rsidR="001614AC" w:rsidRDefault="004468F9">
            <w:pPr>
              <w:spacing w:before="55" w:after="30" w:line="288" w:lineRule="auto"/>
              <w:ind w:left="240"/>
            </w:pPr>
            <w:r>
              <w:rPr>
                <w:rFonts w:ascii="Arial" w:eastAsia="Arial" w:hAnsi="Arial" w:cs="Arial"/>
                <w:color w:val="000000"/>
                <w:sz w:val="18"/>
              </w:rPr>
              <w:t>Corporate bonds and notes</w:t>
            </w:r>
          </w:p>
        </w:tc>
        <w:tc>
          <w:tcPr>
            <w:tcW w:w="105" w:type="dxa"/>
            <w:tcBorders>
              <w:top w:val="nil"/>
              <w:left w:val="nil"/>
              <w:bottom w:val="nil"/>
              <w:right w:val="nil"/>
            </w:tcBorders>
            <w:tcMar>
              <w:top w:w="0" w:type="dxa"/>
              <w:left w:w="0" w:type="dxa"/>
              <w:bottom w:w="0" w:type="dxa"/>
              <w:right w:w="0" w:type="dxa"/>
            </w:tcMar>
            <w:vAlign w:val="bottom"/>
          </w:tcPr>
          <w:p w14:paraId="4DBAE67D" w14:textId="77777777" w:rsidR="001614AC" w:rsidRDefault="001614AC"/>
        </w:tc>
        <w:tc>
          <w:tcPr>
            <w:tcW w:w="995"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16291A1C" w14:textId="77777777" w:rsidR="001614AC" w:rsidRDefault="004468F9">
            <w:pPr>
              <w:spacing w:before="55" w:after="30" w:line="288" w:lineRule="auto"/>
              <w:jc w:val="right"/>
            </w:pPr>
            <w:r>
              <w:rPr>
                <w:rFonts w:ascii="Arial" w:eastAsia="Arial" w:hAnsi="Arial" w:cs="Arial"/>
                <w:color w:val="000000"/>
                <w:sz w:val="18"/>
              </w:rPr>
              <w:t>—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41DB6FB3" w14:textId="77777777" w:rsidR="001614AC" w:rsidRDefault="001614AC">
            <w:pPr>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1A590377" w14:textId="77777777" w:rsidR="001614AC" w:rsidRDefault="001614AC"/>
        </w:tc>
        <w:tc>
          <w:tcPr>
            <w:tcW w:w="995"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63E6B31C" w14:textId="77777777" w:rsidR="001614AC" w:rsidRDefault="004468F9">
            <w:pPr>
              <w:spacing w:before="55" w:after="30" w:line="288" w:lineRule="auto"/>
              <w:jc w:val="right"/>
            </w:pPr>
            <w:r>
              <w:rPr>
                <w:rFonts w:ascii="Arial" w:eastAsia="Arial" w:hAnsi="Arial" w:cs="Arial"/>
                <w:color w:val="000000"/>
                <w:sz w:val="18"/>
              </w:rPr>
              <w:t>2,970,142 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247232EF" w14:textId="77777777" w:rsidR="001614AC" w:rsidRDefault="001614AC">
            <w:pPr>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4C18B4AB" w14:textId="77777777" w:rsidR="001614AC" w:rsidRDefault="001614AC"/>
        </w:tc>
        <w:tc>
          <w:tcPr>
            <w:tcW w:w="995"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6AD7E6A6" w14:textId="77777777" w:rsidR="001614AC" w:rsidRDefault="004468F9">
            <w:pPr>
              <w:spacing w:before="55" w:after="30" w:line="288" w:lineRule="auto"/>
              <w:jc w:val="right"/>
            </w:pPr>
            <w:r>
              <w:rPr>
                <w:rFonts w:ascii="Arial" w:eastAsia="Arial" w:hAnsi="Arial" w:cs="Arial"/>
                <w:color w:val="000000"/>
                <w:sz w:val="18"/>
              </w:rPr>
              <w:t>—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77B86909" w14:textId="77777777" w:rsidR="001614AC" w:rsidRDefault="001614AC">
            <w:pPr>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78A26C7C" w14:textId="77777777" w:rsidR="001614AC" w:rsidRDefault="001614AC"/>
        </w:tc>
        <w:tc>
          <w:tcPr>
            <w:tcW w:w="995"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0A28D8BF" w14:textId="77777777" w:rsidR="001614AC" w:rsidRDefault="004468F9">
            <w:pPr>
              <w:spacing w:before="55" w:after="30" w:line="288" w:lineRule="auto"/>
              <w:jc w:val="right"/>
            </w:pPr>
            <w:r>
              <w:rPr>
                <w:rFonts w:ascii="Arial" w:eastAsia="Arial" w:hAnsi="Arial" w:cs="Arial"/>
                <w:color w:val="000000"/>
                <w:sz w:val="18"/>
              </w:rPr>
              <w:t>2,970,142 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5C0FC910" w14:textId="77777777" w:rsidR="001614AC" w:rsidRDefault="001614AC">
            <w:pPr>
              <w:spacing w:before="55" w:after="30" w:line="288" w:lineRule="auto"/>
              <w:jc w:val="right"/>
            </w:pPr>
          </w:p>
        </w:tc>
      </w:tr>
      <w:tr w:rsidR="001614AC" w14:paraId="3ED7EA83" w14:textId="77777777">
        <w:trPr>
          <w:cantSplit/>
        </w:trPr>
        <w:tc>
          <w:tcPr>
            <w:tcW w:w="5280" w:type="dxa"/>
            <w:tcBorders>
              <w:top w:val="single" w:sz="8" w:space="0" w:color="F4F4F4"/>
              <w:left w:val="nil"/>
              <w:bottom w:val="single" w:sz="8" w:space="0" w:color="F4F4F4"/>
              <w:right w:val="nil"/>
            </w:tcBorders>
            <w:tcMar>
              <w:top w:w="0" w:type="dxa"/>
              <w:left w:w="53" w:type="dxa"/>
              <w:bottom w:w="0" w:type="dxa"/>
              <w:right w:w="53" w:type="dxa"/>
            </w:tcMar>
            <w:vAlign w:val="bottom"/>
          </w:tcPr>
          <w:p w14:paraId="1C491005" w14:textId="77777777" w:rsidR="001614AC" w:rsidRDefault="004468F9">
            <w:pPr>
              <w:spacing w:before="55" w:after="30" w:line="288" w:lineRule="auto"/>
              <w:ind w:left="240"/>
            </w:pPr>
            <w:r>
              <w:rPr>
                <w:rFonts w:ascii="Arial" w:eastAsia="Arial" w:hAnsi="Arial" w:cs="Arial"/>
                <w:color w:val="000000"/>
                <w:sz w:val="18"/>
              </w:rPr>
              <w:t>RMBS</w:t>
            </w:r>
          </w:p>
        </w:tc>
        <w:tc>
          <w:tcPr>
            <w:tcW w:w="105" w:type="dxa"/>
            <w:tcBorders>
              <w:top w:val="nil"/>
              <w:left w:val="nil"/>
              <w:bottom w:val="nil"/>
              <w:right w:val="nil"/>
            </w:tcBorders>
            <w:tcMar>
              <w:top w:w="0" w:type="dxa"/>
              <w:left w:w="0" w:type="dxa"/>
              <w:bottom w:w="0" w:type="dxa"/>
              <w:right w:w="0" w:type="dxa"/>
            </w:tcMar>
            <w:vAlign w:val="bottom"/>
          </w:tcPr>
          <w:p w14:paraId="39F8550D" w14:textId="77777777" w:rsidR="001614AC" w:rsidRDefault="001614AC"/>
        </w:tc>
        <w:tc>
          <w:tcPr>
            <w:tcW w:w="995"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06E3A746" w14:textId="77777777" w:rsidR="001614AC" w:rsidRDefault="004468F9">
            <w:pPr>
              <w:spacing w:before="55" w:after="30" w:line="288" w:lineRule="auto"/>
              <w:jc w:val="right"/>
            </w:pPr>
            <w:r>
              <w:rPr>
                <w:rFonts w:ascii="Arial" w:eastAsia="Arial" w:hAnsi="Arial" w:cs="Arial"/>
                <w:color w:val="000000"/>
                <w:sz w:val="18"/>
              </w:rPr>
              <w:t>—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6694C9D8" w14:textId="77777777" w:rsidR="001614AC" w:rsidRDefault="001614AC">
            <w:pPr>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7510641E" w14:textId="77777777" w:rsidR="001614AC" w:rsidRDefault="001614AC"/>
        </w:tc>
        <w:tc>
          <w:tcPr>
            <w:tcW w:w="995"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10DDCE62" w14:textId="77777777" w:rsidR="001614AC" w:rsidRDefault="004468F9">
            <w:pPr>
              <w:spacing w:before="55" w:after="30" w:line="288" w:lineRule="auto"/>
              <w:jc w:val="right"/>
            </w:pPr>
            <w:r>
              <w:rPr>
                <w:rFonts w:ascii="Arial" w:eastAsia="Arial" w:hAnsi="Arial" w:cs="Arial"/>
                <w:color w:val="000000"/>
                <w:sz w:val="18"/>
              </w:rPr>
              <w:t>719,840 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28434644" w14:textId="77777777" w:rsidR="001614AC" w:rsidRDefault="001614AC">
            <w:pPr>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37EB6F2D" w14:textId="77777777" w:rsidR="001614AC" w:rsidRDefault="001614AC"/>
        </w:tc>
        <w:tc>
          <w:tcPr>
            <w:tcW w:w="995"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5E14EE55" w14:textId="77777777" w:rsidR="001614AC" w:rsidRDefault="004468F9">
            <w:pPr>
              <w:spacing w:before="55" w:after="30" w:line="288" w:lineRule="auto"/>
              <w:jc w:val="right"/>
            </w:pPr>
            <w:r>
              <w:rPr>
                <w:rFonts w:ascii="Arial" w:eastAsia="Arial" w:hAnsi="Arial" w:cs="Arial"/>
                <w:color w:val="000000"/>
                <w:sz w:val="18"/>
              </w:rPr>
              <w:t>—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64081CAD" w14:textId="77777777" w:rsidR="001614AC" w:rsidRDefault="001614AC">
            <w:pPr>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264104F9" w14:textId="77777777" w:rsidR="001614AC" w:rsidRDefault="001614AC"/>
        </w:tc>
        <w:tc>
          <w:tcPr>
            <w:tcW w:w="995"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27687C0E" w14:textId="77777777" w:rsidR="001614AC" w:rsidRDefault="004468F9">
            <w:pPr>
              <w:spacing w:before="55" w:after="30" w:line="288" w:lineRule="auto"/>
              <w:jc w:val="right"/>
            </w:pPr>
            <w:r>
              <w:rPr>
                <w:rFonts w:ascii="Arial" w:eastAsia="Arial" w:hAnsi="Arial" w:cs="Arial"/>
                <w:color w:val="000000"/>
                <w:sz w:val="18"/>
              </w:rPr>
              <w:t>719,840 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6E6BF661" w14:textId="77777777" w:rsidR="001614AC" w:rsidRDefault="001614AC">
            <w:pPr>
              <w:spacing w:before="55" w:after="30" w:line="288" w:lineRule="auto"/>
              <w:jc w:val="right"/>
            </w:pPr>
          </w:p>
        </w:tc>
      </w:tr>
      <w:tr w:rsidR="001614AC" w14:paraId="2AC476BA" w14:textId="77777777">
        <w:trPr>
          <w:cantSplit/>
        </w:trPr>
        <w:tc>
          <w:tcPr>
            <w:tcW w:w="5280" w:type="dxa"/>
            <w:tcBorders>
              <w:top w:val="single" w:sz="8" w:space="0" w:color="F4F4F4"/>
              <w:left w:val="nil"/>
              <w:bottom w:val="single" w:sz="8" w:space="0" w:color="F4F4F4"/>
              <w:right w:val="nil"/>
            </w:tcBorders>
            <w:tcMar>
              <w:top w:w="0" w:type="dxa"/>
              <w:left w:w="53" w:type="dxa"/>
              <w:bottom w:w="0" w:type="dxa"/>
              <w:right w:w="53" w:type="dxa"/>
            </w:tcMar>
            <w:vAlign w:val="bottom"/>
          </w:tcPr>
          <w:p w14:paraId="7C4C866B" w14:textId="77777777" w:rsidR="001614AC" w:rsidRDefault="004468F9">
            <w:pPr>
              <w:spacing w:before="55" w:after="30" w:line="288" w:lineRule="auto"/>
              <w:ind w:left="240"/>
            </w:pPr>
            <w:r>
              <w:rPr>
                <w:rFonts w:ascii="Arial" w:eastAsia="Arial" w:hAnsi="Arial" w:cs="Arial"/>
                <w:color w:val="000000"/>
                <w:sz w:val="18"/>
              </w:rPr>
              <w:t>CMBS</w:t>
            </w:r>
          </w:p>
        </w:tc>
        <w:tc>
          <w:tcPr>
            <w:tcW w:w="105" w:type="dxa"/>
            <w:tcBorders>
              <w:top w:val="nil"/>
              <w:left w:val="nil"/>
              <w:bottom w:val="nil"/>
              <w:right w:val="nil"/>
            </w:tcBorders>
            <w:tcMar>
              <w:top w:w="0" w:type="dxa"/>
              <w:left w:w="0" w:type="dxa"/>
              <w:bottom w:w="0" w:type="dxa"/>
              <w:right w:w="0" w:type="dxa"/>
            </w:tcMar>
            <w:vAlign w:val="bottom"/>
          </w:tcPr>
          <w:p w14:paraId="1ECDA71E" w14:textId="77777777" w:rsidR="001614AC" w:rsidRDefault="001614AC"/>
        </w:tc>
        <w:tc>
          <w:tcPr>
            <w:tcW w:w="995"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5290E145" w14:textId="77777777" w:rsidR="001614AC" w:rsidRDefault="004468F9">
            <w:pPr>
              <w:spacing w:before="55" w:after="30" w:line="288" w:lineRule="auto"/>
              <w:jc w:val="right"/>
            </w:pPr>
            <w:r>
              <w:rPr>
                <w:rFonts w:ascii="Arial" w:eastAsia="Arial" w:hAnsi="Arial" w:cs="Arial"/>
                <w:color w:val="000000"/>
                <w:sz w:val="18"/>
              </w:rPr>
              <w:t>—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1B1EF6D3" w14:textId="77777777" w:rsidR="001614AC" w:rsidRDefault="001614AC">
            <w:pPr>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0DEFBF91" w14:textId="77777777" w:rsidR="001614AC" w:rsidRDefault="001614AC"/>
        </w:tc>
        <w:tc>
          <w:tcPr>
            <w:tcW w:w="995"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4194D905" w14:textId="77777777" w:rsidR="001614AC" w:rsidRDefault="004468F9">
            <w:pPr>
              <w:spacing w:before="55" w:after="30" w:line="288" w:lineRule="auto"/>
              <w:jc w:val="right"/>
            </w:pPr>
            <w:r>
              <w:rPr>
                <w:rFonts w:ascii="Arial" w:eastAsia="Arial" w:hAnsi="Arial" w:cs="Arial"/>
                <w:color w:val="000000"/>
                <w:sz w:val="18"/>
              </w:rPr>
              <w:t>714,671 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06566944" w14:textId="77777777" w:rsidR="001614AC" w:rsidRDefault="001614AC">
            <w:pPr>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3C10FE04" w14:textId="77777777" w:rsidR="001614AC" w:rsidRDefault="001614AC"/>
        </w:tc>
        <w:tc>
          <w:tcPr>
            <w:tcW w:w="995"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72EDAEA6" w14:textId="77777777" w:rsidR="001614AC" w:rsidRDefault="004468F9">
            <w:pPr>
              <w:spacing w:before="55" w:after="30" w:line="288" w:lineRule="auto"/>
              <w:jc w:val="right"/>
            </w:pPr>
            <w:r>
              <w:rPr>
                <w:rFonts w:ascii="Arial" w:eastAsia="Arial" w:hAnsi="Arial" w:cs="Arial"/>
                <w:color w:val="000000"/>
                <w:sz w:val="18"/>
              </w:rPr>
              <w:t>—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23521649" w14:textId="77777777" w:rsidR="001614AC" w:rsidRDefault="001614AC">
            <w:pPr>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1F2DAB4A" w14:textId="77777777" w:rsidR="001614AC" w:rsidRDefault="001614AC"/>
        </w:tc>
        <w:tc>
          <w:tcPr>
            <w:tcW w:w="995"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3610F546" w14:textId="77777777" w:rsidR="001614AC" w:rsidRDefault="004468F9">
            <w:pPr>
              <w:spacing w:before="55" w:after="30" w:line="288" w:lineRule="auto"/>
              <w:jc w:val="right"/>
            </w:pPr>
            <w:r>
              <w:rPr>
                <w:rFonts w:ascii="Arial" w:eastAsia="Arial" w:hAnsi="Arial" w:cs="Arial"/>
                <w:color w:val="000000"/>
                <w:sz w:val="18"/>
              </w:rPr>
              <w:t>714,671 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439E4B88" w14:textId="77777777" w:rsidR="001614AC" w:rsidRDefault="001614AC">
            <w:pPr>
              <w:spacing w:before="55" w:after="30" w:line="288" w:lineRule="auto"/>
              <w:jc w:val="right"/>
            </w:pPr>
          </w:p>
        </w:tc>
      </w:tr>
      <w:tr w:rsidR="001614AC" w14:paraId="16DE78FC" w14:textId="77777777">
        <w:trPr>
          <w:cantSplit/>
        </w:trPr>
        <w:tc>
          <w:tcPr>
            <w:tcW w:w="5280" w:type="dxa"/>
            <w:tcBorders>
              <w:top w:val="single" w:sz="8" w:space="0" w:color="F4F4F4"/>
              <w:left w:val="nil"/>
              <w:bottom w:val="single" w:sz="8" w:space="0" w:color="F4F4F4"/>
              <w:right w:val="nil"/>
            </w:tcBorders>
            <w:tcMar>
              <w:top w:w="0" w:type="dxa"/>
              <w:left w:w="53" w:type="dxa"/>
              <w:bottom w:w="0" w:type="dxa"/>
              <w:right w:w="53" w:type="dxa"/>
            </w:tcMar>
            <w:vAlign w:val="bottom"/>
          </w:tcPr>
          <w:p w14:paraId="4E0B7AA3" w14:textId="77777777" w:rsidR="001614AC" w:rsidRDefault="004468F9">
            <w:pPr>
              <w:spacing w:before="55" w:after="30" w:line="288" w:lineRule="auto"/>
              <w:ind w:left="240"/>
            </w:pPr>
            <w:r>
              <w:rPr>
                <w:rFonts w:ascii="Arial" w:eastAsia="Arial" w:hAnsi="Arial" w:cs="Arial"/>
                <w:color w:val="000000"/>
                <w:sz w:val="18"/>
              </w:rPr>
              <w:t>CLO</w:t>
            </w:r>
          </w:p>
        </w:tc>
        <w:tc>
          <w:tcPr>
            <w:tcW w:w="105" w:type="dxa"/>
            <w:tcBorders>
              <w:top w:val="nil"/>
              <w:left w:val="nil"/>
              <w:bottom w:val="nil"/>
              <w:right w:val="nil"/>
            </w:tcBorders>
            <w:tcMar>
              <w:top w:w="0" w:type="dxa"/>
              <w:left w:w="0" w:type="dxa"/>
              <w:bottom w:w="0" w:type="dxa"/>
              <w:right w:w="0" w:type="dxa"/>
            </w:tcMar>
            <w:vAlign w:val="bottom"/>
          </w:tcPr>
          <w:p w14:paraId="296C9A7B" w14:textId="77777777" w:rsidR="001614AC" w:rsidRDefault="001614AC"/>
        </w:tc>
        <w:tc>
          <w:tcPr>
            <w:tcW w:w="995"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466F1D4D" w14:textId="77777777" w:rsidR="001614AC" w:rsidRDefault="004468F9">
            <w:pPr>
              <w:spacing w:before="55" w:after="30" w:line="288" w:lineRule="auto"/>
              <w:jc w:val="right"/>
            </w:pPr>
            <w:r>
              <w:rPr>
                <w:rFonts w:ascii="Arial" w:eastAsia="Arial" w:hAnsi="Arial" w:cs="Arial"/>
                <w:color w:val="000000"/>
                <w:sz w:val="18"/>
              </w:rPr>
              <w:t>—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2FC3EACA" w14:textId="77777777" w:rsidR="001614AC" w:rsidRDefault="001614AC">
            <w:pPr>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0A131CBB" w14:textId="77777777" w:rsidR="001614AC" w:rsidRDefault="001614AC"/>
        </w:tc>
        <w:tc>
          <w:tcPr>
            <w:tcW w:w="995"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1A41E124" w14:textId="77777777" w:rsidR="001614AC" w:rsidRDefault="004468F9">
            <w:pPr>
              <w:spacing w:before="55" w:after="30" w:line="288" w:lineRule="auto"/>
              <w:jc w:val="right"/>
            </w:pPr>
            <w:r>
              <w:rPr>
                <w:rFonts w:ascii="Arial" w:eastAsia="Arial" w:hAnsi="Arial" w:cs="Arial"/>
                <w:color w:val="000000"/>
                <w:sz w:val="18"/>
              </w:rPr>
              <w:t>521,153 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6C66E630" w14:textId="77777777" w:rsidR="001614AC" w:rsidRDefault="001614AC">
            <w:pPr>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42999D8C" w14:textId="77777777" w:rsidR="001614AC" w:rsidRDefault="001614AC"/>
        </w:tc>
        <w:tc>
          <w:tcPr>
            <w:tcW w:w="995"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1A3DE319" w14:textId="77777777" w:rsidR="001614AC" w:rsidRDefault="004468F9">
            <w:pPr>
              <w:spacing w:before="55" w:after="30" w:line="288" w:lineRule="auto"/>
              <w:jc w:val="right"/>
            </w:pPr>
            <w:r>
              <w:rPr>
                <w:rFonts w:ascii="Arial" w:eastAsia="Arial" w:hAnsi="Arial" w:cs="Arial"/>
                <w:color w:val="000000"/>
                <w:sz w:val="18"/>
              </w:rPr>
              <w:t>—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533DE463" w14:textId="77777777" w:rsidR="001614AC" w:rsidRDefault="001614AC">
            <w:pPr>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086F8D8C" w14:textId="77777777" w:rsidR="001614AC" w:rsidRDefault="001614AC"/>
        </w:tc>
        <w:tc>
          <w:tcPr>
            <w:tcW w:w="995"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3A95F6B2" w14:textId="77777777" w:rsidR="001614AC" w:rsidRDefault="004468F9">
            <w:pPr>
              <w:spacing w:before="55" w:after="30" w:line="288" w:lineRule="auto"/>
              <w:jc w:val="right"/>
            </w:pPr>
            <w:r>
              <w:rPr>
                <w:rFonts w:ascii="Arial" w:eastAsia="Arial" w:hAnsi="Arial" w:cs="Arial"/>
                <w:color w:val="000000"/>
                <w:sz w:val="18"/>
              </w:rPr>
              <w:t>521,153 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2625E567" w14:textId="77777777" w:rsidR="001614AC" w:rsidRDefault="001614AC">
            <w:pPr>
              <w:spacing w:before="55" w:after="30" w:line="288" w:lineRule="auto"/>
              <w:jc w:val="right"/>
            </w:pPr>
          </w:p>
        </w:tc>
      </w:tr>
      <w:tr w:rsidR="001614AC" w14:paraId="2A54C1AF" w14:textId="77777777">
        <w:trPr>
          <w:cantSplit/>
        </w:trPr>
        <w:tc>
          <w:tcPr>
            <w:tcW w:w="5280" w:type="dxa"/>
            <w:tcBorders>
              <w:top w:val="single" w:sz="8" w:space="0" w:color="F4F4F4"/>
              <w:left w:val="nil"/>
              <w:bottom w:val="single" w:sz="8" w:space="0" w:color="F4F4F4"/>
              <w:right w:val="nil"/>
            </w:tcBorders>
            <w:tcMar>
              <w:top w:w="0" w:type="dxa"/>
              <w:left w:w="53" w:type="dxa"/>
              <w:bottom w:w="0" w:type="dxa"/>
              <w:right w:w="53" w:type="dxa"/>
            </w:tcMar>
            <w:vAlign w:val="bottom"/>
          </w:tcPr>
          <w:p w14:paraId="6FD429D8" w14:textId="77777777" w:rsidR="001614AC" w:rsidRDefault="004468F9">
            <w:pPr>
              <w:spacing w:before="55" w:after="30" w:line="288" w:lineRule="auto"/>
              <w:ind w:left="240"/>
            </w:pPr>
            <w:r>
              <w:rPr>
                <w:rFonts w:ascii="Arial" w:eastAsia="Arial" w:hAnsi="Arial" w:cs="Arial"/>
                <w:color w:val="000000"/>
                <w:sz w:val="18"/>
              </w:rPr>
              <w:t>Other ABS</w:t>
            </w:r>
          </w:p>
        </w:tc>
        <w:tc>
          <w:tcPr>
            <w:tcW w:w="105" w:type="dxa"/>
            <w:tcBorders>
              <w:top w:val="nil"/>
              <w:left w:val="nil"/>
              <w:bottom w:val="nil"/>
              <w:right w:val="nil"/>
            </w:tcBorders>
            <w:tcMar>
              <w:top w:w="0" w:type="dxa"/>
              <w:left w:w="0" w:type="dxa"/>
              <w:bottom w:w="0" w:type="dxa"/>
              <w:right w:w="0" w:type="dxa"/>
            </w:tcMar>
            <w:vAlign w:val="bottom"/>
          </w:tcPr>
          <w:p w14:paraId="39563C8E" w14:textId="77777777" w:rsidR="001614AC" w:rsidRDefault="001614AC"/>
        </w:tc>
        <w:tc>
          <w:tcPr>
            <w:tcW w:w="995"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3C5DDB71" w14:textId="77777777" w:rsidR="001614AC" w:rsidRDefault="004468F9">
            <w:pPr>
              <w:spacing w:before="55" w:after="30" w:line="288" w:lineRule="auto"/>
              <w:jc w:val="right"/>
            </w:pPr>
            <w:r>
              <w:rPr>
                <w:rFonts w:ascii="Arial" w:eastAsia="Arial" w:hAnsi="Arial" w:cs="Arial"/>
                <w:color w:val="000000"/>
                <w:sz w:val="18"/>
              </w:rPr>
              <w:t>—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77B85F4E" w14:textId="77777777" w:rsidR="001614AC" w:rsidRDefault="001614AC">
            <w:pPr>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772D2AB2" w14:textId="77777777" w:rsidR="001614AC" w:rsidRDefault="001614AC"/>
        </w:tc>
        <w:tc>
          <w:tcPr>
            <w:tcW w:w="995"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1ACBD625" w14:textId="77777777" w:rsidR="001614AC" w:rsidRDefault="004468F9">
            <w:pPr>
              <w:spacing w:before="55" w:after="30" w:line="288" w:lineRule="auto"/>
              <w:jc w:val="right"/>
            </w:pPr>
            <w:r>
              <w:rPr>
                <w:rFonts w:ascii="Arial" w:eastAsia="Arial" w:hAnsi="Arial" w:cs="Arial"/>
                <w:color w:val="000000"/>
                <w:sz w:val="18"/>
              </w:rPr>
              <w:t>226,968 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18E2F713" w14:textId="77777777" w:rsidR="001614AC" w:rsidRDefault="001614AC">
            <w:pPr>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562D5F21" w14:textId="77777777" w:rsidR="001614AC" w:rsidRDefault="001614AC"/>
        </w:tc>
        <w:tc>
          <w:tcPr>
            <w:tcW w:w="995"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25A75CEA" w14:textId="77777777" w:rsidR="001614AC" w:rsidRDefault="004468F9">
            <w:pPr>
              <w:spacing w:before="55" w:after="30" w:line="288" w:lineRule="auto"/>
              <w:jc w:val="right"/>
            </w:pPr>
            <w:r>
              <w:rPr>
                <w:rFonts w:ascii="Arial" w:eastAsia="Arial" w:hAnsi="Arial" w:cs="Arial"/>
                <w:color w:val="000000"/>
                <w:sz w:val="18"/>
              </w:rPr>
              <w:t>—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20A45460" w14:textId="77777777" w:rsidR="001614AC" w:rsidRDefault="001614AC">
            <w:pPr>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5B45B8C5" w14:textId="77777777" w:rsidR="001614AC" w:rsidRDefault="001614AC"/>
        </w:tc>
        <w:tc>
          <w:tcPr>
            <w:tcW w:w="995"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1CCE4BDD" w14:textId="77777777" w:rsidR="001614AC" w:rsidRDefault="004468F9">
            <w:pPr>
              <w:spacing w:before="55" w:after="30" w:line="288" w:lineRule="auto"/>
              <w:jc w:val="right"/>
            </w:pPr>
            <w:r>
              <w:rPr>
                <w:rFonts w:ascii="Arial" w:eastAsia="Arial" w:hAnsi="Arial" w:cs="Arial"/>
                <w:color w:val="000000"/>
                <w:sz w:val="18"/>
              </w:rPr>
              <w:t>226,968 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31411F26" w14:textId="77777777" w:rsidR="001614AC" w:rsidRDefault="001614AC">
            <w:pPr>
              <w:spacing w:before="55" w:after="30" w:line="288" w:lineRule="auto"/>
              <w:jc w:val="right"/>
            </w:pPr>
          </w:p>
        </w:tc>
      </w:tr>
      <w:tr w:rsidR="001614AC" w14:paraId="115C61E6" w14:textId="77777777">
        <w:trPr>
          <w:cantSplit/>
        </w:trPr>
        <w:tc>
          <w:tcPr>
            <w:tcW w:w="5280" w:type="dxa"/>
            <w:tcBorders>
              <w:top w:val="single" w:sz="8" w:space="0" w:color="F4F4F4"/>
              <w:left w:val="nil"/>
              <w:bottom w:val="single" w:sz="8" w:space="0" w:color="F4F4F4"/>
              <w:right w:val="nil"/>
            </w:tcBorders>
            <w:tcMar>
              <w:top w:w="0" w:type="dxa"/>
              <w:left w:w="53" w:type="dxa"/>
              <w:bottom w:w="0" w:type="dxa"/>
              <w:right w:w="53" w:type="dxa"/>
            </w:tcMar>
            <w:vAlign w:val="bottom"/>
          </w:tcPr>
          <w:p w14:paraId="109717FD" w14:textId="77777777" w:rsidR="001614AC" w:rsidRDefault="004468F9">
            <w:pPr>
              <w:spacing w:before="55" w:after="30" w:line="288" w:lineRule="auto"/>
              <w:ind w:left="240"/>
            </w:pPr>
            <w:r>
              <w:rPr>
                <w:rFonts w:ascii="Arial" w:eastAsia="Arial" w:hAnsi="Arial" w:cs="Arial"/>
                <w:color w:val="000000"/>
                <w:sz w:val="18"/>
              </w:rPr>
              <w:t>Foreign government and agency securities</w:t>
            </w:r>
          </w:p>
        </w:tc>
        <w:tc>
          <w:tcPr>
            <w:tcW w:w="105" w:type="dxa"/>
            <w:tcBorders>
              <w:top w:val="nil"/>
              <w:left w:val="nil"/>
              <w:bottom w:val="nil"/>
              <w:right w:val="nil"/>
            </w:tcBorders>
            <w:tcMar>
              <w:top w:w="0" w:type="dxa"/>
              <w:left w:w="0" w:type="dxa"/>
              <w:bottom w:w="0" w:type="dxa"/>
              <w:right w:w="0" w:type="dxa"/>
            </w:tcMar>
            <w:vAlign w:val="bottom"/>
          </w:tcPr>
          <w:p w14:paraId="0F800E58" w14:textId="77777777" w:rsidR="001614AC" w:rsidRDefault="001614AC"/>
        </w:tc>
        <w:tc>
          <w:tcPr>
            <w:tcW w:w="995"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3EB2F9BF" w14:textId="77777777" w:rsidR="001614AC" w:rsidRDefault="004468F9">
            <w:pPr>
              <w:spacing w:before="55" w:after="30" w:line="288" w:lineRule="auto"/>
              <w:jc w:val="right"/>
            </w:pPr>
            <w:r>
              <w:rPr>
                <w:rFonts w:ascii="Arial" w:eastAsia="Arial" w:hAnsi="Arial" w:cs="Arial"/>
                <w:color w:val="000000"/>
                <w:sz w:val="18"/>
              </w:rPr>
              <w:t>—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7323DB91" w14:textId="77777777" w:rsidR="001614AC" w:rsidRDefault="001614AC">
            <w:pPr>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41AB38F2" w14:textId="77777777" w:rsidR="001614AC" w:rsidRDefault="001614AC"/>
        </w:tc>
        <w:tc>
          <w:tcPr>
            <w:tcW w:w="995"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60B46BB6" w14:textId="77777777" w:rsidR="001614AC" w:rsidRDefault="004468F9">
            <w:pPr>
              <w:spacing w:before="55" w:after="30" w:line="288" w:lineRule="auto"/>
              <w:jc w:val="right"/>
            </w:pPr>
            <w:r>
              <w:rPr>
                <w:rFonts w:ascii="Arial" w:eastAsia="Arial" w:hAnsi="Arial" w:cs="Arial"/>
                <w:color w:val="000000"/>
                <w:sz w:val="18"/>
              </w:rPr>
              <w:t>5,399 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0495101E" w14:textId="77777777" w:rsidR="001614AC" w:rsidRDefault="001614AC">
            <w:pPr>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6598110F" w14:textId="77777777" w:rsidR="001614AC" w:rsidRDefault="001614AC"/>
        </w:tc>
        <w:tc>
          <w:tcPr>
            <w:tcW w:w="995"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15D35534" w14:textId="77777777" w:rsidR="001614AC" w:rsidRDefault="004468F9">
            <w:pPr>
              <w:spacing w:before="55" w:after="30" w:line="288" w:lineRule="auto"/>
              <w:jc w:val="right"/>
            </w:pPr>
            <w:r>
              <w:rPr>
                <w:rFonts w:ascii="Arial" w:eastAsia="Arial" w:hAnsi="Arial" w:cs="Arial"/>
                <w:color w:val="000000"/>
                <w:sz w:val="18"/>
              </w:rPr>
              <w:t>—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67785CD1" w14:textId="77777777" w:rsidR="001614AC" w:rsidRDefault="001614AC">
            <w:pPr>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0F8DAF38" w14:textId="77777777" w:rsidR="001614AC" w:rsidRDefault="001614AC"/>
        </w:tc>
        <w:tc>
          <w:tcPr>
            <w:tcW w:w="995"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4987C365" w14:textId="77777777" w:rsidR="001614AC" w:rsidRDefault="004468F9">
            <w:pPr>
              <w:spacing w:before="55" w:after="30" w:line="288" w:lineRule="auto"/>
              <w:jc w:val="right"/>
            </w:pPr>
            <w:r>
              <w:rPr>
                <w:rFonts w:ascii="Arial" w:eastAsia="Arial" w:hAnsi="Arial" w:cs="Arial"/>
                <w:color w:val="000000"/>
                <w:sz w:val="18"/>
              </w:rPr>
              <w:t>5,399 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785FE18A" w14:textId="77777777" w:rsidR="001614AC" w:rsidRDefault="001614AC">
            <w:pPr>
              <w:spacing w:before="55" w:after="30" w:line="288" w:lineRule="auto"/>
              <w:jc w:val="right"/>
            </w:pPr>
          </w:p>
        </w:tc>
      </w:tr>
      <w:tr w:rsidR="001614AC" w14:paraId="27ED44C2" w14:textId="77777777">
        <w:trPr>
          <w:cantSplit/>
        </w:trPr>
        <w:tc>
          <w:tcPr>
            <w:tcW w:w="5280" w:type="dxa"/>
            <w:tcBorders>
              <w:top w:val="single" w:sz="8" w:space="0" w:color="F4F4F4"/>
              <w:left w:val="nil"/>
              <w:bottom w:val="nil"/>
              <w:right w:val="nil"/>
            </w:tcBorders>
            <w:tcMar>
              <w:top w:w="0" w:type="dxa"/>
              <w:left w:w="53" w:type="dxa"/>
              <w:bottom w:w="0" w:type="dxa"/>
              <w:right w:w="53" w:type="dxa"/>
            </w:tcMar>
            <w:vAlign w:val="bottom"/>
          </w:tcPr>
          <w:p w14:paraId="20246449" w14:textId="77777777" w:rsidR="001614AC" w:rsidRDefault="004468F9">
            <w:pPr>
              <w:spacing w:before="55" w:after="30" w:line="288" w:lineRule="auto"/>
              <w:ind w:left="240"/>
              <w:rPr>
                <w:rFonts w:ascii="Arial" w:eastAsia="Arial" w:hAnsi="Arial" w:cs="Arial"/>
                <w:sz w:val="18"/>
              </w:rPr>
            </w:pPr>
            <w:r>
              <w:rPr>
                <w:rFonts w:ascii="Arial" w:eastAsia="Arial" w:hAnsi="Arial" w:cs="Arial"/>
                <w:sz w:val="18"/>
              </w:rPr>
              <w:t xml:space="preserve">Mortgage insurance-linked notes </w:t>
            </w:r>
            <w:r>
              <w:rPr>
                <w:rFonts w:ascii="Arial" w:eastAsia="Arial" w:hAnsi="Arial" w:cs="Arial"/>
                <w:sz w:val="18"/>
                <w:vertAlign w:val="superscript"/>
              </w:rPr>
              <w:t>(1)</w:t>
            </w:r>
          </w:p>
        </w:tc>
        <w:tc>
          <w:tcPr>
            <w:tcW w:w="105" w:type="dxa"/>
            <w:tcBorders>
              <w:top w:val="nil"/>
              <w:left w:val="nil"/>
              <w:bottom w:val="nil"/>
              <w:right w:val="nil"/>
            </w:tcBorders>
            <w:tcMar>
              <w:top w:w="0" w:type="dxa"/>
              <w:left w:w="0" w:type="dxa"/>
              <w:bottom w:w="0" w:type="dxa"/>
              <w:right w:w="0" w:type="dxa"/>
            </w:tcMar>
            <w:vAlign w:val="bottom"/>
          </w:tcPr>
          <w:p w14:paraId="2F28130C" w14:textId="77777777" w:rsidR="001614AC" w:rsidRDefault="001614AC"/>
        </w:tc>
        <w:tc>
          <w:tcPr>
            <w:tcW w:w="995" w:type="dxa"/>
            <w:gridSpan w:val="2"/>
            <w:tcBorders>
              <w:top w:val="single" w:sz="8" w:space="0" w:color="F4F4F4"/>
              <w:left w:val="nil"/>
              <w:bottom w:val="single" w:sz="8" w:space="0" w:color="C7C9C7"/>
              <w:right w:val="nil"/>
            </w:tcBorders>
            <w:tcMar>
              <w:top w:w="0" w:type="dxa"/>
              <w:left w:w="53" w:type="dxa"/>
              <w:bottom w:w="0" w:type="dxa"/>
              <w:right w:w="0" w:type="dxa"/>
            </w:tcMar>
            <w:vAlign w:val="bottom"/>
          </w:tcPr>
          <w:p w14:paraId="2F6F74A0" w14:textId="77777777" w:rsidR="001614AC" w:rsidRDefault="004468F9">
            <w:pPr>
              <w:spacing w:before="55" w:after="30" w:line="288" w:lineRule="auto"/>
              <w:jc w:val="right"/>
            </w:pPr>
            <w:r>
              <w:rPr>
                <w:rFonts w:ascii="Arial" w:eastAsia="Arial" w:hAnsi="Arial" w:cs="Arial"/>
                <w:color w:val="000000"/>
                <w:sz w:val="18"/>
              </w:rPr>
              <w:t>— </w:t>
            </w:r>
          </w:p>
        </w:tc>
        <w:tc>
          <w:tcPr>
            <w:tcW w:w="100" w:type="dxa"/>
            <w:tcBorders>
              <w:top w:val="single" w:sz="8" w:space="0" w:color="F4F4F4"/>
              <w:left w:val="nil"/>
              <w:bottom w:val="single" w:sz="8" w:space="0" w:color="C7C9C7"/>
              <w:right w:val="nil"/>
            </w:tcBorders>
            <w:tcMar>
              <w:top w:w="0" w:type="dxa"/>
              <w:left w:w="0" w:type="dxa"/>
              <w:bottom w:w="0" w:type="dxa"/>
              <w:right w:w="15" w:type="dxa"/>
            </w:tcMar>
            <w:vAlign w:val="bottom"/>
          </w:tcPr>
          <w:p w14:paraId="61D9D99E" w14:textId="77777777" w:rsidR="001614AC" w:rsidRDefault="001614AC">
            <w:pPr>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7D7E64C7" w14:textId="77777777" w:rsidR="001614AC" w:rsidRDefault="001614AC"/>
        </w:tc>
        <w:tc>
          <w:tcPr>
            <w:tcW w:w="995" w:type="dxa"/>
            <w:gridSpan w:val="2"/>
            <w:tcBorders>
              <w:top w:val="single" w:sz="8" w:space="0" w:color="F4F4F4"/>
              <w:left w:val="nil"/>
              <w:bottom w:val="single" w:sz="8" w:space="0" w:color="C7C9C7"/>
              <w:right w:val="nil"/>
            </w:tcBorders>
            <w:tcMar>
              <w:top w:w="0" w:type="dxa"/>
              <w:left w:w="53" w:type="dxa"/>
              <w:bottom w:w="0" w:type="dxa"/>
              <w:right w:w="0" w:type="dxa"/>
            </w:tcMar>
            <w:vAlign w:val="bottom"/>
          </w:tcPr>
          <w:p w14:paraId="74ED1316" w14:textId="77777777" w:rsidR="001614AC" w:rsidRDefault="004468F9">
            <w:pPr>
              <w:spacing w:before="55" w:after="30" w:line="288" w:lineRule="auto"/>
              <w:jc w:val="right"/>
            </w:pPr>
            <w:r>
              <w:rPr>
                <w:rFonts w:ascii="Arial" w:eastAsia="Arial" w:hAnsi="Arial" w:cs="Arial"/>
                <w:color w:val="000000"/>
                <w:sz w:val="18"/>
              </w:rPr>
              <w:t>48,033 </w:t>
            </w:r>
          </w:p>
        </w:tc>
        <w:tc>
          <w:tcPr>
            <w:tcW w:w="100" w:type="dxa"/>
            <w:tcBorders>
              <w:top w:val="single" w:sz="8" w:space="0" w:color="F4F4F4"/>
              <w:left w:val="nil"/>
              <w:bottom w:val="single" w:sz="8" w:space="0" w:color="C7C9C7"/>
              <w:right w:val="nil"/>
            </w:tcBorders>
            <w:tcMar>
              <w:top w:w="0" w:type="dxa"/>
              <w:left w:w="0" w:type="dxa"/>
              <w:bottom w:w="0" w:type="dxa"/>
              <w:right w:w="15" w:type="dxa"/>
            </w:tcMar>
            <w:vAlign w:val="bottom"/>
          </w:tcPr>
          <w:p w14:paraId="4602294E" w14:textId="77777777" w:rsidR="001614AC" w:rsidRDefault="001614AC">
            <w:pPr>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5BF767FB" w14:textId="77777777" w:rsidR="001614AC" w:rsidRDefault="001614AC"/>
        </w:tc>
        <w:tc>
          <w:tcPr>
            <w:tcW w:w="995" w:type="dxa"/>
            <w:gridSpan w:val="2"/>
            <w:tcBorders>
              <w:top w:val="single" w:sz="8" w:space="0" w:color="F4F4F4"/>
              <w:left w:val="nil"/>
              <w:bottom w:val="single" w:sz="8" w:space="0" w:color="C7C9C7"/>
              <w:right w:val="nil"/>
            </w:tcBorders>
            <w:tcMar>
              <w:top w:w="0" w:type="dxa"/>
              <w:left w:w="53" w:type="dxa"/>
              <w:bottom w:w="0" w:type="dxa"/>
              <w:right w:w="0" w:type="dxa"/>
            </w:tcMar>
            <w:vAlign w:val="bottom"/>
          </w:tcPr>
          <w:p w14:paraId="3D5CEF6F" w14:textId="77777777" w:rsidR="001614AC" w:rsidRDefault="004468F9">
            <w:pPr>
              <w:spacing w:before="55" w:after="30" w:line="288" w:lineRule="auto"/>
              <w:jc w:val="right"/>
            </w:pPr>
            <w:r>
              <w:rPr>
                <w:rFonts w:ascii="Arial" w:eastAsia="Arial" w:hAnsi="Arial" w:cs="Arial"/>
                <w:color w:val="000000"/>
                <w:sz w:val="18"/>
              </w:rPr>
              <w:t>— </w:t>
            </w:r>
          </w:p>
        </w:tc>
        <w:tc>
          <w:tcPr>
            <w:tcW w:w="100" w:type="dxa"/>
            <w:tcBorders>
              <w:top w:val="single" w:sz="8" w:space="0" w:color="F4F4F4"/>
              <w:left w:val="nil"/>
              <w:bottom w:val="single" w:sz="8" w:space="0" w:color="C7C9C7"/>
              <w:right w:val="nil"/>
            </w:tcBorders>
            <w:tcMar>
              <w:top w:w="0" w:type="dxa"/>
              <w:left w:w="0" w:type="dxa"/>
              <w:bottom w:w="0" w:type="dxa"/>
              <w:right w:w="15" w:type="dxa"/>
            </w:tcMar>
            <w:vAlign w:val="bottom"/>
          </w:tcPr>
          <w:p w14:paraId="315A5AB4" w14:textId="77777777" w:rsidR="001614AC" w:rsidRDefault="001614AC">
            <w:pPr>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72567C03" w14:textId="77777777" w:rsidR="001614AC" w:rsidRDefault="001614AC"/>
        </w:tc>
        <w:tc>
          <w:tcPr>
            <w:tcW w:w="995" w:type="dxa"/>
            <w:gridSpan w:val="2"/>
            <w:tcBorders>
              <w:top w:val="single" w:sz="8" w:space="0" w:color="F4F4F4"/>
              <w:left w:val="nil"/>
              <w:bottom w:val="single" w:sz="8" w:space="0" w:color="C7C9C7"/>
              <w:right w:val="nil"/>
            </w:tcBorders>
            <w:tcMar>
              <w:top w:w="0" w:type="dxa"/>
              <w:left w:w="53" w:type="dxa"/>
              <w:bottom w:w="0" w:type="dxa"/>
              <w:right w:w="0" w:type="dxa"/>
            </w:tcMar>
            <w:vAlign w:val="bottom"/>
          </w:tcPr>
          <w:p w14:paraId="7AE06A02" w14:textId="77777777" w:rsidR="001614AC" w:rsidRDefault="004468F9">
            <w:pPr>
              <w:spacing w:before="55" w:after="30" w:line="288" w:lineRule="auto"/>
              <w:jc w:val="right"/>
            </w:pPr>
            <w:r>
              <w:rPr>
                <w:rFonts w:ascii="Arial" w:eastAsia="Arial" w:hAnsi="Arial" w:cs="Arial"/>
                <w:color w:val="000000"/>
                <w:sz w:val="18"/>
              </w:rPr>
              <w:t>48,033 </w:t>
            </w:r>
          </w:p>
        </w:tc>
        <w:tc>
          <w:tcPr>
            <w:tcW w:w="100" w:type="dxa"/>
            <w:tcBorders>
              <w:top w:val="single" w:sz="8" w:space="0" w:color="F4F4F4"/>
              <w:left w:val="nil"/>
              <w:bottom w:val="single" w:sz="8" w:space="0" w:color="C7C9C7"/>
              <w:right w:val="nil"/>
            </w:tcBorders>
            <w:tcMar>
              <w:top w:w="0" w:type="dxa"/>
              <w:left w:w="0" w:type="dxa"/>
              <w:bottom w:w="0" w:type="dxa"/>
              <w:right w:w="15" w:type="dxa"/>
            </w:tcMar>
            <w:vAlign w:val="bottom"/>
          </w:tcPr>
          <w:p w14:paraId="0E4FD6BA" w14:textId="77777777" w:rsidR="001614AC" w:rsidRDefault="001614AC">
            <w:pPr>
              <w:spacing w:before="55" w:after="30" w:line="288" w:lineRule="auto"/>
              <w:jc w:val="right"/>
            </w:pPr>
          </w:p>
        </w:tc>
      </w:tr>
      <w:tr w:rsidR="001614AC" w14:paraId="472BD7B9" w14:textId="77777777">
        <w:trPr>
          <w:cantSplit/>
        </w:trPr>
        <w:tc>
          <w:tcPr>
            <w:tcW w:w="5280" w:type="dxa"/>
            <w:tcBorders>
              <w:top w:val="nil"/>
              <w:left w:val="nil"/>
              <w:bottom w:val="nil"/>
              <w:right w:val="nil"/>
            </w:tcBorders>
            <w:shd w:val="clear" w:color="auto" w:fill="F4F4F4"/>
            <w:tcMar>
              <w:top w:w="0" w:type="dxa"/>
              <w:left w:w="53" w:type="dxa"/>
              <w:bottom w:w="0" w:type="dxa"/>
              <w:right w:w="53" w:type="dxa"/>
            </w:tcMar>
            <w:vAlign w:val="bottom"/>
          </w:tcPr>
          <w:p w14:paraId="5473A03D" w14:textId="77777777" w:rsidR="001614AC" w:rsidRDefault="004468F9">
            <w:pPr>
              <w:spacing w:before="75" w:after="30" w:line="288" w:lineRule="auto"/>
              <w:ind w:left="240"/>
            </w:pPr>
            <w:r>
              <w:rPr>
                <w:rFonts w:ascii="Arial" w:eastAsia="Arial" w:hAnsi="Arial" w:cs="Arial"/>
                <w:color w:val="000000"/>
                <w:sz w:val="18"/>
              </w:rPr>
              <w:t>Total fixed-maturities available for sale</w:t>
            </w:r>
          </w:p>
        </w:tc>
        <w:tc>
          <w:tcPr>
            <w:tcW w:w="105" w:type="dxa"/>
            <w:tcBorders>
              <w:top w:val="nil"/>
              <w:left w:val="nil"/>
              <w:bottom w:val="nil"/>
              <w:right w:val="nil"/>
            </w:tcBorders>
            <w:shd w:val="clear" w:color="auto" w:fill="F4F4F4"/>
            <w:tcMar>
              <w:top w:w="0" w:type="dxa"/>
              <w:left w:w="0" w:type="dxa"/>
              <w:bottom w:w="0" w:type="dxa"/>
              <w:right w:w="0" w:type="dxa"/>
            </w:tcMar>
            <w:vAlign w:val="bottom"/>
          </w:tcPr>
          <w:p w14:paraId="72D73539" w14:textId="77777777" w:rsidR="001614AC" w:rsidRDefault="001614AC"/>
        </w:tc>
        <w:tc>
          <w:tcPr>
            <w:tcW w:w="995" w:type="dxa"/>
            <w:gridSpan w:val="2"/>
            <w:tcBorders>
              <w:top w:val="single" w:sz="8" w:space="0" w:color="C7C9C7"/>
              <w:left w:val="nil"/>
              <w:bottom w:val="single" w:sz="8" w:space="0" w:color="C7C9C7"/>
              <w:right w:val="nil"/>
            </w:tcBorders>
            <w:shd w:val="clear" w:color="auto" w:fill="F4F4F4"/>
            <w:tcMar>
              <w:top w:w="0" w:type="dxa"/>
              <w:left w:w="53" w:type="dxa"/>
              <w:bottom w:w="0" w:type="dxa"/>
              <w:right w:w="0" w:type="dxa"/>
            </w:tcMar>
            <w:vAlign w:val="bottom"/>
          </w:tcPr>
          <w:p w14:paraId="4521CF95" w14:textId="77777777" w:rsidR="001614AC" w:rsidRDefault="004468F9">
            <w:pPr>
              <w:spacing w:before="55" w:after="30" w:line="288" w:lineRule="auto"/>
              <w:jc w:val="right"/>
            </w:pPr>
            <w:r>
              <w:rPr>
                <w:rFonts w:ascii="Arial" w:eastAsia="Arial" w:hAnsi="Arial" w:cs="Arial"/>
                <w:color w:val="000000"/>
                <w:sz w:val="18"/>
              </w:rPr>
              <w:t>178,709 </w:t>
            </w:r>
          </w:p>
        </w:tc>
        <w:tc>
          <w:tcPr>
            <w:tcW w:w="100" w:type="dxa"/>
            <w:tcBorders>
              <w:top w:val="single" w:sz="8" w:space="0" w:color="C7C9C7"/>
              <w:left w:val="nil"/>
              <w:bottom w:val="single" w:sz="8" w:space="0" w:color="C7C9C7"/>
              <w:right w:val="nil"/>
            </w:tcBorders>
            <w:shd w:val="clear" w:color="auto" w:fill="F4F4F4"/>
            <w:tcMar>
              <w:top w:w="0" w:type="dxa"/>
              <w:left w:w="0" w:type="dxa"/>
              <w:bottom w:w="0" w:type="dxa"/>
              <w:right w:w="15" w:type="dxa"/>
            </w:tcMar>
            <w:vAlign w:val="bottom"/>
          </w:tcPr>
          <w:p w14:paraId="3D2554FB" w14:textId="77777777" w:rsidR="001614AC" w:rsidRDefault="001614AC">
            <w:pPr>
              <w:spacing w:before="55" w:after="30" w:line="288" w:lineRule="auto"/>
              <w:jc w:val="right"/>
            </w:pPr>
          </w:p>
        </w:tc>
        <w:tc>
          <w:tcPr>
            <w:tcW w:w="105" w:type="dxa"/>
            <w:tcBorders>
              <w:top w:val="nil"/>
              <w:left w:val="nil"/>
              <w:bottom w:val="nil"/>
              <w:right w:val="nil"/>
            </w:tcBorders>
            <w:shd w:val="clear" w:color="auto" w:fill="F4F4F4"/>
            <w:tcMar>
              <w:top w:w="0" w:type="dxa"/>
              <w:left w:w="0" w:type="dxa"/>
              <w:bottom w:w="0" w:type="dxa"/>
              <w:right w:w="0" w:type="dxa"/>
            </w:tcMar>
            <w:vAlign w:val="bottom"/>
          </w:tcPr>
          <w:p w14:paraId="5C39F075" w14:textId="77777777" w:rsidR="001614AC" w:rsidRDefault="001614AC"/>
        </w:tc>
        <w:tc>
          <w:tcPr>
            <w:tcW w:w="995" w:type="dxa"/>
            <w:gridSpan w:val="2"/>
            <w:tcBorders>
              <w:top w:val="single" w:sz="8" w:space="0" w:color="C7C9C7"/>
              <w:left w:val="nil"/>
              <w:bottom w:val="single" w:sz="8" w:space="0" w:color="C7C9C7"/>
              <w:right w:val="nil"/>
            </w:tcBorders>
            <w:shd w:val="clear" w:color="auto" w:fill="F4F4F4"/>
            <w:tcMar>
              <w:top w:w="0" w:type="dxa"/>
              <w:left w:w="53" w:type="dxa"/>
              <w:bottom w:w="0" w:type="dxa"/>
              <w:right w:w="0" w:type="dxa"/>
            </w:tcMar>
            <w:vAlign w:val="bottom"/>
          </w:tcPr>
          <w:p w14:paraId="35CA9916" w14:textId="77777777" w:rsidR="001614AC" w:rsidRDefault="004468F9">
            <w:pPr>
              <w:spacing w:before="55" w:after="30" w:line="288" w:lineRule="auto"/>
              <w:jc w:val="right"/>
            </w:pPr>
            <w:r>
              <w:rPr>
                <w:rFonts w:ascii="Arial" w:eastAsia="Arial" w:hAnsi="Arial" w:cs="Arial"/>
                <w:color w:val="000000"/>
                <w:sz w:val="18"/>
              </w:rPr>
              <w:t>5,394,104 </w:t>
            </w:r>
          </w:p>
        </w:tc>
        <w:tc>
          <w:tcPr>
            <w:tcW w:w="100" w:type="dxa"/>
            <w:tcBorders>
              <w:top w:val="single" w:sz="8" w:space="0" w:color="C7C9C7"/>
              <w:left w:val="nil"/>
              <w:bottom w:val="single" w:sz="8" w:space="0" w:color="C7C9C7"/>
              <w:right w:val="nil"/>
            </w:tcBorders>
            <w:shd w:val="clear" w:color="auto" w:fill="F4F4F4"/>
            <w:tcMar>
              <w:top w:w="0" w:type="dxa"/>
              <w:left w:w="0" w:type="dxa"/>
              <w:bottom w:w="0" w:type="dxa"/>
              <w:right w:w="15" w:type="dxa"/>
            </w:tcMar>
            <w:vAlign w:val="bottom"/>
          </w:tcPr>
          <w:p w14:paraId="385FC001" w14:textId="77777777" w:rsidR="001614AC" w:rsidRDefault="001614AC">
            <w:pPr>
              <w:spacing w:before="55" w:after="30" w:line="288" w:lineRule="auto"/>
              <w:jc w:val="right"/>
            </w:pPr>
          </w:p>
        </w:tc>
        <w:tc>
          <w:tcPr>
            <w:tcW w:w="105" w:type="dxa"/>
            <w:tcBorders>
              <w:top w:val="nil"/>
              <w:left w:val="nil"/>
              <w:bottom w:val="nil"/>
              <w:right w:val="nil"/>
            </w:tcBorders>
            <w:shd w:val="clear" w:color="auto" w:fill="F4F4F4"/>
            <w:tcMar>
              <w:top w:w="0" w:type="dxa"/>
              <w:left w:w="0" w:type="dxa"/>
              <w:bottom w:w="0" w:type="dxa"/>
              <w:right w:w="0" w:type="dxa"/>
            </w:tcMar>
            <w:vAlign w:val="bottom"/>
          </w:tcPr>
          <w:p w14:paraId="4C55A620" w14:textId="77777777" w:rsidR="001614AC" w:rsidRDefault="001614AC"/>
        </w:tc>
        <w:tc>
          <w:tcPr>
            <w:tcW w:w="995" w:type="dxa"/>
            <w:gridSpan w:val="2"/>
            <w:tcBorders>
              <w:top w:val="single" w:sz="8" w:space="0" w:color="C7C9C7"/>
              <w:left w:val="nil"/>
              <w:bottom w:val="single" w:sz="8" w:space="0" w:color="C7C9C7"/>
              <w:right w:val="nil"/>
            </w:tcBorders>
            <w:shd w:val="clear" w:color="auto" w:fill="F4F4F4"/>
            <w:tcMar>
              <w:top w:w="0" w:type="dxa"/>
              <w:left w:w="53" w:type="dxa"/>
              <w:bottom w:w="0" w:type="dxa"/>
              <w:right w:w="0" w:type="dxa"/>
            </w:tcMar>
            <w:vAlign w:val="bottom"/>
          </w:tcPr>
          <w:p w14:paraId="0CD30992" w14:textId="77777777" w:rsidR="001614AC" w:rsidRDefault="004468F9">
            <w:pPr>
              <w:spacing w:before="55" w:after="30" w:line="288" w:lineRule="auto"/>
              <w:jc w:val="right"/>
            </w:pPr>
            <w:r>
              <w:rPr>
                <w:rFonts w:ascii="Arial" w:eastAsia="Arial" w:hAnsi="Arial" w:cs="Arial"/>
                <w:color w:val="000000"/>
                <w:sz w:val="18"/>
              </w:rPr>
              <w:t>— </w:t>
            </w:r>
          </w:p>
        </w:tc>
        <w:tc>
          <w:tcPr>
            <w:tcW w:w="100" w:type="dxa"/>
            <w:tcBorders>
              <w:top w:val="single" w:sz="8" w:space="0" w:color="C7C9C7"/>
              <w:left w:val="nil"/>
              <w:bottom w:val="single" w:sz="8" w:space="0" w:color="C7C9C7"/>
              <w:right w:val="nil"/>
            </w:tcBorders>
            <w:shd w:val="clear" w:color="auto" w:fill="F4F4F4"/>
            <w:tcMar>
              <w:top w:w="0" w:type="dxa"/>
              <w:left w:w="0" w:type="dxa"/>
              <w:bottom w:w="0" w:type="dxa"/>
              <w:right w:w="15" w:type="dxa"/>
            </w:tcMar>
            <w:vAlign w:val="bottom"/>
          </w:tcPr>
          <w:p w14:paraId="1722E7C1" w14:textId="77777777" w:rsidR="001614AC" w:rsidRDefault="001614AC">
            <w:pPr>
              <w:spacing w:before="55" w:after="30" w:line="288" w:lineRule="auto"/>
              <w:jc w:val="right"/>
            </w:pPr>
          </w:p>
        </w:tc>
        <w:tc>
          <w:tcPr>
            <w:tcW w:w="105" w:type="dxa"/>
            <w:tcBorders>
              <w:top w:val="nil"/>
              <w:left w:val="nil"/>
              <w:bottom w:val="nil"/>
              <w:right w:val="nil"/>
            </w:tcBorders>
            <w:shd w:val="clear" w:color="auto" w:fill="F4F4F4"/>
            <w:tcMar>
              <w:top w:w="0" w:type="dxa"/>
              <w:left w:w="0" w:type="dxa"/>
              <w:bottom w:w="0" w:type="dxa"/>
              <w:right w:w="0" w:type="dxa"/>
            </w:tcMar>
            <w:vAlign w:val="bottom"/>
          </w:tcPr>
          <w:p w14:paraId="3121960E" w14:textId="77777777" w:rsidR="001614AC" w:rsidRDefault="001614AC"/>
        </w:tc>
        <w:tc>
          <w:tcPr>
            <w:tcW w:w="995" w:type="dxa"/>
            <w:gridSpan w:val="2"/>
            <w:tcBorders>
              <w:top w:val="single" w:sz="8" w:space="0" w:color="C7C9C7"/>
              <w:left w:val="nil"/>
              <w:bottom w:val="single" w:sz="8" w:space="0" w:color="C7C9C7"/>
              <w:right w:val="nil"/>
            </w:tcBorders>
            <w:shd w:val="clear" w:color="auto" w:fill="F4F4F4"/>
            <w:tcMar>
              <w:top w:w="0" w:type="dxa"/>
              <w:left w:w="53" w:type="dxa"/>
              <w:bottom w:w="0" w:type="dxa"/>
              <w:right w:w="0" w:type="dxa"/>
            </w:tcMar>
            <w:vAlign w:val="bottom"/>
          </w:tcPr>
          <w:p w14:paraId="708660BD" w14:textId="77777777" w:rsidR="001614AC" w:rsidRDefault="004468F9">
            <w:pPr>
              <w:spacing w:before="55" w:after="30" w:line="288" w:lineRule="auto"/>
              <w:jc w:val="right"/>
            </w:pPr>
            <w:r>
              <w:rPr>
                <w:rFonts w:ascii="Arial" w:eastAsia="Arial" w:hAnsi="Arial" w:cs="Arial"/>
                <w:color w:val="000000"/>
                <w:sz w:val="18"/>
              </w:rPr>
              <w:t>5,572,813 </w:t>
            </w:r>
          </w:p>
        </w:tc>
        <w:tc>
          <w:tcPr>
            <w:tcW w:w="100" w:type="dxa"/>
            <w:tcBorders>
              <w:top w:val="single" w:sz="8" w:space="0" w:color="C7C9C7"/>
              <w:left w:val="nil"/>
              <w:bottom w:val="single" w:sz="8" w:space="0" w:color="C7C9C7"/>
              <w:right w:val="nil"/>
            </w:tcBorders>
            <w:shd w:val="clear" w:color="auto" w:fill="F4F4F4"/>
            <w:tcMar>
              <w:top w:w="0" w:type="dxa"/>
              <w:left w:w="0" w:type="dxa"/>
              <w:bottom w:w="0" w:type="dxa"/>
              <w:right w:w="15" w:type="dxa"/>
            </w:tcMar>
            <w:vAlign w:val="bottom"/>
          </w:tcPr>
          <w:p w14:paraId="6E3A21B4" w14:textId="77777777" w:rsidR="001614AC" w:rsidRDefault="001614AC">
            <w:pPr>
              <w:spacing w:before="55" w:after="30" w:line="288" w:lineRule="auto"/>
              <w:jc w:val="right"/>
            </w:pPr>
          </w:p>
        </w:tc>
      </w:tr>
      <w:tr w:rsidR="001614AC" w14:paraId="7E559EF8" w14:textId="77777777">
        <w:trPr>
          <w:cantSplit/>
        </w:trPr>
        <w:tc>
          <w:tcPr>
            <w:tcW w:w="5280" w:type="dxa"/>
            <w:tcBorders>
              <w:top w:val="nil"/>
              <w:left w:val="nil"/>
              <w:bottom w:val="nil"/>
              <w:right w:val="nil"/>
            </w:tcBorders>
            <w:tcMar>
              <w:top w:w="0" w:type="dxa"/>
              <w:left w:w="53" w:type="dxa"/>
              <w:bottom w:w="0" w:type="dxa"/>
              <w:right w:w="53" w:type="dxa"/>
            </w:tcMar>
            <w:vAlign w:val="bottom"/>
          </w:tcPr>
          <w:p w14:paraId="77FFAC3F" w14:textId="77777777" w:rsidR="001614AC" w:rsidRDefault="004468F9">
            <w:pPr>
              <w:spacing w:before="75" w:after="30" w:line="288" w:lineRule="auto"/>
            </w:pPr>
            <w:r>
              <w:rPr>
                <w:rFonts w:ascii="Arial" w:eastAsia="Arial" w:hAnsi="Arial" w:cs="Arial"/>
                <w:color w:val="000000"/>
                <w:sz w:val="18"/>
              </w:rPr>
              <w:t>Trading securities</w:t>
            </w:r>
          </w:p>
        </w:tc>
        <w:tc>
          <w:tcPr>
            <w:tcW w:w="105" w:type="dxa"/>
            <w:tcBorders>
              <w:top w:val="nil"/>
              <w:left w:val="nil"/>
              <w:bottom w:val="nil"/>
              <w:right w:val="nil"/>
            </w:tcBorders>
            <w:tcMar>
              <w:top w:w="0" w:type="dxa"/>
              <w:left w:w="0" w:type="dxa"/>
              <w:bottom w:w="0" w:type="dxa"/>
              <w:right w:w="0" w:type="dxa"/>
            </w:tcMar>
            <w:vAlign w:val="bottom"/>
          </w:tcPr>
          <w:p w14:paraId="267FD723" w14:textId="77777777" w:rsidR="001614AC" w:rsidRDefault="001614AC"/>
        </w:tc>
        <w:tc>
          <w:tcPr>
            <w:tcW w:w="1095" w:type="dxa"/>
            <w:gridSpan w:val="3"/>
            <w:tcBorders>
              <w:top w:val="single" w:sz="8" w:space="0" w:color="C7C9C7"/>
              <w:left w:val="nil"/>
              <w:bottom w:val="nil"/>
              <w:right w:val="nil"/>
            </w:tcBorders>
            <w:tcMar>
              <w:top w:w="0" w:type="dxa"/>
              <w:left w:w="0" w:type="dxa"/>
              <w:bottom w:w="0" w:type="dxa"/>
              <w:right w:w="0" w:type="dxa"/>
            </w:tcMar>
            <w:vAlign w:val="bottom"/>
          </w:tcPr>
          <w:p w14:paraId="116D2313" w14:textId="77777777" w:rsidR="001614AC" w:rsidRDefault="001614AC"/>
        </w:tc>
        <w:tc>
          <w:tcPr>
            <w:tcW w:w="105" w:type="dxa"/>
            <w:tcBorders>
              <w:top w:val="nil"/>
              <w:left w:val="nil"/>
              <w:bottom w:val="nil"/>
              <w:right w:val="nil"/>
            </w:tcBorders>
            <w:tcMar>
              <w:top w:w="0" w:type="dxa"/>
              <w:left w:w="0" w:type="dxa"/>
              <w:bottom w:w="0" w:type="dxa"/>
              <w:right w:w="0" w:type="dxa"/>
            </w:tcMar>
            <w:vAlign w:val="bottom"/>
          </w:tcPr>
          <w:p w14:paraId="22E73CB6" w14:textId="77777777" w:rsidR="001614AC" w:rsidRDefault="001614AC"/>
        </w:tc>
        <w:tc>
          <w:tcPr>
            <w:tcW w:w="1095" w:type="dxa"/>
            <w:gridSpan w:val="3"/>
            <w:tcBorders>
              <w:top w:val="single" w:sz="8" w:space="0" w:color="C7C9C7"/>
              <w:left w:val="nil"/>
              <w:bottom w:val="nil"/>
              <w:right w:val="nil"/>
            </w:tcBorders>
            <w:tcMar>
              <w:top w:w="0" w:type="dxa"/>
              <w:left w:w="0" w:type="dxa"/>
              <w:bottom w:w="0" w:type="dxa"/>
              <w:right w:w="0" w:type="dxa"/>
            </w:tcMar>
            <w:vAlign w:val="bottom"/>
          </w:tcPr>
          <w:p w14:paraId="1C10DD6C" w14:textId="77777777" w:rsidR="001614AC" w:rsidRDefault="001614AC"/>
        </w:tc>
        <w:tc>
          <w:tcPr>
            <w:tcW w:w="105" w:type="dxa"/>
            <w:tcBorders>
              <w:top w:val="nil"/>
              <w:left w:val="nil"/>
              <w:bottom w:val="nil"/>
              <w:right w:val="nil"/>
            </w:tcBorders>
            <w:tcMar>
              <w:top w:w="0" w:type="dxa"/>
              <w:left w:w="0" w:type="dxa"/>
              <w:bottom w:w="0" w:type="dxa"/>
              <w:right w:w="0" w:type="dxa"/>
            </w:tcMar>
            <w:vAlign w:val="bottom"/>
          </w:tcPr>
          <w:p w14:paraId="4E0B40C4" w14:textId="77777777" w:rsidR="001614AC" w:rsidRDefault="001614AC"/>
        </w:tc>
        <w:tc>
          <w:tcPr>
            <w:tcW w:w="1095" w:type="dxa"/>
            <w:gridSpan w:val="3"/>
            <w:tcBorders>
              <w:top w:val="single" w:sz="8" w:space="0" w:color="C7C9C7"/>
              <w:left w:val="nil"/>
              <w:bottom w:val="nil"/>
              <w:right w:val="nil"/>
            </w:tcBorders>
            <w:tcMar>
              <w:top w:w="0" w:type="dxa"/>
              <w:left w:w="0" w:type="dxa"/>
              <w:bottom w:w="0" w:type="dxa"/>
              <w:right w:w="0" w:type="dxa"/>
            </w:tcMar>
            <w:vAlign w:val="bottom"/>
          </w:tcPr>
          <w:p w14:paraId="20C07273" w14:textId="77777777" w:rsidR="001614AC" w:rsidRDefault="001614AC"/>
        </w:tc>
        <w:tc>
          <w:tcPr>
            <w:tcW w:w="105" w:type="dxa"/>
            <w:tcBorders>
              <w:top w:val="nil"/>
              <w:left w:val="nil"/>
              <w:bottom w:val="nil"/>
              <w:right w:val="nil"/>
            </w:tcBorders>
            <w:tcMar>
              <w:top w:w="0" w:type="dxa"/>
              <w:left w:w="0" w:type="dxa"/>
              <w:bottom w:w="0" w:type="dxa"/>
              <w:right w:w="0" w:type="dxa"/>
            </w:tcMar>
            <w:vAlign w:val="bottom"/>
          </w:tcPr>
          <w:p w14:paraId="11F3780D" w14:textId="77777777" w:rsidR="001614AC" w:rsidRDefault="001614AC"/>
        </w:tc>
        <w:tc>
          <w:tcPr>
            <w:tcW w:w="1095" w:type="dxa"/>
            <w:gridSpan w:val="3"/>
            <w:tcBorders>
              <w:top w:val="single" w:sz="8" w:space="0" w:color="C7C9C7"/>
              <w:left w:val="nil"/>
              <w:bottom w:val="nil"/>
              <w:right w:val="nil"/>
            </w:tcBorders>
            <w:tcMar>
              <w:top w:w="0" w:type="dxa"/>
              <w:left w:w="0" w:type="dxa"/>
              <w:bottom w:w="0" w:type="dxa"/>
              <w:right w:w="0" w:type="dxa"/>
            </w:tcMar>
            <w:vAlign w:val="bottom"/>
          </w:tcPr>
          <w:p w14:paraId="44514F22" w14:textId="77777777" w:rsidR="001614AC" w:rsidRDefault="001614AC"/>
        </w:tc>
      </w:tr>
      <w:tr w:rsidR="001614AC" w14:paraId="527EF767" w14:textId="77777777">
        <w:trPr>
          <w:cantSplit/>
        </w:trPr>
        <w:tc>
          <w:tcPr>
            <w:tcW w:w="5280" w:type="dxa"/>
            <w:tcBorders>
              <w:top w:val="single" w:sz="8" w:space="0" w:color="F4F4F4"/>
              <w:left w:val="nil"/>
              <w:bottom w:val="single" w:sz="8" w:space="0" w:color="F4F4F4"/>
              <w:right w:val="nil"/>
            </w:tcBorders>
            <w:tcMar>
              <w:top w:w="0" w:type="dxa"/>
              <w:left w:w="53" w:type="dxa"/>
              <w:bottom w:w="0" w:type="dxa"/>
              <w:right w:w="53" w:type="dxa"/>
            </w:tcMar>
            <w:vAlign w:val="bottom"/>
          </w:tcPr>
          <w:p w14:paraId="35C08535" w14:textId="77777777" w:rsidR="001614AC" w:rsidRDefault="004468F9">
            <w:pPr>
              <w:spacing w:before="55" w:after="30" w:line="288" w:lineRule="auto"/>
              <w:ind w:left="240"/>
            </w:pPr>
            <w:r>
              <w:rPr>
                <w:rFonts w:ascii="Arial" w:eastAsia="Arial" w:hAnsi="Arial" w:cs="Arial"/>
                <w:color w:val="000000"/>
                <w:sz w:val="18"/>
              </w:rPr>
              <w:t>State and municipal obligations</w:t>
            </w:r>
          </w:p>
        </w:tc>
        <w:tc>
          <w:tcPr>
            <w:tcW w:w="105" w:type="dxa"/>
            <w:tcBorders>
              <w:top w:val="nil"/>
              <w:left w:val="nil"/>
              <w:bottom w:val="nil"/>
              <w:right w:val="nil"/>
            </w:tcBorders>
            <w:tcMar>
              <w:top w:w="0" w:type="dxa"/>
              <w:left w:w="0" w:type="dxa"/>
              <w:bottom w:w="0" w:type="dxa"/>
              <w:right w:w="0" w:type="dxa"/>
            </w:tcMar>
            <w:vAlign w:val="bottom"/>
          </w:tcPr>
          <w:p w14:paraId="35C3187F" w14:textId="77777777" w:rsidR="001614AC" w:rsidRDefault="001614AC"/>
        </w:tc>
        <w:tc>
          <w:tcPr>
            <w:tcW w:w="995"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188F9C9A" w14:textId="77777777" w:rsidR="001614AC" w:rsidRDefault="004468F9">
            <w:pPr>
              <w:spacing w:before="55" w:after="30" w:line="288" w:lineRule="auto"/>
              <w:jc w:val="right"/>
            </w:pPr>
            <w:r>
              <w:rPr>
                <w:rFonts w:ascii="Arial" w:eastAsia="Arial" w:hAnsi="Arial" w:cs="Arial"/>
                <w:color w:val="000000"/>
                <w:sz w:val="18"/>
              </w:rPr>
              <w:t>—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587778F7" w14:textId="77777777" w:rsidR="001614AC" w:rsidRDefault="001614AC">
            <w:pPr>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7A687E55" w14:textId="77777777" w:rsidR="001614AC" w:rsidRDefault="001614AC"/>
        </w:tc>
        <w:tc>
          <w:tcPr>
            <w:tcW w:w="995"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15C38495" w14:textId="77777777" w:rsidR="001614AC" w:rsidRDefault="004468F9">
            <w:pPr>
              <w:spacing w:before="55" w:after="30" w:line="288" w:lineRule="auto"/>
              <w:jc w:val="right"/>
            </w:pPr>
            <w:r>
              <w:rPr>
                <w:rFonts w:ascii="Arial" w:eastAsia="Arial" w:hAnsi="Arial" w:cs="Arial"/>
                <w:color w:val="000000"/>
                <w:sz w:val="18"/>
              </w:rPr>
              <w:t>101,454 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08C20BCB" w14:textId="77777777" w:rsidR="001614AC" w:rsidRDefault="001614AC">
            <w:pPr>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174B1F0D" w14:textId="77777777" w:rsidR="001614AC" w:rsidRDefault="001614AC"/>
        </w:tc>
        <w:tc>
          <w:tcPr>
            <w:tcW w:w="995"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37F2E0F5" w14:textId="77777777" w:rsidR="001614AC" w:rsidRDefault="004468F9">
            <w:pPr>
              <w:spacing w:before="55" w:after="30" w:line="288" w:lineRule="auto"/>
              <w:jc w:val="right"/>
            </w:pPr>
            <w:r>
              <w:rPr>
                <w:rFonts w:ascii="Arial" w:eastAsia="Arial" w:hAnsi="Arial" w:cs="Arial"/>
                <w:color w:val="000000"/>
                <w:sz w:val="18"/>
              </w:rPr>
              <w:t>—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7BACE96C" w14:textId="77777777" w:rsidR="001614AC" w:rsidRDefault="001614AC">
            <w:pPr>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3383CCF2" w14:textId="77777777" w:rsidR="001614AC" w:rsidRDefault="001614AC"/>
        </w:tc>
        <w:tc>
          <w:tcPr>
            <w:tcW w:w="995"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625A2B5D" w14:textId="77777777" w:rsidR="001614AC" w:rsidRDefault="004468F9">
            <w:pPr>
              <w:spacing w:before="55" w:after="30" w:line="288" w:lineRule="auto"/>
              <w:jc w:val="right"/>
            </w:pPr>
            <w:r>
              <w:rPr>
                <w:rFonts w:ascii="Arial" w:eastAsia="Arial" w:hAnsi="Arial" w:cs="Arial"/>
                <w:color w:val="000000"/>
                <w:sz w:val="18"/>
              </w:rPr>
              <w:t>101,454 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383E8B9E" w14:textId="77777777" w:rsidR="001614AC" w:rsidRDefault="001614AC">
            <w:pPr>
              <w:spacing w:before="55" w:after="30" w:line="288" w:lineRule="auto"/>
              <w:jc w:val="right"/>
            </w:pPr>
          </w:p>
        </w:tc>
      </w:tr>
      <w:tr w:rsidR="001614AC" w14:paraId="0DFAE7D8" w14:textId="77777777">
        <w:trPr>
          <w:cantSplit/>
        </w:trPr>
        <w:tc>
          <w:tcPr>
            <w:tcW w:w="5280" w:type="dxa"/>
            <w:tcBorders>
              <w:top w:val="single" w:sz="8" w:space="0" w:color="F4F4F4"/>
              <w:left w:val="nil"/>
              <w:bottom w:val="single" w:sz="8" w:space="0" w:color="F4F4F4"/>
              <w:right w:val="nil"/>
            </w:tcBorders>
            <w:tcMar>
              <w:top w:w="0" w:type="dxa"/>
              <w:left w:w="53" w:type="dxa"/>
              <w:bottom w:w="0" w:type="dxa"/>
              <w:right w:w="53" w:type="dxa"/>
            </w:tcMar>
            <w:vAlign w:val="bottom"/>
          </w:tcPr>
          <w:p w14:paraId="6BE5FD70" w14:textId="77777777" w:rsidR="001614AC" w:rsidRDefault="004468F9">
            <w:pPr>
              <w:spacing w:before="55" w:after="30" w:line="288" w:lineRule="auto"/>
              <w:ind w:left="240"/>
            </w:pPr>
            <w:r>
              <w:rPr>
                <w:rFonts w:ascii="Arial" w:eastAsia="Arial" w:hAnsi="Arial" w:cs="Arial"/>
                <w:color w:val="000000"/>
                <w:sz w:val="18"/>
              </w:rPr>
              <w:t>Corporate bonds and notes</w:t>
            </w:r>
          </w:p>
        </w:tc>
        <w:tc>
          <w:tcPr>
            <w:tcW w:w="105" w:type="dxa"/>
            <w:tcBorders>
              <w:top w:val="nil"/>
              <w:left w:val="nil"/>
              <w:bottom w:val="nil"/>
              <w:right w:val="nil"/>
            </w:tcBorders>
            <w:tcMar>
              <w:top w:w="0" w:type="dxa"/>
              <w:left w:w="0" w:type="dxa"/>
              <w:bottom w:w="0" w:type="dxa"/>
              <w:right w:w="0" w:type="dxa"/>
            </w:tcMar>
            <w:vAlign w:val="bottom"/>
          </w:tcPr>
          <w:p w14:paraId="7138956A" w14:textId="77777777" w:rsidR="001614AC" w:rsidRDefault="001614AC"/>
        </w:tc>
        <w:tc>
          <w:tcPr>
            <w:tcW w:w="995"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22C8FAB9" w14:textId="77777777" w:rsidR="001614AC" w:rsidRDefault="004468F9">
            <w:pPr>
              <w:spacing w:before="55" w:after="30" w:line="288" w:lineRule="auto"/>
              <w:jc w:val="right"/>
            </w:pPr>
            <w:r>
              <w:rPr>
                <w:rFonts w:ascii="Arial" w:eastAsia="Arial" w:hAnsi="Arial" w:cs="Arial"/>
                <w:color w:val="000000"/>
                <w:sz w:val="18"/>
              </w:rPr>
              <w:t>—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13473E63" w14:textId="77777777" w:rsidR="001614AC" w:rsidRDefault="001614AC">
            <w:pPr>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2F3111C4" w14:textId="77777777" w:rsidR="001614AC" w:rsidRDefault="001614AC"/>
        </w:tc>
        <w:tc>
          <w:tcPr>
            <w:tcW w:w="995"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08834FB8" w14:textId="77777777" w:rsidR="001614AC" w:rsidRDefault="004468F9">
            <w:pPr>
              <w:spacing w:before="55" w:after="30" w:line="288" w:lineRule="auto"/>
              <w:jc w:val="right"/>
            </w:pPr>
            <w:r>
              <w:rPr>
                <w:rFonts w:ascii="Arial" w:eastAsia="Arial" w:hAnsi="Arial" w:cs="Arial"/>
                <w:color w:val="000000"/>
                <w:sz w:val="18"/>
              </w:rPr>
              <w:t>121,377 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3095EC35" w14:textId="77777777" w:rsidR="001614AC" w:rsidRDefault="001614AC">
            <w:pPr>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02938719" w14:textId="77777777" w:rsidR="001614AC" w:rsidRDefault="001614AC"/>
        </w:tc>
        <w:tc>
          <w:tcPr>
            <w:tcW w:w="995"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70B27563" w14:textId="77777777" w:rsidR="001614AC" w:rsidRDefault="004468F9">
            <w:pPr>
              <w:spacing w:before="55" w:after="30" w:line="288" w:lineRule="auto"/>
              <w:jc w:val="right"/>
            </w:pPr>
            <w:r>
              <w:rPr>
                <w:rFonts w:ascii="Arial" w:eastAsia="Arial" w:hAnsi="Arial" w:cs="Arial"/>
                <w:color w:val="000000"/>
                <w:sz w:val="18"/>
              </w:rPr>
              <w:t>—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094E56B9" w14:textId="77777777" w:rsidR="001614AC" w:rsidRDefault="001614AC">
            <w:pPr>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1D61B613" w14:textId="77777777" w:rsidR="001614AC" w:rsidRDefault="001614AC"/>
        </w:tc>
        <w:tc>
          <w:tcPr>
            <w:tcW w:w="995"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4892B997" w14:textId="77777777" w:rsidR="001614AC" w:rsidRDefault="004468F9">
            <w:pPr>
              <w:spacing w:before="55" w:after="30" w:line="288" w:lineRule="auto"/>
              <w:jc w:val="right"/>
            </w:pPr>
            <w:r>
              <w:rPr>
                <w:rFonts w:ascii="Arial" w:eastAsia="Arial" w:hAnsi="Arial" w:cs="Arial"/>
                <w:color w:val="000000"/>
                <w:sz w:val="18"/>
              </w:rPr>
              <w:t>121,377 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3FE6A2A8" w14:textId="77777777" w:rsidR="001614AC" w:rsidRDefault="001614AC">
            <w:pPr>
              <w:spacing w:before="55" w:after="30" w:line="288" w:lineRule="auto"/>
              <w:jc w:val="right"/>
            </w:pPr>
          </w:p>
        </w:tc>
      </w:tr>
      <w:tr w:rsidR="001614AC" w14:paraId="4C12267B" w14:textId="77777777">
        <w:trPr>
          <w:cantSplit/>
        </w:trPr>
        <w:tc>
          <w:tcPr>
            <w:tcW w:w="5280" w:type="dxa"/>
            <w:tcBorders>
              <w:top w:val="single" w:sz="8" w:space="0" w:color="F4F4F4"/>
              <w:left w:val="nil"/>
              <w:bottom w:val="single" w:sz="8" w:space="0" w:color="F4F4F4"/>
              <w:right w:val="nil"/>
            </w:tcBorders>
            <w:tcMar>
              <w:top w:w="0" w:type="dxa"/>
              <w:left w:w="53" w:type="dxa"/>
              <w:bottom w:w="0" w:type="dxa"/>
              <w:right w:w="53" w:type="dxa"/>
            </w:tcMar>
            <w:vAlign w:val="bottom"/>
          </w:tcPr>
          <w:p w14:paraId="6D9CF0A7" w14:textId="77777777" w:rsidR="001614AC" w:rsidRDefault="004468F9">
            <w:pPr>
              <w:spacing w:before="55" w:after="30" w:line="288" w:lineRule="auto"/>
              <w:ind w:left="240"/>
            </w:pPr>
            <w:r>
              <w:rPr>
                <w:rFonts w:ascii="Arial" w:eastAsia="Arial" w:hAnsi="Arial" w:cs="Arial"/>
                <w:color w:val="000000"/>
                <w:sz w:val="18"/>
              </w:rPr>
              <w:t>RMBS</w:t>
            </w:r>
          </w:p>
        </w:tc>
        <w:tc>
          <w:tcPr>
            <w:tcW w:w="105" w:type="dxa"/>
            <w:tcBorders>
              <w:top w:val="nil"/>
              <w:left w:val="nil"/>
              <w:bottom w:val="nil"/>
              <w:right w:val="nil"/>
            </w:tcBorders>
            <w:tcMar>
              <w:top w:w="0" w:type="dxa"/>
              <w:left w:w="0" w:type="dxa"/>
              <w:bottom w:w="0" w:type="dxa"/>
              <w:right w:w="0" w:type="dxa"/>
            </w:tcMar>
            <w:vAlign w:val="bottom"/>
          </w:tcPr>
          <w:p w14:paraId="38C936CC" w14:textId="77777777" w:rsidR="001614AC" w:rsidRDefault="001614AC"/>
        </w:tc>
        <w:tc>
          <w:tcPr>
            <w:tcW w:w="995"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1A47FAF7" w14:textId="77777777" w:rsidR="001614AC" w:rsidRDefault="004468F9">
            <w:pPr>
              <w:spacing w:before="55" w:after="30" w:line="288" w:lineRule="auto"/>
              <w:jc w:val="right"/>
            </w:pPr>
            <w:r>
              <w:rPr>
                <w:rFonts w:ascii="Arial" w:eastAsia="Arial" w:hAnsi="Arial" w:cs="Arial"/>
                <w:color w:val="000000"/>
                <w:sz w:val="18"/>
              </w:rPr>
              <w:t>—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56739AD0" w14:textId="77777777" w:rsidR="001614AC" w:rsidRDefault="001614AC">
            <w:pPr>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2C070989" w14:textId="77777777" w:rsidR="001614AC" w:rsidRDefault="001614AC"/>
        </w:tc>
        <w:tc>
          <w:tcPr>
            <w:tcW w:w="995"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25059CCB" w14:textId="77777777" w:rsidR="001614AC" w:rsidRDefault="004468F9">
            <w:pPr>
              <w:spacing w:before="55" w:after="30" w:line="288" w:lineRule="auto"/>
              <w:jc w:val="right"/>
            </w:pPr>
            <w:r>
              <w:rPr>
                <w:rFonts w:ascii="Arial" w:eastAsia="Arial" w:hAnsi="Arial" w:cs="Arial"/>
                <w:color w:val="000000"/>
                <w:sz w:val="18"/>
              </w:rPr>
              <w:t>11,134 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635CF149" w14:textId="77777777" w:rsidR="001614AC" w:rsidRDefault="001614AC">
            <w:pPr>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7FA159AE" w14:textId="77777777" w:rsidR="001614AC" w:rsidRDefault="001614AC"/>
        </w:tc>
        <w:tc>
          <w:tcPr>
            <w:tcW w:w="995"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6BFA5215" w14:textId="77777777" w:rsidR="001614AC" w:rsidRDefault="004468F9">
            <w:pPr>
              <w:spacing w:before="55" w:after="30" w:line="288" w:lineRule="auto"/>
              <w:jc w:val="right"/>
            </w:pPr>
            <w:r>
              <w:rPr>
                <w:rFonts w:ascii="Arial" w:eastAsia="Arial" w:hAnsi="Arial" w:cs="Arial"/>
                <w:color w:val="000000"/>
                <w:sz w:val="18"/>
              </w:rPr>
              <w:t>—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7D2BE2CA" w14:textId="77777777" w:rsidR="001614AC" w:rsidRDefault="001614AC">
            <w:pPr>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17A866A2" w14:textId="77777777" w:rsidR="001614AC" w:rsidRDefault="001614AC"/>
        </w:tc>
        <w:tc>
          <w:tcPr>
            <w:tcW w:w="995"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32760315" w14:textId="77777777" w:rsidR="001614AC" w:rsidRDefault="004468F9">
            <w:pPr>
              <w:spacing w:before="55" w:after="30" w:line="288" w:lineRule="auto"/>
              <w:jc w:val="right"/>
            </w:pPr>
            <w:r>
              <w:rPr>
                <w:rFonts w:ascii="Arial" w:eastAsia="Arial" w:hAnsi="Arial" w:cs="Arial"/>
                <w:color w:val="000000"/>
                <w:sz w:val="18"/>
              </w:rPr>
              <w:t>11,134 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7461193D" w14:textId="77777777" w:rsidR="001614AC" w:rsidRDefault="001614AC">
            <w:pPr>
              <w:spacing w:before="55" w:after="30" w:line="288" w:lineRule="auto"/>
              <w:jc w:val="right"/>
            </w:pPr>
          </w:p>
        </w:tc>
      </w:tr>
      <w:tr w:rsidR="001614AC" w14:paraId="716F73B4" w14:textId="77777777">
        <w:trPr>
          <w:cantSplit/>
        </w:trPr>
        <w:tc>
          <w:tcPr>
            <w:tcW w:w="5280" w:type="dxa"/>
            <w:tcBorders>
              <w:top w:val="single" w:sz="8" w:space="0" w:color="F4F4F4"/>
              <w:left w:val="nil"/>
              <w:bottom w:val="single" w:sz="8" w:space="0" w:color="F4F4F4"/>
              <w:right w:val="nil"/>
            </w:tcBorders>
            <w:tcMar>
              <w:top w:w="0" w:type="dxa"/>
              <w:left w:w="53" w:type="dxa"/>
              <w:bottom w:w="0" w:type="dxa"/>
              <w:right w:w="53" w:type="dxa"/>
            </w:tcMar>
            <w:vAlign w:val="bottom"/>
          </w:tcPr>
          <w:p w14:paraId="6F5B171F" w14:textId="77777777" w:rsidR="001614AC" w:rsidRDefault="004468F9">
            <w:pPr>
              <w:spacing w:before="55" w:after="30" w:line="288" w:lineRule="auto"/>
              <w:ind w:left="240"/>
            </w:pPr>
            <w:r>
              <w:rPr>
                <w:rFonts w:ascii="Arial" w:eastAsia="Arial" w:hAnsi="Arial" w:cs="Arial"/>
                <w:color w:val="000000"/>
                <w:sz w:val="18"/>
              </w:rPr>
              <w:t>CMBS</w:t>
            </w:r>
          </w:p>
        </w:tc>
        <w:tc>
          <w:tcPr>
            <w:tcW w:w="105" w:type="dxa"/>
            <w:tcBorders>
              <w:top w:val="nil"/>
              <w:left w:val="nil"/>
              <w:bottom w:val="nil"/>
              <w:right w:val="nil"/>
            </w:tcBorders>
            <w:tcMar>
              <w:top w:w="0" w:type="dxa"/>
              <w:left w:w="0" w:type="dxa"/>
              <w:bottom w:w="0" w:type="dxa"/>
              <w:right w:w="0" w:type="dxa"/>
            </w:tcMar>
            <w:vAlign w:val="bottom"/>
          </w:tcPr>
          <w:p w14:paraId="1492E352" w14:textId="77777777" w:rsidR="001614AC" w:rsidRDefault="001614AC"/>
        </w:tc>
        <w:tc>
          <w:tcPr>
            <w:tcW w:w="995"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6227795C" w14:textId="77777777" w:rsidR="001614AC" w:rsidRDefault="004468F9">
            <w:pPr>
              <w:spacing w:before="55" w:after="30" w:line="288" w:lineRule="auto"/>
              <w:jc w:val="right"/>
            </w:pPr>
            <w:r>
              <w:rPr>
                <w:rFonts w:ascii="Arial" w:eastAsia="Arial" w:hAnsi="Arial" w:cs="Arial"/>
                <w:color w:val="000000"/>
                <w:sz w:val="18"/>
              </w:rPr>
              <w:t>—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1F679D95" w14:textId="77777777" w:rsidR="001614AC" w:rsidRDefault="001614AC">
            <w:pPr>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65152AD4" w14:textId="77777777" w:rsidR="001614AC" w:rsidRDefault="001614AC"/>
        </w:tc>
        <w:tc>
          <w:tcPr>
            <w:tcW w:w="995"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7818EEB7" w14:textId="77777777" w:rsidR="001614AC" w:rsidRDefault="004468F9">
            <w:pPr>
              <w:spacing w:before="55" w:after="30" w:line="288" w:lineRule="auto"/>
              <w:jc w:val="right"/>
            </w:pPr>
            <w:r>
              <w:rPr>
                <w:rFonts w:ascii="Arial" w:eastAsia="Arial" w:hAnsi="Arial" w:cs="Arial"/>
                <w:color w:val="000000"/>
                <w:sz w:val="18"/>
              </w:rPr>
              <w:t>34,015 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6F8ACB4D" w14:textId="77777777" w:rsidR="001614AC" w:rsidRDefault="001614AC">
            <w:pPr>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3AA64DAC" w14:textId="77777777" w:rsidR="001614AC" w:rsidRDefault="001614AC"/>
        </w:tc>
        <w:tc>
          <w:tcPr>
            <w:tcW w:w="995"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18FE8D56" w14:textId="77777777" w:rsidR="001614AC" w:rsidRDefault="004468F9">
            <w:pPr>
              <w:spacing w:before="55" w:after="30" w:line="288" w:lineRule="auto"/>
              <w:jc w:val="right"/>
            </w:pPr>
            <w:r>
              <w:rPr>
                <w:rFonts w:ascii="Arial" w:eastAsia="Arial" w:hAnsi="Arial" w:cs="Arial"/>
                <w:color w:val="000000"/>
                <w:sz w:val="18"/>
              </w:rPr>
              <w:t>—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7880EB83" w14:textId="77777777" w:rsidR="001614AC" w:rsidRDefault="001614AC">
            <w:pPr>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04D8078A" w14:textId="77777777" w:rsidR="001614AC" w:rsidRDefault="001614AC"/>
        </w:tc>
        <w:tc>
          <w:tcPr>
            <w:tcW w:w="995"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6EA5F1DA" w14:textId="77777777" w:rsidR="001614AC" w:rsidRDefault="004468F9">
            <w:pPr>
              <w:spacing w:before="55" w:after="30" w:line="288" w:lineRule="auto"/>
              <w:jc w:val="right"/>
            </w:pPr>
            <w:r>
              <w:rPr>
                <w:rFonts w:ascii="Arial" w:eastAsia="Arial" w:hAnsi="Arial" w:cs="Arial"/>
                <w:color w:val="000000"/>
                <w:sz w:val="18"/>
              </w:rPr>
              <w:t>34,015 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6F3C254A" w14:textId="77777777" w:rsidR="001614AC" w:rsidRDefault="001614AC">
            <w:pPr>
              <w:spacing w:before="55" w:after="30" w:line="288" w:lineRule="auto"/>
              <w:jc w:val="right"/>
            </w:pPr>
          </w:p>
        </w:tc>
      </w:tr>
      <w:tr w:rsidR="001614AC" w14:paraId="3E409816" w14:textId="77777777">
        <w:trPr>
          <w:cantSplit/>
        </w:trPr>
        <w:tc>
          <w:tcPr>
            <w:tcW w:w="5280" w:type="dxa"/>
            <w:tcBorders>
              <w:top w:val="nil"/>
              <w:left w:val="nil"/>
              <w:bottom w:val="nil"/>
              <w:right w:val="nil"/>
            </w:tcBorders>
            <w:shd w:val="clear" w:color="auto" w:fill="F4F4F4"/>
            <w:tcMar>
              <w:top w:w="0" w:type="dxa"/>
              <w:left w:w="53" w:type="dxa"/>
              <w:bottom w:w="0" w:type="dxa"/>
              <w:right w:w="53" w:type="dxa"/>
            </w:tcMar>
            <w:vAlign w:val="bottom"/>
          </w:tcPr>
          <w:p w14:paraId="5BB6A8EA" w14:textId="77777777" w:rsidR="001614AC" w:rsidRDefault="004468F9">
            <w:pPr>
              <w:spacing w:before="75" w:after="30" w:line="288" w:lineRule="auto"/>
              <w:ind w:left="240"/>
            </w:pPr>
            <w:r>
              <w:rPr>
                <w:rFonts w:ascii="Arial" w:eastAsia="Arial" w:hAnsi="Arial" w:cs="Arial"/>
                <w:color w:val="000000"/>
                <w:sz w:val="18"/>
              </w:rPr>
              <w:t>Total trading securities</w:t>
            </w:r>
          </w:p>
        </w:tc>
        <w:tc>
          <w:tcPr>
            <w:tcW w:w="105" w:type="dxa"/>
            <w:tcBorders>
              <w:top w:val="nil"/>
              <w:left w:val="nil"/>
              <w:bottom w:val="nil"/>
              <w:right w:val="nil"/>
            </w:tcBorders>
            <w:shd w:val="clear" w:color="auto" w:fill="F4F4F4"/>
            <w:tcMar>
              <w:top w:w="0" w:type="dxa"/>
              <w:left w:w="0" w:type="dxa"/>
              <w:bottom w:w="0" w:type="dxa"/>
              <w:right w:w="0" w:type="dxa"/>
            </w:tcMar>
            <w:vAlign w:val="bottom"/>
          </w:tcPr>
          <w:p w14:paraId="097B01D6" w14:textId="77777777" w:rsidR="001614AC" w:rsidRDefault="001614AC"/>
        </w:tc>
        <w:tc>
          <w:tcPr>
            <w:tcW w:w="995" w:type="dxa"/>
            <w:gridSpan w:val="2"/>
            <w:tcBorders>
              <w:top w:val="single" w:sz="8" w:space="0" w:color="C7C9C7"/>
              <w:left w:val="nil"/>
              <w:bottom w:val="single" w:sz="8" w:space="0" w:color="C7C9C7"/>
              <w:right w:val="nil"/>
            </w:tcBorders>
            <w:shd w:val="clear" w:color="auto" w:fill="F4F4F4"/>
            <w:tcMar>
              <w:top w:w="0" w:type="dxa"/>
              <w:left w:w="53" w:type="dxa"/>
              <w:bottom w:w="0" w:type="dxa"/>
              <w:right w:w="0" w:type="dxa"/>
            </w:tcMar>
            <w:vAlign w:val="bottom"/>
          </w:tcPr>
          <w:p w14:paraId="4F0226A3" w14:textId="77777777" w:rsidR="001614AC" w:rsidRDefault="004468F9">
            <w:pPr>
              <w:spacing w:before="55" w:after="30" w:line="288" w:lineRule="auto"/>
              <w:jc w:val="right"/>
            </w:pPr>
            <w:r>
              <w:rPr>
                <w:rFonts w:ascii="Arial" w:eastAsia="Arial" w:hAnsi="Arial" w:cs="Arial"/>
                <w:color w:val="000000"/>
                <w:sz w:val="18"/>
              </w:rPr>
              <w:t>— </w:t>
            </w:r>
          </w:p>
        </w:tc>
        <w:tc>
          <w:tcPr>
            <w:tcW w:w="100" w:type="dxa"/>
            <w:tcBorders>
              <w:top w:val="single" w:sz="8" w:space="0" w:color="C7C9C7"/>
              <w:left w:val="nil"/>
              <w:bottom w:val="single" w:sz="8" w:space="0" w:color="C7C9C7"/>
              <w:right w:val="nil"/>
            </w:tcBorders>
            <w:shd w:val="clear" w:color="auto" w:fill="F4F4F4"/>
            <w:tcMar>
              <w:top w:w="0" w:type="dxa"/>
              <w:left w:w="0" w:type="dxa"/>
              <w:bottom w:w="0" w:type="dxa"/>
              <w:right w:w="15" w:type="dxa"/>
            </w:tcMar>
            <w:vAlign w:val="bottom"/>
          </w:tcPr>
          <w:p w14:paraId="20912863" w14:textId="77777777" w:rsidR="001614AC" w:rsidRDefault="001614AC">
            <w:pPr>
              <w:spacing w:before="55" w:after="30" w:line="288" w:lineRule="auto"/>
              <w:jc w:val="right"/>
            </w:pPr>
          </w:p>
        </w:tc>
        <w:tc>
          <w:tcPr>
            <w:tcW w:w="105" w:type="dxa"/>
            <w:tcBorders>
              <w:top w:val="nil"/>
              <w:left w:val="nil"/>
              <w:bottom w:val="nil"/>
              <w:right w:val="nil"/>
            </w:tcBorders>
            <w:shd w:val="clear" w:color="auto" w:fill="F4F4F4"/>
            <w:tcMar>
              <w:top w:w="0" w:type="dxa"/>
              <w:left w:w="0" w:type="dxa"/>
              <w:bottom w:w="0" w:type="dxa"/>
              <w:right w:w="0" w:type="dxa"/>
            </w:tcMar>
            <w:vAlign w:val="bottom"/>
          </w:tcPr>
          <w:p w14:paraId="7BC72A63" w14:textId="77777777" w:rsidR="001614AC" w:rsidRDefault="001614AC"/>
        </w:tc>
        <w:tc>
          <w:tcPr>
            <w:tcW w:w="995" w:type="dxa"/>
            <w:gridSpan w:val="2"/>
            <w:tcBorders>
              <w:top w:val="single" w:sz="8" w:space="0" w:color="C7C9C7"/>
              <w:left w:val="nil"/>
              <w:bottom w:val="single" w:sz="8" w:space="0" w:color="C7C9C7"/>
              <w:right w:val="nil"/>
            </w:tcBorders>
            <w:shd w:val="clear" w:color="auto" w:fill="F4F4F4"/>
            <w:tcMar>
              <w:top w:w="0" w:type="dxa"/>
              <w:left w:w="53" w:type="dxa"/>
              <w:bottom w:w="0" w:type="dxa"/>
              <w:right w:w="0" w:type="dxa"/>
            </w:tcMar>
            <w:vAlign w:val="bottom"/>
          </w:tcPr>
          <w:p w14:paraId="22B222A9" w14:textId="77777777" w:rsidR="001614AC" w:rsidRDefault="004468F9">
            <w:pPr>
              <w:spacing w:before="55" w:after="30" w:line="288" w:lineRule="auto"/>
              <w:jc w:val="right"/>
            </w:pPr>
            <w:r>
              <w:rPr>
                <w:rFonts w:ascii="Arial" w:eastAsia="Arial" w:hAnsi="Arial" w:cs="Arial"/>
                <w:color w:val="000000"/>
                <w:sz w:val="18"/>
              </w:rPr>
              <w:t>267,980 </w:t>
            </w:r>
          </w:p>
        </w:tc>
        <w:tc>
          <w:tcPr>
            <w:tcW w:w="100" w:type="dxa"/>
            <w:tcBorders>
              <w:top w:val="single" w:sz="8" w:space="0" w:color="C7C9C7"/>
              <w:left w:val="nil"/>
              <w:bottom w:val="single" w:sz="8" w:space="0" w:color="C7C9C7"/>
              <w:right w:val="nil"/>
            </w:tcBorders>
            <w:shd w:val="clear" w:color="auto" w:fill="F4F4F4"/>
            <w:tcMar>
              <w:top w:w="0" w:type="dxa"/>
              <w:left w:w="0" w:type="dxa"/>
              <w:bottom w:w="0" w:type="dxa"/>
              <w:right w:w="15" w:type="dxa"/>
            </w:tcMar>
            <w:vAlign w:val="bottom"/>
          </w:tcPr>
          <w:p w14:paraId="26E86944" w14:textId="77777777" w:rsidR="001614AC" w:rsidRDefault="001614AC">
            <w:pPr>
              <w:spacing w:before="55" w:after="30" w:line="288" w:lineRule="auto"/>
              <w:jc w:val="right"/>
            </w:pPr>
          </w:p>
        </w:tc>
        <w:tc>
          <w:tcPr>
            <w:tcW w:w="105" w:type="dxa"/>
            <w:tcBorders>
              <w:top w:val="nil"/>
              <w:left w:val="nil"/>
              <w:bottom w:val="nil"/>
              <w:right w:val="nil"/>
            </w:tcBorders>
            <w:shd w:val="clear" w:color="auto" w:fill="F4F4F4"/>
            <w:tcMar>
              <w:top w:w="0" w:type="dxa"/>
              <w:left w:w="0" w:type="dxa"/>
              <w:bottom w:w="0" w:type="dxa"/>
              <w:right w:w="0" w:type="dxa"/>
            </w:tcMar>
            <w:vAlign w:val="bottom"/>
          </w:tcPr>
          <w:p w14:paraId="3D1B0E33" w14:textId="77777777" w:rsidR="001614AC" w:rsidRDefault="001614AC"/>
        </w:tc>
        <w:tc>
          <w:tcPr>
            <w:tcW w:w="995" w:type="dxa"/>
            <w:gridSpan w:val="2"/>
            <w:tcBorders>
              <w:top w:val="single" w:sz="8" w:space="0" w:color="C7C9C7"/>
              <w:left w:val="nil"/>
              <w:bottom w:val="single" w:sz="8" w:space="0" w:color="C7C9C7"/>
              <w:right w:val="nil"/>
            </w:tcBorders>
            <w:shd w:val="clear" w:color="auto" w:fill="F4F4F4"/>
            <w:tcMar>
              <w:top w:w="0" w:type="dxa"/>
              <w:left w:w="53" w:type="dxa"/>
              <w:bottom w:w="0" w:type="dxa"/>
              <w:right w:w="0" w:type="dxa"/>
            </w:tcMar>
            <w:vAlign w:val="bottom"/>
          </w:tcPr>
          <w:p w14:paraId="51FC92B8" w14:textId="77777777" w:rsidR="001614AC" w:rsidRDefault="004468F9">
            <w:pPr>
              <w:spacing w:before="55" w:after="30" w:line="288" w:lineRule="auto"/>
              <w:jc w:val="right"/>
            </w:pPr>
            <w:r>
              <w:rPr>
                <w:rFonts w:ascii="Arial" w:eastAsia="Arial" w:hAnsi="Arial" w:cs="Arial"/>
                <w:color w:val="000000"/>
                <w:sz w:val="18"/>
              </w:rPr>
              <w:t>— </w:t>
            </w:r>
          </w:p>
        </w:tc>
        <w:tc>
          <w:tcPr>
            <w:tcW w:w="100" w:type="dxa"/>
            <w:tcBorders>
              <w:top w:val="single" w:sz="8" w:space="0" w:color="C7C9C7"/>
              <w:left w:val="nil"/>
              <w:bottom w:val="single" w:sz="8" w:space="0" w:color="C7C9C7"/>
              <w:right w:val="nil"/>
            </w:tcBorders>
            <w:shd w:val="clear" w:color="auto" w:fill="F4F4F4"/>
            <w:tcMar>
              <w:top w:w="0" w:type="dxa"/>
              <w:left w:w="0" w:type="dxa"/>
              <w:bottom w:w="0" w:type="dxa"/>
              <w:right w:w="15" w:type="dxa"/>
            </w:tcMar>
            <w:vAlign w:val="bottom"/>
          </w:tcPr>
          <w:p w14:paraId="61956EAA" w14:textId="77777777" w:rsidR="001614AC" w:rsidRDefault="001614AC">
            <w:pPr>
              <w:spacing w:before="55" w:after="30" w:line="288" w:lineRule="auto"/>
              <w:jc w:val="right"/>
            </w:pPr>
          </w:p>
        </w:tc>
        <w:tc>
          <w:tcPr>
            <w:tcW w:w="105" w:type="dxa"/>
            <w:tcBorders>
              <w:top w:val="nil"/>
              <w:left w:val="nil"/>
              <w:bottom w:val="nil"/>
              <w:right w:val="nil"/>
            </w:tcBorders>
            <w:shd w:val="clear" w:color="auto" w:fill="F4F4F4"/>
            <w:tcMar>
              <w:top w:w="0" w:type="dxa"/>
              <w:left w:w="0" w:type="dxa"/>
              <w:bottom w:w="0" w:type="dxa"/>
              <w:right w:w="0" w:type="dxa"/>
            </w:tcMar>
            <w:vAlign w:val="bottom"/>
          </w:tcPr>
          <w:p w14:paraId="3CC35716" w14:textId="77777777" w:rsidR="001614AC" w:rsidRDefault="001614AC"/>
        </w:tc>
        <w:tc>
          <w:tcPr>
            <w:tcW w:w="995" w:type="dxa"/>
            <w:gridSpan w:val="2"/>
            <w:tcBorders>
              <w:top w:val="single" w:sz="8" w:space="0" w:color="C7C9C7"/>
              <w:left w:val="nil"/>
              <w:bottom w:val="single" w:sz="8" w:space="0" w:color="C7C9C7"/>
              <w:right w:val="nil"/>
            </w:tcBorders>
            <w:shd w:val="clear" w:color="auto" w:fill="F4F4F4"/>
            <w:tcMar>
              <w:top w:w="0" w:type="dxa"/>
              <w:left w:w="53" w:type="dxa"/>
              <w:bottom w:w="0" w:type="dxa"/>
              <w:right w:w="0" w:type="dxa"/>
            </w:tcMar>
            <w:vAlign w:val="bottom"/>
          </w:tcPr>
          <w:p w14:paraId="2CF0ACFA" w14:textId="77777777" w:rsidR="001614AC" w:rsidRDefault="004468F9">
            <w:pPr>
              <w:spacing w:before="55" w:after="30" w:line="288" w:lineRule="auto"/>
              <w:jc w:val="right"/>
            </w:pPr>
            <w:r>
              <w:rPr>
                <w:rFonts w:ascii="Arial" w:eastAsia="Arial" w:hAnsi="Arial" w:cs="Arial"/>
                <w:color w:val="000000"/>
                <w:sz w:val="18"/>
              </w:rPr>
              <w:t>267,980 </w:t>
            </w:r>
          </w:p>
        </w:tc>
        <w:tc>
          <w:tcPr>
            <w:tcW w:w="100" w:type="dxa"/>
            <w:tcBorders>
              <w:top w:val="single" w:sz="8" w:space="0" w:color="C7C9C7"/>
              <w:left w:val="nil"/>
              <w:bottom w:val="single" w:sz="8" w:space="0" w:color="C7C9C7"/>
              <w:right w:val="nil"/>
            </w:tcBorders>
            <w:shd w:val="clear" w:color="auto" w:fill="F4F4F4"/>
            <w:tcMar>
              <w:top w:w="0" w:type="dxa"/>
              <w:left w:w="0" w:type="dxa"/>
              <w:bottom w:w="0" w:type="dxa"/>
              <w:right w:w="15" w:type="dxa"/>
            </w:tcMar>
            <w:vAlign w:val="bottom"/>
          </w:tcPr>
          <w:p w14:paraId="2828BF53" w14:textId="77777777" w:rsidR="001614AC" w:rsidRDefault="001614AC">
            <w:pPr>
              <w:spacing w:before="55" w:after="30" w:line="288" w:lineRule="auto"/>
              <w:jc w:val="right"/>
            </w:pPr>
          </w:p>
        </w:tc>
      </w:tr>
      <w:tr w:rsidR="001614AC" w14:paraId="0DE59983" w14:textId="77777777">
        <w:trPr>
          <w:cantSplit/>
        </w:trPr>
        <w:tc>
          <w:tcPr>
            <w:tcW w:w="5280" w:type="dxa"/>
            <w:tcBorders>
              <w:top w:val="nil"/>
              <w:left w:val="nil"/>
              <w:bottom w:val="single" w:sz="8" w:space="0" w:color="F4F4F4"/>
              <w:right w:val="nil"/>
            </w:tcBorders>
            <w:tcMar>
              <w:top w:w="0" w:type="dxa"/>
              <w:left w:w="53" w:type="dxa"/>
              <w:bottom w:w="0" w:type="dxa"/>
              <w:right w:w="53" w:type="dxa"/>
            </w:tcMar>
            <w:vAlign w:val="bottom"/>
          </w:tcPr>
          <w:p w14:paraId="4F176207" w14:textId="77777777" w:rsidR="001614AC" w:rsidRDefault="004468F9">
            <w:pPr>
              <w:spacing w:before="75" w:after="30" w:line="288" w:lineRule="auto"/>
            </w:pPr>
            <w:r>
              <w:rPr>
                <w:rFonts w:ascii="Arial" w:eastAsia="Arial" w:hAnsi="Arial" w:cs="Arial"/>
                <w:color w:val="000000"/>
                <w:sz w:val="18"/>
              </w:rPr>
              <w:t>Equity securities</w:t>
            </w:r>
          </w:p>
        </w:tc>
        <w:tc>
          <w:tcPr>
            <w:tcW w:w="105" w:type="dxa"/>
            <w:tcBorders>
              <w:top w:val="nil"/>
              <w:left w:val="nil"/>
              <w:bottom w:val="nil"/>
              <w:right w:val="nil"/>
            </w:tcBorders>
            <w:tcMar>
              <w:top w:w="0" w:type="dxa"/>
              <w:left w:w="0" w:type="dxa"/>
              <w:bottom w:w="0" w:type="dxa"/>
              <w:right w:w="0" w:type="dxa"/>
            </w:tcMar>
            <w:vAlign w:val="bottom"/>
          </w:tcPr>
          <w:p w14:paraId="4F187ECF" w14:textId="77777777" w:rsidR="001614AC" w:rsidRDefault="001614AC"/>
        </w:tc>
        <w:tc>
          <w:tcPr>
            <w:tcW w:w="995" w:type="dxa"/>
            <w:gridSpan w:val="2"/>
            <w:tcBorders>
              <w:top w:val="single" w:sz="8" w:space="0" w:color="C7C9C7"/>
              <w:left w:val="nil"/>
              <w:bottom w:val="single" w:sz="8" w:space="0" w:color="C7C9C7"/>
              <w:right w:val="nil"/>
            </w:tcBorders>
            <w:tcMar>
              <w:top w:w="0" w:type="dxa"/>
              <w:left w:w="53" w:type="dxa"/>
              <w:bottom w:w="0" w:type="dxa"/>
              <w:right w:w="0" w:type="dxa"/>
            </w:tcMar>
            <w:vAlign w:val="bottom"/>
          </w:tcPr>
          <w:p w14:paraId="79C5A3FC" w14:textId="77777777" w:rsidR="001614AC" w:rsidRDefault="004468F9">
            <w:pPr>
              <w:spacing w:before="55" w:after="30" w:line="288" w:lineRule="auto"/>
              <w:jc w:val="right"/>
            </w:pPr>
            <w:r>
              <w:rPr>
                <w:rFonts w:ascii="Arial" w:eastAsia="Arial" w:hAnsi="Arial" w:cs="Arial"/>
                <w:color w:val="000000"/>
                <w:sz w:val="18"/>
              </w:rPr>
              <w:t>167,610 </w:t>
            </w:r>
          </w:p>
        </w:tc>
        <w:tc>
          <w:tcPr>
            <w:tcW w:w="100" w:type="dxa"/>
            <w:tcBorders>
              <w:top w:val="single" w:sz="8" w:space="0" w:color="C7C9C7"/>
              <w:left w:val="nil"/>
              <w:bottom w:val="single" w:sz="8" w:space="0" w:color="C7C9C7"/>
              <w:right w:val="nil"/>
            </w:tcBorders>
            <w:tcMar>
              <w:top w:w="0" w:type="dxa"/>
              <w:left w:w="0" w:type="dxa"/>
              <w:bottom w:w="0" w:type="dxa"/>
              <w:right w:w="15" w:type="dxa"/>
            </w:tcMar>
            <w:vAlign w:val="bottom"/>
          </w:tcPr>
          <w:p w14:paraId="2E31041E" w14:textId="77777777" w:rsidR="001614AC" w:rsidRDefault="001614AC">
            <w:pPr>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2977B942" w14:textId="77777777" w:rsidR="001614AC" w:rsidRDefault="001614AC"/>
        </w:tc>
        <w:tc>
          <w:tcPr>
            <w:tcW w:w="995" w:type="dxa"/>
            <w:gridSpan w:val="2"/>
            <w:tcBorders>
              <w:top w:val="single" w:sz="8" w:space="0" w:color="C7C9C7"/>
              <w:left w:val="nil"/>
              <w:bottom w:val="single" w:sz="8" w:space="0" w:color="C7C9C7"/>
              <w:right w:val="nil"/>
            </w:tcBorders>
            <w:tcMar>
              <w:top w:w="0" w:type="dxa"/>
              <w:left w:w="53" w:type="dxa"/>
              <w:bottom w:w="0" w:type="dxa"/>
              <w:right w:w="0" w:type="dxa"/>
            </w:tcMar>
            <w:vAlign w:val="bottom"/>
          </w:tcPr>
          <w:p w14:paraId="710AE1F4" w14:textId="77777777" w:rsidR="001614AC" w:rsidRDefault="004468F9">
            <w:pPr>
              <w:spacing w:before="55" w:after="30" w:line="288" w:lineRule="auto"/>
              <w:jc w:val="right"/>
            </w:pPr>
            <w:r>
              <w:rPr>
                <w:rFonts w:ascii="Arial" w:eastAsia="Arial" w:hAnsi="Arial" w:cs="Arial"/>
                <w:color w:val="000000"/>
                <w:sz w:val="18"/>
              </w:rPr>
              <w:t>7,537 </w:t>
            </w:r>
          </w:p>
        </w:tc>
        <w:tc>
          <w:tcPr>
            <w:tcW w:w="100" w:type="dxa"/>
            <w:tcBorders>
              <w:top w:val="single" w:sz="8" w:space="0" w:color="C7C9C7"/>
              <w:left w:val="nil"/>
              <w:bottom w:val="single" w:sz="8" w:space="0" w:color="C7C9C7"/>
              <w:right w:val="nil"/>
            </w:tcBorders>
            <w:tcMar>
              <w:top w:w="0" w:type="dxa"/>
              <w:left w:w="0" w:type="dxa"/>
              <w:bottom w:w="0" w:type="dxa"/>
              <w:right w:w="15" w:type="dxa"/>
            </w:tcMar>
            <w:vAlign w:val="bottom"/>
          </w:tcPr>
          <w:p w14:paraId="498B4AB2" w14:textId="77777777" w:rsidR="001614AC" w:rsidRDefault="001614AC">
            <w:pPr>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7FBD6EA5" w14:textId="77777777" w:rsidR="001614AC" w:rsidRDefault="001614AC"/>
        </w:tc>
        <w:tc>
          <w:tcPr>
            <w:tcW w:w="995" w:type="dxa"/>
            <w:gridSpan w:val="2"/>
            <w:tcBorders>
              <w:top w:val="single" w:sz="8" w:space="0" w:color="C7C9C7"/>
              <w:left w:val="nil"/>
              <w:bottom w:val="single" w:sz="8" w:space="0" w:color="C7C9C7"/>
              <w:right w:val="nil"/>
            </w:tcBorders>
            <w:tcMar>
              <w:top w:w="0" w:type="dxa"/>
              <w:left w:w="53" w:type="dxa"/>
              <w:bottom w:w="0" w:type="dxa"/>
              <w:right w:w="0" w:type="dxa"/>
            </w:tcMar>
            <w:vAlign w:val="bottom"/>
          </w:tcPr>
          <w:p w14:paraId="214AA3EF" w14:textId="77777777" w:rsidR="001614AC" w:rsidRDefault="004468F9">
            <w:pPr>
              <w:spacing w:before="55" w:after="30" w:line="288" w:lineRule="auto"/>
              <w:jc w:val="right"/>
            </w:pPr>
            <w:r>
              <w:rPr>
                <w:rFonts w:ascii="Arial" w:eastAsia="Arial" w:hAnsi="Arial" w:cs="Arial"/>
                <w:color w:val="000000"/>
                <w:sz w:val="18"/>
              </w:rPr>
              <w:t>— </w:t>
            </w:r>
          </w:p>
        </w:tc>
        <w:tc>
          <w:tcPr>
            <w:tcW w:w="100" w:type="dxa"/>
            <w:tcBorders>
              <w:top w:val="single" w:sz="8" w:space="0" w:color="C7C9C7"/>
              <w:left w:val="nil"/>
              <w:bottom w:val="single" w:sz="8" w:space="0" w:color="C7C9C7"/>
              <w:right w:val="nil"/>
            </w:tcBorders>
            <w:tcMar>
              <w:top w:w="0" w:type="dxa"/>
              <w:left w:w="0" w:type="dxa"/>
              <w:bottom w:w="0" w:type="dxa"/>
              <w:right w:w="15" w:type="dxa"/>
            </w:tcMar>
            <w:vAlign w:val="bottom"/>
          </w:tcPr>
          <w:p w14:paraId="477FC231" w14:textId="77777777" w:rsidR="001614AC" w:rsidRDefault="001614AC">
            <w:pPr>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0B49BEC0" w14:textId="77777777" w:rsidR="001614AC" w:rsidRDefault="001614AC"/>
        </w:tc>
        <w:tc>
          <w:tcPr>
            <w:tcW w:w="995" w:type="dxa"/>
            <w:gridSpan w:val="2"/>
            <w:tcBorders>
              <w:top w:val="single" w:sz="8" w:space="0" w:color="C7C9C7"/>
              <w:left w:val="nil"/>
              <w:bottom w:val="single" w:sz="8" w:space="0" w:color="C7C9C7"/>
              <w:right w:val="nil"/>
            </w:tcBorders>
            <w:tcMar>
              <w:top w:w="0" w:type="dxa"/>
              <w:left w:w="53" w:type="dxa"/>
              <w:bottom w:w="0" w:type="dxa"/>
              <w:right w:w="0" w:type="dxa"/>
            </w:tcMar>
            <w:vAlign w:val="bottom"/>
          </w:tcPr>
          <w:p w14:paraId="27278346" w14:textId="77777777" w:rsidR="001614AC" w:rsidRDefault="004468F9">
            <w:pPr>
              <w:spacing w:before="55" w:after="30" w:line="288" w:lineRule="auto"/>
              <w:jc w:val="right"/>
            </w:pPr>
            <w:r>
              <w:rPr>
                <w:rFonts w:ascii="Arial" w:eastAsia="Arial" w:hAnsi="Arial" w:cs="Arial"/>
                <w:color w:val="000000"/>
                <w:sz w:val="18"/>
              </w:rPr>
              <w:t>175,147 </w:t>
            </w:r>
          </w:p>
        </w:tc>
        <w:tc>
          <w:tcPr>
            <w:tcW w:w="100" w:type="dxa"/>
            <w:tcBorders>
              <w:top w:val="single" w:sz="8" w:space="0" w:color="C7C9C7"/>
              <w:left w:val="nil"/>
              <w:bottom w:val="single" w:sz="8" w:space="0" w:color="C7C9C7"/>
              <w:right w:val="nil"/>
            </w:tcBorders>
            <w:tcMar>
              <w:top w:w="0" w:type="dxa"/>
              <w:left w:w="0" w:type="dxa"/>
              <w:bottom w:w="0" w:type="dxa"/>
              <w:right w:w="15" w:type="dxa"/>
            </w:tcMar>
            <w:vAlign w:val="bottom"/>
          </w:tcPr>
          <w:p w14:paraId="31E3DEC2" w14:textId="77777777" w:rsidR="001614AC" w:rsidRDefault="001614AC">
            <w:pPr>
              <w:spacing w:before="55" w:after="30" w:line="288" w:lineRule="auto"/>
              <w:jc w:val="right"/>
            </w:pPr>
          </w:p>
        </w:tc>
      </w:tr>
      <w:tr w:rsidR="001614AC" w14:paraId="7754E1D9" w14:textId="77777777">
        <w:trPr>
          <w:cantSplit/>
        </w:trPr>
        <w:tc>
          <w:tcPr>
            <w:tcW w:w="5280" w:type="dxa"/>
            <w:tcBorders>
              <w:top w:val="single" w:sz="8" w:space="0" w:color="F4F4F4"/>
              <w:left w:val="nil"/>
              <w:bottom w:val="single" w:sz="8" w:space="0" w:color="F4F4F4"/>
              <w:right w:val="nil"/>
            </w:tcBorders>
            <w:tcMar>
              <w:top w:w="0" w:type="dxa"/>
              <w:left w:w="53" w:type="dxa"/>
              <w:bottom w:w="0" w:type="dxa"/>
              <w:right w:w="53" w:type="dxa"/>
            </w:tcMar>
            <w:vAlign w:val="bottom"/>
          </w:tcPr>
          <w:p w14:paraId="3C3EF2AF" w14:textId="77777777" w:rsidR="001614AC" w:rsidRDefault="004468F9">
            <w:pPr>
              <w:spacing w:before="55" w:after="30" w:line="288" w:lineRule="auto"/>
            </w:pPr>
            <w:r>
              <w:rPr>
                <w:rFonts w:ascii="Arial" w:eastAsia="Arial" w:hAnsi="Arial" w:cs="Arial"/>
                <w:color w:val="000000"/>
                <w:sz w:val="18"/>
              </w:rPr>
              <w:t>Short-term investments</w:t>
            </w:r>
          </w:p>
        </w:tc>
        <w:tc>
          <w:tcPr>
            <w:tcW w:w="105" w:type="dxa"/>
            <w:tcBorders>
              <w:top w:val="nil"/>
              <w:left w:val="nil"/>
              <w:bottom w:val="nil"/>
              <w:right w:val="nil"/>
            </w:tcBorders>
            <w:tcMar>
              <w:top w:w="0" w:type="dxa"/>
              <w:left w:w="0" w:type="dxa"/>
              <w:bottom w:w="0" w:type="dxa"/>
              <w:right w:w="0" w:type="dxa"/>
            </w:tcMar>
            <w:vAlign w:val="bottom"/>
          </w:tcPr>
          <w:p w14:paraId="55F0F0F9" w14:textId="77777777" w:rsidR="001614AC" w:rsidRDefault="001614AC"/>
        </w:tc>
        <w:tc>
          <w:tcPr>
            <w:tcW w:w="1095" w:type="dxa"/>
            <w:gridSpan w:val="3"/>
            <w:tcBorders>
              <w:top w:val="single" w:sz="8" w:space="0" w:color="C7C9C7"/>
              <w:left w:val="nil"/>
              <w:bottom w:val="single" w:sz="8" w:space="0" w:color="F4F4F4"/>
              <w:right w:val="nil"/>
            </w:tcBorders>
            <w:tcMar>
              <w:top w:w="0" w:type="dxa"/>
              <w:left w:w="0" w:type="dxa"/>
              <w:bottom w:w="0" w:type="dxa"/>
              <w:right w:w="0" w:type="dxa"/>
            </w:tcMar>
            <w:vAlign w:val="bottom"/>
          </w:tcPr>
          <w:p w14:paraId="175972A7" w14:textId="77777777" w:rsidR="001614AC" w:rsidRDefault="001614AC"/>
        </w:tc>
        <w:tc>
          <w:tcPr>
            <w:tcW w:w="105" w:type="dxa"/>
            <w:tcBorders>
              <w:top w:val="nil"/>
              <w:left w:val="nil"/>
              <w:bottom w:val="nil"/>
              <w:right w:val="nil"/>
            </w:tcBorders>
            <w:tcMar>
              <w:top w:w="0" w:type="dxa"/>
              <w:left w:w="0" w:type="dxa"/>
              <w:bottom w:w="0" w:type="dxa"/>
              <w:right w:w="0" w:type="dxa"/>
            </w:tcMar>
            <w:vAlign w:val="bottom"/>
          </w:tcPr>
          <w:p w14:paraId="5D901D40" w14:textId="77777777" w:rsidR="001614AC" w:rsidRDefault="001614AC"/>
        </w:tc>
        <w:tc>
          <w:tcPr>
            <w:tcW w:w="1095" w:type="dxa"/>
            <w:gridSpan w:val="3"/>
            <w:tcBorders>
              <w:top w:val="single" w:sz="8" w:space="0" w:color="C7C9C7"/>
              <w:left w:val="nil"/>
              <w:bottom w:val="single" w:sz="8" w:space="0" w:color="F4F4F4"/>
              <w:right w:val="nil"/>
            </w:tcBorders>
            <w:tcMar>
              <w:top w:w="0" w:type="dxa"/>
              <w:left w:w="0" w:type="dxa"/>
              <w:bottom w:w="0" w:type="dxa"/>
              <w:right w:w="0" w:type="dxa"/>
            </w:tcMar>
            <w:vAlign w:val="bottom"/>
          </w:tcPr>
          <w:p w14:paraId="7CBEFD02" w14:textId="77777777" w:rsidR="001614AC" w:rsidRDefault="001614AC"/>
        </w:tc>
        <w:tc>
          <w:tcPr>
            <w:tcW w:w="105" w:type="dxa"/>
            <w:tcBorders>
              <w:top w:val="nil"/>
              <w:left w:val="nil"/>
              <w:bottom w:val="nil"/>
              <w:right w:val="nil"/>
            </w:tcBorders>
            <w:tcMar>
              <w:top w:w="0" w:type="dxa"/>
              <w:left w:w="0" w:type="dxa"/>
              <w:bottom w:w="0" w:type="dxa"/>
              <w:right w:w="0" w:type="dxa"/>
            </w:tcMar>
            <w:vAlign w:val="bottom"/>
          </w:tcPr>
          <w:p w14:paraId="45FD30FC" w14:textId="77777777" w:rsidR="001614AC" w:rsidRDefault="001614AC"/>
        </w:tc>
        <w:tc>
          <w:tcPr>
            <w:tcW w:w="1095" w:type="dxa"/>
            <w:gridSpan w:val="3"/>
            <w:tcBorders>
              <w:top w:val="single" w:sz="8" w:space="0" w:color="C7C9C7"/>
              <w:left w:val="nil"/>
              <w:bottom w:val="single" w:sz="8" w:space="0" w:color="F4F4F4"/>
              <w:right w:val="nil"/>
            </w:tcBorders>
            <w:tcMar>
              <w:top w:w="0" w:type="dxa"/>
              <w:left w:w="0" w:type="dxa"/>
              <w:bottom w:w="0" w:type="dxa"/>
              <w:right w:w="0" w:type="dxa"/>
            </w:tcMar>
            <w:vAlign w:val="bottom"/>
          </w:tcPr>
          <w:p w14:paraId="1D4D05BF" w14:textId="77777777" w:rsidR="001614AC" w:rsidRDefault="001614AC"/>
        </w:tc>
        <w:tc>
          <w:tcPr>
            <w:tcW w:w="105" w:type="dxa"/>
            <w:tcBorders>
              <w:top w:val="nil"/>
              <w:left w:val="nil"/>
              <w:bottom w:val="nil"/>
              <w:right w:val="nil"/>
            </w:tcBorders>
            <w:tcMar>
              <w:top w:w="0" w:type="dxa"/>
              <w:left w:w="0" w:type="dxa"/>
              <w:bottom w:w="0" w:type="dxa"/>
              <w:right w:w="0" w:type="dxa"/>
            </w:tcMar>
            <w:vAlign w:val="bottom"/>
          </w:tcPr>
          <w:p w14:paraId="2EE22DD4" w14:textId="77777777" w:rsidR="001614AC" w:rsidRDefault="001614AC"/>
        </w:tc>
        <w:tc>
          <w:tcPr>
            <w:tcW w:w="1095" w:type="dxa"/>
            <w:gridSpan w:val="3"/>
            <w:tcBorders>
              <w:top w:val="single" w:sz="8" w:space="0" w:color="C7C9C7"/>
              <w:left w:val="nil"/>
              <w:bottom w:val="single" w:sz="8" w:space="0" w:color="F4F4F4"/>
              <w:right w:val="nil"/>
            </w:tcBorders>
            <w:tcMar>
              <w:top w:w="0" w:type="dxa"/>
              <w:left w:w="0" w:type="dxa"/>
              <w:bottom w:w="0" w:type="dxa"/>
              <w:right w:w="0" w:type="dxa"/>
            </w:tcMar>
            <w:vAlign w:val="bottom"/>
          </w:tcPr>
          <w:p w14:paraId="3604F5C2" w14:textId="77777777" w:rsidR="001614AC" w:rsidRDefault="001614AC"/>
        </w:tc>
      </w:tr>
      <w:tr w:rsidR="001614AC" w14:paraId="776714B4" w14:textId="77777777">
        <w:trPr>
          <w:cantSplit/>
        </w:trPr>
        <w:tc>
          <w:tcPr>
            <w:tcW w:w="5280" w:type="dxa"/>
            <w:tcBorders>
              <w:top w:val="single" w:sz="8" w:space="0" w:color="F4F4F4"/>
              <w:left w:val="nil"/>
              <w:bottom w:val="single" w:sz="8" w:space="0" w:color="F4F4F4"/>
              <w:right w:val="nil"/>
            </w:tcBorders>
            <w:tcMar>
              <w:top w:w="0" w:type="dxa"/>
              <w:left w:w="53" w:type="dxa"/>
              <w:bottom w:w="0" w:type="dxa"/>
              <w:right w:w="53" w:type="dxa"/>
            </w:tcMar>
            <w:vAlign w:val="bottom"/>
          </w:tcPr>
          <w:p w14:paraId="0E6941E3" w14:textId="77777777" w:rsidR="001614AC" w:rsidRDefault="004468F9">
            <w:pPr>
              <w:spacing w:before="55" w:after="30" w:line="288" w:lineRule="auto"/>
              <w:ind w:left="240"/>
            </w:pPr>
            <w:r>
              <w:rPr>
                <w:rFonts w:ascii="Arial" w:eastAsia="Arial" w:hAnsi="Arial" w:cs="Arial"/>
                <w:color w:val="000000"/>
                <w:sz w:val="18"/>
              </w:rPr>
              <w:t>U.S. government and agency securities</w:t>
            </w:r>
          </w:p>
        </w:tc>
        <w:tc>
          <w:tcPr>
            <w:tcW w:w="105" w:type="dxa"/>
            <w:tcBorders>
              <w:top w:val="nil"/>
              <w:left w:val="nil"/>
              <w:bottom w:val="nil"/>
              <w:right w:val="nil"/>
            </w:tcBorders>
            <w:tcMar>
              <w:top w:w="0" w:type="dxa"/>
              <w:left w:w="0" w:type="dxa"/>
              <w:bottom w:w="0" w:type="dxa"/>
              <w:right w:w="0" w:type="dxa"/>
            </w:tcMar>
            <w:vAlign w:val="bottom"/>
          </w:tcPr>
          <w:p w14:paraId="77116546" w14:textId="77777777" w:rsidR="001614AC" w:rsidRDefault="001614AC"/>
        </w:tc>
        <w:tc>
          <w:tcPr>
            <w:tcW w:w="995"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71671707" w14:textId="77777777" w:rsidR="001614AC" w:rsidRDefault="004468F9">
            <w:pPr>
              <w:spacing w:before="55" w:after="30" w:line="288" w:lineRule="auto"/>
              <w:jc w:val="right"/>
            </w:pPr>
            <w:r>
              <w:rPr>
                <w:rFonts w:ascii="Arial" w:eastAsia="Arial" w:hAnsi="Arial" w:cs="Arial"/>
                <w:color w:val="000000"/>
                <w:sz w:val="18"/>
              </w:rPr>
              <w:t>21,997 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1AEB5743" w14:textId="77777777" w:rsidR="001614AC" w:rsidRDefault="001614AC">
            <w:pPr>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517F7896" w14:textId="77777777" w:rsidR="001614AC" w:rsidRDefault="001614AC"/>
        </w:tc>
        <w:tc>
          <w:tcPr>
            <w:tcW w:w="995"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2241E4C4" w14:textId="77777777" w:rsidR="001614AC" w:rsidRDefault="004468F9">
            <w:pPr>
              <w:spacing w:before="55" w:after="30" w:line="288" w:lineRule="auto"/>
              <w:jc w:val="right"/>
            </w:pPr>
            <w:r>
              <w:rPr>
                <w:rFonts w:ascii="Arial" w:eastAsia="Arial" w:hAnsi="Arial" w:cs="Arial"/>
                <w:color w:val="000000"/>
                <w:sz w:val="18"/>
              </w:rPr>
              <w:t>—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54F1F79D" w14:textId="77777777" w:rsidR="001614AC" w:rsidRDefault="001614AC">
            <w:pPr>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61B515A7" w14:textId="77777777" w:rsidR="001614AC" w:rsidRDefault="001614AC"/>
        </w:tc>
        <w:tc>
          <w:tcPr>
            <w:tcW w:w="995"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7B0C9CC7" w14:textId="77777777" w:rsidR="001614AC" w:rsidRDefault="004468F9">
            <w:pPr>
              <w:spacing w:before="55" w:after="30" w:line="288" w:lineRule="auto"/>
              <w:jc w:val="right"/>
            </w:pPr>
            <w:r>
              <w:rPr>
                <w:rFonts w:ascii="Arial" w:eastAsia="Arial" w:hAnsi="Arial" w:cs="Arial"/>
                <w:color w:val="000000"/>
                <w:sz w:val="18"/>
              </w:rPr>
              <w:t>—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2DE77AD3" w14:textId="77777777" w:rsidR="001614AC" w:rsidRDefault="001614AC">
            <w:pPr>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245FC64C" w14:textId="77777777" w:rsidR="001614AC" w:rsidRDefault="001614AC"/>
        </w:tc>
        <w:tc>
          <w:tcPr>
            <w:tcW w:w="995"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09471CB1" w14:textId="77777777" w:rsidR="001614AC" w:rsidRDefault="004468F9">
            <w:pPr>
              <w:spacing w:before="55" w:after="30" w:line="288" w:lineRule="auto"/>
              <w:jc w:val="right"/>
            </w:pPr>
            <w:r>
              <w:rPr>
                <w:rFonts w:ascii="Arial" w:eastAsia="Arial" w:hAnsi="Arial" w:cs="Arial"/>
                <w:color w:val="000000"/>
                <w:sz w:val="18"/>
              </w:rPr>
              <w:t>21,997 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082465EE" w14:textId="77777777" w:rsidR="001614AC" w:rsidRDefault="001614AC">
            <w:pPr>
              <w:spacing w:before="55" w:after="30" w:line="288" w:lineRule="auto"/>
              <w:jc w:val="right"/>
            </w:pPr>
          </w:p>
        </w:tc>
      </w:tr>
      <w:tr w:rsidR="001614AC" w14:paraId="6C384FE4" w14:textId="77777777">
        <w:trPr>
          <w:cantSplit/>
        </w:trPr>
        <w:tc>
          <w:tcPr>
            <w:tcW w:w="5280" w:type="dxa"/>
            <w:tcBorders>
              <w:top w:val="single" w:sz="8" w:space="0" w:color="F4F4F4"/>
              <w:left w:val="nil"/>
              <w:bottom w:val="single" w:sz="8" w:space="0" w:color="F4F4F4"/>
              <w:right w:val="nil"/>
            </w:tcBorders>
            <w:tcMar>
              <w:top w:w="0" w:type="dxa"/>
              <w:left w:w="53" w:type="dxa"/>
              <w:bottom w:w="0" w:type="dxa"/>
              <w:right w:w="53" w:type="dxa"/>
            </w:tcMar>
            <w:vAlign w:val="bottom"/>
          </w:tcPr>
          <w:p w14:paraId="489234E7" w14:textId="77777777" w:rsidR="001614AC" w:rsidRDefault="004468F9">
            <w:pPr>
              <w:spacing w:before="55" w:after="30" w:line="288" w:lineRule="auto"/>
              <w:ind w:left="240"/>
            </w:pPr>
            <w:r>
              <w:rPr>
                <w:rFonts w:ascii="Arial" w:eastAsia="Arial" w:hAnsi="Arial" w:cs="Arial"/>
                <w:color w:val="000000"/>
                <w:sz w:val="18"/>
              </w:rPr>
              <w:t>State and municipal obligations</w:t>
            </w:r>
          </w:p>
        </w:tc>
        <w:tc>
          <w:tcPr>
            <w:tcW w:w="105" w:type="dxa"/>
            <w:tcBorders>
              <w:top w:val="nil"/>
              <w:left w:val="nil"/>
              <w:bottom w:val="nil"/>
              <w:right w:val="nil"/>
            </w:tcBorders>
            <w:tcMar>
              <w:top w:w="0" w:type="dxa"/>
              <w:left w:w="0" w:type="dxa"/>
              <w:bottom w:w="0" w:type="dxa"/>
              <w:right w:w="0" w:type="dxa"/>
            </w:tcMar>
            <w:vAlign w:val="bottom"/>
          </w:tcPr>
          <w:p w14:paraId="2C0450F8" w14:textId="77777777" w:rsidR="001614AC" w:rsidRDefault="001614AC"/>
        </w:tc>
        <w:tc>
          <w:tcPr>
            <w:tcW w:w="995"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3CA305C6" w14:textId="77777777" w:rsidR="001614AC" w:rsidRDefault="004468F9">
            <w:pPr>
              <w:spacing w:before="55" w:after="30" w:line="288" w:lineRule="auto"/>
              <w:jc w:val="right"/>
            </w:pPr>
            <w:r>
              <w:rPr>
                <w:rFonts w:ascii="Arial" w:eastAsia="Arial" w:hAnsi="Arial" w:cs="Arial"/>
                <w:color w:val="000000"/>
                <w:sz w:val="18"/>
              </w:rPr>
              <w:t>—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552141F0" w14:textId="77777777" w:rsidR="001614AC" w:rsidRDefault="001614AC">
            <w:pPr>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77EB7930" w14:textId="77777777" w:rsidR="001614AC" w:rsidRDefault="001614AC"/>
        </w:tc>
        <w:tc>
          <w:tcPr>
            <w:tcW w:w="995"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1F9520F3" w14:textId="77777777" w:rsidR="001614AC" w:rsidRDefault="004468F9">
            <w:pPr>
              <w:spacing w:before="55" w:after="30" w:line="288" w:lineRule="auto"/>
              <w:jc w:val="right"/>
            </w:pPr>
            <w:r>
              <w:rPr>
                <w:rFonts w:ascii="Arial" w:eastAsia="Arial" w:hAnsi="Arial" w:cs="Arial"/>
                <w:color w:val="000000"/>
                <w:sz w:val="18"/>
              </w:rPr>
              <w:t>15,940 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371DBD28" w14:textId="77777777" w:rsidR="001614AC" w:rsidRDefault="001614AC">
            <w:pPr>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0AEE67D3" w14:textId="77777777" w:rsidR="001614AC" w:rsidRDefault="001614AC"/>
        </w:tc>
        <w:tc>
          <w:tcPr>
            <w:tcW w:w="995"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7711B748" w14:textId="77777777" w:rsidR="001614AC" w:rsidRDefault="004468F9">
            <w:pPr>
              <w:spacing w:before="55" w:after="30" w:line="288" w:lineRule="auto"/>
              <w:jc w:val="right"/>
            </w:pPr>
            <w:r>
              <w:rPr>
                <w:rFonts w:ascii="Arial" w:eastAsia="Arial" w:hAnsi="Arial" w:cs="Arial"/>
                <w:color w:val="000000"/>
                <w:sz w:val="18"/>
              </w:rPr>
              <w:t>—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7DB136BE" w14:textId="77777777" w:rsidR="001614AC" w:rsidRDefault="001614AC">
            <w:pPr>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128E2551" w14:textId="77777777" w:rsidR="001614AC" w:rsidRDefault="001614AC"/>
        </w:tc>
        <w:tc>
          <w:tcPr>
            <w:tcW w:w="995"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723A4580" w14:textId="77777777" w:rsidR="001614AC" w:rsidRDefault="004468F9">
            <w:pPr>
              <w:spacing w:before="55" w:after="30" w:line="288" w:lineRule="auto"/>
              <w:jc w:val="right"/>
            </w:pPr>
            <w:r>
              <w:rPr>
                <w:rFonts w:ascii="Arial" w:eastAsia="Arial" w:hAnsi="Arial" w:cs="Arial"/>
                <w:color w:val="000000"/>
                <w:sz w:val="18"/>
              </w:rPr>
              <w:t>15,940 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40893EBB" w14:textId="77777777" w:rsidR="001614AC" w:rsidRDefault="001614AC">
            <w:pPr>
              <w:spacing w:before="55" w:after="30" w:line="288" w:lineRule="auto"/>
              <w:jc w:val="right"/>
            </w:pPr>
          </w:p>
        </w:tc>
      </w:tr>
      <w:tr w:rsidR="001614AC" w14:paraId="70B78EBB" w14:textId="77777777">
        <w:trPr>
          <w:cantSplit/>
        </w:trPr>
        <w:tc>
          <w:tcPr>
            <w:tcW w:w="5280" w:type="dxa"/>
            <w:tcBorders>
              <w:top w:val="single" w:sz="8" w:space="0" w:color="F4F4F4"/>
              <w:left w:val="nil"/>
              <w:bottom w:val="single" w:sz="8" w:space="0" w:color="F4F4F4"/>
              <w:right w:val="nil"/>
            </w:tcBorders>
            <w:tcMar>
              <w:top w:w="0" w:type="dxa"/>
              <w:left w:w="53" w:type="dxa"/>
              <w:bottom w:w="0" w:type="dxa"/>
              <w:right w:w="53" w:type="dxa"/>
            </w:tcMar>
            <w:vAlign w:val="bottom"/>
          </w:tcPr>
          <w:p w14:paraId="475DD45D" w14:textId="77777777" w:rsidR="001614AC" w:rsidRDefault="004468F9">
            <w:pPr>
              <w:spacing w:before="55" w:after="30" w:line="288" w:lineRule="auto"/>
              <w:ind w:left="240"/>
            </w:pPr>
            <w:r>
              <w:rPr>
                <w:rFonts w:ascii="Arial" w:eastAsia="Arial" w:hAnsi="Arial" w:cs="Arial"/>
                <w:color w:val="000000"/>
                <w:sz w:val="18"/>
              </w:rPr>
              <w:t>Money market instruments</w:t>
            </w:r>
          </w:p>
        </w:tc>
        <w:tc>
          <w:tcPr>
            <w:tcW w:w="105" w:type="dxa"/>
            <w:tcBorders>
              <w:top w:val="nil"/>
              <w:left w:val="nil"/>
              <w:bottom w:val="nil"/>
              <w:right w:val="nil"/>
            </w:tcBorders>
            <w:tcMar>
              <w:top w:w="0" w:type="dxa"/>
              <w:left w:w="0" w:type="dxa"/>
              <w:bottom w:w="0" w:type="dxa"/>
              <w:right w:w="0" w:type="dxa"/>
            </w:tcMar>
            <w:vAlign w:val="bottom"/>
          </w:tcPr>
          <w:p w14:paraId="75A8DB68" w14:textId="77777777" w:rsidR="001614AC" w:rsidRDefault="001614AC"/>
        </w:tc>
        <w:tc>
          <w:tcPr>
            <w:tcW w:w="995"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69F62D00" w14:textId="77777777" w:rsidR="001614AC" w:rsidRDefault="004468F9">
            <w:pPr>
              <w:spacing w:before="55" w:after="30" w:line="288" w:lineRule="auto"/>
              <w:jc w:val="right"/>
            </w:pPr>
            <w:r>
              <w:rPr>
                <w:rFonts w:ascii="Arial" w:eastAsia="Arial" w:hAnsi="Arial" w:cs="Arial"/>
                <w:color w:val="000000"/>
                <w:sz w:val="18"/>
              </w:rPr>
              <w:t>406,808 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24293B88" w14:textId="77777777" w:rsidR="001614AC" w:rsidRDefault="001614AC">
            <w:pPr>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5CDDA4C6" w14:textId="77777777" w:rsidR="001614AC" w:rsidRDefault="001614AC"/>
        </w:tc>
        <w:tc>
          <w:tcPr>
            <w:tcW w:w="995"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3E072E00" w14:textId="77777777" w:rsidR="001614AC" w:rsidRDefault="004468F9">
            <w:pPr>
              <w:spacing w:before="55" w:after="30" w:line="288" w:lineRule="auto"/>
              <w:jc w:val="right"/>
            </w:pPr>
            <w:r>
              <w:rPr>
                <w:rFonts w:ascii="Arial" w:eastAsia="Arial" w:hAnsi="Arial" w:cs="Arial"/>
                <w:color w:val="000000"/>
                <w:sz w:val="18"/>
              </w:rPr>
              <w:t>—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347C8952" w14:textId="77777777" w:rsidR="001614AC" w:rsidRDefault="001614AC">
            <w:pPr>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28ACE808" w14:textId="77777777" w:rsidR="001614AC" w:rsidRDefault="001614AC"/>
        </w:tc>
        <w:tc>
          <w:tcPr>
            <w:tcW w:w="995"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0C4E3B33" w14:textId="77777777" w:rsidR="001614AC" w:rsidRDefault="004468F9">
            <w:pPr>
              <w:spacing w:before="55" w:after="30" w:line="288" w:lineRule="auto"/>
              <w:jc w:val="right"/>
            </w:pPr>
            <w:r>
              <w:rPr>
                <w:rFonts w:ascii="Arial" w:eastAsia="Arial" w:hAnsi="Arial" w:cs="Arial"/>
                <w:color w:val="000000"/>
                <w:sz w:val="18"/>
              </w:rPr>
              <w:t>—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3041C129" w14:textId="77777777" w:rsidR="001614AC" w:rsidRDefault="001614AC">
            <w:pPr>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659C0D1F" w14:textId="77777777" w:rsidR="001614AC" w:rsidRDefault="001614AC"/>
        </w:tc>
        <w:tc>
          <w:tcPr>
            <w:tcW w:w="995"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2EB04630" w14:textId="77777777" w:rsidR="001614AC" w:rsidRDefault="004468F9">
            <w:pPr>
              <w:spacing w:before="55" w:after="30" w:line="288" w:lineRule="auto"/>
              <w:jc w:val="right"/>
            </w:pPr>
            <w:r>
              <w:rPr>
                <w:rFonts w:ascii="Arial" w:eastAsia="Arial" w:hAnsi="Arial" w:cs="Arial"/>
                <w:color w:val="000000"/>
                <w:sz w:val="18"/>
              </w:rPr>
              <w:t>406,808 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3B8176CE" w14:textId="77777777" w:rsidR="001614AC" w:rsidRDefault="001614AC">
            <w:pPr>
              <w:spacing w:before="55" w:after="30" w:line="288" w:lineRule="auto"/>
              <w:jc w:val="right"/>
            </w:pPr>
          </w:p>
        </w:tc>
      </w:tr>
      <w:tr w:rsidR="001614AC" w14:paraId="36D07268" w14:textId="77777777">
        <w:trPr>
          <w:cantSplit/>
        </w:trPr>
        <w:tc>
          <w:tcPr>
            <w:tcW w:w="5280" w:type="dxa"/>
            <w:tcBorders>
              <w:top w:val="single" w:sz="8" w:space="0" w:color="F4F4F4"/>
              <w:left w:val="nil"/>
              <w:bottom w:val="single" w:sz="8" w:space="0" w:color="F4F4F4"/>
              <w:right w:val="nil"/>
            </w:tcBorders>
            <w:tcMar>
              <w:top w:w="0" w:type="dxa"/>
              <w:left w:w="53" w:type="dxa"/>
              <w:bottom w:w="0" w:type="dxa"/>
              <w:right w:w="53" w:type="dxa"/>
            </w:tcMar>
            <w:vAlign w:val="bottom"/>
          </w:tcPr>
          <w:p w14:paraId="4CEB8A3A" w14:textId="77777777" w:rsidR="001614AC" w:rsidRDefault="004468F9">
            <w:pPr>
              <w:spacing w:before="55" w:after="30" w:line="288" w:lineRule="auto"/>
              <w:ind w:left="240"/>
            </w:pPr>
            <w:r>
              <w:rPr>
                <w:rFonts w:ascii="Arial" w:eastAsia="Arial" w:hAnsi="Arial" w:cs="Arial"/>
                <w:color w:val="000000"/>
                <w:sz w:val="18"/>
              </w:rPr>
              <w:t>Corporate bonds and notes</w:t>
            </w:r>
          </w:p>
        </w:tc>
        <w:tc>
          <w:tcPr>
            <w:tcW w:w="105" w:type="dxa"/>
            <w:tcBorders>
              <w:top w:val="nil"/>
              <w:left w:val="nil"/>
              <w:bottom w:val="nil"/>
              <w:right w:val="nil"/>
            </w:tcBorders>
            <w:tcMar>
              <w:top w:w="0" w:type="dxa"/>
              <w:left w:w="0" w:type="dxa"/>
              <w:bottom w:w="0" w:type="dxa"/>
              <w:right w:w="0" w:type="dxa"/>
            </w:tcMar>
            <w:vAlign w:val="bottom"/>
          </w:tcPr>
          <w:p w14:paraId="0322BB4D" w14:textId="77777777" w:rsidR="001614AC" w:rsidRDefault="001614AC"/>
        </w:tc>
        <w:tc>
          <w:tcPr>
            <w:tcW w:w="995"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66781F7C" w14:textId="77777777" w:rsidR="001614AC" w:rsidRDefault="004468F9">
            <w:pPr>
              <w:spacing w:before="55" w:after="30" w:line="288" w:lineRule="auto"/>
              <w:jc w:val="right"/>
            </w:pPr>
            <w:r>
              <w:rPr>
                <w:rFonts w:ascii="Arial" w:eastAsia="Arial" w:hAnsi="Arial" w:cs="Arial"/>
                <w:color w:val="000000"/>
                <w:sz w:val="18"/>
              </w:rPr>
              <w:t>—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295CBFD4" w14:textId="77777777" w:rsidR="001614AC" w:rsidRDefault="001614AC">
            <w:pPr>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6637E215" w14:textId="77777777" w:rsidR="001614AC" w:rsidRDefault="001614AC"/>
        </w:tc>
        <w:tc>
          <w:tcPr>
            <w:tcW w:w="995"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08E93711" w14:textId="77777777" w:rsidR="001614AC" w:rsidRDefault="004468F9">
            <w:pPr>
              <w:spacing w:before="55" w:after="30" w:line="288" w:lineRule="auto"/>
              <w:jc w:val="right"/>
            </w:pPr>
            <w:r>
              <w:rPr>
                <w:rFonts w:ascii="Arial" w:eastAsia="Arial" w:hAnsi="Arial" w:cs="Arial"/>
                <w:color w:val="000000"/>
                <w:sz w:val="18"/>
              </w:rPr>
              <w:t>19,931 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75F24F2E" w14:textId="77777777" w:rsidR="001614AC" w:rsidRDefault="001614AC">
            <w:pPr>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6BD486E7" w14:textId="77777777" w:rsidR="001614AC" w:rsidRDefault="001614AC"/>
        </w:tc>
        <w:tc>
          <w:tcPr>
            <w:tcW w:w="995"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53483B09" w14:textId="77777777" w:rsidR="001614AC" w:rsidRDefault="004468F9">
            <w:pPr>
              <w:spacing w:before="55" w:after="30" w:line="288" w:lineRule="auto"/>
              <w:jc w:val="right"/>
            </w:pPr>
            <w:r>
              <w:rPr>
                <w:rFonts w:ascii="Arial" w:eastAsia="Arial" w:hAnsi="Arial" w:cs="Arial"/>
                <w:color w:val="000000"/>
                <w:sz w:val="18"/>
              </w:rPr>
              <w:t>—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150DB07F" w14:textId="77777777" w:rsidR="001614AC" w:rsidRDefault="001614AC">
            <w:pPr>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4938C503" w14:textId="77777777" w:rsidR="001614AC" w:rsidRDefault="001614AC"/>
        </w:tc>
        <w:tc>
          <w:tcPr>
            <w:tcW w:w="995"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21EAEBDE" w14:textId="77777777" w:rsidR="001614AC" w:rsidRDefault="004468F9">
            <w:pPr>
              <w:spacing w:before="55" w:after="30" w:line="288" w:lineRule="auto"/>
              <w:jc w:val="right"/>
            </w:pPr>
            <w:r>
              <w:rPr>
                <w:rFonts w:ascii="Arial" w:eastAsia="Arial" w:hAnsi="Arial" w:cs="Arial"/>
                <w:color w:val="000000"/>
                <w:sz w:val="18"/>
              </w:rPr>
              <w:t>19,931 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4C676D14" w14:textId="77777777" w:rsidR="001614AC" w:rsidRDefault="001614AC">
            <w:pPr>
              <w:spacing w:before="55" w:after="30" w:line="288" w:lineRule="auto"/>
              <w:jc w:val="right"/>
            </w:pPr>
          </w:p>
        </w:tc>
      </w:tr>
      <w:tr w:rsidR="001614AC" w14:paraId="5CD55753" w14:textId="77777777">
        <w:trPr>
          <w:cantSplit/>
        </w:trPr>
        <w:tc>
          <w:tcPr>
            <w:tcW w:w="5280" w:type="dxa"/>
            <w:tcBorders>
              <w:top w:val="single" w:sz="8" w:space="0" w:color="F4F4F4"/>
              <w:left w:val="nil"/>
              <w:bottom w:val="single" w:sz="8" w:space="0" w:color="F4F4F4"/>
              <w:right w:val="nil"/>
            </w:tcBorders>
            <w:tcMar>
              <w:top w:w="0" w:type="dxa"/>
              <w:left w:w="53" w:type="dxa"/>
              <w:bottom w:w="0" w:type="dxa"/>
              <w:right w:w="53" w:type="dxa"/>
            </w:tcMar>
            <w:vAlign w:val="bottom"/>
          </w:tcPr>
          <w:p w14:paraId="75C1C6F6" w14:textId="77777777" w:rsidR="001614AC" w:rsidRDefault="004468F9">
            <w:pPr>
              <w:spacing w:before="55" w:after="30" w:line="288" w:lineRule="auto"/>
              <w:ind w:left="240"/>
            </w:pPr>
            <w:r>
              <w:rPr>
                <w:rFonts w:ascii="Arial" w:eastAsia="Arial" w:hAnsi="Arial" w:cs="Arial"/>
                <w:color w:val="000000"/>
                <w:sz w:val="18"/>
              </w:rPr>
              <w:t>CMBS</w:t>
            </w:r>
          </w:p>
        </w:tc>
        <w:tc>
          <w:tcPr>
            <w:tcW w:w="105" w:type="dxa"/>
            <w:tcBorders>
              <w:top w:val="nil"/>
              <w:left w:val="nil"/>
              <w:bottom w:val="nil"/>
              <w:right w:val="nil"/>
            </w:tcBorders>
            <w:tcMar>
              <w:top w:w="0" w:type="dxa"/>
              <w:left w:w="0" w:type="dxa"/>
              <w:bottom w:w="0" w:type="dxa"/>
              <w:right w:w="0" w:type="dxa"/>
            </w:tcMar>
            <w:vAlign w:val="bottom"/>
          </w:tcPr>
          <w:p w14:paraId="25FABAA3" w14:textId="77777777" w:rsidR="001614AC" w:rsidRDefault="001614AC"/>
        </w:tc>
        <w:tc>
          <w:tcPr>
            <w:tcW w:w="995"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1ED6CF04" w14:textId="77777777" w:rsidR="001614AC" w:rsidRDefault="004468F9">
            <w:pPr>
              <w:spacing w:before="55" w:after="30" w:line="288" w:lineRule="auto"/>
              <w:jc w:val="right"/>
            </w:pPr>
            <w:r>
              <w:rPr>
                <w:rFonts w:ascii="Arial" w:eastAsia="Arial" w:hAnsi="Arial" w:cs="Arial"/>
                <w:color w:val="000000"/>
                <w:sz w:val="18"/>
              </w:rPr>
              <w:t>—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31D09117" w14:textId="77777777" w:rsidR="001614AC" w:rsidRDefault="001614AC">
            <w:pPr>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295AE185" w14:textId="77777777" w:rsidR="001614AC" w:rsidRDefault="001614AC"/>
        </w:tc>
        <w:tc>
          <w:tcPr>
            <w:tcW w:w="995"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1E8A6DB5" w14:textId="77777777" w:rsidR="001614AC" w:rsidRDefault="004468F9">
            <w:pPr>
              <w:spacing w:before="55" w:after="30" w:line="288" w:lineRule="auto"/>
              <w:jc w:val="right"/>
            </w:pPr>
            <w:r>
              <w:rPr>
                <w:rFonts w:ascii="Arial" w:eastAsia="Arial" w:hAnsi="Arial" w:cs="Arial"/>
                <w:color w:val="000000"/>
                <w:sz w:val="18"/>
              </w:rPr>
              <w:t>4,780 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3F9F69AF" w14:textId="77777777" w:rsidR="001614AC" w:rsidRDefault="001614AC">
            <w:pPr>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61A62980" w14:textId="77777777" w:rsidR="001614AC" w:rsidRDefault="001614AC"/>
        </w:tc>
        <w:tc>
          <w:tcPr>
            <w:tcW w:w="995"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3E9305EA" w14:textId="77777777" w:rsidR="001614AC" w:rsidRDefault="004468F9">
            <w:pPr>
              <w:spacing w:before="55" w:after="30" w:line="288" w:lineRule="auto"/>
              <w:jc w:val="right"/>
            </w:pPr>
            <w:r>
              <w:rPr>
                <w:rFonts w:ascii="Arial" w:eastAsia="Arial" w:hAnsi="Arial" w:cs="Arial"/>
                <w:color w:val="000000"/>
                <w:sz w:val="18"/>
              </w:rPr>
              <w:t>—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2956C9DC" w14:textId="77777777" w:rsidR="001614AC" w:rsidRDefault="001614AC">
            <w:pPr>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018ACD53" w14:textId="77777777" w:rsidR="001614AC" w:rsidRDefault="001614AC"/>
        </w:tc>
        <w:tc>
          <w:tcPr>
            <w:tcW w:w="995"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44F398CF" w14:textId="77777777" w:rsidR="001614AC" w:rsidRDefault="004468F9">
            <w:pPr>
              <w:spacing w:before="55" w:after="30" w:line="288" w:lineRule="auto"/>
              <w:jc w:val="right"/>
            </w:pPr>
            <w:r>
              <w:rPr>
                <w:rFonts w:ascii="Arial" w:eastAsia="Arial" w:hAnsi="Arial" w:cs="Arial"/>
                <w:color w:val="000000"/>
                <w:sz w:val="18"/>
              </w:rPr>
              <w:t>4,780 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503A04C2" w14:textId="77777777" w:rsidR="001614AC" w:rsidRDefault="001614AC">
            <w:pPr>
              <w:spacing w:before="55" w:after="30" w:line="288" w:lineRule="auto"/>
              <w:jc w:val="right"/>
            </w:pPr>
          </w:p>
        </w:tc>
      </w:tr>
      <w:tr w:rsidR="001614AC" w14:paraId="0DCC09E0" w14:textId="77777777">
        <w:trPr>
          <w:cantSplit/>
        </w:trPr>
        <w:tc>
          <w:tcPr>
            <w:tcW w:w="5280" w:type="dxa"/>
            <w:tcBorders>
              <w:top w:val="single" w:sz="8" w:space="0" w:color="F4F4F4"/>
              <w:left w:val="nil"/>
              <w:bottom w:val="nil"/>
              <w:right w:val="nil"/>
            </w:tcBorders>
            <w:tcMar>
              <w:top w:w="0" w:type="dxa"/>
              <w:left w:w="53" w:type="dxa"/>
              <w:bottom w:w="0" w:type="dxa"/>
              <w:right w:w="53" w:type="dxa"/>
            </w:tcMar>
            <w:vAlign w:val="bottom"/>
          </w:tcPr>
          <w:p w14:paraId="7F83E49D" w14:textId="77777777" w:rsidR="001614AC" w:rsidRDefault="004468F9">
            <w:pPr>
              <w:spacing w:before="55" w:after="30" w:line="288" w:lineRule="auto"/>
              <w:ind w:left="240"/>
            </w:pPr>
            <w:r>
              <w:rPr>
                <w:rFonts w:ascii="Arial" w:eastAsia="Arial" w:hAnsi="Arial" w:cs="Arial"/>
                <w:color w:val="000000"/>
                <w:sz w:val="18"/>
              </w:rPr>
              <w:t>Other ABS</w:t>
            </w:r>
          </w:p>
        </w:tc>
        <w:tc>
          <w:tcPr>
            <w:tcW w:w="105" w:type="dxa"/>
            <w:tcBorders>
              <w:top w:val="nil"/>
              <w:left w:val="nil"/>
              <w:bottom w:val="nil"/>
              <w:right w:val="nil"/>
            </w:tcBorders>
            <w:tcMar>
              <w:top w:w="0" w:type="dxa"/>
              <w:left w:w="0" w:type="dxa"/>
              <w:bottom w:w="0" w:type="dxa"/>
              <w:right w:w="0" w:type="dxa"/>
            </w:tcMar>
            <w:vAlign w:val="bottom"/>
          </w:tcPr>
          <w:p w14:paraId="01E65699" w14:textId="77777777" w:rsidR="001614AC" w:rsidRDefault="001614AC"/>
        </w:tc>
        <w:tc>
          <w:tcPr>
            <w:tcW w:w="995" w:type="dxa"/>
            <w:gridSpan w:val="2"/>
            <w:tcBorders>
              <w:top w:val="single" w:sz="8" w:space="0" w:color="F4F4F4"/>
              <w:left w:val="nil"/>
              <w:bottom w:val="nil"/>
              <w:right w:val="nil"/>
            </w:tcBorders>
            <w:tcMar>
              <w:top w:w="0" w:type="dxa"/>
              <w:left w:w="53" w:type="dxa"/>
              <w:bottom w:w="0" w:type="dxa"/>
              <w:right w:w="0" w:type="dxa"/>
            </w:tcMar>
            <w:vAlign w:val="bottom"/>
          </w:tcPr>
          <w:p w14:paraId="7C94CCEC" w14:textId="77777777" w:rsidR="001614AC" w:rsidRDefault="004468F9">
            <w:pPr>
              <w:spacing w:before="55" w:after="30" w:line="288" w:lineRule="auto"/>
              <w:jc w:val="right"/>
            </w:pPr>
            <w:r>
              <w:rPr>
                <w:rFonts w:ascii="Arial" w:eastAsia="Arial" w:hAnsi="Arial" w:cs="Arial"/>
                <w:color w:val="000000"/>
                <w:sz w:val="18"/>
              </w:rPr>
              <w:t>— </w:t>
            </w:r>
          </w:p>
        </w:tc>
        <w:tc>
          <w:tcPr>
            <w:tcW w:w="100" w:type="dxa"/>
            <w:tcBorders>
              <w:top w:val="single" w:sz="8" w:space="0" w:color="F4F4F4"/>
              <w:left w:val="nil"/>
              <w:bottom w:val="nil"/>
              <w:right w:val="nil"/>
            </w:tcBorders>
            <w:tcMar>
              <w:top w:w="0" w:type="dxa"/>
              <w:left w:w="0" w:type="dxa"/>
              <w:bottom w:w="0" w:type="dxa"/>
              <w:right w:w="15" w:type="dxa"/>
            </w:tcMar>
            <w:vAlign w:val="bottom"/>
          </w:tcPr>
          <w:p w14:paraId="7386736B" w14:textId="77777777" w:rsidR="001614AC" w:rsidRDefault="001614AC">
            <w:pPr>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0806C031" w14:textId="77777777" w:rsidR="001614AC" w:rsidRDefault="001614AC"/>
        </w:tc>
        <w:tc>
          <w:tcPr>
            <w:tcW w:w="995" w:type="dxa"/>
            <w:gridSpan w:val="2"/>
            <w:tcBorders>
              <w:top w:val="single" w:sz="8" w:space="0" w:color="F4F4F4"/>
              <w:left w:val="nil"/>
              <w:bottom w:val="nil"/>
              <w:right w:val="nil"/>
            </w:tcBorders>
            <w:tcMar>
              <w:top w:w="0" w:type="dxa"/>
              <w:left w:w="53" w:type="dxa"/>
              <w:bottom w:w="0" w:type="dxa"/>
              <w:right w:w="0" w:type="dxa"/>
            </w:tcMar>
            <w:vAlign w:val="bottom"/>
          </w:tcPr>
          <w:p w14:paraId="0607D612" w14:textId="77777777" w:rsidR="001614AC" w:rsidRDefault="004468F9">
            <w:pPr>
              <w:spacing w:before="55" w:after="30" w:line="288" w:lineRule="auto"/>
              <w:jc w:val="right"/>
            </w:pPr>
            <w:r>
              <w:rPr>
                <w:rFonts w:ascii="Arial" w:eastAsia="Arial" w:hAnsi="Arial" w:cs="Arial"/>
                <w:color w:val="000000"/>
                <w:sz w:val="18"/>
              </w:rPr>
              <w:t>431 </w:t>
            </w:r>
          </w:p>
        </w:tc>
        <w:tc>
          <w:tcPr>
            <w:tcW w:w="100" w:type="dxa"/>
            <w:tcBorders>
              <w:top w:val="single" w:sz="8" w:space="0" w:color="F4F4F4"/>
              <w:left w:val="nil"/>
              <w:bottom w:val="nil"/>
              <w:right w:val="nil"/>
            </w:tcBorders>
            <w:tcMar>
              <w:top w:w="0" w:type="dxa"/>
              <w:left w:w="0" w:type="dxa"/>
              <w:bottom w:w="0" w:type="dxa"/>
              <w:right w:w="15" w:type="dxa"/>
            </w:tcMar>
            <w:vAlign w:val="bottom"/>
          </w:tcPr>
          <w:p w14:paraId="75AC21D7" w14:textId="77777777" w:rsidR="001614AC" w:rsidRDefault="001614AC">
            <w:pPr>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679B22E0" w14:textId="77777777" w:rsidR="001614AC" w:rsidRDefault="001614AC"/>
        </w:tc>
        <w:tc>
          <w:tcPr>
            <w:tcW w:w="995" w:type="dxa"/>
            <w:gridSpan w:val="2"/>
            <w:tcBorders>
              <w:top w:val="single" w:sz="8" w:space="0" w:color="F4F4F4"/>
              <w:left w:val="nil"/>
              <w:bottom w:val="nil"/>
              <w:right w:val="nil"/>
            </w:tcBorders>
            <w:tcMar>
              <w:top w:w="0" w:type="dxa"/>
              <w:left w:w="53" w:type="dxa"/>
              <w:bottom w:w="0" w:type="dxa"/>
              <w:right w:w="0" w:type="dxa"/>
            </w:tcMar>
            <w:vAlign w:val="bottom"/>
          </w:tcPr>
          <w:p w14:paraId="4595C943" w14:textId="77777777" w:rsidR="001614AC" w:rsidRDefault="004468F9">
            <w:pPr>
              <w:spacing w:before="55" w:after="30" w:line="288" w:lineRule="auto"/>
              <w:jc w:val="right"/>
            </w:pPr>
            <w:r>
              <w:rPr>
                <w:rFonts w:ascii="Arial" w:eastAsia="Arial" w:hAnsi="Arial" w:cs="Arial"/>
                <w:color w:val="000000"/>
                <w:sz w:val="18"/>
              </w:rPr>
              <w:t>— </w:t>
            </w:r>
          </w:p>
        </w:tc>
        <w:tc>
          <w:tcPr>
            <w:tcW w:w="100" w:type="dxa"/>
            <w:tcBorders>
              <w:top w:val="single" w:sz="8" w:space="0" w:color="F4F4F4"/>
              <w:left w:val="nil"/>
              <w:bottom w:val="nil"/>
              <w:right w:val="nil"/>
            </w:tcBorders>
            <w:tcMar>
              <w:top w:w="0" w:type="dxa"/>
              <w:left w:w="0" w:type="dxa"/>
              <w:bottom w:w="0" w:type="dxa"/>
              <w:right w:w="15" w:type="dxa"/>
            </w:tcMar>
            <w:vAlign w:val="bottom"/>
          </w:tcPr>
          <w:p w14:paraId="1E56D9AC" w14:textId="77777777" w:rsidR="001614AC" w:rsidRDefault="001614AC">
            <w:pPr>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04E95628" w14:textId="77777777" w:rsidR="001614AC" w:rsidRDefault="001614AC"/>
        </w:tc>
        <w:tc>
          <w:tcPr>
            <w:tcW w:w="995" w:type="dxa"/>
            <w:gridSpan w:val="2"/>
            <w:tcBorders>
              <w:top w:val="single" w:sz="8" w:space="0" w:color="F4F4F4"/>
              <w:left w:val="nil"/>
              <w:bottom w:val="nil"/>
              <w:right w:val="nil"/>
            </w:tcBorders>
            <w:tcMar>
              <w:top w:w="0" w:type="dxa"/>
              <w:left w:w="53" w:type="dxa"/>
              <w:bottom w:w="0" w:type="dxa"/>
              <w:right w:w="0" w:type="dxa"/>
            </w:tcMar>
            <w:vAlign w:val="bottom"/>
          </w:tcPr>
          <w:p w14:paraId="069AF8A1" w14:textId="77777777" w:rsidR="001614AC" w:rsidRDefault="004468F9">
            <w:pPr>
              <w:spacing w:before="55" w:after="30" w:line="288" w:lineRule="auto"/>
              <w:jc w:val="right"/>
            </w:pPr>
            <w:r>
              <w:rPr>
                <w:rFonts w:ascii="Arial" w:eastAsia="Arial" w:hAnsi="Arial" w:cs="Arial"/>
                <w:color w:val="000000"/>
                <w:sz w:val="18"/>
              </w:rPr>
              <w:t>431 </w:t>
            </w:r>
          </w:p>
        </w:tc>
        <w:tc>
          <w:tcPr>
            <w:tcW w:w="100" w:type="dxa"/>
            <w:tcBorders>
              <w:top w:val="single" w:sz="8" w:space="0" w:color="F4F4F4"/>
              <w:left w:val="nil"/>
              <w:bottom w:val="nil"/>
              <w:right w:val="nil"/>
            </w:tcBorders>
            <w:tcMar>
              <w:top w:w="0" w:type="dxa"/>
              <w:left w:w="0" w:type="dxa"/>
              <w:bottom w:w="0" w:type="dxa"/>
              <w:right w:w="15" w:type="dxa"/>
            </w:tcMar>
            <w:vAlign w:val="bottom"/>
          </w:tcPr>
          <w:p w14:paraId="0240DF88" w14:textId="77777777" w:rsidR="001614AC" w:rsidRDefault="001614AC">
            <w:pPr>
              <w:spacing w:before="55" w:after="30" w:line="288" w:lineRule="auto"/>
              <w:jc w:val="right"/>
            </w:pPr>
          </w:p>
        </w:tc>
      </w:tr>
      <w:tr w:rsidR="001614AC" w14:paraId="08EB1F88" w14:textId="77777777">
        <w:trPr>
          <w:cantSplit/>
        </w:trPr>
        <w:tc>
          <w:tcPr>
            <w:tcW w:w="5280" w:type="dxa"/>
            <w:tcBorders>
              <w:top w:val="single" w:sz="8" w:space="0" w:color="F4F4F4"/>
              <w:left w:val="nil"/>
              <w:bottom w:val="nil"/>
              <w:right w:val="nil"/>
            </w:tcBorders>
            <w:tcMar>
              <w:top w:w="0" w:type="dxa"/>
              <w:left w:w="53" w:type="dxa"/>
              <w:bottom w:w="0" w:type="dxa"/>
              <w:right w:w="53" w:type="dxa"/>
            </w:tcMar>
            <w:vAlign w:val="bottom"/>
          </w:tcPr>
          <w:p w14:paraId="67A382F5" w14:textId="77777777" w:rsidR="001614AC" w:rsidRDefault="004468F9">
            <w:pPr>
              <w:spacing w:before="55" w:after="30" w:line="288" w:lineRule="auto"/>
              <w:ind w:left="240"/>
              <w:rPr>
                <w:rFonts w:ascii="Arial" w:eastAsia="Arial" w:hAnsi="Arial" w:cs="Arial"/>
                <w:sz w:val="18"/>
              </w:rPr>
            </w:pPr>
            <w:r>
              <w:rPr>
                <w:rFonts w:ascii="Arial" w:eastAsia="Arial" w:hAnsi="Arial" w:cs="Arial"/>
                <w:sz w:val="18"/>
              </w:rPr>
              <w:t xml:space="preserve">Other investments </w:t>
            </w:r>
            <w:r>
              <w:rPr>
                <w:rFonts w:ascii="Arial" w:eastAsia="Arial" w:hAnsi="Arial" w:cs="Arial"/>
                <w:sz w:val="18"/>
                <w:vertAlign w:val="superscript"/>
              </w:rPr>
              <w:t xml:space="preserve">(2) </w:t>
            </w:r>
          </w:p>
        </w:tc>
        <w:tc>
          <w:tcPr>
            <w:tcW w:w="105" w:type="dxa"/>
            <w:tcBorders>
              <w:top w:val="nil"/>
              <w:left w:val="nil"/>
              <w:bottom w:val="nil"/>
              <w:right w:val="nil"/>
            </w:tcBorders>
            <w:tcMar>
              <w:top w:w="0" w:type="dxa"/>
              <w:left w:w="0" w:type="dxa"/>
              <w:bottom w:w="0" w:type="dxa"/>
              <w:right w:w="0" w:type="dxa"/>
            </w:tcMar>
            <w:vAlign w:val="bottom"/>
          </w:tcPr>
          <w:p w14:paraId="06E3E4C6" w14:textId="77777777" w:rsidR="001614AC" w:rsidRDefault="001614AC"/>
        </w:tc>
        <w:tc>
          <w:tcPr>
            <w:tcW w:w="995" w:type="dxa"/>
            <w:gridSpan w:val="2"/>
            <w:tcBorders>
              <w:top w:val="single" w:sz="8" w:space="0" w:color="F4F4F4"/>
              <w:left w:val="nil"/>
              <w:bottom w:val="single" w:sz="8" w:space="0" w:color="C7C9C7"/>
              <w:right w:val="nil"/>
            </w:tcBorders>
            <w:tcMar>
              <w:top w:w="0" w:type="dxa"/>
              <w:left w:w="53" w:type="dxa"/>
              <w:bottom w:w="0" w:type="dxa"/>
              <w:right w:w="0" w:type="dxa"/>
            </w:tcMar>
            <w:vAlign w:val="bottom"/>
          </w:tcPr>
          <w:p w14:paraId="6FCC2564" w14:textId="77777777" w:rsidR="001614AC" w:rsidRDefault="004468F9">
            <w:pPr>
              <w:spacing w:before="55" w:after="30" w:line="288" w:lineRule="auto"/>
              <w:jc w:val="right"/>
            </w:pPr>
            <w:r>
              <w:rPr>
                <w:rFonts w:ascii="Arial" w:eastAsia="Arial" w:hAnsi="Arial" w:cs="Arial"/>
                <w:color w:val="000000"/>
                <w:sz w:val="18"/>
              </w:rPr>
              <w:t>— </w:t>
            </w:r>
          </w:p>
        </w:tc>
        <w:tc>
          <w:tcPr>
            <w:tcW w:w="100" w:type="dxa"/>
            <w:tcBorders>
              <w:top w:val="single" w:sz="8" w:space="0" w:color="F4F4F4"/>
              <w:left w:val="nil"/>
              <w:bottom w:val="single" w:sz="8" w:space="0" w:color="C7C9C7"/>
              <w:right w:val="nil"/>
            </w:tcBorders>
            <w:tcMar>
              <w:top w:w="0" w:type="dxa"/>
              <w:left w:w="0" w:type="dxa"/>
              <w:bottom w:w="0" w:type="dxa"/>
              <w:right w:w="15" w:type="dxa"/>
            </w:tcMar>
            <w:vAlign w:val="bottom"/>
          </w:tcPr>
          <w:p w14:paraId="05C366A4" w14:textId="77777777" w:rsidR="001614AC" w:rsidRDefault="001614AC">
            <w:pPr>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3445580D" w14:textId="77777777" w:rsidR="001614AC" w:rsidRDefault="001614AC"/>
        </w:tc>
        <w:tc>
          <w:tcPr>
            <w:tcW w:w="995" w:type="dxa"/>
            <w:gridSpan w:val="2"/>
            <w:tcBorders>
              <w:top w:val="single" w:sz="8" w:space="0" w:color="F4F4F4"/>
              <w:left w:val="nil"/>
              <w:bottom w:val="single" w:sz="8" w:space="0" w:color="C7C9C7"/>
              <w:right w:val="nil"/>
            </w:tcBorders>
            <w:tcMar>
              <w:top w:w="0" w:type="dxa"/>
              <w:left w:w="53" w:type="dxa"/>
              <w:bottom w:w="0" w:type="dxa"/>
              <w:right w:w="0" w:type="dxa"/>
            </w:tcMar>
            <w:vAlign w:val="bottom"/>
          </w:tcPr>
          <w:p w14:paraId="634FC695" w14:textId="77777777" w:rsidR="001614AC" w:rsidRDefault="004468F9">
            <w:pPr>
              <w:spacing w:before="55" w:after="30" w:line="288" w:lineRule="auto"/>
              <w:jc w:val="right"/>
            </w:pPr>
            <w:r>
              <w:rPr>
                <w:rFonts w:ascii="Arial" w:eastAsia="Arial" w:hAnsi="Arial" w:cs="Arial"/>
                <w:color w:val="000000"/>
                <w:sz w:val="18"/>
              </w:rPr>
              <w:t>192,208 </w:t>
            </w:r>
          </w:p>
        </w:tc>
        <w:tc>
          <w:tcPr>
            <w:tcW w:w="100" w:type="dxa"/>
            <w:tcBorders>
              <w:top w:val="single" w:sz="8" w:space="0" w:color="F4F4F4"/>
              <w:left w:val="nil"/>
              <w:bottom w:val="single" w:sz="8" w:space="0" w:color="C7C9C7"/>
              <w:right w:val="nil"/>
            </w:tcBorders>
            <w:tcMar>
              <w:top w:w="0" w:type="dxa"/>
              <w:left w:w="0" w:type="dxa"/>
              <w:bottom w:w="0" w:type="dxa"/>
              <w:right w:w="15" w:type="dxa"/>
            </w:tcMar>
            <w:vAlign w:val="bottom"/>
          </w:tcPr>
          <w:p w14:paraId="0682367F" w14:textId="77777777" w:rsidR="001614AC" w:rsidRDefault="001614AC">
            <w:pPr>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4C715CFC" w14:textId="77777777" w:rsidR="001614AC" w:rsidRDefault="001614AC"/>
        </w:tc>
        <w:tc>
          <w:tcPr>
            <w:tcW w:w="995" w:type="dxa"/>
            <w:gridSpan w:val="2"/>
            <w:tcBorders>
              <w:top w:val="single" w:sz="8" w:space="0" w:color="F4F4F4"/>
              <w:left w:val="nil"/>
              <w:bottom w:val="single" w:sz="8" w:space="0" w:color="C7C9C7"/>
              <w:right w:val="nil"/>
            </w:tcBorders>
            <w:tcMar>
              <w:top w:w="0" w:type="dxa"/>
              <w:left w:w="53" w:type="dxa"/>
              <w:bottom w:w="0" w:type="dxa"/>
              <w:right w:w="0" w:type="dxa"/>
            </w:tcMar>
            <w:vAlign w:val="bottom"/>
          </w:tcPr>
          <w:p w14:paraId="340907E3" w14:textId="77777777" w:rsidR="001614AC" w:rsidRDefault="004468F9">
            <w:pPr>
              <w:spacing w:before="55" w:after="30" w:line="288" w:lineRule="auto"/>
              <w:jc w:val="right"/>
            </w:pPr>
            <w:r>
              <w:rPr>
                <w:rFonts w:ascii="Arial" w:eastAsia="Arial" w:hAnsi="Arial" w:cs="Arial"/>
                <w:color w:val="000000"/>
                <w:sz w:val="18"/>
              </w:rPr>
              <w:t>— </w:t>
            </w:r>
          </w:p>
        </w:tc>
        <w:tc>
          <w:tcPr>
            <w:tcW w:w="100" w:type="dxa"/>
            <w:tcBorders>
              <w:top w:val="single" w:sz="8" w:space="0" w:color="F4F4F4"/>
              <w:left w:val="nil"/>
              <w:bottom w:val="single" w:sz="8" w:space="0" w:color="C7C9C7"/>
              <w:right w:val="nil"/>
            </w:tcBorders>
            <w:tcMar>
              <w:top w:w="0" w:type="dxa"/>
              <w:left w:w="0" w:type="dxa"/>
              <w:bottom w:w="0" w:type="dxa"/>
              <w:right w:w="15" w:type="dxa"/>
            </w:tcMar>
            <w:vAlign w:val="bottom"/>
          </w:tcPr>
          <w:p w14:paraId="59806F39" w14:textId="77777777" w:rsidR="001614AC" w:rsidRDefault="001614AC">
            <w:pPr>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2F37BCCB" w14:textId="77777777" w:rsidR="001614AC" w:rsidRDefault="001614AC"/>
        </w:tc>
        <w:tc>
          <w:tcPr>
            <w:tcW w:w="995" w:type="dxa"/>
            <w:gridSpan w:val="2"/>
            <w:tcBorders>
              <w:top w:val="single" w:sz="8" w:space="0" w:color="F4F4F4"/>
              <w:left w:val="nil"/>
              <w:bottom w:val="single" w:sz="8" w:space="0" w:color="C7C9C7"/>
              <w:right w:val="nil"/>
            </w:tcBorders>
            <w:tcMar>
              <w:top w:w="0" w:type="dxa"/>
              <w:left w:w="53" w:type="dxa"/>
              <w:bottom w:w="0" w:type="dxa"/>
              <w:right w:w="0" w:type="dxa"/>
            </w:tcMar>
            <w:vAlign w:val="bottom"/>
          </w:tcPr>
          <w:p w14:paraId="08527E7B" w14:textId="77777777" w:rsidR="001614AC" w:rsidRDefault="004468F9">
            <w:pPr>
              <w:spacing w:before="55" w:after="30" w:line="288" w:lineRule="auto"/>
              <w:jc w:val="right"/>
            </w:pPr>
            <w:r>
              <w:rPr>
                <w:rFonts w:ascii="Arial" w:eastAsia="Arial" w:hAnsi="Arial" w:cs="Arial"/>
                <w:color w:val="000000"/>
                <w:sz w:val="18"/>
              </w:rPr>
              <w:t>192,208 </w:t>
            </w:r>
          </w:p>
        </w:tc>
        <w:tc>
          <w:tcPr>
            <w:tcW w:w="100" w:type="dxa"/>
            <w:tcBorders>
              <w:top w:val="single" w:sz="8" w:space="0" w:color="F4F4F4"/>
              <w:left w:val="nil"/>
              <w:bottom w:val="single" w:sz="8" w:space="0" w:color="C7C9C7"/>
              <w:right w:val="nil"/>
            </w:tcBorders>
            <w:tcMar>
              <w:top w:w="0" w:type="dxa"/>
              <w:left w:w="0" w:type="dxa"/>
              <w:bottom w:w="0" w:type="dxa"/>
              <w:right w:w="15" w:type="dxa"/>
            </w:tcMar>
            <w:vAlign w:val="bottom"/>
          </w:tcPr>
          <w:p w14:paraId="5FCAFA24" w14:textId="77777777" w:rsidR="001614AC" w:rsidRDefault="001614AC">
            <w:pPr>
              <w:spacing w:before="55" w:after="30" w:line="288" w:lineRule="auto"/>
              <w:jc w:val="right"/>
            </w:pPr>
          </w:p>
        </w:tc>
      </w:tr>
      <w:tr w:rsidR="001614AC" w14:paraId="30717E35" w14:textId="77777777">
        <w:trPr>
          <w:cantSplit/>
        </w:trPr>
        <w:tc>
          <w:tcPr>
            <w:tcW w:w="5280" w:type="dxa"/>
            <w:tcBorders>
              <w:top w:val="nil"/>
              <w:left w:val="nil"/>
              <w:bottom w:val="nil"/>
              <w:right w:val="nil"/>
            </w:tcBorders>
            <w:shd w:val="clear" w:color="auto" w:fill="F4F4F4"/>
            <w:tcMar>
              <w:top w:w="0" w:type="dxa"/>
              <w:left w:w="53" w:type="dxa"/>
              <w:bottom w:w="0" w:type="dxa"/>
              <w:right w:w="53" w:type="dxa"/>
            </w:tcMar>
            <w:vAlign w:val="bottom"/>
          </w:tcPr>
          <w:p w14:paraId="3F255FD3" w14:textId="77777777" w:rsidR="001614AC" w:rsidRDefault="004468F9">
            <w:pPr>
              <w:spacing w:before="75" w:after="30" w:line="288" w:lineRule="auto"/>
              <w:ind w:left="240"/>
            </w:pPr>
            <w:r>
              <w:rPr>
                <w:rFonts w:ascii="Arial" w:eastAsia="Arial" w:hAnsi="Arial" w:cs="Arial"/>
                <w:color w:val="000000"/>
                <w:sz w:val="18"/>
              </w:rPr>
              <w:t>Total short-term investments</w:t>
            </w:r>
          </w:p>
        </w:tc>
        <w:tc>
          <w:tcPr>
            <w:tcW w:w="105" w:type="dxa"/>
            <w:tcBorders>
              <w:top w:val="nil"/>
              <w:left w:val="nil"/>
              <w:bottom w:val="nil"/>
              <w:right w:val="nil"/>
            </w:tcBorders>
            <w:shd w:val="clear" w:color="auto" w:fill="F4F4F4"/>
            <w:tcMar>
              <w:top w:w="0" w:type="dxa"/>
              <w:left w:w="0" w:type="dxa"/>
              <w:bottom w:w="0" w:type="dxa"/>
              <w:right w:w="0" w:type="dxa"/>
            </w:tcMar>
            <w:vAlign w:val="bottom"/>
          </w:tcPr>
          <w:p w14:paraId="17D9FD11" w14:textId="77777777" w:rsidR="001614AC" w:rsidRDefault="001614AC"/>
        </w:tc>
        <w:tc>
          <w:tcPr>
            <w:tcW w:w="995" w:type="dxa"/>
            <w:gridSpan w:val="2"/>
            <w:tcBorders>
              <w:top w:val="single" w:sz="8" w:space="0" w:color="C7C9C7"/>
              <w:left w:val="nil"/>
              <w:bottom w:val="single" w:sz="8" w:space="0" w:color="C7C9C7"/>
              <w:right w:val="nil"/>
            </w:tcBorders>
            <w:shd w:val="clear" w:color="auto" w:fill="F4F4F4"/>
            <w:tcMar>
              <w:top w:w="0" w:type="dxa"/>
              <w:left w:w="53" w:type="dxa"/>
              <w:bottom w:w="0" w:type="dxa"/>
              <w:right w:w="0" w:type="dxa"/>
            </w:tcMar>
            <w:vAlign w:val="bottom"/>
          </w:tcPr>
          <w:p w14:paraId="20CE3FBB" w14:textId="77777777" w:rsidR="001614AC" w:rsidRDefault="004468F9">
            <w:pPr>
              <w:spacing w:before="55" w:after="30" w:line="288" w:lineRule="auto"/>
              <w:jc w:val="right"/>
            </w:pPr>
            <w:r>
              <w:rPr>
                <w:rFonts w:ascii="Arial" w:eastAsia="Arial" w:hAnsi="Arial" w:cs="Arial"/>
                <w:color w:val="000000"/>
                <w:sz w:val="18"/>
              </w:rPr>
              <w:t>428,805 </w:t>
            </w:r>
          </w:p>
        </w:tc>
        <w:tc>
          <w:tcPr>
            <w:tcW w:w="100" w:type="dxa"/>
            <w:tcBorders>
              <w:top w:val="single" w:sz="8" w:space="0" w:color="C7C9C7"/>
              <w:left w:val="nil"/>
              <w:bottom w:val="single" w:sz="8" w:space="0" w:color="C7C9C7"/>
              <w:right w:val="nil"/>
            </w:tcBorders>
            <w:shd w:val="clear" w:color="auto" w:fill="F4F4F4"/>
            <w:tcMar>
              <w:top w:w="0" w:type="dxa"/>
              <w:left w:w="0" w:type="dxa"/>
              <w:bottom w:w="0" w:type="dxa"/>
              <w:right w:w="15" w:type="dxa"/>
            </w:tcMar>
            <w:vAlign w:val="bottom"/>
          </w:tcPr>
          <w:p w14:paraId="236FB882" w14:textId="77777777" w:rsidR="001614AC" w:rsidRDefault="001614AC">
            <w:pPr>
              <w:spacing w:before="55" w:after="30" w:line="288" w:lineRule="auto"/>
              <w:jc w:val="right"/>
            </w:pPr>
          </w:p>
        </w:tc>
        <w:tc>
          <w:tcPr>
            <w:tcW w:w="105" w:type="dxa"/>
            <w:tcBorders>
              <w:top w:val="nil"/>
              <w:left w:val="nil"/>
              <w:bottom w:val="nil"/>
              <w:right w:val="nil"/>
            </w:tcBorders>
            <w:shd w:val="clear" w:color="auto" w:fill="F4F4F4"/>
            <w:tcMar>
              <w:top w:w="0" w:type="dxa"/>
              <w:left w:w="0" w:type="dxa"/>
              <w:bottom w:w="0" w:type="dxa"/>
              <w:right w:w="0" w:type="dxa"/>
            </w:tcMar>
            <w:vAlign w:val="bottom"/>
          </w:tcPr>
          <w:p w14:paraId="10062953" w14:textId="77777777" w:rsidR="001614AC" w:rsidRDefault="001614AC"/>
        </w:tc>
        <w:tc>
          <w:tcPr>
            <w:tcW w:w="995" w:type="dxa"/>
            <w:gridSpan w:val="2"/>
            <w:tcBorders>
              <w:top w:val="single" w:sz="8" w:space="0" w:color="C7C9C7"/>
              <w:left w:val="nil"/>
              <w:bottom w:val="single" w:sz="8" w:space="0" w:color="C7C9C7"/>
              <w:right w:val="nil"/>
            </w:tcBorders>
            <w:shd w:val="clear" w:color="auto" w:fill="F4F4F4"/>
            <w:tcMar>
              <w:top w:w="0" w:type="dxa"/>
              <w:left w:w="53" w:type="dxa"/>
              <w:bottom w:w="0" w:type="dxa"/>
              <w:right w:w="0" w:type="dxa"/>
            </w:tcMar>
            <w:vAlign w:val="bottom"/>
          </w:tcPr>
          <w:p w14:paraId="576BFD50" w14:textId="77777777" w:rsidR="001614AC" w:rsidRDefault="004468F9">
            <w:pPr>
              <w:spacing w:before="55" w:after="30" w:line="288" w:lineRule="auto"/>
              <w:jc w:val="right"/>
            </w:pPr>
            <w:r>
              <w:rPr>
                <w:rFonts w:ascii="Arial" w:eastAsia="Arial" w:hAnsi="Arial" w:cs="Arial"/>
                <w:color w:val="000000"/>
                <w:sz w:val="18"/>
              </w:rPr>
              <w:t>233,290 </w:t>
            </w:r>
          </w:p>
        </w:tc>
        <w:tc>
          <w:tcPr>
            <w:tcW w:w="100" w:type="dxa"/>
            <w:tcBorders>
              <w:top w:val="single" w:sz="8" w:space="0" w:color="C7C9C7"/>
              <w:left w:val="nil"/>
              <w:bottom w:val="single" w:sz="8" w:space="0" w:color="C7C9C7"/>
              <w:right w:val="nil"/>
            </w:tcBorders>
            <w:shd w:val="clear" w:color="auto" w:fill="F4F4F4"/>
            <w:tcMar>
              <w:top w:w="0" w:type="dxa"/>
              <w:left w:w="0" w:type="dxa"/>
              <w:bottom w:w="0" w:type="dxa"/>
              <w:right w:w="15" w:type="dxa"/>
            </w:tcMar>
            <w:vAlign w:val="bottom"/>
          </w:tcPr>
          <w:p w14:paraId="64E1CDB0" w14:textId="77777777" w:rsidR="001614AC" w:rsidRDefault="001614AC">
            <w:pPr>
              <w:spacing w:before="55" w:after="30" w:line="288" w:lineRule="auto"/>
              <w:jc w:val="right"/>
            </w:pPr>
          </w:p>
        </w:tc>
        <w:tc>
          <w:tcPr>
            <w:tcW w:w="105" w:type="dxa"/>
            <w:tcBorders>
              <w:top w:val="nil"/>
              <w:left w:val="nil"/>
              <w:bottom w:val="nil"/>
              <w:right w:val="nil"/>
            </w:tcBorders>
            <w:shd w:val="clear" w:color="auto" w:fill="F4F4F4"/>
            <w:tcMar>
              <w:top w:w="0" w:type="dxa"/>
              <w:left w:w="0" w:type="dxa"/>
              <w:bottom w:w="0" w:type="dxa"/>
              <w:right w:w="0" w:type="dxa"/>
            </w:tcMar>
            <w:vAlign w:val="bottom"/>
          </w:tcPr>
          <w:p w14:paraId="459CBACB" w14:textId="77777777" w:rsidR="001614AC" w:rsidRDefault="001614AC"/>
        </w:tc>
        <w:tc>
          <w:tcPr>
            <w:tcW w:w="995" w:type="dxa"/>
            <w:gridSpan w:val="2"/>
            <w:tcBorders>
              <w:top w:val="single" w:sz="8" w:space="0" w:color="C7C9C7"/>
              <w:left w:val="nil"/>
              <w:bottom w:val="single" w:sz="8" w:space="0" w:color="C7C9C7"/>
              <w:right w:val="nil"/>
            </w:tcBorders>
            <w:shd w:val="clear" w:color="auto" w:fill="F4F4F4"/>
            <w:tcMar>
              <w:top w:w="0" w:type="dxa"/>
              <w:left w:w="53" w:type="dxa"/>
              <w:bottom w:w="0" w:type="dxa"/>
              <w:right w:w="0" w:type="dxa"/>
            </w:tcMar>
            <w:vAlign w:val="bottom"/>
          </w:tcPr>
          <w:p w14:paraId="28B6E021" w14:textId="77777777" w:rsidR="001614AC" w:rsidRDefault="004468F9">
            <w:pPr>
              <w:spacing w:before="55" w:after="30" w:line="288" w:lineRule="auto"/>
              <w:jc w:val="right"/>
            </w:pPr>
            <w:r>
              <w:rPr>
                <w:rFonts w:ascii="Arial" w:eastAsia="Arial" w:hAnsi="Arial" w:cs="Arial"/>
                <w:color w:val="000000"/>
                <w:sz w:val="18"/>
              </w:rPr>
              <w:t>— </w:t>
            </w:r>
          </w:p>
        </w:tc>
        <w:tc>
          <w:tcPr>
            <w:tcW w:w="100" w:type="dxa"/>
            <w:tcBorders>
              <w:top w:val="single" w:sz="8" w:space="0" w:color="C7C9C7"/>
              <w:left w:val="nil"/>
              <w:bottom w:val="single" w:sz="8" w:space="0" w:color="C7C9C7"/>
              <w:right w:val="nil"/>
            </w:tcBorders>
            <w:shd w:val="clear" w:color="auto" w:fill="F4F4F4"/>
            <w:tcMar>
              <w:top w:w="0" w:type="dxa"/>
              <w:left w:w="0" w:type="dxa"/>
              <w:bottom w:w="0" w:type="dxa"/>
              <w:right w:w="15" w:type="dxa"/>
            </w:tcMar>
            <w:vAlign w:val="bottom"/>
          </w:tcPr>
          <w:p w14:paraId="0AC1186D" w14:textId="77777777" w:rsidR="001614AC" w:rsidRDefault="001614AC">
            <w:pPr>
              <w:spacing w:before="55" w:after="30" w:line="288" w:lineRule="auto"/>
              <w:jc w:val="right"/>
            </w:pPr>
          </w:p>
        </w:tc>
        <w:tc>
          <w:tcPr>
            <w:tcW w:w="105" w:type="dxa"/>
            <w:tcBorders>
              <w:top w:val="nil"/>
              <w:left w:val="nil"/>
              <w:bottom w:val="nil"/>
              <w:right w:val="nil"/>
            </w:tcBorders>
            <w:shd w:val="clear" w:color="auto" w:fill="F4F4F4"/>
            <w:tcMar>
              <w:top w:w="0" w:type="dxa"/>
              <w:left w:w="0" w:type="dxa"/>
              <w:bottom w:w="0" w:type="dxa"/>
              <w:right w:w="0" w:type="dxa"/>
            </w:tcMar>
            <w:vAlign w:val="bottom"/>
          </w:tcPr>
          <w:p w14:paraId="2CD2B72F" w14:textId="77777777" w:rsidR="001614AC" w:rsidRDefault="001614AC"/>
        </w:tc>
        <w:tc>
          <w:tcPr>
            <w:tcW w:w="995" w:type="dxa"/>
            <w:gridSpan w:val="2"/>
            <w:tcBorders>
              <w:top w:val="single" w:sz="8" w:space="0" w:color="C7C9C7"/>
              <w:left w:val="nil"/>
              <w:bottom w:val="single" w:sz="8" w:space="0" w:color="C7C9C7"/>
              <w:right w:val="nil"/>
            </w:tcBorders>
            <w:shd w:val="clear" w:color="auto" w:fill="F4F4F4"/>
            <w:tcMar>
              <w:top w:w="0" w:type="dxa"/>
              <w:left w:w="53" w:type="dxa"/>
              <w:bottom w:w="0" w:type="dxa"/>
              <w:right w:w="0" w:type="dxa"/>
            </w:tcMar>
            <w:vAlign w:val="bottom"/>
          </w:tcPr>
          <w:p w14:paraId="2ACA58A6" w14:textId="77777777" w:rsidR="001614AC" w:rsidRDefault="004468F9">
            <w:pPr>
              <w:spacing w:before="55" w:after="30" w:line="288" w:lineRule="auto"/>
              <w:jc w:val="right"/>
            </w:pPr>
            <w:r>
              <w:rPr>
                <w:rFonts w:ascii="Arial" w:eastAsia="Arial" w:hAnsi="Arial" w:cs="Arial"/>
                <w:color w:val="000000"/>
                <w:sz w:val="18"/>
              </w:rPr>
              <w:t>662,095 </w:t>
            </w:r>
          </w:p>
        </w:tc>
        <w:tc>
          <w:tcPr>
            <w:tcW w:w="100" w:type="dxa"/>
            <w:tcBorders>
              <w:top w:val="single" w:sz="8" w:space="0" w:color="C7C9C7"/>
              <w:left w:val="nil"/>
              <w:bottom w:val="single" w:sz="8" w:space="0" w:color="C7C9C7"/>
              <w:right w:val="nil"/>
            </w:tcBorders>
            <w:shd w:val="clear" w:color="auto" w:fill="F4F4F4"/>
            <w:tcMar>
              <w:top w:w="0" w:type="dxa"/>
              <w:left w:w="0" w:type="dxa"/>
              <w:bottom w:w="0" w:type="dxa"/>
              <w:right w:w="15" w:type="dxa"/>
            </w:tcMar>
            <w:vAlign w:val="bottom"/>
          </w:tcPr>
          <w:p w14:paraId="2FB7923A" w14:textId="77777777" w:rsidR="001614AC" w:rsidRDefault="001614AC">
            <w:pPr>
              <w:spacing w:before="55" w:after="30" w:line="288" w:lineRule="auto"/>
              <w:jc w:val="right"/>
            </w:pPr>
          </w:p>
        </w:tc>
      </w:tr>
      <w:tr w:rsidR="001614AC" w14:paraId="5B936F87" w14:textId="77777777">
        <w:trPr>
          <w:cantSplit/>
        </w:trPr>
        <w:tc>
          <w:tcPr>
            <w:tcW w:w="5280" w:type="dxa"/>
            <w:tcBorders>
              <w:top w:val="nil"/>
              <w:left w:val="nil"/>
              <w:bottom w:val="single" w:sz="8" w:space="0" w:color="F4F4F4"/>
              <w:right w:val="nil"/>
            </w:tcBorders>
            <w:tcMar>
              <w:top w:w="0" w:type="dxa"/>
              <w:left w:w="53" w:type="dxa"/>
              <w:bottom w:w="0" w:type="dxa"/>
              <w:right w:w="53" w:type="dxa"/>
            </w:tcMar>
            <w:vAlign w:val="bottom"/>
          </w:tcPr>
          <w:p w14:paraId="0D038781" w14:textId="77777777" w:rsidR="001614AC" w:rsidRDefault="004468F9">
            <w:pPr>
              <w:spacing w:before="75" w:after="30" w:line="288" w:lineRule="auto"/>
              <w:rPr>
                <w:rFonts w:ascii="Arial" w:eastAsia="Arial" w:hAnsi="Arial" w:cs="Arial"/>
                <w:sz w:val="18"/>
              </w:rPr>
            </w:pPr>
            <w:r>
              <w:rPr>
                <w:rFonts w:ascii="Arial" w:eastAsia="Arial" w:hAnsi="Arial" w:cs="Arial"/>
                <w:sz w:val="18"/>
              </w:rPr>
              <w:t xml:space="preserve">Other invested assets </w:t>
            </w:r>
            <w:r>
              <w:rPr>
                <w:rFonts w:ascii="Arial" w:eastAsia="Arial" w:hAnsi="Arial" w:cs="Arial"/>
                <w:sz w:val="18"/>
                <w:vertAlign w:val="superscript"/>
              </w:rPr>
              <w:t xml:space="preserve">(3) </w:t>
            </w:r>
          </w:p>
        </w:tc>
        <w:tc>
          <w:tcPr>
            <w:tcW w:w="105" w:type="dxa"/>
            <w:tcBorders>
              <w:top w:val="nil"/>
              <w:left w:val="nil"/>
              <w:bottom w:val="nil"/>
              <w:right w:val="nil"/>
            </w:tcBorders>
            <w:tcMar>
              <w:top w:w="0" w:type="dxa"/>
              <w:left w:w="0" w:type="dxa"/>
              <w:bottom w:w="0" w:type="dxa"/>
              <w:right w:w="0" w:type="dxa"/>
            </w:tcMar>
            <w:vAlign w:val="bottom"/>
          </w:tcPr>
          <w:p w14:paraId="5B7227F1" w14:textId="77777777" w:rsidR="001614AC" w:rsidRDefault="001614AC"/>
        </w:tc>
        <w:tc>
          <w:tcPr>
            <w:tcW w:w="995" w:type="dxa"/>
            <w:gridSpan w:val="2"/>
            <w:tcBorders>
              <w:top w:val="single" w:sz="8" w:space="0" w:color="C7C9C7"/>
              <w:left w:val="nil"/>
              <w:bottom w:val="single" w:sz="8" w:space="0" w:color="C7C9C7"/>
              <w:right w:val="nil"/>
            </w:tcBorders>
            <w:tcMar>
              <w:top w:w="0" w:type="dxa"/>
              <w:left w:w="53" w:type="dxa"/>
              <w:bottom w:w="0" w:type="dxa"/>
              <w:right w:w="0" w:type="dxa"/>
            </w:tcMar>
            <w:vAlign w:val="bottom"/>
          </w:tcPr>
          <w:p w14:paraId="45733EB6" w14:textId="77777777" w:rsidR="001614AC" w:rsidRDefault="004468F9">
            <w:pPr>
              <w:spacing w:before="55" w:after="30" w:line="288" w:lineRule="auto"/>
              <w:jc w:val="right"/>
            </w:pPr>
            <w:r>
              <w:rPr>
                <w:rFonts w:ascii="Arial" w:eastAsia="Arial" w:hAnsi="Arial" w:cs="Arial"/>
                <w:color w:val="000000"/>
                <w:sz w:val="18"/>
              </w:rPr>
              <w:t>— </w:t>
            </w:r>
          </w:p>
        </w:tc>
        <w:tc>
          <w:tcPr>
            <w:tcW w:w="100" w:type="dxa"/>
            <w:tcBorders>
              <w:top w:val="single" w:sz="8" w:space="0" w:color="C7C9C7"/>
              <w:left w:val="nil"/>
              <w:bottom w:val="single" w:sz="8" w:space="0" w:color="C7C9C7"/>
              <w:right w:val="nil"/>
            </w:tcBorders>
            <w:tcMar>
              <w:top w:w="0" w:type="dxa"/>
              <w:left w:w="0" w:type="dxa"/>
              <w:bottom w:w="0" w:type="dxa"/>
              <w:right w:w="15" w:type="dxa"/>
            </w:tcMar>
            <w:vAlign w:val="bottom"/>
          </w:tcPr>
          <w:p w14:paraId="7139B71D" w14:textId="77777777" w:rsidR="001614AC" w:rsidRDefault="001614AC">
            <w:pPr>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4E32BC0F" w14:textId="77777777" w:rsidR="001614AC" w:rsidRDefault="001614AC"/>
        </w:tc>
        <w:tc>
          <w:tcPr>
            <w:tcW w:w="995" w:type="dxa"/>
            <w:gridSpan w:val="2"/>
            <w:tcBorders>
              <w:top w:val="single" w:sz="8" w:space="0" w:color="C7C9C7"/>
              <w:left w:val="nil"/>
              <w:bottom w:val="single" w:sz="8" w:space="0" w:color="C7C9C7"/>
              <w:right w:val="nil"/>
            </w:tcBorders>
            <w:tcMar>
              <w:top w:w="0" w:type="dxa"/>
              <w:left w:w="53" w:type="dxa"/>
              <w:bottom w:w="0" w:type="dxa"/>
              <w:right w:w="0" w:type="dxa"/>
            </w:tcMar>
            <w:vAlign w:val="bottom"/>
          </w:tcPr>
          <w:p w14:paraId="0B657447" w14:textId="77777777" w:rsidR="001614AC" w:rsidRDefault="004468F9">
            <w:pPr>
              <w:spacing w:before="55" w:after="30" w:line="288" w:lineRule="auto"/>
              <w:jc w:val="right"/>
            </w:pPr>
            <w:r>
              <w:rPr>
                <w:rFonts w:ascii="Arial" w:eastAsia="Arial" w:hAnsi="Arial" w:cs="Arial"/>
                <w:color w:val="000000"/>
                <w:sz w:val="18"/>
              </w:rPr>
              <w:t>— </w:t>
            </w:r>
          </w:p>
        </w:tc>
        <w:tc>
          <w:tcPr>
            <w:tcW w:w="100" w:type="dxa"/>
            <w:tcBorders>
              <w:top w:val="single" w:sz="8" w:space="0" w:color="C7C9C7"/>
              <w:left w:val="nil"/>
              <w:bottom w:val="single" w:sz="8" w:space="0" w:color="C7C9C7"/>
              <w:right w:val="nil"/>
            </w:tcBorders>
            <w:tcMar>
              <w:top w:w="0" w:type="dxa"/>
              <w:left w:w="0" w:type="dxa"/>
              <w:bottom w:w="0" w:type="dxa"/>
              <w:right w:w="15" w:type="dxa"/>
            </w:tcMar>
            <w:vAlign w:val="bottom"/>
          </w:tcPr>
          <w:p w14:paraId="4E2A7FB0" w14:textId="77777777" w:rsidR="001614AC" w:rsidRDefault="001614AC">
            <w:pPr>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4F71701B" w14:textId="77777777" w:rsidR="001614AC" w:rsidRDefault="001614AC"/>
        </w:tc>
        <w:tc>
          <w:tcPr>
            <w:tcW w:w="995" w:type="dxa"/>
            <w:gridSpan w:val="2"/>
            <w:tcBorders>
              <w:top w:val="single" w:sz="8" w:space="0" w:color="C7C9C7"/>
              <w:left w:val="nil"/>
              <w:bottom w:val="single" w:sz="8" w:space="0" w:color="C7C9C7"/>
              <w:right w:val="nil"/>
            </w:tcBorders>
            <w:tcMar>
              <w:top w:w="0" w:type="dxa"/>
              <w:left w:w="53" w:type="dxa"/>
              <w:bottom w:w="0" w:type="dxa"/>
              <w:right w:w="0" w:type="dxa"/>
            </w:tcMar>
            <w:vAlign w:val="bottom"/>
          </w:tcPr>
          <w:p w14:paraId="4DE6AE99" w14:textId="77777777" w:rsidR="001614AC" w:rsidRDefault="004468F9">
            <w:pPr>
              <w:spacing w:before="55" w:after="30" w:line="288" w:lineRule="auto"/>
              <w:jc w:val="right"/>
            </w:pPr>
            <w:r>
              <w:rPr>
                <w:rFonts w:ascii="Arial" w:eastAsia="Arial" w:hAnsi="Arial" w:cs="Arial"/>
                <w:color w:val="000000"/>
                <w:sz w:val="18"/>
              </w:rPr>
              <w:t>3,000 </w:t>
            </w:r>
          </w:p>
        </w:tc>
        <w:tc>
          <w:tcPr>
            <w:tcW w:w="100" w:type="dxa"/>
            <w:tcBorders>
              <w:top w:val="single" w:sz="8" w:space="0" w:color="C7C9C7"/>
              <w:left w:val="nil"/>
              <w:bottom w:val="single" w:sz="8" w:space="0" w:color="C7C9C7"/>
              <w:right w:val="nil"/>
            </w:tcBorders>
            <w:tcMar>
              <w:top w:w="0" w:type="dxa"/>
              <w:left w:w="0" w:type="dxa"/>
              <w:bottom w:w="0" w:type="dxa"/>
              <w:right w:w="15" w:type="dxa"/>
            </w:tcMar>
            <w:vAlign w:val="bottom"/>
          </w:tcPr>
          <w:p w14:paraId="25C507EA" w14:textId="77777777" w:rsidR="001614AC" w:rsidRDefault="001614AC">
            <w:pPr>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12CD57CE" w14:textId="77777777" w:rsidR="001614AC" w:rsidRDefault="001614AC"/>
        </w:tc>
        <w:tc>
          <w:tcPr>
            <w:tcW w:w="995" w:type="dxa"/>
            <w:gridSpan w:val="2"/>
            <w:tcBorders>
              <w:top w:val="single" w:sz="8" w:space="0" w:color="C7C9C7"/>
              <w:left w:val="nil"/>
              <w:bottom w:val="single" w:sz="8" w:space="0" w:color="C7C9C7"/>
              <w:right w:val="nil"/>
            </w:tcBorders>
            <w:tcMar>
              <w:top w:w="0" w:type="dxa"/>
              <w:left w:w="53" w:type="dxa"/>
              <w:bottom w:w="0" w:type="dxa"/>
              <w:right w:w="0" w:type="dxa"/>
            </w:tcMar>
            <w:vAlign w:val="bottom"/>
          </w:tcPr>
          <w:p w14:paraId="6AAE2B5C" w14:textId="77777777" w:rsidR="001614AC" w:rsidRDefault="004468F9">
            <w:pPr>
              <w:spacing w:before="55" w:after="30" w:line="288" w:lineRule="auto"/>
              <w:jc w:val="right"/>
            </w:pPr>
            <w:r>
              <w:rPr>
                <w:rFonts w:ascii="Arial" w:eastAsia="Arial" w:hAnsi="Arial" w:cs="Arial"/>
                <w:color w:val="000000"/>
                <w:sz w:val="18"/>
              </w:rPr>
              <w:t>3,000 </w:t>
            </w:r>
          </w:p>
        </w:tc>
        <w:tc>
          <w:tcPr>
            <w:tcW w:w="100" w:type="dxa"/>
            <w:tcBorders>
              <w:top w:val="single" w:sz="8" w:space="0" w:color="C7C9C7"/>
              <w:left w:val="nil"/>
              <w:bottom w:val="single" w:sz="8" w:space="0" w:color="C7C9C7"/>
              <w:right w:val="nil"/>
            </w:tcBorders>
            <w:tcMar>
              <w:top w:w="0" w:type="dxa"/>
              <w:left w:w="0" w:type="dxa"/>
              <w:bottom w:w="0" w:type="dxa"/>
              <w:right w:w="15" w:type="dxa"/>
            </w:tcMar>
            <w:vAlign w:val="bottom"/>
          </w:tcPr>
          <w:p w14:paraId="36C26B19" w14:textId="77777777" w:rsidR="001614AC" w:rsidRDefault="001614AC">
            <w:pPr>
              <w:spacing w:before="55" w:after="30" w:line="288" w:lineRule="auto"/>
              <w:jc w:val="right"/>
            </w:pPr>
          </w:p>
        </w:tc>
      </w:tr>
      <w:tr w:rsidR="001614AC" w14:paraId="5B74CB40" w14:textId="77777777">
        <w:trPr>
          <w:cantSplit/>
        </w:trPr>
        <w:tc>
          <w:tcPr>
            <w:tcW w:w="5280" w:type="dxa"/>
            <w:tcBorders>
              <w:top w:val="single" w:sz="8" w:space="0" w:color="F4F4F4"/>
              <w:left w:val="nil"/>
              <w:bottom w:val="nil"/>
              <w:right w:val="nil"/>
            </w:tcBorders>
            <w:shd w:val="clear" w:color="auto" w:fill="F4F4F4"/>
            <w:tcMar>
              <w:top w:w="0" w:type="dxa"/>
              <w:left w:w="53" w:type="dxa"/>
              <w:bottom w:w="0" w:type="dxa"/>
              <w:right w:w="53" w:type="dxa"/>
            </w:tcMar>
            <w:vAlign w:val="bottom"/>
          </w:tcPr>
          <w:p w14:paraId="422A78E4" w14:textId="77777777" w:rsidR="001614AC" w:rsidRDefault="004468F9">
            <w:pPr>
              <w:spacing w:before="55" w:after="30" w:line="288" w:lineRule="auto"/>
              <w:rPr>
                <w:rFonts w:ascii="Arial" w:eastAsia="Arial" w:hAnsi="Arial" w:cs="Arial"/>
                <w:sz w:val="18"/>
              </w:rPr>
            </w:pPr>
            <w:r>
              <w:rPr>
                <w:rFonts w:ascii="Arial" w:eastAsia="Arial" w:hAnsi="Arial" w:cs="Arial"/>
                <w:sz w:val="18"/>
              </w:rPr>
              <w:t xml:space="preserve">Total investments at fair value </w:t>
            </w:r>
            <w:r>
              <w:rPr>
                <w:rFonts w:ascii="Arial" w:eastAsia="Arial" w:hAnsi="Arial" w:cs="Arial"/>
                <w:sz w:val="18"/>
                <w:vertAlign w:val="superscript"/>
              </w:rPr>
              <w:t xml:space="preserve">(3) </w:t>
            </w:r>
          </w:p>
        </w:tc>
        <w:tc>
          <w:tcPr>
            <w:tcW w:w="105" w:type="dxa"/>
            <w:tcBorders>
              <w:top w:val="nil"/>
              <w:left w:val="nil"/>
              <w:bottom w:val="nil"/>
              <w:right w:val="nil"/>
            </w:tcBorders>
            <w:shd w:val="clear" w:color="auto" w:fill="F4F4F4"/>
            <w:tcMar>
              <w:top w:w="0" w:type="dxa"/>
              <w:left w:w="0" w:type="dxa"/>
              <w:bottom w:w="0" w:type="dxa"/>
              <w:right w:w="0" w:type="dxa"/>
            </w:tcMar>
            <w:vAlign w:val="bottom"/>
          </w:tcPr>
          <w:p w14:paraId="726C9D6A" w14:textId="77777777" w:rsidR="001614AC" w:rsidRDefault="001614AC"/>
        </w:tc>
        <w:tc>
          <w:tcPr>
            <w:tcW w:w="995" w:type="dxa"/>
            <w:gridSpan w:val="2"/>
            <w:tcBorders>
              <w:top w:val="single" w:sz="8" w:space="0" w:color="C7C9C7"/>
              <w:left w:val="nil"/>
              <w:bottom w:val="nil"/>
              <w:right w:val="nil"/>
            </w:tcBorders>
            <w:shd w:val="clear" w:color="auto" w:fill="F4F4F4"/>
            <w:tcMar>
              <w:top w:w="0" w:type="dxa"/>
              <w:left w:w="53" w:type="dxa"/>
              <w:bottom w:w="0" w:type="dxa"/>
              <w:right w:w="0" w:type="dxa"/>
            </w:tcMar>
            <w:vAlign w:val="bottom"/>
          </w:tcPr>
          <w:p w14:paraId="4BDFDC80" w14:textId="77777777" w:rsidR="001614AC" w:rsidRDefault="004468F9">
            <w:pPr>
              <w:spacing w:before="55" w:after="30" w:line="288" w:lineRule="auto"/>
              <w:jc w:val="right"/>
            </w:pPr>
            <w:r>
              <w:rPr>
                <w:rFonts w:ascii="Arial" w:eastAsia="Arial" w:hAnsi="Arial" w:cs="Arial"/>
                <w:color w:val="000000"/>
                <w:sz w:val="18"/>
              </w:rPr>
              <w:t>775,124 </w:t>
            </w:r>
          </w:p>
        </w:tc>
        <w:tc>
          <w:tcPr>
            <w:tcW w:w="100" w:type="dxa"/>
            <w:tcBorders>
              <w:top w:val="single" w:sz="8" w:space="0" w:color="C7C9C7"/>
              <w:left w:val="nil"/>
              <w:bottom w:val="nil"/>
              <w:right w:val="nil"/>
            </w:tcBorders>
            <w:shd w:val="clear" w:color="auto" w:fill="F4F4F4"/>
            <w:tcMar>
              <w:top w:w="0" w:type="dxa"/>
              <w:left w:w="0" w:type="dxa"/>
              <w:bottom w:w="0" w:type="dxa"/>
              <w:right w:w="15" w:type="dxa"/>
            </w:tcMar>
            <w:vAlign w:val="bottom"/>
          </w:tcPr>
          <w:p w14:paraId="661AF10A" w14:textId="77777777" w:rsidR="001614AC" w:rsidRDefault="001614AC">
            <w:pPr>
              <w:spacing w:before="55" w:after="30" w:line="288" w:lineRule="auto"/>
              <w:jc w:val="right"/>
            </w:pPr>
          </w:p>
        </w:tc>
        <w:tc>
          <w:tcPr>
            <w:tcW w:w="105" w:type="dxa"/>
            <w:tcBorders>
              <w:top w:val="nil"/>
              <w:left w:val="nil"/>
              <w:bottom w:val="nil"/>
              <w:right w:val="nil"/>
            </w:tcBorders>
            <w:shd w:val="clear" w:color="auto" w:fill="F4F4F4"/>
            <w:tcMar>
              <w:top w:w="0" w:type="dxa"/>
              <w:left w:w="0" w:type="dxa"/>
              <w:bottom w:w="0" w:type="dxa"/>
              <w:right w:w="0" w:type="dxa"/>
            </w:tcMar>
            <w:vAlign w:val="bottom"/>
          </w:tcPr>
          <w:p w14:paraId="329E04F8" w14:textId="77777777" w:rsidR="001614AC" w:rsidRDefault="001614AC"/>
        </w:tc>
        <w:tc>
          <w:tcPr>
            <w:tcW w:w="995" w:type="dxa"/>
            <w:gridSpan w:val="2"/>
            <w:tcBorders>
              <w:top w:val="single" w:sz="8" w:space="0" w:color="C7C9C7"/>
              <w:left w:val="nil"/>
              <w:bottom w:val="nil"/>
              <w:right w:val="nil"/>
            </w:tcBorders>
            <w:shd w:val="clear" w:color="auto" w:fill="F4F4F4"/>
            <w:tcMar>
              <w:top w:w="0" w:type="dxa"/>
              <w:left w:w="53" w:type="dxa"/>
              <w:bottom w:w="0" w:type="dxa"/>
              <w:right w:w="0" w:type="dxa"/>
            </w:tcMar>
            <w:vAlign w:val="bottom"/>
          </w:tcPr>
          <w:p w14:paraId="73316CFE" w14:textId="77777777" w:rsidR="001614AC" w:rsidRDefault="004468F9">
            <w:pPr>
              <w:spacing w:before="55" w:after="30" w:line="288" w:lineRule="auto"/>
              <w:jc w:val="right"/>
            </w:pPr>
            <w:r>
              <w:rPr>
                <w:rFonts w:ascii="Arial" w:eastAsia="Arial" w:hAnsi="Arial" w:cs="Arial"/>
                <w:color w:val="000000"/>
                <w:sz w:val="18"/>
              </w:rPr>
              <w:t>5,902,911 </w:t>
            </w:r>
          </w:p>
        </w:tc>
        <w:tc>
          <w:tcPr>
            <w:tcW w:w="100" w:type="dxa"/>
            <w:tcBorders>
              <w:top w:val="single" w:sz="8" w:space="0" w:color="C7C9C7"/>
              <w:left w:val="nil"/>
              <w:bottom w:val="nil"/>
              <w:right w:val="nil"/>
            </w:tcBorders>
            <w:shd w:val="clear" w:color="auto" w:fill="F4F4F4"/>
            <w:tcMar>
              <w:top w:w="0" w:type="dxa"/>
              <w:left w:w="0" w:type="dxa"/>
              <w:bottom w:w="0" w:type="dxa"/>
              <w:right w:w="15" w:type="dxa"/>
            </w:tcMar>
            <w:vAlign w:val="bottom"/>
          </w:tcPr>
          <w:p w14:paraId="4A2F3061" w14:textId="77777777" w:rsidR="001614AC" w:rsidRDefault="001614AC">
            <w:pPr>
              <w:spacing w:before="55" w:after="30" w:line="288" w:lineRule="auto"/>
              <w:jc w:val="right"/>
            </w:pPr>
          </w:p>
        </w:tc>
        <w:tc>
          <w:tcPr>
            <w:tcW w:w="105" w:type="dxa"/>
            <w:tcBorders>
              <w:top w:val="nil"/>
              <w:left w:val="nil"/>
              <w:bottom w:val="nil"/>
              <w:right w:val="nil"/>
            </w:tcBorders>
            <w:shd w:val="clear" w:color="auto" w:fill="F4F4F4"/>
            <w:tcMar>
              <w:top w:w="0" w:type="dxa"/>
              <w:left w:w="0" w:type="dxa"/>
              <w:bottom w:w="0" w:type="dxa"/>
              <w:right w:w="0" w:type="dxa"/>
            </w:tcMar>
            <w:vAlign w:val="bottom"/>
          </w:tcPr>
          <w:p w14:paraId="0F5FC67E" w14:textId="77777777" w:rsidR="001614AC" w:rsidRDefault="001614AC"/>
        </w:tc>
        <w:tc>
          <w:tcPr>
            <w:tcW w:w="995" w:type="dxa"/>
            <w:gridSpan w:val="2"/>
            <w:tcBorders>
              <w:top w:val="single" w:sz="8" w:space="0" w:color="C7C9C7"/>
              <w:left w:val="nil"/>
              <w:bottom w:val="nil"/>
              <w:right w:val="nil"/>
            </w:tcBorders>
            <w:shd w:val="clear" w:color="auto" w:fill="F4F4F4"/>
            <w:tcMar>
              <w:top w:w="0" w:type="dxa"/>
              <w:left w:w="53" w:type="dxa"/>
              <w:bottom w:w="0" w:type="dxa"/>
              <w:right w:w="0" w:type="dxa"/>
            </w:tcMar>
            <w:vAlign w:val="bottom"/>
          </w:tcPr>
          <w:p w14:paraId="684E8DA9" w14:textId="77777777" w:rsidR="001614AC" w:rsidRDefault="004468F9">
            <w:pPr>
              <w:spacing w:before="55" w:after="30" w:line="288" w:lineRule="auto"/>
              <w:jc w:val="right"/>
            </w:pPr>
            <w:r>
              <w:rPr>
                <w:rFonts w:ascii="Arial" w:eastAsia="Arial" w:hAnsi="Arial" w:cs="Arial"/>
                <w:color w:val="000000"/>
                <w:sz w:val="18"/>
              </w:rPr>
              <w:t>3,000 </w:t>
            </w:r>
          </w:p>
        </w:tc>
        <w:tc>
          <w:tcPr>
            <w:tcW w:w="100" w:type="dxa"/>
            <w:tcBorders>
              <w:top w:val="single" w:sz="8" w:space="0" w:color="C7C9C7"/>
              <w:left w:val="nil"/>
              <w:bottom w:val="nil"/>
              <w:right w:val="nil"/>
            </w:tcBorders>
            <w:shd w:val="clear" w:color="auto" w:fill="F4F4F4"/>
            <w:tcMar>
              <w:top w:w="0" w:type="dxa"/>
              <w:left w:w="0" w:type="dxa"/>
              <w:bottom w:w="0" w:type="dxa"/>
              <w:right w:w="15" w:type="dxa"/>
            </w:tcMar>
            <w:vAlign w:val="bottom"/>
          </w:tcPr>
          <w:p w14:paraId="289D8DF3" w14:textId="77777777" w:rsidR="001614AC" w:rsidRDefault="001614AC">
            <w:pPr>
              <w:spacing w:before="55" w:after="30" w:line="288" w:lineRule="auto"/>
              <w:jc w:val="right"/>
            </w:pPr>
          </w:p>
        </w:tc>
        <w:tc>
          <w:tcPr>
            <w:tcW w:w="105" w:type="dxa"/>
            <w:tcBorders>
              <w:top w:val="nil"/>
              <w:left w:val="nil"/>
              <w:bottom w:val="nil"/>
              <w:right w:val="nil"/>
            </w:tcBorders>
            <w:shd w:val="clear" w:color="auto" w:fill="F4F4F4"/>
            <w:tcMar>
              <w:top w:w="0" w:type="dxa"/>
              <w:left w:w="0" w:type="dxa"/>
              <w:bottom w:w="0" w:type="dxa"/>
              <w:right w:w="0" w:type="dxa"/>
            </w:tcMar>
            <w:vAlign w:val="bottom"/>
          </w:tcPr>
          <w:p w14:paraId="3F5B58ED" w14:textId="77777777" w:rsidR="001614AC" w:rsidRDefault="001614AC"/>
        </w:tc>
        <w:tc>
          <w:tcPr>
            <w:tcW w:w="995" w:type="dxa"/>
            <w:gridSpan w:val="2"/>
            <w:tcBorders>
              <w:top w:val="single" w:sz="8" w:space="0" w:color="C7C9C7"/>
              <w:left w:val="nil"/>
              <w:bottom w:val="nil"/>
              <w:right w:val="nil"/>
            </w:tcBorders>
            <w:shd w:val="clear" w:color="auto" w:fill="F4F4F4"/>
            <w:tcMar>
              <w:top w:w="0" w:type="dxa"/>
              <w:left w:w="53" w:type="dxa"/>
              <w:bottom w:w="0" w:type="dxa"/>
              <w:right w:w="0" w:type="dxa"/>
            </w:tcMar>
            <w:vAlign w:val="bottom"/>
          </w:tcPr>
          <w:p w14:paraId="2E6F5809" w14:textId="77777777" w:rsidR="001614AC" w:rsidRDefault="004468F9">
            <w:pPr>
              <w:spacing w:before="55" w:after="30" w:line="288" w:lineRule="auto"/>
              <w:jc w:val="right"/>
            </w:pPr>
            <w:r>
              <w:rPr>
                <w:rFonts w:ascii="Arial" w:eastAsia="Arial" w:hAnsi="Arial" w:cs="Arial"/>
                <w:color w:val="000000"/>
                <w:sz w:val="18"/>
              </w:rPr>
              <w:t>6,681,035 </w:t>
            </w:r>
          </w:p>
        </w:tc>
        <w:tc>
          <w:tcPr>
            <w:tcW w:w="100" w:type="dxa"/>
            <w:tcBorders>
              <w:top w:val="single" w:sz="8" w:space="0" w:color="C7C9C7"/>
              <w:left w:val="nil"/>
              <w:bottom w:val="nil"/>
              <w:right w:val="nil"/>
            </w:tcBorders>
            <w:shd w:val="clear" w:color="auto" w:fill="F4F4F4"/>
            <w:tcMar>
              <w:top w:w="0" w:type="dxa"/>
              <w:left w:w="0" w:type="dxa"/>
              <w:bottom w:w="0" w:type="dxa"/>
              <w:right w:w="15" w:type="dxa"/>
            </w:tcMar>
            <w:vAlign w:val="bottom"/>
          </w:tcPr>
          <w:p w14:paraId="0091263E" w14:textId="77777777" w:rsidR="001614AC" w:rsidRDefault="001614AC">
            <w:pPr>
              <w:spacing w:before="55" w:after="30" w:line="288" w:lineRule="auto"/>
              <w:jc w:val="right"/>
            </w:pPr>
          </w:p>
        </w:tc>
      </w:tr>
      <w:tr w:rsidR="001614AC" w14:paraId="6B53AB5C" w14:textId="77777777">
        <w:trPr>
          <w:cantSplit/>
        </w:trPr>
        <w:tc>
          <w:tcPr>
            <w:tcW w:w="5280" w:type="dxa"/>
            <w:tcBorders>
              <w:top w:val="nil"/>
              <w:left w:val="nil"/>
              <w:bottom w:val="single" w:sz="8" w:space="0" w:color="F4F4F4"/>
              <w:right w:val="nil"/>
            </w:tcBorders>
            <w:tcMar>
              <w:top w:w="0" w:type="dxa"/>
              <w:left w:w="53" w:type="dxa"/>
              <w:bottom w:w="0" w:type="dxa"/>
              <w:right w:w="53" w:type="dxa"/>
            </w:tcMar>
            <w:vAlign w:val="bottom"/>
          </w:tcPr>
          <w:p w14:paraId="2AA62EF8" w14:textId="77777777" w:rsidR="001614AC" w:rsidRDefault="004468F9">
            <w:pPr>
              <w:spacing w:before="75" w:after="30" w:line="288" w:lineRule="auto"/>
            </w:pPr>
            <w:r>
              <w:rPr>
                <w:rFonts w:ascii="Arial" w:eastAsia="Arial" w:hAnsi="Arial" w:cs="Arial"/>
                <w:b/>
                <w:color w:val="000000"/>
                <w:sz w:val="18"/>
              </w:rPr>
              <w:lastRenderedPageBreak/>
              <w:t>Other</w:t>
            </w:r>
          </w:p>
        </w:tc>
        <w:tc>
          <w:tcPr>
            <w:tcW w:w="105" w:type="dxa"/>
            <w:tcBorders>
              <w:top w:val="nil"/>
              <w:left w:val="nil"/>
              <w:bottom w:val="nil"/>
              <w:right w:val="nil"/>
            </w:tcBorders>
            <w:tcMar>
              <w:top w:w="0" w:type="dxa"/>
              <w:left w:w="0" w:type="dxa"/>
              <w:bottom w:w="0" w:type="dxa"/>
              <w:right w:w="0" w:type="dxa"/>
            </w:tcMar>
            <w:vAlign w:val="bottom"/>
          </w:tcPr>
          <w:p w14:paraId="4464A16E" w14:textId="77777777" w:rsidR="001614AC" w:rsidRDefault="001614AC"/>
        </w:tc>
        <w:tc>
          <w:tcPr>
            <w:tcW w:w="1095" w:type="dxa"/>
            <w:gridSpan w:val="3"/>
            <w:tcBorders>
              <w:top w:val="single" w:sz="8" w:space="0" w:color="C7C9C7"/>
              <w:left w:val="nil"/>
              <w:bottom w:val="single" w:sz="8" w:space="0" w:color="F4F4F4"/>
              <w:right w:val="nil"/>
            </w:tcBorders>
            <w:tcMar>
              <w:top w:w="0" w:type="dxa"/>
              <w:left w:w="0" w:type="dxa"/>
              <w:bottom w:w="0" w:type="dxa"/>
              <w:right w:w="0" w:type="dxa"/>
            </w:tcMar>
            <w:vAlign w:val="bottom"/>
          </w:tcPr>
          <w:p w14:paraId="6391E1C9" w14:textId="77777777" w:rsidR="001614AC" w:rsidRDefault="001614AC"/>
        </w:tc>
        <w:tc>
          <w:tcPr>
            <w:tcW w:w="105" w:type="dxa"/>
            <w:tcBorders>
              <w:top w:val="nil"/>
              <w:left w:val="nil"/>
              <w:bottom w:val="nil"/>
              <w:right w:val="nil"/>
            </w:tcBorders>
            <w:tcMar>
              <w:top w:w="0" w:type="dxa"/>
              <w:left w:w="0" w:type="dxa"/>
              <w:bottom w:w="0" w:type="dxa"/>
              <w:right w:w="0" w:type="dxa"/>
            </w:tcMar>
            <w:vAlign w:val="bottom"/>
          </w:tcPr>
          <w:p w14:paraId="6E8FBA47" w14:textId="77777777" w:rsidR="001614AC" w:rsidRDefault="001614AC"/>
        </w:tc>
        <w:tc>
          <w:tcPr>
            <w:tcW w:w="1095" w:type="dxa"/>
            <w:gridSpan w:val="3"/>
            <w:tcBorders>
              <w:top w:val="single" w:sz="8" w:space="0" w:color="C7C9C7"/>
              <w:left w:val="nil"/>
              <w:bottom w:val="single" w:sz="8" w:space="0" w:color="F4F4F4"/>
              <w:right w:val="nil"/>
            </w:tcBorders>
            <w:tcMar>
              <w:top w:w="0" w:type="dxa"/>
              <w:left w:w="0" w:type="dxa"/>
              <w:bottom w:w="0" w:type="dxa"/>
              <w:right w:w="0" w:type="dxa"/>
            </w:tcMar>
            <w:vAlign w:val="bottom"/>
          </w:tcPr>
          <w:p w14:paraId="1AEA22F7" w14:textId="77777777" w:rsidR="001614AC" w:rsidRDefault="001614AC"/>
        </w:tc>
        <w:tc>
          <w:tcPr>
            <w:tcW w:w="105" w:type="dxa"/>
            <w:tcBorders>
              <w:top w:val="nil"/>
              <w:left w:val="nil"/>
              <w:bottom w:val="nil"/>
              <w:right w:val="nil"/>
            </w:tcBorders>
            <w:tcMar>
              <w:top w:w="0" w:type="dxa"/>
              <w:left w:w="0" w:type="dxa"/>
              <w:bottom w:w="0" w:type="dxa"/>
              <w:right w:w="0" w:type="dxa"/>
            </w:tcMar>
            <w:vAlign w:val="bottom"/>
          </w:tcPr>
          <w:p w14:paraId="234C2A3C" w14:textId="77777777" w:rsidR="001614AC" w:rsidRDefault="001614AC"/>
        </w:tc>
        <w:tc>
          <w:tcPr>
            <w:tcW w:w="1095" w:type="dxa"/>
            <w:gridSpan w:val="3"/>
            <w:tcBorders>
              <w:top w:val="single" w:sz="8" w:space="0" w:color="C7C9C7"/>
              <w:left w:val="nil"/>
              <w:bottom w:val="single" w:sz="8" w:space="0" w:color="F4F4F4"/>
              <w:right w:val="nil"/>
            </w:tcBorders>
            <w:tcMar>
              <w:top w:w="0" w:type="dxa"/>
              <w:left w:w="0" w:type="dxa"/>
              <w:bottom w:w="0" w:type="dxa"/>
              <w:right w:w="0" w:type="dxa"/>
            </w:tcMar>
            <w:vAlign w:val="bottom"/>
          </w:tcPr>
          <w:p w14:paraId="3BFD04BB" w14:textId="77777777" w:rsidR="001614AC" w:rsidRDefault="001614AC"/>
        </w:tc>
        <w:tc>
          <w:tcPr>
            <w:tcW w:w="105" w:type="dxa"/>
            <w:tcBorders>
              <w:top w:val="nil"/>
              <w:left w:val="nil"/>
              <w:bottom w:val="nil"/>
              <w:right w:val="nil"/>
            </w:tcBorders>
            <w:tcMar>
              <w:top w:w="0" w:type="dxa"/>
              <w:left w:w="0" w:type="dxa"/>
              <w:bottom w:w="0" w:type="dxa"/>
              <w:right w:w="0" w:type="dxa"/>
            </w:tcMar>
            <w:vAlign w:val="bottom"/>
          </w:tcPr>
          <w:p w14:paraId="74AB57F7" w14:textId="77777777" w:rsidR="001614AC" w:rsidRDefault="001614AC"/>
        </w:tc>
        <w:tc>
          <w:tcPr>
            <w:tcW w:w="1095" w:type="dxa"/>
            <w:gridSpan w:val="3"/>
            <w:tcBorders>
              <w:top w:val="single" w:sz="8" w:space="0" w:color="C7C9C7"/>
              <w:left w:val="nil"/>
              <w:bottom w:val="single" w:sz="8" w:space="0" w:color="F4F4F4"/>
              <w:right w:val="nil"/>
            </w:tcBorders>
            <w:tcMar>
              <w:top w:w="0" w:type="dxa"/>
              <w:left w:w="0" w:type="dxa"/>
              <w:bottom w:w="0" w:type="dxa"/>
              <w:right w:w="0" w:type="dxa"/>
            </w:tcMar>
            <w:vAlign w:val="bottom"/>
          </w:tcPr>
          <w:p w14:paraId="6C5A9D5B" w14:textId="77777777" w:rsidR="001614AC" w:rsidRDefault="001614AC"/>
        </w:tc>
      </w:tr>
      <w:tr w:rsidR="001614AC" w14:paraId="031375E7" w14:textId="77777777">
        <w:trPr>
          <w:cantSplit/>
        </w:trPr>
        <w:tc>
          <w:tcPr>
            <w:tcW w:w="5280" w:type="dxa"/>
            <w:tcBorders>
              <w:top w:val="single" w:sz="8" w:space="0" w:color="F4F4F4"/>
              <w:left w:val="nil"/>
              <w:bottom w:val="single" w:sz="8" w:space="0" w:color="F4F4F4"/>
              <w:right w:val="nil"/>
            </w:tcBorders>
            <w:tcMar>
              <w:top w:w="0" w:type="dxa"/>
              <w:left w:w="53" w:type="dxa"/>
              <w:bottom w:w="0" w:type="dxa"/>
              <w:right w:w="53" w:type="dxa"/>
            </w:tcMar>
            <w:vAlign w:val="bottom"/>
          </w:tcPr>
          <w:p w14:paraId="03E1D9A4" w14:textId="77777777" w:rsidR="001614AC" w:rsidRDefault="004468F9">
            <w:pPr>
              <w:spacing w:before="55" w:after="30" w:line="288" w:lineRule="auto"/>
              <w:rPr>
                <w:rFonts w:ascii="Arial" w:eastAsia="Arial" w:hAnsi="Arial" w:cs="Arial"/>
                <w:sz w:val="18"/>
              </w:rPr>
            </w:pPr>
            <w:r>
              <w:rPr>
                <w:rFonts w:ascii="Arial" w:eastAsia="Arial" w:hAnsi="Arial" w:cs="Arial"/>
                <w:sz w:val="18"/>
              </w:rPr>
              <w:t xml:space="preserve">Embedded derivatives </w:t>
            </w:r>
            <w:r>
              <w:rPr>
                <w:rFonts w:ascii="Arial" w:eastAsia="Arial" w:hAnsi="Arial" w:cs="Arial"/>
                <w:sz w:val="18"/>
                <w:vertAlign w:val="superscript"/>
              </w:rPr>
              <w:t>(4)</w:t>
            </w:r>
          </w:p>
        </w:tc>
        <w:tc>
          <w:tcPr>
            <w:tcW w:w="105" w:type="dxa"/>
            <w:tcBorders>
              <w:top w:val="nil"/>
              <w:left w:val="nil"/>
              <w:bottom w:val="nil"/>
              <w:right w:val="nil"/>
            </w:tcBorders>
            <w:tcMar>
              <w:top w:w="0" w:type="dxa"/>
              <w:left w:w="0" w:type="dxa"/>
              <w:bottom w:w="0" w:type="dxa"/>
              <w:right w:w="0" w:type="dxa"/>
            </w:tcMar>
            <w:vAlign w:val="bottom"/>
          </w:tcPr>
          <w:p w14:paraId="0A672DBE" w14:textId="77777777" w:rsidR="001614AC" w:rsidRDefault="001614AC"/>
        </w:tc>
        <w:tc>
          <w:tcPr>
            <w:tcW w:w="995"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3352783D" w14:textId="77777777" w:rsidR="001614AC" w:rsidRDefault="004468F9">
            <w:pPr>
              <w:spacing w:before="55" w:after="30" w:line="288" w:lineRule="auto"/>
              <w:jc w:val="right"/>
            </w:pPr>
            <w:r>
              <w:rPr>
                <w:rFonts w:ascii="Arial" w:eastAsia="Arial" w:hAnsi="Arial" w:cs="Arial"/>
                <w:color w:val="000000"/>
                <w:sz w:val="18"/>
              </w:rPr>
              <w:t>—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7DDB880F" w14:textId="77777777" w:rsidR="001614AC" w:rsidRDefault="001614AC">
            <w:pPr>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69FFA7B9" w14:textId="77777777" w:rsidR="001614AC" w:rsidRDefault="001614AC"/>
        </w:tc>
        <w:tc>
          <w:tcPr>
            <w:tcW w:w="995"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0FD26337" w14:textId="77777777" w:rsidR="001614AC" w:rsidRDefault="004468F9">
            <w:pPr>
              <w:spacing w:before="55" w:after="30" w:line="288" w:lineRule="auto"/>
              <w:jc w:val="right"/>
            </w:pPr>
            <w:r>
              <w:rPr>
                <w:rFonts w:ascii="Arial" w:eastAsia="Arial" w:hAnsi="Arial" w:cs="Arial"/>
                <w:color w:val="000000"/>
                <w:sz w:val="18"/>
              </w:rPr>
              <w:t>—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1534E3E3" w14:textId="77777777" w:rsidR="001614AC" w:rsidRDefault="001614AC">
            <w:pPr>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29174A11" w14:textId="77777777" w:rsidR="001614AC" w:rsidRDefault="001614AC"/>
        </w:tc>
        <w:tc>
          <w:tcPr>
            <w:tcW w:w="995"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7D813667" w14:textId="77777777" w:rsidR="001614AC" w:rsidRDefault="004468F9">
            <w:pPr>
              <w:spacing w:before="55" w:after="30" w:line="288" w:lineRule="auto"/>
              <w:jc w:val="right"/>
            </w:pPr>
            <w:r>
              <w:rPr>
                <w:rFonts w:ascii="Arial" w:eastAsia="Arial" w:hAnsi="Arial" w:cs="Arial"/>
                <w:color w:val="000000"/>
                <w:sz w:val="18"/>
              </w:rPr>
              <w:t>5,905 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61111184" w14:textId="77777777" w:rsidR="001614AC" w:rsidRDefault="001614AC">
            <w:pPr>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66D9D7C8" w14:textId="77777777" w:rsidR="001614AC" w:rsidRDefault="001614AC"/>
        </w:tc>
        <w:tc>
          <w:tcPr>
            <w:tcW w:w="995"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4E3803E6" w14:textId="77777777" w:rsidR="001614AC" w:rsidRDefault="004468F9">
            <w:pPr>
              <w:spacing w:before="55" w:after="30" w:line="288" w:lineRule="auto"/>
              <w:jc w:val="right"/>
            </w:pPr>
            <w:r>
              <w:rPr>
                <w:rFonts w:ascii="Arial" w:eastAsia="Arial" w:hAnsi="Arial" w:cs="Arial"/>
                <w:color w:val="000000"/>
                <w:sz w:val="18"/>
              </w:rPr>
              <w:t>5,905 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55FA6C24" w14:textId="77777777" w:rsidR="001614AC" w:rsidRDefault="001614AC">
            <w:pPr>
              <w:spacing w:before="55" w:after="30" w:line="288" w:lineRule="auto"/>
              <w:jc w:val="right"/>
            </w:pPr>
          </w:p>
        </w:tc>
      </w:tr>
      <w:tr w:rsidR="001614AC" w14:paraId="5731DA5A" w14:textId="77777777">
        <w:trPr>
          <w:cantSplit/>
        </w:trPr>
        <w:tc>
          <w:tcPr>
            <w:tcW w:w="5280" w:type="dxa"/>
            <w:tcBorders>
              <w:top w:val="single" w:sz="8" w:space="0" w:color="F4F4F4"/>
              <w:left w:val="nil"/>
              <w:bottom w:val="single" w:sz="8" w:space="0" w:color="F4F4F4"/>
              <w:right w:val="nil"/>
            </w:tcBorders>
            <w:tcMar>
              <w:top w:w="0" w:type="dxa"/>
              <w:left w:w="53" w:type="dxa"/>
              <w:bottom w:w="0" w:type="dxa"/>
              <w:right w:w="53" w:type="dxa"/>
            </w:tcMar>
            <w:vAlign w:val="bottom"/>
          </w:tcPr>
          <w:p w14:paraId="1C9EC3B6" w14:textId="77777777" w:rsidR="001614AC" w:rsidRDefault="004468F9">
            <w:pPr>
              <w:spacing w:before="55" w:after="30" w:line="288" w:lineRule="auto"/>
              <w:rPr>
                <w:rFonts w:ascii="Arial" w:eastAsia="Arial" w:hAnsi="Arial" w:cs="Arial"/>
                <w:sz w:val="18"/>
              </w:rPr>
            </w:pPr>
            <w:r>
              <w:rPr>
                <w:rFonts w:ascii="Arial" w:eastAsia="Arial" w:hAnsi="Arial" w:cs="Arial"/>
                <w:sz w:val="18"/>
              </w:rPr>
              <w:t xml:space="preserve">Loaned securities </w:t>
            </w:r>
            <w:r>
              <w:rPr>
                <w:rFonts w:ascii="Arial" w:eastAsia="Arial" w:hAnsi="Arial" w:cs="Arial"/>
                <w:sz w:val="18"/>
                <w:vertAlign w:val="superscript"/>
              </w:rPr>
              <w:t xml:space="preserve">(5) </w:t>
            </w:r>
          </w:p>
        </w:tc>
        <w:tc>
          <w:tcPr>
            <w:tcW w:w="105" w:type="dxa"/>
            <w:tcBorders>
              <w:top w:val="nil"/>
              <w:left w:val="nil"/>
              <w:bottom w:val="nil"/>
              <w:right w:val="nil"/>
            </w:tcBorders>
            <w:tcMar>
              <w:top w:w="0" w:type="dxa"/>
              <w:left w:w="0" w:type="dxa"/>
              <w:bottom w:w="0" w:type="dxa"/>
              <w:right w:w="0" w:type="dxa"/>
            </w:tcMar>
            <w:vAlign w:val="bottom"/>
          </w:tcPr>
          <w:p w14:paraId="11C6D7B7" w14:textId="77777777" w:rsidR="001614AC" w:rsidRDefault="001614AC"/>
        </w:tc>
        <w:tc>
          <w:tcPr>
            <w:tcW w:w="1095" w:type="dxa"/>
            <w:gridSpan w:val="3"/>
            <w:tcBorders>
              <w:top w:val="single" w:sz="8" w:space="0" w:color="F4F4F4"/>
              <w:left w:val="nil"/>
              <w:bottom w:val="single" w:sz="8" w:space="0" w:color="F4F4F4"/>
              <w:right w:val="nil"/>
            </w:tcBorders>
            <w:tcMar>
              <w:top w:w="0" w:type="dxa"/>
              <w:left w:w="0" w:type="dxa"/>
              <w:bottom w:w="0" w:type="dxa"/>
              <w:right w:w="0" w:type="dxa"/>
            </w:tcMar>
            <w:vAlign w:val="bottom"/>
          </w:tcPr>
          <w:p w14:paraId="144E539C" w14:textId="77777777" w:rsidR="001614AC" w:rsidRDefault="001614AC"/>
        </w:tc>
        <w:tc>
          <w:tcPr>
            <w:tcW w:w="105" w:type="dxa"/>
            <w:tcBorders>
              <w:top w:val="nil"/>
              <w:left w:val="nil"/>
              <w:bottom w:val="nil"/>
              <w:right w:val="nil"/>
            </w:tcBorders>
            <w:tcMar>
              <w:top w:w="0" w:type="dxa"/>
              <w:left w:w="0" w:type="dxa"/>
              <w:bottom w:w="0" w:type="dxa"/>
              <w:right w:w="0" w:type="dxa"/>
            </w:tcMar>
            <w:vAlign w:val="bottom"/>
          </w:tcPr>
          <w:p w14:paraId="1BEA5021" w14:textId="77777777" w:rsidR="001614AC" w:rsidRDefault="001614AC"/>
        </w:tc>
        <w:tc>
          <w:tcPr>
            <w:tcW w:w="1095" w:type="dxa"/>
            <w:gridSpan w:val="3"/>
            <w:tcBorders>
              <w:top w:val="single" w:sz="8" w:space="0" w:color="F4F4F4"/>
              <w:left w:val="nil"/>
              <w:bottom w:val="single" w:sz="8" w:space="0" w:color="F4F4F4"/>
              <w:right w:val="nil"/>
            </w:tcBorders>
            <w:tcMar>
              <w:top w:w="0" w:type="dxa"/>
              <w:left w:w="0" w:type="dxa"/>
              <w:bottom w:w="0" w:type="dxa"/>
              <w:right w:w="0" w:type="dxa"/>
            </w:tcMar>
            <w:vAlign w:val="bottom"/>
          </w:tcPr>
          <w:p w14:paraId="0710CE45" w14:textId="77777777" w:rsidR="001614AC" w:rsidRDefault="001614AC"/>
        </w:tc>
        <w:tc>
          <w:tcPr>
            <w:tcW w:w="105" w:type="dxa"/>
            <w:tcBorders>
              <w:top w:val="nil"/>
              <w:left w:val="nil"/>
              <w:bottom w:val="nil"/>
              <w:right w:val="nil"/>
            </w:tcBorders>
            <w:tcMar>
              <w:top w:w="0" w:type="dxa"/>
              <w:left w:w="0" w:type="dxa"/>
              <w:bottom w:w="0" w:type="dxa"/>
              <w:right w:w="0" w:type="dxa"/>
            </w:tcMar>
            <w:vAlign w:val="bottom"/>
          </w:tcPr>
          <w:p w14:paraId="2AC5DD19" w14:textId="77777777" w:rsidR="001614AC" w:rsidRDefault="001614AC"/>
        </w:tc>
        <w:tc>
          <w:tcPr>
            <w:tcW w:w="1095" w:type="dxa"/>
            <w:gridSpan w:val="3"/>
            <w:tcBorders>
              <w:top w:val="single" w:sz="8" w:space="0" w:color="F4F4F4"/>
              <w:left w:val="nil"/>
              <w:bottom w:val="single" w:sz="8" w:space="0" w:color="F4F4F4"/>
              <w:right w:val="nil"/>
            </w:tcBorders>
            <w:tcMar>
              <w:top w:w="0" w:type="dxa"/>
              <w:left w:w="0" w:type="dxa"/>
              <w:bottom w:w="0" w:type="dxa"/>
              <w:right w:w="0" w:type="dxa"/>
            </w:tcMar>
            <w:vAlign w:val="bottom"/>
          </w:tcPr>
          <w:p w14:paraId="03BFCC1F" w14:textId="77777777" w:rsidR="001614AC" w:rsidRDefault="001614AC"/>
        </w:tc>
        <w:tc>
          <w:tcPr>
            <w:tcW w:w="105" w:type="dxa"/>
            <w:tcBorders>
              <w:top w:val="nil"/>
              <w:left w:val="nil"/>
              <w:bottom w:val="nil"/>
              <w:right w:val="nil"/>
            </w:tcBorders>
            <w:tcMar>
              <w:top w:w="0" w:type="dxa"/>
              <w:left w:w="0" w:type="dxa"/>
              <w:bottom w:w="0" w:type="dxa"/>
              <w:right w:w="0" w:type="dxa"/>
            </w:tcMar>
            <w:vAlign w:val="bottom"/>
          </w:tcPr>
          <w:p w14:paraId="7006720A" w14:textId="77777777" w:rsidR="001614AC" w:rsidRDefault="001614AC"/>
        </w:tc>
        <w:tc>
          <w:tcPr>
            <w:tcW w:w="1095" w:type="dxa"/>
            <w:gridSpan w:val="3"/>
            <w:tcBorders>
              <w:top w:val="single" w:sz="8" w:space="0" w:color="F4F4F4"/>
              <w:left w:val="nil"/>
              <w:bottom w:val="single" w:sz="8" w:space="0" w:color="F4F4F4"/>
              <w:right w:val="nil"/>
            </w:tcBorders>
            <w:tcMar>
              <w:top w:w="0" w:type="dxa"/>
              <w:left w:w="0" w:type="dxa"/>
              <w:bottom w:w="0" w:type="dxa"/>
              <w:right w:w="0" w:type="dxa"/>
            </w:tcMar>
            <w:vAlign w:val="bottom"/>
          </w:tcPr>
          <w:p w14:paraId="4251CCFD" w14:textId="77777777" w:rsidR="001614AC" w:rsidRDefault="001614AC"/>
        </w:tc>
      </w:tr>
      <w:tr w:rsidR="001614AC" w14:paraId="0EC6357E" w14:textId="77777777">
        <w:trPr>
          <w:cantSplit/>
        </w:trPr>
        <w:tc>
          <w:tcPr>
            <w:tcW w:w="5280" w:type="dxa"/>
            <w:tcBorders>
              <w:top w:val="single" w:sz="8" w:space="0" w:color="F4F4F4"/>
              <w:left w:val="nil"/>
              <w:bottom w:val="single" w:sz="8" w:space="0" w:color="F4F4F4"/>
              <w:right w:val="nil"/>
            </w:tcBorders>
            <w:tcMar>
              <w:top w:w="0" w:type="dxa"/>
              <w:left w:w="53" w:type="dxa"/>
              <w:bottom w:w="0" w:type="dxa"/>
              <w:right w:w="53" w:type="dxa"/>
            </w:tcMar>
            <w:vAlign w:val="bottom"/>
          </w:tcPr>
          <w:p w14:paraId="2E92A3BC" w14:textId="77777777" w:rsidR="001614AC" w:rsidRDefault="004468F9">
            <w:pPr>
              <w:spacing w:before="55" w:after="30" w:line="288" w:lineRule="auto"/>
              <w:ind w:left="240"/>
            </w:pPr>
            <w:r>
              <w:rPr>
                <w:rFonts w:ascii="Arial" w:eastAsia="Arial" w:hAnsi="Arial" w:cs="Arial"/>
                <w:color w:val="000000"/>
                <w:sz w:val="18"/>
              </w:rPr>
              <w:t>U.S. government and agency securities</w:t>
            </w:r>
          </w:p>
        </w:tc>
        <w:tc>
          <w:tcPr>
            <w:tcW w:w="105" w:type="dxa"/>
            <w:tcBorders>
              <w:top w:val="nil"/>
              <w:left w:val="nil"/>
              <w:bottom w:val="nil"/>
              <w:right w:val="nil"/>
            </w:tcBorders>
            <w:tcMar>
              <w:top w:w="0" w:type="dxa"/>
              <w:left w:w="0" w:type="dxa"/>
              <w:bottom w:w="0" w:type="dxa"/>
              <w:right w:w="0" w:type="dxa"/>
            </w:tcMar>
            <w:vAlign w:val="bottom"/>
          </w:tcPr>
          <w:p w14:paraId="4AA0327F" w14:textId="77777777" w:rsidR="001614AC" w:rsidRDefault="001614AC"/>
        </w:tc>
        <w:tc>
          <w:tcPr>
            <w:tcW w:w="995"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7EBE0BBF" w14:textId="77777777" w:rsidR="001614AC" w:rsidRDefault="004468F9">
            <w:pPr>
              <w:spacing w:before="55" w:after="30" w:line="288" w:lineRule="auto"/>
              <w:jc w:val="right"/>
            </w:pPr>
            <w:r>
              <w:rPr>
                <w:rFonts w:ascii="Arial" w:eastAsia="Arial" w:hAnsi="Arial" w:cs="Arial"/>
                <w:color w:val="000000"/>
                <w:sz w:val="18"/>
              </w:rPr>
              <w:t>5,550 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5BD5A7E1" w14:textId="77777777" w:rsidR="001614AC" w:rsidRDefault="001614AC">
            <w:pPr>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2E964891" w14:textId="77777777" w:rsidR="001614AC" w:rsidRDefault="001614AC"/>
        </w:tc>
        <w:tc>
          <w:tcPr>
            <w:tcW w:w="995"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566AB6BF" w14:textId="77777777" w:rsidR="001614AC" w:rsidRDefault="004468F9">
            <w:pPr>
              <w:spacing w:before="55" w:after="30" w:line="288" w:lineRule="auto"/>
              <w:jc w:val="right"/>
            </w:pPr>
            <w:r>
              <w:rPr>
                <w:rFonts w:ascii="Arial" w:eastAsia="Arial" w:hAnsi="Arial" w:cs="Arial"/>
                <w:color w:val="000000"/>
                <w:sz w:val="18"/>
              </w:rPr>
              <w:t>—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56F18F95" w14:textId="77777777" w:rsidR="001614AC" w:rsidRDefault="001614AC">
            <w:pPr>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0C1E2AF0" w14:textId="77777777" w:rsidR="001614AC" w:rsidRDefault="001614AC"/>
        </w:tc>
        <w:tc>
          <w:tcPr>
            <w:tcW w:w="995"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7C61EA90" w14:textId="77777777" w:rsidR="001614AC" w:rsidRDefault="004468F9">
            <w:pPr>
              <w:spacing w:before="55" w:after="30" w:line="288" w:lineRule="auto"/>
              <w:jc w:val="right"/>
            </w:pPr>
            <w:r>
              <w:rPr>
                <w:rFonts w:ascii="Arial" w:eastAsia="Arial" w:hAnsi="Arial" w:cs="Arial"/>
                <w:color w:val="000000"/>
                <w:sz w:val="18"/>
              </w:rPr>
              <w:t>—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53708B0D" w14:textId="77777777" w:rsidR="001614AC" w:rsidRDefault="001614AC">
            <w:pPr>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1F934B90" w14:textId="77777777" w:rsidR="001614AC" w:rsidRDefault="001614AC"/>
        </w:tc>
        <w:tc>
          <w:tcPr>
            <w:tcW w:w="995"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70C6A4FB" w14:textId="77777777" w:rsidR="001614AC" w:rsidRDefault="004468F9">
            <w:pPr>
              <w:spacing w:before="55" w:after="30" w:line="288" w:lineRule="auto"/>
              <w:jc w:val="right"/>
            </w:pPr>
            <w:r>
              <w:rPr>
                <w:rFonts w:ascii="Arial" w:eastAsia="Arial" w:hAnsi="Arial" w:cs="Arial"/>
                <w:color w:val="000000"/>
                <w:sz w:val="18"/>
              </w:rPr>
              <w:t>5,550 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0FB430F1" w14:textId="77777777" w:rsidR="001614AC" w:rsidRDefault="001614AC">
            <w:pPr>
              <w:spacing w:before="55" w:after="30" w:line="288" w:lineRule="auto"/>
              <w:jc w:val="right"/>
            </w:pPr>
          </w:p>
        </w:tc>
      </w:tr>
      <w:tr w:rsidR="001614AC" w14:paraId="3D7A4198" w14:textId="77777777">
        <w:trPr>
          <w:cantSplit/>
        </w:trPr>
        <w:tc>
          <w:tcPr>
            <w:tcW w:w="5280" w:type="dxa"/>
            <w:tcBorders>
              <w:top w:val="single" w:sz="8" w:space="0" w:color="F4F4F4"/>
              <w:left w:val="nil"/>
              <w:bottom w:val="nil"/>
              <w:right w:val="nil"/>
            </w:tcBorders>
            <w:tcMar>
              <w:top w:w="0" w:type="dxa"/>
              <w:left w:w="53" w:type="dxa"/>
              <w:bottom w:w="0" w:type="dxa"/>
              <w:right w:w="53" w:type="dxa"/>
            </w:tcMar>
            <w:vAlign w:val="bottom"/>
          </w:tcPr>
          <w:p w14:paraId="64FECF21" w14:textId="77777777" w:rsidR="001614AC" w:rsidRDefault="004468F9">
            <w:pPr>
              <w:spacing w:before="55" w:after="30" w:line="288" w:lineRule="auto"/>
              <w:ind w:left="240"/>
            </w:pPr>
            <w:r>
              <w:rPr>
                <w:rFonts w:ascii="Arial" w:eastAsia="Arial" w:hAnsi="Arial" w:cs="Arial"/>
                <w:color w:val="000000"/>
                <w:sz w:val="18"/>
              </w:rPr>
              <w:t>Corporate bonds and notes</w:t>
            </w:r>
          </w:p>
        </w:tc>
        <w:tc>
          <w:tcPr>
            <w:tcW w:w="105" w:type="dxa"/>
            <w:tcBorders>
              <w:top w:val="nil"/>
              <w:left w:val="nil"/>
              <w:bottom w:val="nil"/>
              <w:right w:val="nil"/>
            </w:tcBorders>
            <w:tcMar>
              <w:top w:w="0" w:type="dxa"/>
              <w:left w:w="0" w:type="dxa"/>
              <w:bottom w:w="0" w:type="dxa"/>
              <w:right w:w="0" w:type="dxa"/>
            </w:tcMar>
            <w:vAlign w:val="bottom"/>
          </w:tcPr>
          <w:p w14:paraId="1E5D1336" w14:textId="77777777" w:rsidR="001614AC" w:rsidRDefault="001614AC"/>
        </w:tc>
        <w:tc>
          <w:tcPr>
            <w:tcW w:w="995" w:type="dxa"/>
            <w:gridSpan w:val="2"/>
            <w:tcBorders>
              <w:top w:val="single" w:sz="8" w:space="0" w:color="F4F4F4"/>
              <w:left w:val="nil"/>
              <w:bottom w:val="nil"/>
              <w:right w:val="nil"/>
            </w:tcBorders>
            <w:tcMar>
              <w:top w:w="0" w:type="dxa"/>
              <w:left w:w="53" w:type="dxa"/>
              <w:bottom w:w="0" w:type="dxa"/>
              <w:right w:w="0" w:type="dxa"/>
            </w:tcMar>
            <w:vAlign w:val="bottom"/>
          </w:tcPr>
          <w:p w14:paraId="73B6B982" w14:textId="77777777" w:rsidR="001614AC" w:rsidRDefault="004468F9">
            <w:pPr>
              <w:spacing w:before="55" w:after="30" w:line="288" w:lineRule="auto"/>
              <w:jc w:val="right"/>
            </w:pPr>
            <w:r>
              <w:rPr>
                <w:rFonts w:ascii="Arial" w:eastAsia="Arial" w:hAnsi="Arial" w:cs="Arial"/>
                <w:color w:val="000000"/>
                <w:sz w:val="18"/>
              </w:rPr>
              <w:t>— </w:t>
            </w:r>
          </w:p>
        </w:tc>
        <w:tc>
          <w:tcPr>
            <w:tcW w:w="100" w:type="dxa"/>
            <w:tcBorders>
              <w:top w:val="single" w:sz="8" w:space="0" w:color="F4F4F4"/>
              <w:left w:val="nil"/>
              <w:bottom w:val="nil"/>
              <w:right w:val="nil"/>
            </w:tcBorders>
            <w:tcMar>
              <w:top w:w="0" w:type="dxa"/>
              <w:left w:w="0" w:type="dxa"/>
              <w:bottom w:w="0" w:type="dxa"/>
              <w:right w:w="15" w:type="dxa"/>
            </w:tcMar>
            <w:vAlign w:val="bottom"/>
          </w:tcPr>
          <w:p w14:paraId="43F7A796" w14:textId="77777777" w:rsidR="001614AC" w:rsidRDefault="001614AC">
            <w:pPr>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0EE50CF9" w14:textId="77777777" w:rsidR="001614AC" w:rsidRDefault="001614AC"/>
        </w:tc>
        <w:tc>
          <w:tcPr>
            <w:tcW w:w="995" w:type="dxa"/>
            <w:gridSpan w:val="2"/>
            <w:tcBorders>
              <w:top w:val="single" w:sz="8" w:space="0" w:color="F4F4F4"/>
              <w:left w:val="nil"/>
              <w:bottom w:val="nil"/>
              <w:right w:val="nil"/>
            </w:tcBorders>
            <w:tcMar>
              <w:top w:w="0" w:type="dxa"/>
              <w:left w:w="53" w:type="dxa"/>
              <w:bottom w:w="0" w:type="dxa"/>
              <w:right w:w="0" w:type="dxa"/>
            </w:tcMar>
            <w:vAlign w:val="bottom"/>
          </w:tcPr>
          <w:p w14:paraId="042F5A04" w14:textId="77777777" w:rsidR="001614AC" w:rsidRDefault="004468F9">
            <w:pPr>
              <w:spacing w:before="55" w:after="30" w:line="288" w:lineRule="auto"/>
              <w:jc w:val="right"/>
            </w:pPr>
            <w:r>
              <w:rPr>
                <w:rFonts w:ascii="Arial" w:eastAsia="Arial" w:hAnsi="Arial" w:cs="Arial"/>
                <w:color w:val="000000"/>
                <w:sz w:val="18"/>
              </w:rPr>
              <w:t>95,318 </w:t>
            </w:r>
          </w:p>
        </w:tc>
        <w:tc>
          <w:tcPr>
            <w:tcW w:w="100" w:type="dxa"/>
            <w:tcBorders>
              <w:top w:val="single" w:sz="8" w:space="0" w:color="F4F4F4"/>
              <w:left w:val="nil"/>
              <w:bottom w:val="nil"/>
              <w:right w:val="nil"/>
            </w:tcBorders>
            <w:tcMar>
              <w:top w:w="0" w:type="dxa"/>
              <w:left w:w="0" w:type="dxa"/>
              <w:bottom w:w="0" w:type="dxa"/>
              <w:right w:w="15" w:type="dxa"/>
            </w:tcMar>
            <w:vAlign w:val="bottom"/>
          </w:tcPr>
          <w:p w14:paraId="279D0FB7" w14:textId="77777777" w:rsidR="001614AC" w:rsidRDefault="001614AC">
            <w:pPr>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4F70A52A" w14:textId="77777777" w:rsidR="001614AC" w:rsidRDefault="001614AC"/>
        </w:tc>
        <w:tc>
          <w:tcPr>
            <w:tcW w:w="995" w:type="dxa"/>
            <w:gridSpan w:val="2"/>
            <w:tcBorders>
              <w:top w:val="single" w:sz="8" w:space="0" w:color="F4F4F4"/>
              <w:left w:val="nil"/>
              <w:bottom w:val="nil"/>
              <w:right w:val="nil"/>
            </w:tcBorders>
            <w:tcMar>
              <w:top w:w="0" w:type="dxa"/>
              <w:left w:w="53" w:type="dxa"/>
              <w:bottom w:w="0" w:type="dxa"/>
              <w:right w:w="0" w:type="dxa"/>
            </w:tcMar>
            <w:vAlign w:val="bottom"/>
          </w:tcPr>
          <w:p w14:paraId="2F7D1340" w14:textId="77777777" w:rsidR="001614AC" w:rsidRDefault="004468F9">
            <w:pPr>
              <w:spacing w:before="55" w:after="30" w:line="288" w:lineRule="auto"/>
              <w:jc w:val="right"/>
            </w:pPr>
            <w:r>
              <w:rPr>
                <w:rFonts w:ascii="Arial" w:eastAsia="Arial" w:hAnsi="Arial" w:cs="Arial"/>
                <w:color w:val="000000"/>
                <w:sz w:val="18"/>
              </w:rPr>
              <w:t>— </w:t>
            </w:r>
          </w:p>
        </w:tc>
        <w:tc>
          <w:tcPr>
            <w:tcW w:w="100" w:type="dxa"/>
            <w:tcBorders>
              <w:top w:val="single" w:sz="8" w:space="0" w:color="F4F4F4"/>
              <w:left w:val="nil"/>
              <w:bottom w:val="nil"/>
              <w:right w:val="nil"/>
            </w:tcBorders>
            <w:tcMar>
              <w:top w:w="0" w:type="dxa"/>
              <w:left w:w="0" w:type="dxa"/>
              <w:bottom w:w="0" w:type="dxa"/>
              <w:right w:w="15" w:type="dxa"/>
            </w:tcMar>
            <w:vAlign w:val="bottom"/>
          </w:tcPr>
          <w:p w14:paraId="6C5853AA" w14:textId="77777777" w:rsidR="001614AC" w:rsidRDefault="001614AC">
            <w:pPr>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138EA3A9" w14:textId="77777777" w:rsidR="001614AC" w:rsidRDefault="001614AC"/>
        </w:tc>
        <w:tc>
          <w:tcPr>
            <w:tcW w:w="995" w:type="dxa"/>
            <w:gridSpan w:val="2"/>
            <w:tcBorders>
              <w:top w:val="single" w:sz="8" w:space="0" w:color="F4F4F4"/>
              <w:left w:val="nil"/>
              <w:bottom w:val="nil"/>
              <w:right w:val="nil"/>
            </w:tcBorders>
            <w:tcMar>
              <w:top w:w="0" w:type="dxa"/>
              <w:left w:w="53" w:type="dxa"/>
              <w:bottom w:w="0" w:type="dxa"/>
              <w:right w:w="0" w:type="dxa"/>
            </w:tcMar>
            <w:vAlign w:val="bottom"/>
          </w:tcPr>
          <w:p w14:paraId="62294A75" w14:textId="77777777" w:rsidR="001614AC" w:rsidRDefault="004468F9">
            <w:pPr>
              <w:spacing w:before="55" w:after="30" w:line="288" w:lineRule="auto"/>
              <w:jc w:val="right"/>
            </w:pPr>
            <w:r>
              <w:rPr>
                <w:rFonts w:ascii="Arial" w:eastAsia="Arial" w:hAnsi="Arial" w:cs="Arial"/>
                <w:color w:val="000000"/>
                <w:sz w:val="18"/>
              </w:rPr>
              <w:t>95,318 </w:t>
            </w:r>
          </w:p>
        </w:tc>
        <w:tc>
          <w:tcPr>
            <w:tcW w:w="100" w:type="dxa"/>
            <w:tcBorders>
              <w:top w:val="single" w:sz="8" w:space="0" w:color="F4F4F4"/>
              <w:left w:val="nil"/>
              <w:bottom w:val="nil"/>
              <w:right w:val="nil"/>
            </w:tcBorders>
            <w:tcMar>
              <w:top w:w="0" w:type="dxa"/>
              <w:left w:w="0" w:type="dxa"/>
              <w:bottom w:w="0" w:type="dxa"/>
              <w:right w:w="15" w:type="dxa"/>
            </w:tcMar>
            <w:vAlign w:val="bottom"/>
          </w:tcPr>
          <w:p w14:paraId="651A4FF4" w14:textId="77777777" w:rsidR="001614AC" w:rsidRDefault="001614AC">
            <w:pPr>
              <w:spacing w:before="55" w:after="30" w:line="288" w:lineRule="auto"/>
              <w:jc w:val="right"/>
            </w:pPr>
          </w:p>
        </w:tc>
      </w:tr>
      <w:tr w:rsidR="001614AC" w14:paraId="143B37EC" w14:textId="77777777">
        <w:trPr>
          <w:cantSplit/>
        </w:trPr>
        <w:tc>
          <w:tcPr>
            <w:tcW w:w="5280" w:type="dxa"/>
            <w:tcBorders>
              <w:top w:val="single" w:sz="8" w:space="0" w:color="F4F4F4"/>
              <w:left w:val="nil"/>
              <w:bottom w:val="nil"/>
              <w:right w:val="nil"/>
            </w:tcBorders>
            <w:tcMar>
              <w:top w:w="0" w:type="dxa"/>
              <w:left w:w="53" w:type="dxa"/>
              <w:bottom w:w="0" w:type="dxa"/>
              <w:right w:w="53" w:type="dxa"/>
            </w:tcMar>
            <w:vAlign w:val="bottom"/>
          </w:tcPr>
          <w:p w14:paraId="16334B06" w14:textId="77777777" w:rsidR="001614AC" w:rsidRDefault="004468F9">
            <w:pPr>
              <w:spacing w:before="55" w:after="30" w:line="288" w:lineRule="auto"/>
              <w:ind w:left="240"/>
            </w:pPr>
            <w:r>
              <w:rPr>
                <w:rFonts w:ascii="Arial" w:eastAsia="Arial" w:hAnsi="Arial" w:cs="Arial"/>
                <w:color w:val="000000"/>
                <w:sz w:val="18"/>
              </w:rPr>
              <w:t>Equity securities</w:t>
            </w:r>
          </w:p>
        </w:tc>
        <w:tc>
          <w:tcPr>
            <w:tcW w:w="105" w:type="dxa"/>
            <w:tcBorders>
              <w:top w:val="nil"/>
              <w:left w:val="nil"/>
              <w:bottom w:val="nil"/>
              <w:right w:val="nil"/>
            </w:tcBorders>
            <w:tcMar>
              <w:top w:w="0" w:type="dxa"/>
              <w:left w:w="0" w:type="dxa"/>
              <w:bottom w:w="0" w:type="dxa"/>
              <w:right w:w="0" w:type="dxa"/>
            </w:tcMar>
            <w:vAlign w:val="bottom"/>
          </w:tcPr>
          <w:p w14:paraId="48D1E0BF" w14:textId="77777777" w:rsidR="001614AC" w:rsidRDefault="001614AC"/>
        </w:tc>
        <w:tc>
          <w:tcPr>
            <w:tcW w:w="995" w:type="dxa"/>
            <w:gridSpan w:val="2"/>
            <w:tcBorders>
              <w:top w:val="single" w:sz="8" w:space="0" w:color="F4F4F4"/>
              <w:left w:val="nil"/>
              <w:bottom w:val="single" w:sz="8" w:space="0" w:color="C7C9C7"/>
              <w:right w:val="nil"/>
            </w:tcBorders>
            <w:tcMar>
              <w:top w:w="0" w:type="dxa"/>
              <w:left w:w="53" w:type="dxa"/>
              <w:bottom w:w="0" w:type="dxa"/>
              <w:right w:w="0" w:type="dxa"/>
            </w:tcMar>
            <w:vAlign w:val="bottom"/>
          </w:tcPr>
          <w:p w14:paraId="36A7E8BD" w14:textId="77777777" w:rsidR="001614AC" w:rsidRDefault="004468F9">
            <w:pPr>
              <w:spacing w:before="55" w:after="30" w:line="288" w:lineRule="auto"/>
              <w:jc w:val="right"/>
            </w:pPr>
            <w:r>
              <w:rPr>
                <w:rFonts w:ascii="Arial" w:eastAsia="Arial" w:hAnsi="Arial" w:cs="Arial"/>
                <w:color w:val="000000"/>
                <w:sz w:val="18"/>
              </w:rPr>
              <w:t>29,982 </w:t>
            </w:r>
          </w:p>
        </w:tc>
        <w:tc>
          <w:tcPr>
            <w:tcW w:w="100" w:type="dxa"/>
            <w:tcBorders>
              <w:top w:val="single" w:sz="8" w:space="0" w:color="F4F4F4"/>
              <w:left w:val="nil"/>
              <w:bottom w:val="single" w:sz="8" w:space="0" w:color="C7C9C7"/>
              <w:right w:val="nil"/>
            </w:tcBorders>
            <w:tcMar>
              <w:top w:w="0" w:type="dxa"/>
              <w:left w:w="0" w:type="dxa"/>
              <w:bottom w:w="0" w:type="dxa"/>
              <w:right w:w="15" w:type="dxa"/>
            </w:tcMar>
            <w:vAlign w:val="bottom"/>
          </w:tcPr>
          <w:p w14:paraId="62985CF8" w14:textId="77777777" w:rsidR="001614AC" w:rsidRDefault="001614AC">
            <w:pPr>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0A338CC9" w14:textId="77777777" w:rsidR="001614AC" w:rsidRDefault="001614AC"/>
        </w:tc>
        <w:tc>
          <w:tcPr>
            <w:tcW w:w="995" w:type="dxa"/>
            <w:gridSpan w:val="2"/>
            <w:tcBorders>
              <w:top w:val="single" w:sz="8" w:space="0" w:color="F4F4F4"/>
              <w:left w:val="nil"/>
              <w:bottom w:val="single" w:sz="8" w:space="0" w:color="C7C9C7"/>
              <w:right w:val="nil"/>
            </w:tcBorders>
            <w:tcMar>
              <w:top w:w="0" w:type="dxa"/>
              <w:left w:w="53" w:type="dxa"/>
              <w:bottom w:w="0" w:type="dxa"/>
              <w:right w:w="0" w:type="dxa"/>
            </w:tcMar>
            <w:vAlign w:val="bottom"/>
          </w:tcPr>
          <w:p w14:paraId="76ACA3B4" w14:textId="77777777" w:rsidR="001614AC" w:rsidRDefault="004468F9">
            <w:pPr>
              <w:spacing w:before="55" w:after="30" w:line="288" w:lineRule="auto"/>
              <w:jc w:val="right"/>
            </w:pPr>
            <w:r>
              <w:rPr>
                <w:rFonts w:ascii="Arial" w:eastAsia="Arial" w:hAnsi="Arial" w:cs="Arial"/>
                <w:color w:val="000000"/>
                <w:sz w:val="18"/>
              </w:rPr>
              <w:t>— </w:t>
            </w:r>
          </w:p>
        </w:tc>
        <w:tc>
          <w:tcPr>
            <w:tcW w:w="100" w:type="dxa"/>
            <w:tcBorders>
              <w:top w:val="single" w:sz="8" w:space="0" w:color="F4F4F4"/>
              <w:left w:val="nil"/>
              <w:bottom w:val="single" w:sz="8" w:space="0" w:color="C7C9C7"/>
              <w:right w:val="nil"/>
            </w:tcBorders>
            <w:tcMar>
              <w:top w:w="0" w:type="dxa"/>
              <w:left w:w="0" w:type="dxa"/>
              <w:bottom w:w="0" w:type="dxa"/>
              <w:right w:w="15" w:type="dxa"/>
            </w:tcMar>
            <w:vAlign w:val="bottom"/>
          </w:tcPr>
          <w:p w14:paraId="5811226E" w14:textId="77777777" w:rsidR="001614AC" w:rsidRDefault="001614AC">
            <w:pPr>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2462C17C" w14:textId="77777777" w:rsidR="001614AC" w:rsidRDefault="001614AC"/>
        </w:tc>
        <w:tc>
          <w:tcPr>
            <w:tcW w:w="995" w:type="dxa"/>
            <w:gridSpan w:val="2"/>
            <w:tcBorders>
              <w:top w:val="single" w:sz="8" w:space="0" w:color="F4F4F4"/>
              <w:left w:val="nil"/>
              <w:bottom w:val="single" w:sz="8" w:space="0" w:color="C7C9C7"/>
              <w:right w:val="nil"/>
            </w:tcBorders>
            <w:tcMar>
              <w:top w:w="0" w:type="dxa"/>
              <w:left w:w="53" w:type="dxa"/>
              <w:bottom w:w="0" w:type="dxa"/>
              <w:right w:w="0" w:type="dxa"/>
            </w:tcMar>
            <w:vAlign w:val="bottom"/>
          </w:tcPr>
          <w:p w14:paraId="7BA57E9F" w14:textId="77777777" w:rsidR="001614AC" w:rsidRDefault="004468F9">
            <w:pPr>
              <w:spacing w:before="55" w:after="30" w:line="288" w:lineRule="auto"/>
              <w:jc w:val="right"/>
            </w:pPr>
            <w:r>
              <w:rPr>
                <w:rFonts w:ascii="Arial" w:eastAsia="Arial" w:hAnsi="Arial" w:cs="Arial"/>
                <w:color w:val="000000"/>
                <w:sz w:val="18"/>
              </w:rPr>
              <w:t>— </w:t>
            </w:r>
          </w:p>
        </w:tc>
        <w:tc>
          <w:tcPr>
            <w:tcW w:w="100" w:type="dxa"/>
            <w:tcBorders>
              <w:top w:val="single" w:sz="8" w:space="0" w:color="F4F4F4"/>
              <w:left w:val="nil"/>
              <w:bottom w:val="single" w:sz="8" w:space="0" w:color="C7C9C7"/>
              <w:right w:val="nil"/>
            </w:tcBorders>
            <w:tcMar>
              <w:top w:w="0" w:type="dxa"/>
              <w:left w:w="0" w:type="dxa"/>
              <w:bottom w:w="0" w:type="dxa"/>
              <w:right w:w="15" w:type="dxa"/>
            </w:tcMar>
            <w:vAlign w:val="bottom"/>
          </w:tcPr>
          <w:p w14:paraId="16F78C08" w14:textId="77777777" w:rsidR="001614AC" w:rsidRDefault="001614AC">
            <w:pPr>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31C3C288" w14:textId="77777777" w:rsidR="001614AC" w:rsidRDefault="001614AC"/>
        </w:tc>
        <w:tc>
          <w:tcPr>
            <w:tcW w:w="995" w:type="dxa"/>
            <w:gridSpan w:val="2"/>
            <w:tcBorders>
              <w:top w:val="single" w:sz="8" w:space="0" w:color="F4F4F4"/>
              <w:left w:val="nil"/>
              <w:bottom w:val="single" w:sz="8" w:space="0" w:color="C7C9C7"/>
              <w:right w:val="nil"/>
            </w:tcBorders>
            <w:tcMar>
              <w:top w:w="0" w:type="dxa"/>
              <w:left w:w="53" w:type="dxa"/>
              <w:bottom w:w="0" w:type="dxa"/>
              <w:right w:w="0" w:type="dxa"/>
            </w:tcMar>
            <w:vAlign w:val="bottom"/>
          </w:tcPr>
          <w:p w14:paraId="3E0ABB04" w14:textId="77777777" w:rsidR="001614AC" w:rsidRDefault="004468F9">
            <w:pPr>
              <w:spacing w:before="55" w:after="30" w:line="288" w:lineRule="auto"/>
              <w:jc w:val="right"/>
            </w:pPr>
            <w:r>
              <w:rPr>
                <w:rFonts w:ascii="Arial" w:eastAsia="Arial" w:hAnsi="Arial" w:cs="Arial"/>
                <w:color w:val="000000"/>
                <w:sz w:val="18"/>
              </w:rPr>
              <w:t>29,982 </w:t>
            </w:r>
          </w:p>
        </w:tc>
        <w:tc>
          <w:tcPr>
            <w:tcW w:w="100" w:type="dxa"/>
            <w:tcBorders>
              <w:top w:val="single" w:sz="8" w:space="0" w:color="F4F4F4"/>
              <w:left w:val="nil"/>
              <w:bottom w:val="single" w:sz="8" w:space="0" w:color="C7C9C7"/>
              <w:right w:val="nil"/>
            </w:tcBorders>
            <w:tcMar>
              <w:top w:w="0" w:type="dxa"/>
              <w:left w:w="0" w:type="dxa"/>
              <w:bottom w:w="0" w:type="dxa"/>
              <w:right w:w="15" w:type="dxa"/>
            </w:tcMar>
            <w:vAlign w:val="bottom"/>
          </w:tcPr>
          <w:p w14:paraId="3CB5599A" w14:textId="77777777" w:rsidR="001614AC" w:rsidRDefault="001614AC">
            <w:pPr>
              <w:spacing w:before="55" w:after="30" w:line="288" w:lineRule="auto"/>
              <w:jc w:val="right"/>
            </w:pPr>
          </w:p>
        </w:tc>
      </w:tr>
      <w:tr w:rsidR="001614AC" w14:paraId="7C1C55BE" w14:textId="77777777">
        <w:trPr>
          <w:cantSplit/>
        </w:trPr>
        <w:tc>
          <w:tcPr>
            <w:tcW w:w="5280" w:type="dxa"/>
            <w:tcBorders>
              <w:top w:val="nil"/>
              <w:left w:val="nil"/>
              <w:bottom w:val="nil"/>
              <w:right w:val="nil"/>
            </w:tcBorders>
            <w:shd w:val="clear" w:color="auto" w:fill="F4F4F4"/>
            <w:tcMar>
              <w:top w:w="0" w:type="dxa"/>
              <w:left w:w="53" w:type="dxa"/>
              <w:bottom w:w="0" w:type="dxa"/>
              <w:right w:w="53" w:type="dxa"/>
            </w:tcMar>
            <w:vAlign w:val="bottom"/>
          </w:tcPr>
          <w:p w14:paraId="3EDD1D72" w14:textId="77777777" w:rsidR="001614AC" w:rsidRDefault="004468F9">
            <w:pPr>
              <w:spacing w:before="75" w:after="30" w:line="288" w:lineRule="auto"/>
              <w:rPr>
                <w:rFonts w:ascii="Arial" w:eastAsia="Arial" w:hAnsi="Arial" w:cs="Arial"/>
                <w:sz w:val="18"/>
              </w:rPr>
            </w:pPr>
            <w:r>
              <w:rPr>
                <w:rFonts w:ascii="Arial" w:eastAsia="Arial" w:hAnsi="Arial" w:cs="Arial"/>
                <w:sz w:val="18"/>
              </w:rPr>
              <w:t xml:space="preserve">Total assets at fair value </w:t>
            </w:r>
            <w:r>
              <w:rPr>
                <w:rFonts w:ascii="Arial" w:eastAsia="Arial" w:hAnsi="Arial" w:cs="Arial"/>
                <w:sz w:val="18"/>
                <w:vertAlign w:val="superscript"/>
              </w:rPr>
              <w:t xml:space="preserve">(3) </w:t>
            </w:r>
          </w:p>
        </w:tc>
        <w:tc>
          <w:tcPr>
            <w:tcW w:w="105" w:type="dxa"/>
            <w:tcBorders>
              <w:top w:val="nil"/>
              <w:left w:val="nil"/>
              <w:bottom w:val="nil"/>
              <w:right w:val="nil"/>
            </w:tcBorders>
            <w:shd w:val="clear" w:color="auto" w:fill="F4F4F4"/>
            <w:tcMar>
              <w:top w:w="0" w:type="dxa"/>
              <w:left w:w="0" w:type="dxa"/>
              <w:bottom w:w="0" w:type="dxa"/>
              <w:right w:w="0" w:type="dxa"/>
            </w:tcMar>
            <w:vAlign w:val="bottom"/>
          </w:tcPr>
          <w:p w14:paraId="43BF678B" w14:textId="77777777" w:rsidR="001614AC" w:rsidRDefault="001614AC"/>
        </w:tc>
        <w:tc>
          <w:tcPr>
            <w:tcW w:w="160" w:type="dxa"/>
            <w:tcBorders>
              <w:top w:val="single" w:sz="8" w:space="0" w:color="C7C9C7"/>
              <w:left w:val="nil"/>
              <w:bottom w:val="double" w:sz="8" w:space="0" w:color="C7C9C7"/>
              <w:right w:val="nil"/>
            </w:tcBorders>
            <w:shd w:val="clear" w:color="auto" w:fill="F4F4F4"/>
            <w:tcMar>
              <w:top w:w="0" w:type="dxa"/>
              <w:left w:w="53" w:type="dxa"/>
              <w:bottom w:w="0" w:type="dxa"/>
              <w:right w:w="0" w:type="dxa"/>
            </w:tcMar>
            <w:vAlign w:val="bottom"/>
          </w:tcPr>
          <w:p w14:paraId="20F42421" w14:textId="77777777" w:rsidR="001614AC" w:rsidRDefault="004468F9">
            <w:pPr>
              <w:spacing w:before="55" w:after="30" w:line="288" w:lineRule="auto"/>
            </w:pPr>
            <w:r>
              <w:rPr>
                <w:rFonts w:ascii="Arial" w:eastAsia="Arial" w:hAnsi="Arial" w:cs="Arial"/>
                <w:color w:val="000000"/>
                <w:sz w:val="18"/>
              </w:rPr>
              <w:t>$</w:t>
            </w:r>
          </w:p>
        </w:tc>
        <w:tc>
          <w:tcPr>
            <w:tcW w:w="835" w:type="dxa"/>
            <w:tcBorders>
              <w:top w:val="single" w:sz="8" w:space="0" w:color="C7C9C7"/>
              <w:left w:val="nil"/>
              <w:bottom w:val="double" w:sz="8" w:space="0" w:color="C7C9C7"/>
              <w:right w:val="nil"/>
            </w:tcBorders>
            <w:shd w:val="clear" w:color="auto" w:fill="F4F4F4"/>
            <w:tcMar>
              <w:top w:w="0" w:type="dxa"/>
              <w:left w:w="0" w:type="dxa"/>
              <w:bottom w:w="0" w:type="dxa"/>
              <w:right w:w="0" w:type="dxa"/>
            </w:tcMar>
            <w:vAlign w:val="bottom"/>
          </w:tcPr>
          <w:p w14:paraId="511AB74A" w14:textId="77777777" w:rsidR="001614AC" w:rsidRDefault="004468F9">
            <w:pPr>
              <w:spacing w:before="55" w:after="30" w:line="288" w:lineRule="auto"/>
              <w:jc w:val="right"/>
            </w:pPr>
            <w:r>
              <w:rPr>
                <w:rFonts w:ascii="Arial" w:eastAsia="Arial" w:hAnsi="Arial" w:cs="Arial"/>
                <w:color w:val="000000"/>
                <w:sz w:val="18"/>
              </w:rPr>
              <w:t>810,656 </w:t>
            </w:r>
          </w:p>
        </w:tc>
        <w:tc>
          <w:tcPr>
            <w:tcW w:w="100" w:type="dxa"/>
            <w:tcBorders>
              <w:top w:val="single" w:sz="8" w:space="0" w:color="C7C9C7"/>
              <w:left w:val="nil"/>
              <w:bottom w:val="double" w:sz="8" w:space="0" w:color="C7C9C7"/>
              <w:right w:val="nil"/>
            </w:tcBorders>
            <w:shd w:val="clear" w:color="auto" w:fill="F4F4F4"/>
            <w:tcMar>
              <w:top w:w="0" w:type="dxa"/>
              <w:left w:w="0" w:type="dxa"/>
              <w:bottom w:w="0" w:type="dxa"/>
              <w:right w:w="15" w:type="dxa"/>
            </w:tcMar>
            <w:vAlign w:val="bottom"/>
          </w:tcPr>
          <w:p w14:paraId="08F67FA8" w14:textId="77777777" w:rsidR="001614AC" w:rsidRDefault="001614AC">
            <w:pPr>
              <w:spacing w:before="55" w:after="30" w:line="288" w:lineRule="auto"/>
              <w:jc w:val="right"/>
            </w:pPr>
          </w:p>
        </w:tc>
        <w:tc>
          <w:tcPr>
            <w:tcW w:w="105" w:type="dxa"/>
            <w:tcBorders>
              <w:top w:val="nil"/>
              <w:left w:val="nil"/>
              <w:bottom w:val="nil"/>
              <w:right w:val="nil"/>
            </w:tcBorders>
            <w:shd w:val="clear" w:color="auto" w:fill="F4F4F4"/>
            <w:tcMar>
              <w:top w:w="0" w:type="dxa"/>
              <w:left w:w="0" w:type="dxa"/>
              <w:bottom w:w="0" w:type="dxa"/>
              <w:right w:w="0" w:type="dxa"/>
            </w:tcMar>
            <w:vAlign w:val="bottom"/>
          </w:tcPr>
          <w:p w14:paraId="738C077A" w14:textId="77777777" w:rsidR="001614AC" w:rsidRDefault="001614AC"/>
        </w:tc>
        <w:tc>
          <w:tcPr>
            <w:tcW w:w="160" w:type="dxa"/>
            <w:tcBorders>
              <w:top w:val="single" w:sz="8" w:space="0" w:color="C7C9C7"/>
              <w:left w:val="nil"/>
              <w:bottom w:val="double" w:sz="8" w:space="0" w:color="C7C9C7"/>
              <w:right w:val="nil"/>
            </w:tcBorders>
            <w:shd w:val="clear" w:color="auto" w:fill="F4F4F4"/>
            <w:tcMar>
              <w:top w:w="0" w:type="dxa"/>
              <w:left w:w="53" w:type="dxa"/>
              <w:bottom w:w="0" w:type="dxa"/>
              <w:right w:w="0" w:type="dxa"/>
            </w:tcMar>
            <w:vAlign w:val="bottom"/>
          </w:tcPr>
          <w:p w14:paraId="5E07BD0B" w14:textId="77777777" w:rsidR="001614AC" w:rsidRDefault="004468F9">
            <w:pPr>
              <w:spacing w:before="55" w:after="30" w:line="288" w:lineRule="auto"/>
            </w:pPr>
            <w:r>
              <w:rPr>
                <w:rFonts w:ascii="Arial" w:eastAsia="Arial" w:hAnsi="Arial" w:cs="Arial"/>
                <w:color w:val="000000"/>
                <w:sz w:val="18"/>
              </w:rPr>
              <w:t>$</w:t>
            </w:r>
          </w:p>
        </w:tc>
        <w:tc>
          <w:tcPr>
            <w:tcW w:w="835" w:type="dxa"/>
            <w:tcBorders>
              <w:top w:val="single" w:sz="8" w:space="0" w:color="C7C9C7"/>
              <w:left w:val="nil"/>
              <w:bottom w:val="double" w:sz="8" w:space="0" w:color="C7C9C7"/>
              <w:right w:val="nil"/>
            </w:tcBorders>
            <w:shd w:val="clear" w:color="auto" w:fill="F4F4F4"/>
            <w:tcMar>
              <w:top w:w="0" w:type="dxa"/>
              <w:left w:w="0" w:type="dxa"/>
              <w:bottom w:w="0" w:type="dxa"/>
              <w:right w:w="0" w:type="dxa"/>
            </w:tcMar>
            <w:vAlign w:val="bottom"/>
          </w:tcPr>
          <w:p w14:paraId="69EC3439" w14:textId="77777777" w:rsidR="001614AC" w:rsidRDefault="004468F9">
            <w:pPr>
              <w:spacing w:before="55" w:after="30" w:line="288" w:lineRule="auto"/>
              <w:jc w:val="right"/>
            </w:pPr>
            <w:r>
              <w:rPr>
                <w:rFonts w:ascii="Arial" w:eastAsia="Arial" w:hAnsi="Arial" w:cs="Arial"/>
                <w:color w:val="000000"/>
                <w:sz w:val="18"/>
              </w:rPr>
              <w:t>5,998,229 </w:t>
            </w:r>
          </w:p>
        </w:tc>
        <w:tc>
          <w:tcPr>
            <w:tcW w:w="100" w:type="dxa"/>
            <w:tcBorders>
              <w:top w:val="single" w:sz="8" w:space="0" w:color="C7C9C7"/>
              <w:left w:val="nil"/>
              <w:bottom w:val="double" w:sz="8" w:space="0" w:color="C7C9C7"/>
              <w:right w:val="nil"/>
            </w:tcBorders>
            <w:shd w:val="clear" w:color="auto" w:fill="F4F4F4"/>
            <w:tcMar>
              <w:top w:w="0" w:type="dxa"/>
              <w:left w:w="0" w:type="dxa"/>
              <w:bottom w:w="0" w:type="dxa"/>
              <w:right w:w="15" w:type="dxa"/>
            </w:tcMar>
            <w:vAlign w:val="bottom"/>
          </w:tcPr>
          <w:p w14:paraId="259C57C2" w14:textId="77777777" w:rsidR="001614AC" w:rsidRDefault="001614AC">
            <w:pPr>
              <w:spacing w:before="55" w:after="30" w:line="288" w:lineRule="auto"/>
              <w:jc w:val="right"/>
            </w:pPr>
          </w:p>
        </w:tc>
        <w:tc>
          <w:tcPr>
            <w:tcW w:w="105" w:type="dxa"/>
            <w:tcBorders>
              <w:top w:val="nil"/>
              <w:left w:val="nil"/>
              <w:bottom w:val="nil"/>
              <w:right w:val="nil"/>
            </w:tcBorders>
            <w:shd w:val="clear" w:color="auto" w:fill="F4F4F4"/>
            <w:tcMar>
              <w:top w:w="0" w:type="dxa"/>
              <w:left w:w="0" w:type="dxa"/>
              <w:bottom w:w="0" w:type="dxa"/>
              <w:right w:w="0" w:type="dxa"/>
            </w:tcMar>
            <w:vAlign w:val="bottom"/>
          </w:tcPr>
          <w:p w14:paraId="79DF7A46" w14:textId="77777777" w:rsidR="001614AC" w:rsidRDefault="001614AC"/>
        </w:tc>
        <w:tc>
          <w:tcPr>
            <w:tcW w:w="160" w:type="dxa"/>
            <w:tcBorders>
              <w:top w:val="single" w:sz="8" w:space="0" w:color="C7C9C7"/>
              <w:left w:val="nil"/>
              <w:bottom w:val="double" w:sz="8" w:space="0" w:color="C7C9C7"/>
              <w:right w:val="nil"/>
            </w:tcBorders>
            <w:shd w:val="clear" w:color="auto" w:fill="F4F4F4"/>
            <w:tcMar>
              <w:top w:w="0" w:type="dxa"/>
              <w:left w:w="53" w:type="dxa"/>
              <w:bottom w:w="0" w:type="dxa"/>
              <w:right w:w="0" w:type="dxa"/>
            </w:tcMar>
            <w:vAlign w:val="bottom"/>
          </w:tcPr>
          <w:p w14:paraId="0D62D69B" w14:textId="77777777" w:rsidR="001614AC" w:rsidRDefault="004468F9">
            <w:pPr>
              <w:spacing w:before="55" w:after="30" w:line="288" w:lineRule="auto"/>
            </w:pPr>
            <w:r>
              <w:rPr>
                <w:rFonts w:ascii="Arial" w:eastAsia="Arial" w:hAnsi="Arial" w:cs="Arial"/>
                <w:color w:val="000000"/>
                <w:sz w:val="18"/>
              </w:rPr>
              <w:t>$</w:t>
            </w:r>
          </w:p>
        </w:tc>
        <w:tc>
          <w:tcPr>
            <w:tcW w:w="835" w:type="dxa"/>
            <w:tcBorders>
              <w:top w:val="single" w:sz="8" w:space="0" w:color="C7C9C7"/>
              <w:left w:val="nil"/>
              <w:bottom w:val="double" w:sz="8" w:space="0" w:color="C7C9C7"/>
              <w:right w:val="nil"/>
            </w:tcBorders>
            <w:shd w:val="clear" w:color="auto" w:fill="F4F4F4"/>
            <w:tcMar>
              <w:top w:w="0" w:type="dxa"/>
              <w:left w:w="0" w:type="dxa"/>
              <w:bottom w:w="0" w:type="dxa"/>
              <w:right w:w="0" w:type="dxa"/>
            </w:tcMar>
            <w:vAlign w:val="bottom"/>
          </w:tcPr>
          <w:p w14:paraId="23CF9F80" w14:textId="77777777" w:rsidR="001614AC" w:rsidRDefault="004468F9">
            <w:pPr>
              <w:spacing w:before="55" w:after="30" w:line="288" w:lineRule="auto"/>
              <w:jc w:val="right"/>
            </w:pPr>
            <w:r>
              <w:rPr>
                <w:rFonts w:ascii="Arial" w:eastAsia="Arial" w:hAnsi="Arial" w:cs="Arial"/>
                <w:color w:val="000000"/>
                <w:sz w:val="18"/>
              </w:rPr>
              <w:t>8,905 </w:t>
            </w:r>
          </w:p>
        </w:tc>
        <w:tc>
          <w:tcPr>
            <w:tcW w:w="100" w:type="dxa"/>
            <w:tcBorders>
              <w:top w:val="single" w:sz="8" w:space="0" w:color="C7C9C7"/>
              <w:left w:val="nil"/>
              <w:bottom w:val="double" w:sz="8" w:space="0" w:color="C7C9C7"/>
              <w:right w:val="nil"/>
            </w:tcBorders>
            <w:shd w:val="clear" w:color="auto" w:fill="F4F4F4"/>
            <w:tcMar>
              <w:top w:w="0" w:type="dxa"/>
              <w:left w:w="0" w:type="dxa"/>
              <w:bottom w:w="0" w:type="dxa"/>
              <w:right w:w="15" w:type="dxa"/>
            </w:tcMar>
            <w:vAlign w:val="bottom"/>
          </w:tcPr>
          <w:p w14:paraId="6F26A4E6" w14:textId="77777777" w:rsidR="001614AC" w:rsidRDefault="001614AC">
            <w:pPr>
              <w:spacing w:before="55" w:after="30" w:line="288" w:lineRule="auto"/>
              <w:jc w:val="right"/>
            </w:pPr>
          </w:p>
        </w:tc>
        <w:tc>
          <w:tcPr>
            <w:tcW w:w="105" w:type="dxa"/>
            <w:tcBorders>
              <w:top w:val="nil"/>
              <w:left w:val="nil"/>
              <w:bottom w:val="nil"/>
              <w:right w:val="nil"/>
            </w:tcBorders>
            <w:shd w:val="clear" w:color="auto" w:fill="F4F4F4"/>
            <w:tcMar>
              <w:top w:w="0" w:type="dxa"/>
              <w:left w:w="0" w:type="dxa"/>
              <w:bottom w:w="0" w:type="dxa"/>
              <w:right w:w="0" w:type="dxa"/>
            </w:tcMar>
            <w:vAlign w:val="bottom"/>
          </w:tcPr>
          <w:p w14:paraId="3890FC9F" w14:textId="77777777" w:rsidR="001614AC" w:rsidRDefault="001614AC"/>
        </w:tc>
        <w:tc>
          <w:tcPr>
            <w:tcW w:w="160" w:type="dxa"/>
            <w:tcBorders>
              <w:top w:val="single" w:sz="8" w:space="0" w:color="C7C9C7"/>
              <w:left w:val="nil"/>
              <w:bottom w:val="double" w:sz="8" w:space="0" w:color="C7C9C7"/>
              <w:right w:val="nil"/>
            </w:tcBorders>
            <w:shd w:val="clear" w:color="auto" w:fill="F4F4F4"/>
            <w:tcMar>
              <w:top w:w="0" w:type="dxa"/>
              <w:left w:w="53" w:type="dxa"/>
              <w:bottom w:w="0" w:type="dxa"/>
              <w:right w:w="0" w:type="dxa"/>
            </w:tcMar>
            <w:vAlign w:val="bottom"/>
          </w:tcPr>
          <w:p w14:paraId="2D383D59" w14:textId="77777777" w:rsidR="001614AC" w:rsidRDefault="004468F9">
            <w:pPr>
              <w:spacing w:before="55" w:after="30" w:line="288" w:lineRule="auto"/>
            </w:pPr>
            <w:r>
              <w:rPr>
                <w:rFonts w:ascii="Arial" w:eastAsia="Arial" w:hAnsi="Arial" w:cs="Arial"/>
                <w:color w:val="000000"/>
                <w:sz w:val="18"/>
              </w:rPr>
              <w:t>$</w:t>
            </w:r>
          </w:p>
        </w:tc>
        <w:tc>
          <w:tcPr>
            <w:tcW w:w="835" w:type="dxa"/>
            <w:tcBorders>
              <w:top w:val="single" w:sz="8" w:space="0" w:color="C7C9C7"/>
              <w:left w:val="nil"/>
              <w:bottom w:val="double" w:sz="8" w:space="0" w:color="C7C9C7"/>
              <w:right w:val="nil"/>
            </w:tcBorders>
            <w:shd w:val="clear" w:color="auto" w:fill="F4F4F4"/>
            <w:tcMar>
              <w:top w:w="0" w:type="dxa"/>
              <w:left w:w="0" w:type="dxa"/>
              <w:bottom w:w="0" w:type="dxa"/>
              <w:right w:w="0" w:type="dxa"/>
            </w:tcMar>
            <w:vAlign w:val="bottom"/>
          </w:tcPr>
          <w:p w14:paraId="61965426" w14:textId="77777777" w:rsidR="001614AC" w:rsidRDefault="004468F9">
            <w:pPr>
              <w:spacing w:before="55" w:after="30" w:line="288" w:lineRule="auto"/>
              <w:jc w:val="right"/>
            </w:pPr>
            <w:r>
              <w:rPr>
                <w:rFonts w:ascii="Arial" w:eastAsia="Arial" w:hAnsi="Arial" w:cs="Arial"/>
                <w:color w:val="000000"/>
                <w:sz w:val="18"/>
              </w:rPr>
              <w:t>6,817,790 </w:t>
            </w:r>
          </w:p>
        </w:tc>
        <w:tc>
          <w:tcPr>
            <w:tcW w:w="100" w:type="dxa"/>
            <w:tcBorders>
              <w:top w:val="single" w:sz="8" w:space="0" w:color="C7C9C7"/>
              <w:left w:val="nil"/>
              <w:bottom w:val="double" w:sz="8" w:space="0" w:color="C7C9C7"/>
              <w:right w:val="nil"/>
            </w:tcBorders>
            <w:shd w:val="clear" w:color="auto" w:fill="F4F4F4"/>
            <w:tcMar>
              <w:top w:w="0" w:type="dxa"/>
              <w:left w:w="0" w:type="dxa"/>
              <w:bottom w:w="0" w:type="dxa"/>
              <w:right w:w="15" w:type="dxa"/>
            </w:tcMar>
            <w:vAlign w:val="bottom"/>
          </w:tcPr>
          <w:p w14:paraId="5F272752" w14:textId="77777777" w:rsidR="001614AC" w:rsidRDefault="001614AC">
            <w:pPr>
              <w:spacing w:before="55" w:after="30" w:line="288" w:lineRule="auto"/>
              <w:jc w:val="right"/>
            </w:pPr>
          </w:p>
        </w:tc>
      </w:tr>
    </w:tbl>
    <w:p w14:paraId="66125BDF" w14:textId="77777777" w:rsidR="001614AC" w:rsidRDefault="004468F9" w:rsidP="004468F9">
      <w:pPr>
        <w:keepNext/>
        <w:numPr>
          <w:ilvl w:val="0"/>
          <w:numId w:val="12"/>
        </w:numPr>
        <w:spacing w:line="288" w:lineRule="auto"/>
        <w:ind w:left="360"/>
        <w:rPr>
          <w:rFonts w:ascii="Arial" w:eastAsia="Arial" w:hAnsi="Arial" w:cs="Arial"/>
          <w:b/>
          <w:color w:val="64615D"/>
          <w:sz w:val="16"/>
        </w:rPr>
      </w:pPr>
      <w:r>
        <w:rPr>
          <w:rFonts w:ascii="Arial" w:eastAsia="Arial" w:hAnsi="Arial" w:cs="Arial"/>
          <w:color w:val="64615D"/>
          <w:sz w:val="16"/>
        </w:rPr>
        <w:t xml:space="preserve">Comprises the notes purchased by Radian Group in connection with the Excess-of-Loss Program. See Note 8 for more information about our reinsurance programs. </w:t>
      </w:r>
    </w:p>
    <w:p w14:paraId="695B71F8" w14:textId="77777777" w:rsidR="001614AC" w:rsidRDefault="004468F9" w:rsidP="004468F9">
      <w:pPr>
        <w:keepNext/>
        <w:numPr>
          <w:ilvl w:val="0"/>
          <w:numId w:val="12"/>
        </w:numPr>
        <w:spacing w:line="288" w:lineRule="auto"/>
        <w:ind w:left="360"/>
        <w:rPr>
          <w:rFonts w:ascii="Arial" w:eastAsia="Arial" w:hAnsi="Arial" w:cs="Arial"/>
          <w:b/>
          <w:color w:val="64615D"/>
          <w:sz w:val="16"/>
        </w:rPr>
      </w:pPr>
      <w:r>
        <w:rPr>
          <w:rFonts w:ascii="Arial" w:eastAsia="Arial" w:hAnsi="Arial" w:cs="Arial"/>
          <w:color w:val="64615D"/>
          <w:sz w:val="16"/>
        </w:rPr>
        <w:t>Comprising short-term certificates of deposit and commercial paper.</w:t>
      </w:r>
    </w:p>
    <w:p w14:paraId="74302FE0" w14:textId="77777777" w:rsidR="001614AC" w:rsidRDefault="004468F9" w:rsidP="004468F9">
      <w:pPr>
        <w:numPr>
          <w:ilvl w:val="0"/>
          <w:numId w:val="12"/>
        </w:numPr>
        <w:spacing w:line="288" w:lineRule="auto"/>
        <w:ind w:left="360"/>
        <w:rPr>
          <w:rFonts w:ascii="Arial" w:eastAsia="Arial" w:hAnsi="Arial" w:cs="Arial"/>
          <w:b/>
          <w:color w:val="64615D"/>
          <w:sz w:val="16"/>
        </w:rPr>
      </w:pPr>
      <w:r>
        <w:rPr>
          <w:rFonts w:ascii="Arial" w:eastAsia="Arial" w:hAnsi="Arial" w:cs="Arial"/>
          <w:color w:val="64615D"/>
          <w:sz w:val="16"/>
        </w:rPr>
        <w:t>Does not include other investe</w:t>
      </w:r>
      <w:r>
        <w:rPr>
          <w:rFonts w:ascii="Arial" w:eastAsia="Arial" w:hAnsi="Arial" w:cs="Arial"/>
          <w:color w:val="64615D"/>
          <w:sz w:val="16"/>
        </w:rPr>
        <w:t>d assets of $0.6 million that are primarily invested in limited partnership investments valued using the net asset value as a practical expedient.</w:t>
      </w:r>
    </w:p>
    <w:p w14:paraId="77A99D15" w14:textId="77777777" w:rsidR="001614AC" w:rsidRDefault="004468F9" w:rsidP="004468F9">
      <w:pPr>
        <w:numPr>
          <w:ilvl w:val="0"/>
          <w:numId w:val="12"/>
        </w:numPr>
        <w:spacing w:line="288" w:lineRule="auto"/>
        <w:ind w:left="360"/>
        <w:rPr>
          <w:rFonts w:ascii="Arial" w:eastAsia="Arial" w:hAnsi="Arial" w:cs="Arial"/>
          <w:b/>
          <w:color w:val="64615D"/>
          <w:sz w:val="16"/>
        </w:rPr>
      </w:pPr>
      <w:r>
        <w:rPr>
          <w:rFonts w:ascii="Arial" w:eastAsia="Arial" w:hAnsi="Arial" w:cs="Arial"/>
          <w:color w:val="64615D"/>
          <w:sz w:val="16"/>
        </w:rPr>
        <w:t>Embedded derivatives related to our Excess-of-Loss Program are classified as other assets in our consolidated</w:t>
      </w:r>
      <w:r>
        <w:rPr>
          <w:rFonts w:ascii="Arial" w:eastAsia="Arial" w:hAnsi="Arial" w:cs="Arial"/>
          <w:color w:val="64615D"/>
          <w:sz w:val="16"/>
        </w:rPr>
        <w:t xml:space="preserve"> balance sheets. See Note 8 for more information about our reinsurance programs.</w:t>
      </w:r>
    </w:p>
    <w:p w14:paraId="40FC2072" w14:textId="77777777" w:rsidR="001614AC" w:rsidRDefault="004468F9" w:rsidP="004468F9">
      <w:pPr>
        <w:numPr>
          <w:ilvl w:val="0"/>
          <w:numId w:val="12"/>
        </w:numPr>
        <w:spacing w:after="100" w:line="288" w:lineRule="auto"/>
        <w:ind w:left="360"/>
        <w:rPr>
          <w:rFonts w:ascii="Arial" w:eastAsia="Arial" w:hAnsi="Arial" w:cs="Arial"/>
          <w:b/>
          <w:color w:val="64615D"/>
          <w:sz w:val="16"/>
        </w:rPr>
      </w:pPr>
      <w:r>
        <w:rPr>
          <w:rFonts w:ascii="Arial" w:eastAsia="Arial" w:hAnsi="Arial" w:cs="Arial"/>
          <w:color w:val="64615D"/>
          <w:sz w:val="16"/>
        </w:rPr>
        <w:t>Securities loaned to third-party borrowers under securities lending agreements are classified as other assets in our condensed consolidated balance sheets. See Note 6 for more information.</w:t>
      </w:r>
    </w:p>
    <w:tbl>
      <w:tblPr>
        <w:tblW w:w="102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68"/>
        <w:gridCol w:w="106"/>
        <w:gridCol w:w="162"/>
        <w:gridCol w:w="849"/>
        <w:gridCol w:w="102"/>
        <w:gridCol w:w="107"/>
        <w:gridCol w:w="163"/>
        <w:gridCol w:w="865"/>
        <w:gridCol w:w="102"/>
        <w:gridCol w:w="107"/>
        <w:gridCol w:w="163"/>
        <w:gridCol w:w="849"/>
        <w:gridCol w:w="102"/>
        <w:gridCol w:w="107"/>
        <w:gridCol w:w="163"/>
        <w:gridCol w:w="865"/>
        <w:gridCol w:w="102"/>
      </w:tblGrid>
      <w:tr w:rsidR="001614AC" w14:paraId="2E6C7AA7" w14:textId="77777777">
        <w:trPr>
          <w:cantSplit/>
          <w:tblHeader/>
        </w:trPr>
        <w:tc>
          <w:tcPr>
            <w:tcW w:w="5280" w:type="dxa"/>
            <w:tcBorders>
              <w:top w:val="nil"/>
              <w:left w:val="nil"/>
              <w:bottom w:val="single" w:sz="12" w:space="0" w:color="99AAB6"/>
              <w:right w:val="nil"/>
            </w:tcBorders>
            <w:tcMar>
              <w:top w:w="0" w:type="dxa"/>
              <w:left w:w="53" w:type="dxa"/>
              <w:bottom w:w="0" w:type="dxa"/>
              <w:right w:w="53" w:type="dxa"/>
            </w:tcMar>
            <w:vAlign w:val="bottom"/>
          </w:tcPr>
          <w:p w14:paraId="23758BF5" w14:textId="77777777" w:rsidR="001614AC" w:rsidRDefault="004468F9">
            <w:pPr>
              <w:keepNext/>
              <w:spacing w:before="75" w:after="30" w:line="288" w:lineRule="auto"/>
              <w:rPr>
                <w:rFonts w:ascii="Arial" w:eastAsia="Arial" w:hAnsi="Arial" w:cs="Arial"/>
                <w:b/>
                <w:sz w:val="20"/>
              </w:rPr>
            </w:pPr>
            <w:r>
              <w:rPr>
                <w:rFonts w:ascii="Arial" w:eastAsia="Arial" w:hAnsi="Arial" w:cs="Arial"/>
                <w:b/>
                <w:sz w:val="20"/>
              </w:rPr>
              <w:lastRenderedPageBreak/>
              <w:t>Assets carried at fair value by hierarchy level</w:t>
            </w:r>
          </w:p>
        </w:tc>
        <w:tc>
          <w:tcPr>
            <w:tcW w:w="105" w:type="dxa"/>
            <w:tcBorders>
              <w:top w:val="nil"/>
              <w:left w:val="nil"/>
              <w:bottom w:val="single" w:sz="12" w:space="0" w:color="99AAB6"/>
              <w:right w:val="nil"/>
            </w:tcBorders>
            <w:tcMar>
              <w:top w:w="0" w:type="dxa"/>
              <w:left w:w="0" w:type="dxa"/>
              <w:bottom w:w="0" w:type="dxa"/>
              <w:right w:w="0" w:type="dxa"/>
            </w:tcMar>
            <w:vAlign w:val="bottom"/>
          </w:tcPr>
          <w:p w14:paraId="6F8707F9" w14:textId="77777777" w:rsidR="001614AC" w:rsidRDefault="001614AC">
            <w:pPr>
              <w:keepNext/>
            </w:pPr>
          </w:p>
        </w:tc>
        <w:tc>
          <w:tcPr>
            <w:tcW w:w="1095" w:type="dxa"/>
            <w:gridSpan w:val="3"/>
            <w:tcBorders>
              <w:top w:val="nil"/>
              <w:left w:val="nil"/>
              <w:bottom w:val="single" w:sz="12" w:space="0" w:color="99AAB6"/>
              <w:right w:val="nil"/>
            </w:tcBorders>
            <w:tcMar>
              <w:top w:w="0" w:type="dxa"/>
              <w:left w:w="0" w:type="dxa"/>
              <w:bottom w:w="0" w:type="dxa"/>
              <w:right w:w="0" w:type="dxa"/>
            </w:tcMar>
            <w:vAlign w:val="bottom"/>
          </w:tcPr>
          <w:p w14:paraId="2A49D0B9" w14:textId="77777777" w:rsidR="001614AC" w:rsidRDefault="001614AC">
            <w:pPr>
              <w:keepNext/>
            </w:pPr>
          </w:p>
        </w:tc>
        <w:tc>
          <w:tcPr>
            <w:tcW w:w="105" w:type="dxa"/>
            <w:tcBorders>
              <w:top w:val="nil"/>
              <w:left w:val="nil"/>
              <w:bottom w:val="single" w:sz="12" w:space="0" w:color="99AAB6"/>
              <w:right w:val="nil"/>
            </w:tcBorders>
            <w:tcMar>
              <w:top w:w="0" w:type="dxa"/>
              <w:left w:w="0" w:type="dxa"/>
              <w:bottom w:w="0" w:type="dxa"/>
              <w:right w:w="0" w:type="dxa"/>
            </w:tcMar>
            <w:vAlign w:val="bottom"/>
          </w:tcPr>
          <w:p w14:paraId="6CD90705" w14:textId="77777777" w:rsidR="001614AC" w:rsidRDefault="001614AC">
            <w:pPr>
              <w:keepNext/>
            </w:pPr>
          </w:p>
        </w:tc>
        <w:tc>
          <w:tcPr>
            <w:tcW w:w="1095" w:type="dxa"/>
            <w:gridSpan w:val="3"/>
            <w:tcBorders>
              <w:top w:val="nil"/>
              <w:left w:val="nil"/>
              <w:bottom w:val="single" w:sz="12" w:space="0" w:color="99AAB6"/>
              <w:right w:val="nil"/>
            </w:tcBorders>
            <w:tcMar>
              <w:top w:w="0" w:type="dxa"/>
              <w:left w:w="0" w:type="dxa"/>
              <w:bottom w:w="0" w:type="dxa"/>
              <w:right w:w="0" w:type="dxa"/>
            </w:tcMar>
            <w:vAlign w:val="bottom"/>
          </w:tcPr>
          <w:p w14:paraId="5CEF4566" w14:textId="77777777" w:rsidR="001614AC" w:rsidRDefault="001614AC">
            <w:pPr>
              <w:keepNext/>
            </w:pPr>
          </w:p>
        </w:tc>
        <w:tc>
          <w:tcPr>
            <w:tcW w:w="105" w:type="dxa"/>
            <w:tcBorders>
              <w:top w:val="nil"/>
              <w:left w:val="nil"/>
              <w:bottom w:val="single" w:sz="12" w:space="0" w:color="99AAB6"/>
              <w:right w:val="nil"/>
            </w:tcBorders>
            <w:tcMar>
              <w:top w:w="0" w:type="dxa"/>
              <w:left w:w="0" w:type="dxa"/>
              <w:bottom w:w="0" w:type="dxa"/>
              <w:right w:w="0" w:type="dxa"/>
            </w:tcMar>
            <w:vAlign w:val="bottom"/>
          </w:tcPr>
          <w:p w14:paraId="62463A30" w14:textId="77777777" w:rsidR="001614AC" w:rsidRDefault="001614AC">
            <w:pPr>
              <w:keepNext/>
            </w:pPr>
          </w:p>
        </w:tc>
        <w:tc>
          <w:tcPr>
            <w:tcW w:w="1095" w:type="dxa"/>
            <w:gridSpan w:val="3"/>
            <w:tcBorders>
              <w:top w:val="nil"/>
              <w:left w:val="nil"/>
              <w:bottom w:val="single" w:sz="12" w:space="0" w:color="99AAB6"/>
              <w:right w:val="nil"/>
            </w:tcBorders>
            <w:tcMar>
              <w:top w:w="0" w:type="dxa"/>
              <w:left w:w="0" w:type="dxa"/>
              <w:bottom w:w="0" w:type="dxa"/>
              <w:right w:w="0" w:type="dxa"/>
            </w:tcMar>
            <w:vAlign w:val="bottom"/>
          </w:tcPr>
          <w:p w14:paraId="3B331F00" w14:textId="77777777" w:rsidR="001614AC" w:rsidRDefault="001614AC">
            <w:pPr>
              <w:keepNext/>
            </w:pPr>
          </w:p>
        </w:tc>
        <w:tc>
          <w:tcPr>
            <w:tcW w:w="105" w:type="dxa"/>
            <w:tcBorders>
              <w:top w:val="nil"/>
              <w:left w:val="nil"/>
              <w:bottom w:val="single" w:sz="12" w:space="0" w:color="99AAB6"/>
              <w:right w:val="nil"/>
            </w:tcBorders>
            <w:tcMar>
              <w:top w:w="0" w:type="dxa"/>
              <w:left w:w="0" w:type="dxa"/>
              <w:bottom w:w="0" w:type="dxa"/>
              <w:right w:w="0" w:type="dxa"/>
            </w:tcMar>
            <w:vAlign w:val="bottom"/>
          </w:tcPr>
          <w:p w14:paraId="33391B7E" w14:textId="77777777" w:rsidR="001614AC" w:rsidRDefault="001614AC">
            <w:pPr>
              <w:keepNext/>
            </w:pPr>
          </w:p>
        </w:tc>
        <w:tc>
          <w:tcPr>
            <w:tcW w:w="1095" w:type="dxa"/>
            <w:gridSpan w:val="3"/>
            <w:tcBorders>
              <w:top w:val="nil"/>
              <w:left w:val="nil"/>
              <w:bottom w:val="single" w:sz="12" w:space="0" w:color="99AAB6"/>
              <w:right w:val="nil"/>
            </w:tcBorders>
            <w:tcMar>
              <w:top w:w="0" w:type="dxa"/>
              <w:left w:w="0" w:type="dxa"/>
              <w:bottom w:w="0" w:type="dxa"/>
              <w:right w:w="0" w:type="dxa"/>
            </w:tcMar>
            <w:vAlign w:val="bottom"/>
          </w:tcPr>
          <w:p w14:paraId="30E0781B" w14:textId="77777777" w:rsidR="001614AC" w:rsidRDefault="001614AC">
            <w:pPr>
              <w:keepNext/>
            </w:pPr>
          </w:p>
        </w:tc>
      </w:tr>
      <w:tr w:rsidR="001614AC" w14:paraId="06F17DAE" w14:textId="77777777">
        <w:trPr>
          <w:cantSplit/>
          <w:trHeight w:hRule="exact" w:val="135"/>
          <w:tblHeader/>
        </w:trPr>
        <w:tc>
          <w:tcPr>
            <w:tcW w:w="5280" w:type="dxa"/>
            <w:tcBorders>
              <w:top w:val="single" w:sz="12" w:space="0" w:color="99AAB6"/>
              <w:left w:val="nil"/>
              <w:bottom w:val="nil"/>
              <w:right w:val="nil"/>
            </w:tcBorders>
            <w:tcMar>
              <w:top w:w="0" w:type="dxa"/>
              <w:left w:w="0" w:type="dxa"/>
              <w:bottom w:w="0" w:type="dxa"/>
              <w:right w:w="0" w:type="dxa"/>
            </w:tcMar>
            <w:vAlign w:val="bottom"/>
          </w:tcPr>
          <w:p w14:paraId="12AA2027" w14:textId="77777777" w:rsidR="001614AC" w:rsidRDefault="001614AC">
            <w:pPr>
              <w:keepNext/>
            </w:pPr>
          </w:p>
        </w:tc>
        <w:tc>
          <w:tcPr>
            <w:tcW w:w="105" w:type="dxa"/>
            <w:tcBorders>
              <w:top w:val="single" w:sz="12" w:space="0" w:color="99AAB6"/>
              <w:left w:val="nil"/>
              <w:bottom w:val="nil"/>
              <w:right w:val="nil"/>
            </w:tcBorders>
            <w:tcMar>
              <w:top w:w="0" w:type="dxa"/>
              <w:left w:w="0" w:type="dxa"/>
              <w:bottom w:w="0" w:type="dxa"/>
              <w:right w:w="0" w:type="dxa"/>
            </w:tcMar>
            <w:vAlign w:val="bottom"/>
          </w:tcPr>
          <w:p w14:paraId="23A03696" w14:textId="77777777" w:rsidR="001614AC" w:rsidRDefault="001614AC">
            <w:pPr>
              <w:keepNext/>
            </w:pPr>
          </w:p>
        </w:tc>
        <w:tc>
          <w:tcPr>
            <w:tcW w:w="1095" w:type="dxa"/>
            <w:gridSpan w:val="3"/>
            <w:tcBorders>
              <w:top w:val="single" w:sz="12" w:space="0" w:color="99AAB6"/>
              <w:left w:val="nil"/>
              <w:bottom w:val="nil"/>
              <w:right w:val="nil"/>
            </w:tcBorders>
            <w:tcMar>
              <w:top w:w="0" w:type="dxa"/>
              <w:left w:w="0" w:type="dxa"/>
              <w:bottom w:w="0" w:type="dxa"/>
              <w:right w:w="0" w:type="dxa"/>
            </w:tcMar>
            <w:vAlign w:val="bottom"/>
          </w:tcPr>
          <w:p w14:paraId="545AD7BB" w14:textId="77777777" w:rsidR="001614AC" w:rsidRDefault="001614AC">
            <w:pPr>
              <w:keepNext/>
            </w:pPr>
          </w:p>
        </w:tc>
        <w:tc>
          <w:tcPr>
            <w:tcW w:w="105" w:type="dxa"/>
            <w:tcBorders>
              <w:top w:val="single" w:sz="12" w:space="0" w:color="99AAB6"/>
              <w:left w:val="nil"/>
              <w:bottom w:val="nil"/>
              <w:right w:val="nil"/>
            </w:tcBorders>
            <w:tcMar>
              <w:top w:w="0" w:type="dxa"/>
              <w:left w:w="0" w:type="dxa"/>
              <w:bottom w:w="0" w:type="dxa"/>
              <w:right w:w="0" w:type="dxa"/>
            </w:tcMar>
            <w:vAlign w:val="bottom"/>
          </w:tcPr>
          <w:p w14:paraId="3C130676" w14:textId="77777777" w:rsidR="001614AC" w:rsidRDefault="001614AC">
            <w:pPr>
              <w:keepNext/>
            </w:pPr>
          </w:p>
        </w:tc>
        <w:tc>
          <w:tcPr>
            <w:tcW w:w="1095" w:type="dxa"/>
            <w:gridSpan w:val="3"/>
            <w:tcBorders>
              <w:top w:val="single" w:sz="12" w:space="0" w:color="99AAB6"/>
              <w:left w:val="nil"/>
              <w:bottom w:val="nil"/>
              <w:right w:val="nil"/>
            </w:tcBorders>
            <w:tcMar>
              <w:top w:w="0" w:type="dxa"/>
              <w:left w:w="0" w:type="dxa"/>
              <w:bottom w:w="0" w:type="dxa"/>
              <w:right w:w="0" w:type="dxa"/>
            </w:tcMar>
            <w:vAlign w:val="bottom"/>
          </w:tcPr>
          <w:p w14:paraId="40EBBB6D" w14:textId="77777777" w:rsidR="001614AC" w:rsidRDefault="001614AC">
            <w:pPr>
              <w:keepNext/>
            </w:pPr>
          </w:p>
        </w:tc>
        <w:tc>
          <w:tcPr>
            <w:tcW w:w="105" w:type="dxa"/>
            <w:tcBorders>
              <w:top w:val="single" w:sz="12" w:space="0" w:color="99AAB6"/>
              <w:left w:val="nil"/>
              <w:bottom w:val="nil"/>
              <w:right w:val="nil"/>
            </w:tcBorders>
            <w:tcMar>
              <w:top w:w="0" w:type="dxa"/>
              <w:left w:w="0" w:type="dxa"/>
              <w:bottom w:w="0" w:type="dxa"/>
              <w:right w:w="0" w:type="dxa"/>
            </w:tcMar>
            <w:vAlign w:val="bottom"/>
          </w:tcPr>
          <w:p w14:paraId="2E822748" w14:textId="77777777" w:rsidR="001614AC" w:rsidRDefault="001614AC">
            <w:pPr>
              <w:keepNext/>
            </w:pPr>
          </w:p>
        </w:tc>
        <w:tc>
          <w:tcPr>
            <w:tcW w:w="1095" w:type="dxa"/>
            <w:gridSpan w:val="3"/>
            <w:tcBorders>
              <w:top w:val="single" w:sz="12" w:space="0" w:color="99AAB6"/>
              <w:left w:val="nil"/>
              <w:bottom w:val="nil"/>
              <w:right w:val="nil"/>
            </w:tcBorders>
            <w:tcMar>
              <w:top w:w="0" w:type="dxa"/>
              <w:left w:w="0" w:type="dxa"/>
              <w:bottom w:w="0" w:type="dxa"/>
              <w:right w:w="0" w:type="dxa"/>
            </w:tcMar>
            <w:vAlign w:val="bottom"/>
          </w:tcPr>
          <w:p w14:paraId="5229B119" w14:textId="77777777" w:rsidR="001614AC" w:rsidRDefault="001614AC">
            <w:pPr>
              <w:keepNext/>
            </w:pPr>
          </w:p>
        </w:tc>
        <w:tc>
          <w:tcPr>
            <w:tcW w:w="105" w:type="dxa"/>
            <w:tcBorders>
              <w:top w:val="single" w:sz="12" w:space="0" w:color="99AAB6"/>
              <w:left w:val="nil"/>
              <w:bottom w:val="nil"/>
              <w:right w:val="nil"/>
            </w:tcBorders>
            <w:tcMar>
              <w:top w:w="0" w:type="dxa"/>
              <w:left w:w="0" w:type="dxa"/>
              <w:bottom w:w="0" w:type="dxa"/>
              <w:right w:w="0" w:type="dxa"/>
            </w:tcMar>
            <w:vAlign w:val="bottom"/>
          </w:tcPr>
          <w:p w14:paraId="247BF1E9" w14:textId="77777777" w:rsidR="001614AC" w:rsidRDefault="001614AC">
            <w:pPr>
              <w:keepNext/>
            </w:pPr>
          </w:p>
        </w:tc>
        <w:tc>
          <w:tcPr>
            <w:tcW w:w="1095" w:type="dxa"/>
            <w:gridSpan w:val="3"/>
            <w:tcBorders>
              <w:top w:val="single" w:sz="12" w:space="0" w:color="99AAB6"/>
              <w:left w:val="nil"/>
              <w:bottom w:val="nil"/>
              <w:right w:val="nil"/>
            </w:tcBorders>
            <w:tcMar>
              <w:top w:w="0" w:type="dxa"/>
              <w:left w:w="0" w:type="dxa"/>
              <w:bottom w:w="0" w:type="dxa"/>
              <w:right w:w="0" w:type="dxa"/>
            </w:tcMar>
            <w:vAlign w:val="bottom"/>
          </w:tcPr>
          <w:p w14:paraId="41FC4BB7" w14:textId="77777777" w:rsidR="001614AC" w:rsidRDefault="001614AC">
            <w:pPr>
              <w:keepNext/>
            </w:pPr>
          </w:p>
        </w:tc>
      </w:tr>
      <w:tr w:rsidR="001614AC" w14:paraId="575334E0" w14:textId="77777777">
        <w:trPr>
          <w:cantSplit/>
          <w:tblHeader/>
        </w:trPr>
        <w:tc>
          <w:tcPr>
            <w:tcW w:w="5280" w:type="dxa"/>
            <w:tcBorders>
              <w:top w:val="nil"/>
              <w:left w:val="nil"/>
              <w:bottom w:val="nil"/>
              <w:right w:val="nil"/>
            </w:tcBorders>
            <w:tcMar>
              <w:top w:w="0" w:type="dxa"/>
              <w:left w:w="0" w:type="dxa"/>
              <w:bottom w:w="0" w:type="dxa"/>
              <w:right w:w="0" w:type="dxa"/>
            </w:tcMar>
            <w:vAlign w:val="bottom"/>
          </w:tcPr>
          <w:p w14:paraId="796F39A6" w14:textId="77777777" w:rsidR="001614AC" w:rsidRDefault="001614AC">
            <w:pPr>
              <w:keepNext/>
            </w:pPr>
          </w:p>
        </w:tc>
        <w:tc>
          <w:tcPr>
            <w:tcW w:w="105" w:type="dxa"/>
            <w:tcBorders>
              <w:top w:val="nil"/>
              <w:left w:val="nil"/>
              <w:bottom w:val="nil"/>
              <w:right w:val="nil"/>
            </w:tcBorders>
            <w:tcMar>
              <w:top w:w="0" w:type="dxa"/>
              <w:left w:w="0" w:type="dxa"/>
              <w:bottom w:w="0" w:type="dxa"/>
              <w:right w:w="0" w:type="dxa"/>
            </w:tcMar>
            <w:vAlign w:val="bottom"/>
          </w:tcPr>
          <w:p w14:paraId="3B039369" w14:textId="77777777" w:rsidR="001614AC" w:rsidRDefault="001614AC">
            <w:pPr>
              <w:keepNext/>
            </w:pPr>
          </w:p>
        </w:tc>
        <w:tc>
          <w:tcPr>
            <w:tcW w:w="4695" w:type="dxa"/>
            <w:gridSpan w:val="15"/>
            <w:tcBorders>
              <w:top w:val="nil"/>
              <w:left w:val="nil"/>
              <w:bottom w:val="single" w:sz="8" w:space="0" w:color="FFFFFF"/>
              <w:right w:val="nil"/>
            </w:tcBorders>
            <w:shd w:val="clear" w:color="auto" w:fill="F4F4F4"/>
            <w:tcMar>
              <w:top w:w="0" w:type="dxa"/>
              <w:left w:w="53" w:type="dxa"/>
              <w:bottom w:w="0" w:type="dxa"/>
              <w:right w:w="53" w:type="dxa"/>
            </w:tcMar>
            <w:vAlign w:val="bottom"/>
          </w:tcPr>
          <w:p w14:paraId="133AF199" w14:textId="77777777" w:rsidR="001614AC" w:rsidRDefault="004468F9">
            <w:pPr>
              <w:keepNext/>
              <w:spacing w:before="75" w:after="30" w:line="288" w:lineRule="auto"/>
              <w:jc w:val="center"/>
              <w:rPr>
                <w:rFonts w:ascii="Arial" w:eastAsia="Arial" w:hAnsi="Arial" w:cs="Arial"/>
                <w:b/>
                <w:color w:val="00BAB3"/>
                <w:sz w:val="18"/>
              </w:rPr>
            </w:pPr>
            <w:r>
              <w:rPr>
                <w:rFonts w:ascii="Arial" w:eastAsia="Arial" w:hAnsi="Arial" w:cs="Arial"/>
                <w:b/>
                <w:color w:val="00BAB3"/>
                <w:sz w:val="18"/>
              </w:rPr>
              <w:t>December 31, 2020</w:t>
            </w:r>
          </w:p>
        </w:tc>
      </w:tr>
      <w:tr w:rsidR="001614AC" w14:paraId="2A42E711" w14:textId="77777777">
        <w:trPr>
          <w:cantSplit/>
          <w:tblHeader/>
        </w:trPr>
        <w:tc>
          <w:tcPr>
            <w:tcW w:w="5280" w:type="dxa"/>
            <w:tcBorders>
              <w:top w:val="nil"/>
              <w:left w:val="nil"/>
              <w:bottom w:val="single" w:sz="8" w:space="0" w:color="C7C9C7"/>
              <w:right w:val="nil"/>
            </w:tcBorders>
            <w:tcMar>
              <w:top w:w="0" w:type="dxa"/>
              <w:left w:w="53" w:type="dxa"/>
              <w:bottom w:w="0" w:type="dxa"/>
              <w:right w:w="53" w:type="dxa"/>
            </w:tcMar>
            <w:vAlign w:val="bottom"/>
          </w:tcPr>
          <w:p w14:paraId="2E205B5B" w14:textId="77777777" w:rsidR="001614AC" w:rsidRDefault="004468F9">
            <w:pPr>
              <w:keepNext/>
              <w:spacing w:before="75" w:after="30" w:line="288" w:lineRule="auto"/>
            </w:pPr>
            <w:r>
              <w:rPr>
                <w:rFonts w:ascii="Arial" w:eastAsia="Arial" w:hAnsi="Arial" w:cs="Arial"/>
                <w:color w:val="8B8886"/>
                <w:sz w:val="16"/>
              </w:rPr>
              <w:t>(In thousands)</w:t>
            </w:r>
          </w:p>
        </w:tc>
        <w:tc>
          <w:tcPr>
            <w:tcW w:w="105" w:type="dxa"/>
            <w:tcBorders>
              <w:top w:val="nil"/>
              <w:left w:val="nil"/>
              <w:bottom w:val="single" w:sz="8" w:space="0" w:color="C7C9C7"/>
              <w:right w:val="nil"/>
            </w:tcBorders>
            <w:tcMar>
              <w:top w:w="0" w:type="dxa"/>
              <w:left w:w="0" w:type="dxa"/>
              <w:bottom w:w="0" w:type="dxa"/>
              <w:right w:w="0" w:type="dxa"/>
            </w:tcMar>
            <w:vAlign w:val="bottom"/>
          </w:tcPr>
          <w:p w14:paraId="2A5D6DB4" w14:textId="77777777" w:rsidR="001614AC" w:rsidRDefault="001614AC">
            <w:pPr>
              <w:keepNext/>
            </w:pPr>
          </w:p>
        </w:tc>
        <w:tc>
          <w:tcPr>
            <w:tcW w:w="1095" w:type="dxa"/>
            <w:gridSpan w:val="3"/>
            <w:tcBorders>
              <w:top w:val="nil"/>
              <w:left w:val="nil"/>
              <w:bottom w:val="single" w:sz="8" w:space="0" w:color="C7C9C7"/>
              <w:right w:val="nil"/>
            </w:tcBorders>
            <w:tcMar>
              <w:top w:w="0" w:type="dxa"/>
              <w:left w:w="53" w:type="dxa"/>
              <w:bottom w:w="0" w:type="dxa"/>
              <w:right w:w="53" w:type="dxa"/>
            </w:tcMar>
            <w:vAlign w:val="bottom"/>
          </w:tcPr>
          <w:p w14:paraId="5D465C58" w14:textId="77777777" w:rsidR="001614AC" w:rsidRDefault="004468F9">
            <w:pPr>
              <w:keepNext/>
              <w:spacing w:before="55" w:after="30" w:line="288" w:lineRule="auto"/>
              <w:jc w:val="center"/>
            </w:pPr>
            <w:r>
              <w:rPr>
                <w:rFonts w:ascii="Arial" w:eastAsia="Arial" w:hAnsi="Arial" w:cs="Arial"/>
                <w:b/>
                <w:color w:val="000000"/>
                <w:sz w:val="18"/>
              </w:rPr>
              <w:t>Level I</w:t>
            </w:r>
          </w:p>
        </w:tc>
        <w:tc>
          <w:tcPr>
            <w:tcW w:w="105" w:type="dxa"/>
            <w:tcBorders>
              <w:top w:val="single" w:sz="8" w:space="0" w:color="FFFFFF"/>
              <w:left w:val="nil"/>
              <w:bottom w:val="single" w:sz="8" w:space="0" w:color="C7C9C7"/>
              <w:right w:val="nil"/>
            </w:tcBorders>
            <w:tcMar>
              <w:top w:w="0" w:type="dxa"/>
              <w:left w:w="0" w:type="dxa"/>
              <w:bottom w:w="0" w:type="dxa"/>
              <w:right w:w="0" w:type="dxa"/>
            </w:tcMar>
            <w:vAlign w:val="bottom"/>
          </w:tcPr>
          <w:p w14:paraId="6F518085" w14:textId="77777777" w:rsidR="001614AC" w:rsidRDefault="001614AC">
            <w:pPr>
              <w:keepNext/>
            </w:pPr>
          </w:p>
        </w:tc>
        <w:tc>
          <w:tcPr>
            <w:tcW w:w="1095" w:type="dxa"/>
            <w:gridSpan w:val="3"/>
            <w:tcBorders>
              <w:top w:val="single" w:sz="8" w:space="0" w:color="FFFFFF"/>
              <w:left w:val="nil"/>
              <w:bottom w:val="single" w:sz="8" w:space="0" w:color="C7C9C7"/>
              <w:right w:val="nil"/>
            </w:tcBorders>
            <w:tcMar>
              <w:top w:w="0" w:type="dxa"/>
              <w:left w:w="53" w:type="dxa"/>
              <w:bottom w:w="0" w:type="dxa"/>
              <w:right w:w="53" w:type="dxa"/>
            </w:tcMar>
            <w:vAlign w:val="bottom"/>
          </w:tcPr>
          <w:p w14:paraId="24BC6561" w14:textId="77777777" w:rsidR="001614AC" w:rsidRDefault="004468F9">
            <w:pPr>
              <w:keepNext/>
              <w:spacing w:before="55" w:after="30" w:line="288" w:lineRule="auto"/>
              <w:jc w:val="center"/>
            </w:pPr>
            <w:r>
              <w:rPr>
                <w:rFonts w:ascii="Arial" w:eastAsia="Arial" w:hAnsi="Arial" w:cs="Arial"/>
                <w:b/>
                <w:color w:val="000000"/>
                <w:sz w:val="18"/>
              </w:rPr>
              <w:t>Level II</w:t>
            </w:r>
          </w:p>
        </w:tc>
        <w:tc>
          <w:tcPr>
            <w:tcW w:w="105" w:type="dxa"/>
            <w:tcBorders>
              <w:top w:val="single" w:sz="8" w:space="0" w:color="FFFFFF"/>
              <w:left w:val="nil"/>
              <w:bottom w:val="single" w:sz="8" w:space="0" w:color="C7C9C7"/>
              <w:right w:val="nil"/>
            </w:tcBorders>
            <w:tcMar>
              <w:top w:w="0" w:type="dxa"/>
              <w:left w:w="0" w:type="dxa"/>
              <w:bottom w:w="0" w:type="dxa"/>
              <w:right w:w="0" w:type="dxa"/>
            </w:tcMar>
            <w:vAlign w:val="bottom"/>
          </w:tcPr>
          <w:p w14:paraId="6A8A05D7" w14:textId="77777777" w:rsidR="001614AC" w:rsidRDefault="001614AC">
            <w:pPr>
              <w:keepNext/>
            </w:pPr>
          </w:p>
        </w:tc>
        <w:tc>
          <w:tcPr>
            <w:tcW w:w="1095" w:type="dxa"/>
            <w:gridSpan w:val="3"/>
            <w:tcBorders>
              <w:top w:val="single" w:sz="8" w:space="0" w:color="FFFFFF"/>
              <w:left w:val="nil"/>
              <w:bottom w:val="single" w:sz="8" w:space="0" w:color="C7C9C7"/>
              <w:right w:val="nil"/>
            </w:tcBorders>
            <w:tcMar>
              <w:top w:w="0" w:type="dxa"/>
              <w:left w:w="53" w:type="dxa"/>
              <w:bottom w:w="0" w:type="dxa"/>
              <w:right w:w="53" w:type="dxa"/>
            </w:tcMar>
            <w:vAlign w:val="bottom"/>
          </w:tcPr>
          <w:p w14:paraId="4C0EED82" w14:textId="77777777" w:rsidR="001614AC" w:rsidRDefault="004468F9">
            <w:pPr>
              <w:keepNext/>
              <w:spacing w:before="55" w:after="30" w:line="288" w:lineRule="auto"/>
              <w:jc w:val="center"/>
            </w:pPr>
            <w:r>
              <w:rPr>
                <w:rFonts w:ascii="Arial" w:eastAsia="Arial" w:hAnsi="Arial" w:cs="Arial"/>
                <w:b/>
                <w:color w:val="000000"/>
                <w:sz w:val="18"/>
              </w:rPr>
              <w:t>Level III</w:t>
            </w:r>
          </w:p>
        </w:tc>
        <w:tc>
          <w:tcPr>
            <w:tcW w:w="105" w:type="dxa"/>
            <w:tcBorders>
              <w:top w:val="single" w:sz="8" w:space="0" w:color="FFFFFF"/>
              <w:left w:val="nil"/>
              <w:bottom w:val="single" w:sz="8" w:space="0" w:color="C7C9C7"/>
              <w:right w:val="nil"/>
            </w:tcBorders>
            <w:tcMar>
              <w:top w:w="0" w:type="dxa"/>
              <w:left w:w="0" w:type="dxa"/>
              <w:bottom w:w="0" w:type="dxa"/>
              <w:right w:w="0" w:type="dxa"/>
            </w:tcMar>
            <w:vAlign w:val="bottom"/>
          </w:tcPr>
          <w:p w14:paraId="73BA7D59" w14:textId="77777777" w:rsidR="001614AC" w:rsidRDefault="001614AC">
            <w:pPr>
              <w:keepNext/>
            </w:pPr>
          </w:p>
        </w:tc>
        <w:tc>
          <w:tcPr>
            <w:tcW w:w="1095" w:type="dxa"/>
            <w:gridSpan w:val="3"/>
            <w:tcBorders>
              <w:top w:val="single" w:sz="8" w:space="0" w:color="FFFFFF"/>
              <w:left w:val="nil"/>
              <w:bottom w:val="single" w:sz="8" w:space="0" w:color="C7C9C7"/>
              <w:right w:val="nil"/>
            </w:tcBorders>
            <w:tcMar>
              <w:top w:w="0" w:type="dxa"/>
              <w:left w:w="53" w:type="dxa"/>
              <w:bottom w:w="0" w:type="dxa"/>
              <w:right w:w="53" w:type="dxa"/>
            </w:tcMar>
            <w:vAlign w:val="bottom"/>
          </w:tcPr>
          <w:p w14:paraId="5467B977" w14:textId="77777777" w:rsidR="001614AC" w:rsidRDefault="004468F9">
            <w:pPr>
              <w:keepNext/>
              <w:spacing w:before="55" w:after="30" w:line="288" w:lineRule="auto"/>
              <w:jc w:val="center"/>
            </w:pPr>
            <w:r>
              <w:rPr>
                <w:rFonts w:ascii="Arial" w:eastAsia="Arial" w:hAnsi="Arial" w:cs="Arial"/>
                <w:b/>
                <w:color w:val="000000"/>
                <w:sz w:val="18"/>
              </w:rPr>
              <w:t>Total</w:t>
            </w:r>
          </w:p>
        </w:tc>
      </w:tr>
      <w:tr w:rsidR="001614AC" w14:paraId="57B6D0E6" w14:textId="77777777">
        <w:trPr>
          <w:cantSplit/>
        </w:trPr>
        <w:tc>
          <w:tcPr>
            <w:tcW w:w="5280" w:type="dxa"/>
            <w:tcBorders>
              <w:top w:val="single" w:sz="8" w:space="0" w:color="C7C9C7"/>
              <w:left w:val="nil"/>
              <w:bottom w:val="single" w:sz="8" w:space="0" w:color="F4F4F4"/>
              <w:right w:val="nil"/>
            </w:tcBorders>
            <w:tcMar>
              <w:top w:w="0" w:type="dxa"/>
              <w:left w:w="53" w:type="dxa"/>
              <w:bottom w:w="0" w:type="dxa"/>
              <w:right w:w="53" w:type="dxa"/>
            </w:tcMar>
            <w:vAlign w:val="bottom"/>
          </w:tcPr>
          <w:p w14:paraId="63A75309" w14:textId="77777777" w:rsidR="001614AC" w:rsidRDefault="004468F9">
            <w:pPr>
              <w:keepNext/>
              <w:spacing w:before="55" w:after="30" w:line="288" w:lineRule="auto"/>
            </w:pPr>
            <w:r>
              <w:rPr>
                <w:rFonts w:ascii="Arial" w:eastAsia="Arial" w:hAnsi="Arial" w:cs="Arial"/>
                <w:b/>
                <w:color w:val="000000"/>
                <w:sz w:val="18"/>
              </w:rPr>
              <w:t>Investments</w:t>
            </w:r>
          </w:p>
        </w:tc>
        <w:tc>
          <w:tcPr>
            <w:tcW w:w="105" w:type="dxa"/>
            <w:tcBorders>
              <w:top w:val="single" w:sz="8" w:space="0" w:color="C7C9C7"/>
              <w:left w:val="nil"/>
              <w:bottom w:val="nil"/>
              <w:right w:val="nil"/>
            </w:tcBorders>
            <w:tcMar>
              <w:top w:w="0" w:type="dxa"/>
              <w:left w:w="0" w:type="dxa"/>
              <w:bottom w:w="0" w:type="dxa"/>
              <w:right w:w="0" w:type="dxa"/>
            </w:tcMar>
            <w:vAlign w:val="bottom"/>
          </w:tcPr>
          <w:p w14:paraId="252974A3" w14:textId="77777777" w:rsidR="001614AC" w:rsidRDefault="001614AC">
            <w:pPr>
              <w:keepNext/>
            </w:pPr>
          </w:p>
        </w:tc>
        <w:tc>
          <w:tcPr>
            <w:tcW w:w="1095" w:type="dxa"/>
            <w:gridSpan w:val="3"/>
            <w:tcBorders>
              <w:top w:val="single" w:sz="8" w:space="0" w:color="C7C9C7"/>
              <w:left w:val="nil"/>
              <w:bottom w:val="single" w:sz="8" w:space="0" w:color="F4F4F4"/>
              <w:right w:val="nil"/>
            </w:tcBorders>
            <w:tcMar>
              <w:top w:w="0" w:type="dxa"/>
              <w:left w:w="0" w:type="dxa"/>
              <w:bottom w:w="0" w:type="dxa"/>
              <w:right w:w="0" w:type="dxa"/>
            </w:tcMar>
            <w:vAlign w:val="bottom"/>
          </w:tcPr>
          <w:p w14:paraId="426C4810" w14:textId="77777777" w:rsidR="001614AC" w:rsidRDefault="001614AC">
            <w:pPr>
              <w:keepNext/>
            </w:pPr>
          </w:p>
        </w:tc>
        <w:tc>
          <w:tcPr>
            <w:tcW w:w="105" w:type="dxa"/>
            <w:tcBorders>
              <w:top w:val="single" w:sz="8" w:space="0" w:color="C7C9C7"/>
              <w:left w:val="nil"/>
              <w:bottom w:val="nil"/>
              <w:right w:val="nil"/>
            </w:tcBorders>
            <w:tcMar>
              <w:top w:w="0" w:type="dxa"/>
              <w:left w:w="0" w:type="dxa"/>
              <w:bottom w:w="0" w:type="dxa"/>
              <w:right w:w="0" w:type="dxa"/>
            </w:tcMar>
            <w:vAlign w:val="bottom"/>
          </w:tcPr>
          <w:p w14:paraId="4F156627" w14:textId="77777777" w:rsidR="001614AC" w:rsidRDefault="001614AC">
            <w:pPr>
              <w:keepNext/>
            </w:pPr>
          </w:p>
        </w:tc>
        <w:tc>
          <w:tcPr>
            <w:tcW w:w="1095" w:type="dxa"/>
            <w:gridSpan w:val="3"/>
            <w:tcBorders>
              <w:top w:val="single" w:sz="8" w:space="0" w:color="C7C9C7"/>
              <w:left w:val="nil"/>
              <w:bottom w:val="single" w:sz="8" w:space="0" w:color="F4F4F4"/>
              <w:right w:val="nil"/>
            </w:tcBorders>
            <w:tcMar>
              <w:top w:w="0" w:type="dxa"/>
              <w:left w:w="0" w:type="dxa"/>
              <w:bottom w:w="0" w:type="dxa"/>
              <w:right w:w="0" w:type="dxa"/>
            </w:tcMar>
            <w:vAlign w:val="bottom"/>
          </w:tcPr>
          <w:p w14:paraId="02FCC5EE" w14:textId="77777777" w:rsidR="001614AC" w:rsidRDefault="001614AC">
            <w:pPr>
              <w:keepNext/>
            </w:pPr>
          </w:p>
        </w:tc>
        <w:tc>
          <w:tcPr>
            <w:tcW w:w="105" w:type="dxa"/>
            <w:tcBorders>
              <w:top w:val="single" w:sz="8" w:space="0" w:color="C7C9C7"/>
              <w:left w:val="nil"/>
              <w:bottom w:val="nil"/>
              <w:right w:val="nil"/>
            </w:tcBorders>
            <w:tcMar>
              <w:top w:w="0" w:type="dxa"/>
              <w:left w:w="0" w:type="dxa"/>
              <w:bottom w:w="0" w:type="dxa"/>
              <w:right w:w="0" w:type="dxa"/>
            </w:tcMar>
            <w:vAlign w:val="bottom"/>
          </w:tcPr>
          <w:p w14:paraId="3641F42F" w14:textId="77777777" w:rsidR="001614AC" w:rsidRDefault="001614AC">
            <w:pPr>
              <w:keepNext/>
            </w:pPr>
          </w:p>
        </w:tc>
        <w:tc>
          <w:tcPr>
            <w:tcW w:w="1095" w:type="dxa"/>
            <w:gridSpan w:val="3"/>
            <w:tcBorders>
              <w:top w:val="single" w:sz="8" w:space="0" w:color="C7C9C7"/>
              <w:left w:val="nil"/>
              <w:bottom w:val="single" w:sz="8" w:space="0" w:color="F4F4F4"/>
              <w:right w:val="nil"/>
            </w:tcBorders>
            <w:tcMar>
              <w:top w:w="0" w:type="dxa"/>
              <w:left w:w="0" w:type="dxa"/>
              <w:bottom w:w="0" w:type="dxa"/>
              <w:right w:w="0" w:type="dxa"/>
            </w:tcMar>
            <w:vAlign w:val="bottom"/>
          </w:tcPr>
          <w:p w14:paraId="1B4175D0" w14:textId="77777777" w:rsidR="001614AC" w:rsidRDefault="001614AC">
            <w:pPr>
              <w:keepNext/>
            </w:pPr>
          </w:p>
        </w:tc>
        <w:tc>
          <w:tcPr>
            <w:tcW w:w="105" w:type="dxa"/>
            <w:tcBorders>
              <w:top w:val="single" w:sz="8" w:space="0" w:color="C7C9C7"/>
              <w:left w:val="nil"/>
              <w:bottom w:val="nil"/>
              <w:right w:val="nil"/>
            </w:tcBorders>
            <w:tcMar>
              <w:top w:w="0" w:type="dxa"/>
              <w:left w:w="0" w:type="dxa"/>
              <w:bottom w:w="0" w:type="dxa"/>
              <w:right w:w="0" w:type="dxa"/>
            </w:tcMar>
            <w:vAlign w:val="bottom"/>
          </w:tcPr>
          <w:p w14:paraId="395162A9" w14:textId="77777777" w:rsidR="001614AC" w:rsidRDefault="001614AC">
            <w:pPr>
              <w:keepNext/>
            </w:pPr>
          </w:p>
        </w:tc>
        <w:tc>
          <w:tcPr>
            <w:tcW w:w="1095" w:type="dxa"/>
            <w:gridSpan w:val="3"/>
            <w:tcBorders>
              <w:top w:val="single" w:sz="8" w:space="0" w:color="C7C9C7"/>
              <w:left w:val="nil"/>
              <w:bottom w:val="single" w:sz="8" w:space="0" w:color="F4F4F4"/>
              <w:right w:val="nil"/>
            </w:tcBorders>
            <w:tcMar>
              <w:top w:w="0" w:type="dxa"/>
              <w:left w:w="0" w:type="dxa"/>
              <w:bottom w:w="0" w:type="dxa"/>
              <w:right w:w="0" w:type="dxa"/>
            </w:tcMar>
            <w:vAlign w:val="bottom"/>
          </w:tcPr>
          <w:p w14:paraId="0242CCC8" w14:textId="77777777" w:rsidR="001614AC" w:rsidRDefault="001614AC">
            <w:pPr>
              <w:keepNext/>
            </w:pPr>
          </w:p>
        </w:tc>
      </w:tr>
      <w:tr w:rsidR="001614AC" w14:paraId="32F72E0B" w14:textId="77777777">
        <w:trPr>
          <w:cantSplit/>
        </w:trPr>
        <w:tc>
          <w:tcPr>
            <w:tcW w:w="5280" w:type="dxa"/>
            <w:tcBorders>
              <w:top w:val="single" w:sz="8" w:space="0" w:color="F4F4F4"/>
              <w:left w:val="nil"/>
              <w:bottom w:val="single" w:sz="8" w:space="0" w:color="F4F4F4"/>
              <w:right w:val="nil"/>
            </w:tcBorders>
            <w:tcMar>
              <w:top w:w="0" w:type="dxa"/>
              <w:left w:w="53" w:type="dxa"/>
              <w:bottom w:w="0" w:type="dxa"/>
              <w:right w:w="53" w:type="dxa"/>
            </w:tcMar>
            <w:vAlign w:val="bottom"/>
          </w:tcPr>
          <w:p w14:paraId="1B78E2E6" w14:textId="77777777" w:rsidR="001614AC" w:rsidRDefault="004468F9">
            <w:pPr>
              <w:keepNext/>
              <w:spacing w:before="55" w:after="30" w:line="288" w:lineRule="auto"/>
            </w:pPr>
            <w:r>
              <w:rPr>
                <w:rFonts w:ascii="Arial" w:eastAsia="Arial" w:hAnsi="Arial" w:cs="Arial"/>
                <w:color w:val="000000"/>
                <w:sz w:val="18"/>
              </w:rPr>
              <w:t>Fixed-maturities available for sale</w:t>
            </w:r>
          </w:p>
        </w:tc>
        <w:tc>
          <w:tcPr>
            <w:tcW w:w="105" w:type="dxa"/>
            <w:tcBorders>
              <w:top w:val="nil"/>
              <w:left w:val="nil"/>
              <w:bottom w:val="nil"/>
              <w:right w:val="nil"/>
            </w:tcBorders>
            <w:tcMar>
              <w:top w:w="0" w:type="dxa"/>
              <w:left w:w="0" w:type="dxa"/>
              <w:bottom w:w="0" w:type="dxa"/>
              <w:right w:w="0" w:type="dxa"/>
            </w:tcMar>
            <w:vAlign w:val="bottom"/>
          </w:tcPr>
          <w:p w14:paraId="07A545C9" w14:textId="77777777" w:rsidR="001614AC" w:rsidRDefault="001614AC">
            <w:pPr>
              <w:keepNext/>
            </w:pPr>
          </w:p>
        </w:tc>
        <w:tc>
          <w:tcPr>
            <w:tcW w:w="1095" w:type="dxa"/>
            <w:gridSpan w:val="3"/>
            <w:tcBorders>
              <w:top w:val="single" w:sz="8" w:space="0" w:color="F4F4F4"/>
              <w:left w:val="nil"/>
              <w:bottom w:val="single" w:sz="8" w:space="0" w:color="F4F4F4"/>
              <w:right w:val="nil"/>
            </w:tcBorders>
            <w:tcMar>
              <w:top w:w="0" w:type="dxa"/>
              <w:left w:w="0" w:type="dxa"/>
              <w:bottom w:w="0" w:type="dxa"/>
              <w:right w:w="0" w:type="dxa"/>
            </w:tcMar>
            <w:vAlign w:val="bottom"/>
          </w:tcPr>
          <w:p w14:paraId="6A72D448" w14:textId="77777777" w:rsidR="001614AC" w:rsidRDefault="001614AC">
            <w:pPr>
              <w:keepNext/>
            </w:pPr>
          </w:p>
        </w:tc>
        <w:tc>
          <w:tcPr>
            <w:tcW w:w="105" w:type="dxa"/>
            <w:tcBorders>
              <w:top w:val="nil"/>
              <w:left w:val="nil"/>
              <w:bottom w:val="nil"/>
              <w:right w:val="nil"/>
            </w:tcBorders>
            <w:tcMar>
              <w:top w:w="0" w:type="dxa"/>
              <w:left w:w="0" w:type="dxa"/>
              <w:bottom w:w="0" w:type="dxa"/>
              <w:right w:w="0" w:type="dxa"/>
            </w:tcMar>
            <w:vAlign w:val="bottom"/>
          </w:tcPr>
          <w:p w14:paraId="5246CB10" w14:textId="77777777" w:rsidR="001614AC" w:rsidRDefault="001614AC">
            <w:pPr>
              <w:keepNext/>
            </w:pPr>
          </w:p>
        </w:tc>
        <w:tc>
          <w:tcPr>
            <w:tcW w:w="1095" w:type="dxa"/>
            <w:gridSpan w:val="3"/>
            <w:tcBorders>
              <w:top w:val="single" w:sz="8" w:space="0" w:color="F4F4F4"/>
              <w:left w:val="nil"/>
              <w:bottom w:val="single" w:sz="8" w:space="0" w:color="F4F4F4"/>
              <w:right w:val="nil"/>
            </w:tcBorders>
            <w:tcMar>
              <w:top w:w="0" w:type="dxa"/>
              <w:left w:w="0" w:type="dxa"/>
              <w:bottom w:w="0" w:type="dxa"/>
              <w:right w:w="0" w:type="dxa"/>
            </w:tcMar>
            <w:vAlign w:val="bottom"/>
          </w:tcPr>
          <w:p w14:paraId="00E8F6CA" w14:textId="77777777" w:rsidR="001614AC" w:rsidRDefault="001614AC">
            <w:pPr>
              <w:keepNext/>
            </w:pPr>
          </w:p>
        </w:tc>
        <w:tc>
          <w:tcPr>
            <w:tcW w:w="105" w:type="dxa"/>
            <w:tcBorders>
              <w:top w:val="nil"/>
              <w:left w:val="nil"/>
              <w:bottom w:val="nil"/>
              <w:right w:val="nil"/>
            </w:tcBorders>
            <w:tcMar>
              <w:top w:w="0" w:type="dxa"/>
              <w:left w:w="0" w:type="dxa"/>
              <w:bottom w:w="0" w:type="dxa"/>
              <w:right w:w="0" w:type="dxa"/>
            </w:tcMar>
            <w:vAlign w:val="bottom"/>
          </w:tcPr>
          <w:p w14:paraId="04504BEC" w14:textId="77777777" w:rsidR="001614AC" w:rsidRDefault="001614AC">
            <w:pPr>
              <w:keepNext/>
            </w:pPr>
          </w:p>
        </w:tc>
        <w:tc>
          <w:tcPr>
            <w:tcW w:w="1095" w:type="dxa"/>
            <w:gridSpan w:val="3"/>
            <w:tcBorders>
              <w:top w:val="single" w:sz="8" w:space="0" w:color="F4F4F4"/>
              <w:left w:val="nil"/>
              <w:bottom w:val="single" w:sz="8" w:space="0" w:color="F4F4F4"/>
              <w:right w:val="nil"/>
            </w:tcBorders>
            <w:tcMar>
              <w:top w:w="0" w:type="dxa"/>
              <w:left w:w="0" w:type="dxa"/>
              <w:bottom w:w="0" w:type="dxa"/>
              <w:right w:w="0" w:type="dxa"/>
            </w:tcMar>
            <w:vAlign w:val="bottom"/>
          </w:tcPr>
          <w:p w14:paraId="177D5A7B" w14:textId="77777777" w:rsidR="001614AC" w:rsidRDefault="001614AC">
            <w:pPr>
              <w:keepNext/>
            </w:pPr>
          </w:p>
        </w:tc>
        <w:tc>
          <w:tcPr>
            <w:tcW w:w="105" w:type="dxa"/>
            <w:tcBorders>
              <w:top w:val="nil"/>
              <w:left w:val="nil"/>
              <w:bottom w:val="nil"/>
              <w:right w:val="nil"/>
            </w:tcBorders>
            <w:tcMar>
              <w:top w:w="0" w:type="dxa"/>
              <w:left w:w="0" w:type="dxa"/>
              <w:bottom w:w="0" w:type="dxa"/>
              <w:right w:w="0" w:type="dxa"/>
            </w:tcMar>
            <w:vAlign w:val="bottom"/>
          </w:tcPr>
          <w:p w14:paraId="3F04D312" w14:textId="77777777" w:rsidR="001614AC" w:rsidRDefault="001614AC">
            <w:pPr>
              <w:keepNext/>
            </w:pPr>
          </w:p>
        </w:tc>
        <w:tc>
          <w:tcPr>
            <w:tcW w:w="1095" w:type="dxa"/>
            <w:gridSpan w:val="3"/>
            <w:tcBorders>
              <w:top w:val="single" w:sz="8" w:space="0" w:color="F4F4F4"/>
              <w:left w:val="nil"/>
              <w:bottom w:val="single" w:sz="8" w:space="0" w:color="F4F4F4"/>
              <w:right w:val="nil"/>
            </w:tcBorders>
            <w:tcMar>
              <w:top w:w="0" w:type="dxa"/>
              <w:left w:w="0" w:type="dxa"/>
              <w:bottom w:w="0" w:type="dxa"/>
              <w:right w:w="0" w:type="dxa"/>
            </w:tcMar>
            <w:vAlign w:val="bottom"/>
          </w:tcPr>
          <w:p w14:paraId="37221E75" w14:textId="77777777" w:rsidR="001614AC" w:rsidRDefault="001614AC">
            <w:pPr>
              <w:keepNext/>
            </w:pPr>
          </w:p>
        </w:tc>
      </w:tr>
      <w:tr w:rsidR="001614AC" w14:paraId="193B256B" w14:textId="77777777">
        <w:trPr>
          <w:cantSplit/>
        </w:trPr>
        <w:tc>
          <w:tcPr>
            <w:tcW w:w="5280" w:type="dxa"/>
            <w:tcBorders>
              <w:top w:val="single" w:sz="8" w:space="0" w:color="F4F4F4"/>
              <w:left w:val="nil"/>
              <w:bottom w:val="single" w:sz="8" w:space="0" w:color="F4F4F4"/>
              <w:right w:val="nil"/>
            </w:tcBorders>
            <w:tcMar>
              <w:top w:w="0" w:type="dxa"/>
              <w:left w:w="53" w:type="dxa"/>
              <w:bottom w:w="0" w:type="dxa"/>
              <w:right w:w="53" w:type="dxa"/>
            </w:tcMar>
            <w:vAlign w:val="bottom"/>
          </w:tcPr>
          <w:p w14:paraId="4FAE3709" w14:textId="77777777" w:rsidR="001614AC" w:rsidRDefault="004468F9">
            <w:pPr>
              <w:keepNext/>
              <w:spacing w:before="55" w:after="30" w:line="288" w:lineRule="auto"/>
              <w:ind w:left="240"/>
            </w:pPr>
            <w:r>
              <w:rPr>
                <w:rFonts w:ascii="Arial" w:eastAsia="Arial" w:hAnsi="Arial" w:cs="Arial"/>
                <w:color w:val="000000"/>
                <w:sz w:val="18"/>
              </w:rPr>
              <w:t>U.S. government and agency securities</w:t>
            </w:r>
          </w:p>
        </w:tc>
        <w:tc>
          <w:tcPr>
            <w:tcW w:w="105" w:type="dxa"/>
            <w:tcBorders>
              <w:top w:val="nil"/>
              <w:left w:val="nil"/>
              <w:bottom w:val="nil"/>
              <w:right w:val="nil"/>
            </w:tcBorders>
            <w:tcMar>
              <w:top w:w="0" w:type="dxa"/>
              <w:left w:w="0" w:type="dxa"/>
              <w:bottom w:w="0" w:type="dxa"/>
              <w:right w:w="0" w:type="dxa"/>
            </w:tcMar>
            <w:vAlign w:val="bottom"/>
          </w:tcPr>
          <w:p w14:paraId="69822258" w14:textId="77777777" w:rsidR="001614AC" w:rsidRDefault="001614AC">
            <w:pPr>
              <w:keepNext/>
            </w:pPr>
          </w:p>
        </w:tc>
        <w:tc>
          <w:tcPr>
            <w:tcW w:w="160" w:type="dxa"/>
            <w:tcBorders>
              <w:top w:val="single" w:sz="8" w:space="0" w:color="F4F4F4"/>
              <w:left w:val="nil"/>
              <w:bottom w:val="single" w:sz="8" w:space="0" w:color="F4F4F4"/>
              <w:right w:val="nil"/>
            </w:tcBorders>
            <w:tcMar>
              <w:top w:w="0" w:type="dxa"/>
              <w:left w:w="53" w:type="dxa"/>
              <w:bottom w:w="0" w:type="dxa"/>
              <w:right w:w="0" w:type="dxa"/>
            </w:tcMar>
            <w:vAlign w:val="bottom"/>
          </w:tcPr>
          <w:p w14:paraId="406C6E26" w14:textId="77777777" w:rsidR="001614AC" w:rsidRDefault="004468F9">
            <w:pPr>
              <w:keepNext/>
              <w:spacing w:before="55" w:after="30" w:line="288" w:lineRule="auto"/>
            </w:pPr>
            <w:r>
              <w:rPr>
                <w:rFonts w:ascii="Arial" w:eastAsia="Arial" w:hAnsi="Arial" w:cs="Arial"/>
                <w:color w:val="000000"/>
                <w:sz w:val="18"/>
              </w:rPr>
              <w:t>$</w:t>
            </w:r>
          </w:p>
        </w:tc>
        <w:tc>
          <w:tcPr>
            <w:tcW w:w="835" w:type="dxa"/>
            <w:tcBorders>
              <w:top w:val="single" w:sz="8" w:space="0" w:color="F4F4F4"/>
              <w:left w:val="nil"/>
              <w:bottom w:val="single" w:sz="8" w:space="0" w:color="F4F4F4"/>
              <w:right w:val="nil"/>
            </w:tcBorders>
            <w:tcMar>
              <w:top w:w="0" w:type="dxa"/>
              <w:left w:w="0" w:type="dxa"/>
              <w:bottom w:w="0" w:type="dxa"/>
              <w:right w:w="0" w:type="dxa"/>
            </w:tcMar>
            <w:vAlign w:val="bottom"/>
          </w:tcPr>
          <w:p w14:paraId="1ACA7C07" w14:textId="77777777" w:rsidR="001614AC" w:rsidRDefault="004468F9">
            <w:pPr>
              <w:keepNext/>
              <w:spacing w:before="55" w:after="30" w:line="288" w:lineRule="auto"/>
              <w:jc w:val="right"/>
            </w:pPr>
            <w:r>
              <w:rPr>
                <w:rFonts w:ascii="Arial" w:eastAsia="Arial" w:hAnsi="Arial" w:cs="Arial"/>
                <w:color w:val="000000"/>
                <w:sz w:val="18"/>
              </w:rPr>
              <w:t>140,034 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6504D250" w14:textId="77777777" w:rsidR="001614AC" w:rsidRDefault="001614AC">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050522A1" w14:textId="77777777" w:rsidR="001614AC" w:rsidRDefault="001614AC">
            <w:pPr>
              <w:keepNext/>
            </w:pPr>
          </w:p>
        </w:tc>
        <w:tc>
          <w:tcPr>
            <w:tcW w:w="160" w:type="dxa"/>
            <w:tcBorders>
              <w:top w:val="single" w:sz="8" w:space="0" w:color="F4F4F4"/>
              <w:left w:val="nil"/>
              <w:bottom w:val="single" w:sz="8" w:space="0" w:color="F4F4F4"/>
              <w:right w:val="nil"/>
            </w:tcBorders>
            <w:tcMar>
              <w:top w:w="0" w:type="dxa"/>
              <w:left w:w="53" w:type="dxa"/>
              <w:bottom w:w="0" w:type="dxa"/>
              <w:right w:w="0" w:type="dxa"/>
            </w:tcMar>
            <w:vAlign w:val="bottom"/>
          </w:tcPr>
          <w:p w14:paraId="310E2C9E" w14:textId="77777777" w:rsidR="001614AC" w:rsidRDefault="004468F9">
            <w:pPr>
              <w:keepNext/>
              <w:spacing w:before="55" w:after="30" w:line="288" w:lineRule="auto"/>
            </w:pPr>
            <w:r>
              <w:rPr>
                <w:rFonts w:ascii="Arial" w:eastAsia="Arial" w:hAnsi="Arial" w:cs="Arial"/>
                <w:color w:val="000000"/>
                <w:sz w:val="18"/>
              </w:rPr>
              <w:t>$</w:t>
            </w:r>
          </w:p>
        </w:tc>
        <w:tc>
          <w:tcPr>
            <w:tcW w:w="835" w:type="dxa"/>
            <w:tcBorders>
              <w:top w:val="single" w:sz="8" w:space="0" w:color="F4F4F4"/>
              <w:left w:val="nil"/>
              <w:bottom w:val="single" w:sz="8" w:space="0" w:color="F4F4F4"/>
              <w:right w:val="nil"/>
            </w:tcBorders>
            <w:tcMar>
              <w:top w:w="0" w:type="dxa"/>
              <w:left w:w="0" w:type="dxa"/>
              <w:bottom w:w="0" w:type="dxa"/>
              <w:right w:w="0" w:type="dxa"/>
            </w:tcMar>
            <w:vAlign w:val="bottom"/>
          </w:tcPr>
          <w:p w14:paraId="07D270BC" w14:textId="77777777" w:rsidR="001614AC" w:rsidRDefault="004468F9">
            <w:pPr>
              <w:keepNext/>
              <w:spacing w:before="55" w:after="30" w:line="288" w:lineRule="auto"/>
              <w:jc w:val="right"/>
            </w:pPr>
            <w:r>
              <w:rPr>
                <w:rFonts w:ascii="Arial" w:eastAsia="Arial" w:hAnsi="Arial" w:cs="Arial"/>
                <w:color w:val="000000"/>
                <w:sz w:val="18"/>
              </w:rPr>
              <w:t>29,189 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2F3B8CC7" w14:textId="77777777" w:rsidR="001614AC" w:rsidRDefault="001614AC">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1A9475C7" w14:textId="77777777" w:rsidR="001614AC" w:rsidRDefault="001614AC">
            <w:pPr>
              <w:keepNext/>
            </w:pPr>
          </w:p>
        </w:tc>
        <w:tc>
          <w:tcPr>
            <w:tcW w:w="160" w:type="dxa"/>
            <w:tcBorders>
              <w:top w:val="single" w:sz="8" w:space="0" w:color="F4F4F4"/>
              <w:left w:val="nil"/>
              <w:bottom w:val="single" w:sz="8" w:space="0" w:color="F4F4F4"/>
              <w:right w:val="nil"/>
            </w:tcBorders>
            <w:tcMar>
              <w:top w:w="0" w:type="dxa"/>
              <w:left w:w="53" w:type="dxa"/>
              <w:bottom w:w="0" w:type="dxa"/>
              <w:right w:w="0" w:type="dxa"/>
            </w:tcMar>
            <w:vAlign w:val="bottom"/>
          </w:tcPr>
          <w:p w14:paraId="4C7711B5" w14:textId="77777777" w:rsidR="001614AC" w:rsidRDefault="004468F9">
            <w:pPr>
              <w:keepNext/>
              <w:spacing w:before="55" w:after="30" w:line="288" w:lineRule="auto"/>
            </w:pPr>
            <w:r>
              <w:rPr>
                <w:rFonts w:ascii="Arial" w:eastAsia="Arial" w:hAnsi="Arial" w:cs="Arial"/>
                <w:color w:val="000000"/>
                <w:sz w:val="18"/>
              </w:rPr>
              <w:t>$</w:t>
            </w:r>
          </w:p>
        </w:tc>
        <w:tc>
          <w:tcPr>
            <w:tcW w:w="835" w:type="dxa"/>
            <w:tcBorders>
              <w:top w:val="single" w:sz="8" w:space="0" w:color="F4F4F4"/>
              <w:left w:val="nil"/>
              <w:bottom w:val="single" w:sz="8" w:space="0" w:color="F4F4F4"/>
              <w:right w:val="nil"/>
            </w:tcBorders>
            <w:tcMar>
              <w:top w:w="0" w:type="dxa"/>
              <w:left w:w="0" w:type="dxa"/>
              <w:bottom w:w="0" w:type="dxa"/>
              <w:right w:w="0" w:type="dxa"/>
            </w:tcMar>
            <w:vAlign w:val="bottom"/>
          </w:tcPr>
          <w:p w14:paraId="0EEF325C" w14:textId="77777777" w:rsidR="001614AC" w:rsidRDefault="004468F9">
            <w:pPr>
              <w:keepNext/>
              <w:spacing w:before="55" w:after="30" w:line="288" w:lineRule="auto"/>
              <w:jc w:val="right"/>
            </w:pPr>
            <w:r>
              <w:rPr>
                <w:rFonts w:ascii="Arial" w:eastAsia="Arial" w:hAnsi="Arial" w:cs="Arial"/>
                <w:color w:val="000000"/>
                <w:sz w:val="18"/>
              </w:rPr>
              <w:t>—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096BB297" w14:textId="77777777" w:rsidR="001614AC" w:rsidRDefault="001614AC">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03AF030E" w14:textId="77777777" w:rsidR="001614AC" w:rsidRDefault="001614AC">
            <w:pPr>
              <w:keepNext/>
            </w:pPr>
          </w:p>
        </w:tc>
        <w:tc>
          <w:tcPr>
            <w:tcW w:w="160" w:type="dxa"/>
            <w:tcBorders>
              <w:top w:val="single" w:sz="8" w:space="0" w:color="F4F4F4"/>
              <w:left w:val="nil"/>
              <w:bottom w:val="single" w:sz="8" w:space="0" w:color="F4F4F4"/>
              <w:right w:val="nil"/>
            </w:tcBorders>
            <w:tcMar>
              <w:top w:w="0" w:type="dxa"/>
              <w:left w:w="53" w:type="dxa"/>
              <w:bottom w:w="0" w:type="dxa"/>
              <w:right w:w="0" w:type="dxa"/>
            </w:tcMar>
            <w:vAlign w:val="bottom"/>
          </w:tcPr>
          <w:p w14:paraId="6C14EC67" w14:textId="77777777" w:rsidR="001614AC" w:rsidRDefault="004468F9">
            <w:pPr>
              <w:keepNext/>
              <w:spacing w:before="55" w:after="30" w:line="288" w:lineRule="auto"/>
            </w:pPr>
            <w:r>
              <w:rPr>
                <w:rFonts w:ascii="Arial" w:eastAsia="Arial" w:hAnsi="Arial" w:cs="Arial"/>
                <w:color w:val="000000"/>
                <w:sz w:val="18"/>
              </w:rPr>
              <w:t>$</w:t>
            </w:r>
          </w:p>
        </w:tc>
        <w:tc>
          <w:tcPr>
            <w:tcW w:w="835" w:type="dxa"/>
            <w:tcBorders>
              <w:top w:val="single" w:sz="8" w:space="0" w:color="F4F4F4"/>
              <w:left w:val="nil"/>
              <w:bottom w:val="single" w:sz="8" w:space="0" w:color="F4F4F4"/>
              <w:right w:val="nil"/>
            </w:tcBorders>
            <w:tcMar>
              <w:top w:w="0" w:type="dxa"/>
              <w:left w:w="0" w:type="dxa"/>
              <w:bottom w:w="0" w:type="dxa"/>
              <w:right w:w="0" w:type="dxa"/>
            </w:tcMar>
            <w:vAlign w:val="bottom"/>
          </w:tcPr>
          <w:p w14:paraId="79BE0DB8" w14:textId="77777777" w:rsidR="001614AC" w:rsidRDefault="004468F9">
            <w:pPr>
              <w:keepNext/>
              <w:spacing w:before="55" w:after="30" w:line="288" w:lineRule="auto"/>
              <w:jc w:val="right"/>
            </w:pPr>
            <w:r>
              <w:rPr>
                <w:rFonts w:ascii="Arial" w:eastAsia="Arial" w:hAnsi="Arial" w:cs="Arial"/>
                <w:color w:val="000000"/>
                <w:sz w:val="18"/>
              </w:rPr>
              <w:t>169,223 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0B21580A" w14:textId="77777777" w:rsidR="001614AC" w:rsidRDefault="001614AC">
            <w:pPr>
              <w:keepNext/>
              <w:spacing w:before="55" w:after="30" w:line="288" w:lineRule="auto"/>
              <w:jc w:val="right"/>
            </w:pPr>
          </w:p>
        </w:tc>
      </w:tr>
      <w:tr w:rsidR="001614AC" w14:paraId="3693FDFD" w14:textId="77777777">
        <w:trPr>
          <w:cantSplit/>
        </w:trPr>
        <w:tc>
          <w:tcPr>
            <w:tcW w:w="5280" w:type="dxa"/>
            <w:tcBorders>
              <w:top w:val="single" w:sz="8" w:space="0" w:color="F4F4F4"/>
              <w:left w:val="nil"/>
              <w:bottom w:val="single" w:sz="8" w:space="0" w:color="F4F4F4"/>
              <w:right w:val="nil"/>
            </w:tcBorders>
            <w:tcMar>
              <w:top w:w="0" w:type="dxa"/>
              <w:left w:w="53" w:type="dxa"/>
              <w:bottom w:w="0" w:type="dxa"/>
              <w:right w:w="53" w:type="dxa"/>
            </w:tcMar>
            <w:vAlign w:val="bottom"/>
          </w:tcPr>
          <w:p w14:paraId="0D172CAD" w14:textId="77777777" w:rsidR="001614AC" w:rsidRDefault="004468F9">
            <w:pPr>
              <w:keepNext/>
              <w:spacing w:before="55" w:after="30" w:line="288" w:lineRule="auto"/>
              <w:ind w:left="240"/>
            </w:pPr>
            <w:r>
              <w:rPr>
                <w:rFonts w:ascii="Arial" w:eastAsia="Arial" w:hAnsi="Arial" w:cs="Arial"/>
                <w:color w:val="000000"/>
                <w:sz w:val="18"/>
              </w:rPr>
              <w:t>State and municipal obligations</w:t>
            </w:r>
          </w:p>
        </w:tc>
        <w:tc>
          <w:tcPr>
            <w:tcW w:w="105" w:type="dxa"/>
            <w:tcBorders>
              <w:top w:val="nil"/>
              <w:left w:val="nil"/>
              <w:bottom w:val="nil"/>
              <w:right w:val="nil"/>
            </w:tcBorders>
            <w:tcMar>
              <w:top w:w="0" w:type="dxa"/>
              <w:left w:w="0" w:type="dxa"/>
              <w:bottom w:w="0" w:type="dxa"/>
              <w:right w:w="0" w:type="dxa"/>
            </w:tcMar>
            <w:vAlign w:val="bottom"/>
          </w:tcPr>
          <w:p w14:paraId="4D19A22B" w14:textId="77777777" w:rsidR="001614AC" w:rsidRDefault="001614AC">
            <w:pPr>
              <w:keepNext/>
            </w:pPr>
          </w:p>
        </w:tc>
        <w:tc>
          <w:tcPr>
            <w:tcW w:w="995"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6B6F23BC" w14:textId="77777777" w:rsidR="001614AC" w:rsidRDefault="004468F9">
            <w:pPr>
              <w:keepNext/>
              <w:spacing w:before="55" w:after="30" w:line="288" w:lineRule="auto"/>
              <w:jc w:val="right"/>
            </w:pPr>
            <w:r>
              <w:rPr>
                <w:rFonts w:ascii="Arial" w:eastAsia="Arial" w:hAnsi="Arial" w:cs="Arial"/>
                <w:color w:val="000000"/>
                <w:sz w:val="18"/>
              </w:rPr>
              <w:t>—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21BAD484" w14:textId="77777777" w:rsidR="001614AC" w:rsidRDefault="001614AC">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1777911D" w14:textId="77777777" w:rsidR="001614AC" w:rsidRDefault="001614AC">
            <w:pPr>
              <w:keepNext/>
            </w:pPr>
          </w:p>
        </w:tc>
        <w:tc>
          <w:tcPr>
            <w:tcW w:w="995"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6106D21C" w14:textId="77777777" w:rsidR="001614AC" w:rsidRDefault="004468F9">
            <w:pPr>
              <w:keepNext/>
              <w:spacing w:before="55" w:after="30" w:line="288" w:lineRule="auto"/>
              <w:jc w:val="right"/>
            </w:pPr>
            <w:r>
              <w:rPr>
                <w:rFonts w:ascii="Arial" w:eastAsia="Arial" w:hAnsi="Arial" w:cs="Arial"/>
                <w:color w:val="000000"/>
                <w:sz w:val="18"/>
              </w:rPr>
              <w:t>165,271 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5DB76E70" w14:textId="77777777" w:rsidR="001614AC" w:rsidRDefault="001614AC">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6114989A" w14:textId="77777777" w:rsidR="001614AC" w:rsidRDefault="001614AC">
            <w:pPr>
              <w:keepNext/>
            </w:pPr>
          </w:p>
        </w:tc>
        <w:tc>
          <w:tcPr>
            <w:tcW w:w="995"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6E2F2495" w14:textId="77777777" w:rsidR="001614AC" w:rsidRDefault="004468F9">
            <w:pPr>
              <w:keepNext/>
              <w:spacing w:before="55" w:after="30" w:line="288" w:lineRule="auto"/>
              <w:jc w:val="right"/>
            </w:pPr>
            <w:r>
              <w:rPr>
                <w:rFonts w:ascii="Arial" w:eastAsia="Arial" w:hAnsi="Arial" w:cs="Arial"/>
                <w:color w:val="000000"/>
                <w:sz w:val="18"/>
              </w:rPr>
              <w:t>—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219B63C3" w14:textId="77777777" w:rsidR="001614AC" w:rsidRDefault="001614AC">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614EFE96" w14:textId="77777777" w:rsidR="001614AC" w:rsidRDefault="001614AC">
            <w:pPr>
              <w:keepNext/>
            </w:pPr>
          </w:p>
        </w:tc>
        <w:tc>
          <w:tcPr>
            <w:tcW w:w="995"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2E89BD06" w14:textId="77777777" w:rsidR="001614AC" w:rsidRDefault="004468F9">
            <w:pPr>
              <w:keepNext/>
              <w:spacing w:before="55" w:after="30" w:line="288" w:lineRule="auto"/>
              <w:jc w:val="right"/>
            </w:pPr>
            <w:r>
              <w:rPr>
                <w:rFonts w:ascii="Arial" w:eastAsia="Arial" w:hAnsi="Arial" w:cs="Arial"/>
                <w:color w:val="000000"/>
                <w:sz w:val="18"/>
              </w:rPr>
              <w:t>165,271 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752564AC" w14:textId="77777777" w:rsidR="001614AC" w:rsidRDefault="001614AC">
            <w:pPr>
              <w:keepNext/>
              <w:spacing w:before="55" w:after="30" w:line="288" w:lineRule="auto"/>
              <w:jc w:val="right"/>
            </w:pPr>
          </w:p>
        </w:tc>
      </w:tr>
      <w:tr w:rsidR="001614AC" w14:paraId="56AB05C9" w14:textId="77777777">
        <w:trPr>
          <w:cantSplit/>
        </w:trPr>
        <w:tc>
          <w:tcPr>
            <w:tcW w:w="5280" w:type="dxa"/>
            <w:tcBorders>
              <w:top w:val="single" w:sz="8" w:space="0" w:color="F4F4F4"/>
              <w:left w:val="nil"/>
              <w:bottom w:val="single" w:sz="8" w:space="0" w:color="F4F4F4"/>
              <w:right w:val="nil"/>
            </w:tcBorders>
            <w:tcMar>
              <w:top w:w="0" w:type="dxa"/>
              <w:left w:w="53" w:type="dxa"/>
              <w:bottom w:w="0" w:type="dxa"/>
              <w:right w:w="53" w:type="dxa"/>
            </w:tcMar>
            <w:vAlign w:val="bottom"/>
          </w:tcPr>
          <w:p w14:paraId="6683B524" w14:textId="77777777" w:rsidR="001614AC" w:rsidRDefault="004468F9">
            <w:pPr>
              <w:keepNext/>
              <w:spacing w:before="55" w:after="30" w:line="288" w:lineRule="auto"/>
              <w:ind w:left="240"/>
            </w:pPr>
            <w:r>
              <w:rPr>
                <w:rFonts w:ascii="Arial" w:eastAsia="Arial" w:hAnsi="Arial" w:cs="Arial"/>
                <w:color w:val="000000"/>
                <w:sz w:val="18"/>
              </w:rPr>
              <w:t>Corporate bonds and notes</w:t>
            </w:r>
          </w:p>
        </w:tc>
        <w:tc>
          <w:tcPr>
            <w:tcW w:w="105" w:type="dxa"/>
            <w:tcBorders>
              <w:top w:val="nil"/>
              <w:left w:val="nil"/>
              <w:bottom w:val="nil"/>
              <w:right w:val="nil"/>
            </w:tcBorders>
            <w:tcMar>
              <w:top w:w="0" w:type="dxa"/>
              <w:left w:w="0" w:type="dxa"/>
              <w:bottom w:w="0" w:type="dxa"/>
              <w:right w:w="0" w:type="dxa"/>
            </w:tcMar>
            <w:vAlign w:val="bottom"/>
          </w:tcPr>
          <w:p w14:paraId="65C904EF" w14:textId="77777777" w:rsidR="001614AC" w:rsidRDefault="001614AC">
            <w:pPr>
              <w:keepNext/>
            </w:pPr>
          </w:p>
        </w:tc>
        <w:tc>
          <w:tcPr>
            <w:tcW w:w="995"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6BCF4360" w14:textId="77777777" w:rsidR="001614AC" w:rsidRDefault="004468F9">
            <w:pPr>
              <w:keepNext/>
              <w:spacing w:before="55" w:after="30" w:line="288" w:lineRule="auto"/>
              <w:jc w:val="right"/>
            </w:pPr>
            <w:r>
              <w:rPr>
                <w:rFonts w:ascii="Arial" w:eastAsia="Arial" w:hAnsi="Arial" w:cs="Arial"/>
                <w:color w:val="000000"/>
                <w:sz w:val="18"/>
              </w:rPr>
              <w:t>—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0958B210" w14:textId="77777777" w:rsidR="001614AC" w:rsidRDefault="001614AC">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2AB3D0C7" w14:textId="77777777" w:rsidR="001614AC" w:rsidRDefault="001614AC">
            <w:pPr>
              <w:keepNext/>
            </w:pPr>
          </w:p>
        </w:tc>
        <w:tc>
          <w:tcPr>
            <w:tcW w:w="995"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4F5D2846" w14:textId="77777777" w:rsidR="001614AC" w:rsidRDefault="004468F9">
            <w:pPr>
              <w:keepNext/>
              <w:spacing w:before="55" w:after="30" w:line="288" w:lineRule="auto"/>
              <w:jc w:val="right"/>
            </w:pPr>
            <w:r>
              <w:rPr>
                <w:rFonts w:ascii="Arial" w:eastAsia="Arial" w:hAnsi="Arial" w:cs="Arial"/>
                <w:color w:val="000000"/>
                <w:sz w:val="18"/>
              </w:rPr>
              <w:t>3,047,189 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43DEF84B" w14:textId="77777777" w:rsidR="001614AC" w:rsidRDefault="001614AC">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5BE8408B" w14:textId="77777777" w:rsidR="001614AC" w:rsidRDefault="001614AC">
            <w:pPr>
              <w:keepNext/>
            </w:pPr>
          </w:p>
        </w:tc>
        <w:tc>
          <w:tcPr>
            <w:tcW w:w="995"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7800F287" w14:textId="77777777" w:rsidR="001614AC" w:rsidRDefault="004468F9">
            <w:pPr>
              <w:keepNext/>
              <w:spacing w:before="55" w:after="30" w:line="288" w:lineRule="auto"/>
              <w:jc w:val="right"/>
            </w:pPr>
            <w:r>
              <w:rPr>
                <w:rFonts w:ascii="Arial" w:eastAsia="Arial" w:hAnsi="Arial" w:cs="Arial"/>
                <w:color w:val="000000"/>
                <w:sz w:val="18"/>
              </w:rPr>
              <w:t>—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576523AC" w14:textId="77777777" w:rsidR="001614AC" w:rsidRDefault="001614AC">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5E16566C" w14:textId="77777777" w:rsidR="001614AC" w:rsidRDefault="001614AC">
            <w:pPr>
              <w:keepNext/>
            </w:pPr>
          </w:p>
        </w:tc>
        <w:tc>
          <w:tcPr>
            <w:tcW w:w="995"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19FE5E61" w14:textId="77777777" w:rsidR="001614AC" w:rsidRDefault="004468F9">
            <w:pPr>
              <w:keepNext/>
              <w:spacing w:before="55" w:after="30" w:line="288" w:lineRule="auto"/>
              <w:jc w:val="right"/>
            </w:pPr>
            <w:r>
              <w:rPr>
                <w:rFonts w:ascii="Arial" w:eastAsia="Arial" w:hAnsi="Arial" w:cs="Arial"/>
                <w:color w:val="000000"/>
                <w:sz w:val="18"/>
              </w:rPr>
              <w:t>3,047,189 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4E776D5A" w14:textId="77777777" w:rsidR="001614AC" w:rsidRDefault="001614AC">
            <w:pPr>
              <w:keepNext/>
              <w:spacing w:before="55" w:after="30" w:line="288" w:lineRule="auto"/>
              <w:jc w:val="right"/>
            </w:pPr>
          </w:p>
        </w:tc>
      </w:tr>
      <w:tr w:rsidR="001614AC" w14:paraId="2F52BBAC" w14:textId="77777777">
        <w:trPr>
          <w:cantSplit/>
        </w:trPr>
        <w:tc>
          <w:tcPr>
            <w:tcW w:w="5280" w:type="dxa"/>
            <w:tcBorders>
              <w:top w:val="single" w:sz="8" w:space="0" w:color="F4F4F4"/>
              <w:left w:val="nil"/>
              <w:bottom w:val="single" w:sz="8" w:space="0" w:color="F4F4F4"/>
              <w:right w:val="nil"/>
            </w:tcBorders>
            <w:tcMar>
              <w:top w:w="0" w:type="dxa"/>
              <w:left w:w="53" w:type="dxa"/>
              <w:bottom w:w="0" w:type="dxa"/>
              <w:right w:w="53" w:type="dxa"/>
            </w:tcMar>
            <w:vAlign w:val="bottom"/>
          </w:tcPr>
          <w:p w14:paraId="7A09E607" w14:textId="77777777" w:rsidR="001614AC" w:rsidRDefault="004468F9">
            <w:pPr>
              <w:keepNext/>
              <w:spacing w:before="55" w:after="30" w:line="288" w:lineRule="auto"/>
              <w:ind w:left="240"/>
            </w:pPr>
            <w:r>
              <w:rPr>
                <w:rFonts w:ascii="Arial" w:eastAsia="Arial" w:hAnsi="Arial" w:cs="Arial"/>
                <w:color w:val="000000"/>
                <w:sz w:val="18"/>
              </w:rPr>
              <w:t>RMBS</w:t>
            </w:r>
          </w:p>
        </w:tc>
        <w:tc>
          <w:tcPr>
            <w:tcW w:w="105" w:type="dxa"/>
            <w:tcBorders>
              <w:top w:val="nil"/>
              <w:left w:val="nil"/>
              <w:bottom w:val="nil"/>
              <w:right w:val="nil"/>
            </w:tcBorders>
            <w:tcMar>
              <w:top w:w="0" w:type="dxa"/>
              <w:left w:w="0" w:type="dxa"/>
              <w:bottom w:w="0" w:type="dxa"/>
              <w:right w:w="0" w:type="dxa"/>
            </w:tcMar>
            <w:vAlign w:val="bottom"/>
          </w:tcPr>
          <w:p w14:paraId="68CA9DF7" w14:textId="77777777" w:rsidR="001614AC" w:rsidRDefault="001614AC">
            <w:pPr>
              <w:keepNext/>
            </w:pPr>
          </w:p>
        </w:tc>
        <w:tc>
          <w:tcPr>
            <w:tcW w:w="995"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401AFDA6" w14:textId="77777777" w:rsidR="001614AC" w:rsidRDefault="004468F9">
            <w:pPr>
              <w:keepNext/>
              <w:spacing w:before="55" w:after="30" w:line="288" w:lineRule="auto"/>
              <w:jc w:val="right"/>
            </w:pPr>
            <w:r>
              <w:rPr>
                <w:rFonts w:ascii="Arial" w:eastAsia="Arial" w:hAnsi="Arial" w:cs="Arial"/>
                <w:color w:val="000000"/>
                <w:sz w:val="18"/>
              </w:rPr>
              <w:t>—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668198E0" w14:textId="77777777" w:rsidR="001614AC" w:rsidRDefault="001614AC">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14D2C5D5" w14:textId="77777777" w:rsidR="001614AC" w:rsidRDefault="001614AC">
            <w:pPr>
              <w:keepNext/>
            </w:pPr>
          </w:p>
        </w:tc>
        <w:tc>
          <w:tcPr>
            <w:tcW w:w="995"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74FC4AE7" w14:textId="77777777" w:rsidR="001614AC" w:rsidRDefault="004468F9">
            <w:pPr>
              <w:keepNext/>
              <w:spacing w:before="55" w:after="30" w:line="288" w:lineRule="auto"/>
              <w:jc w:val="right"/>
            </w:pPr>
            <w:r>
              <w:rPr>
                <w:rFonts w:ascii="Arial" w:eastAsia="Arial" w:hAnsi="Arial" w:cs="Arial"/>
                <w:color w:val="000000"/>
                <w:sz w:val="18"/>
              </w:rPr>
              <w:t>833,939 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0DD2678C" w14:textId="77777777" w:rsidR="001614AC" w:rsidRDefault="001614AC">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5BDB216D" w14:textId="77777777" w:rsidR="001614AC" w:rsidRDefault="001614AC">
            <w:pPr>
              <w:keepNext/>
            </w:pPr>
          </w:p>
        </w:tc>
        <w:tc>
          <w:tcPr>
            <w:tcW w:w="995"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009E3BF3" w14:textId="77777777" w:rsidR="001614AC" w:rsidRDefault="004468F9">
            <w:pPr>
              <w:keepNext/>
              <w:spacing w:before="55" w:after="30" w:line="288" w:lineRule="auto"/>
              <w:jc w:val="right"/>
            </w:pPr>
            <w:r>
              <w:rPr>
                <w:rFonts w:ascii="Arial" w:eastAsia="Arial" w:hAnsi="Arial" w:cs="Arial"/>
                <w:color w:val="000000"/>
                <w:sz w:val="18"/>
              </w:rPr>
              <w:t>—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516E9B97" w14:textId="77777777" w:rsidR="001614AC" w:rsidRDefault="001614AC">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1B53C02F" w14:textId="77777777" w:rsidR="001614AC" w:rsidRDefault="001614AC">
            <w:pPr>
              <w:keepNext/>
            </w:pPr>
          </w:p>
        </w:tc>
        <w:tc>
          <w:tcPr>
            <w:tcW w:w="995"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77007F39" w14:textId="77777777" w:rsidR="001614AC" w:rsidRDefault="004468F9">
            <w:pPr>
              <w:keepNext/>
              <w:spacing w:before="55" w:after="30" w:line="288" w:lineRule="auto"/>
              <w:jc w:val="right"/>
            </w:pPr>
            <w:r>
              <w:rPr>
                <w:rFonts w:ascii="Arial" w:eastAsia="Arial" w:hAnsi="Arial" w:cs="Arial"/>
                <w:color w:val="000000"/>
                <w:sz w:val="18"/>
              </w:rPr>
              <w:t>833,939 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691D97BA" w14:textId="77777777" w:rsidR="001614AC" w:rsidRDefault="001614AC">
            <w:pPr>
              <w:keepNext/>
              <w:spacing w:before="55" w:after="30" w:line="288" w:lineRule="auto"/>
              <w:jc w:val="right"/>
            </w:pPr>
          </w:p>
        </w:tc>
      </w:tr>
      <w:tr w:rsidR="001614AC" w14:paraId="4DA11CEF" w14:textId="77777777">
        <w:trPr>
          <w:cantSplit/>
        </w:trPr>
        <w:tc>
          <w:tcPr>
            <w:tcW w:w="5280" w:type="dxa"/>
            <w:tcBorders>
              <w:top w:val="single" w:sz="8" w:space="0" w:color="F4F4F4"/>
              <w:left w:val="nil"/>
              <w:bottom w:val="single" w:sz="8" w:space="0" w:color="F4F4F4"/>
              <w:right w:val="nil"/>
            </w:tcBorders>
            <w:tcMar>
              <w:top w:w="0" w:type="dxa"/>
              <w:left w:w="53" w:type="dxa"/>
              <w:bottom w:w="0" w:type="dxa"/>
              <w:right w:w="53" w:type="dxa"/>
            </w:tcMar>
            <w:vAlign w:val="bottom"/>
          </w:tcPr>
          <w:p w14:paraId="13F68E0D" w14:textId="77777777" w:rsidR="001614AC" w:rsidRDefault="004468F9">
            <w:pPr>
              <w:keepNext/>
              <w:spacing w:before="55" w:after="30" w:line="288" w:lineRule="auto"/>
              <w:ind w:left="240"/>
            </w:pPr>
            <w:r>
              <w:rPr>
                <w:rFonts w:ascii="Arial" w:eastAsia="Arial" w:hAnsi="Arial" w:cs="Arial"/>
                <w:color w:val="000000"/>
                <w:sz w:val="18"/>
              </w:rPr>
              <w:t>CMBS</w:t>
            </w:r>
          </w:p>
        </w:tc>
        <w:tc>
          <w:tcPr>
            <w:tcW w:w="105" w:type="dxa"/>
            <w:tcBorders>
              <w:top w:val="nil"/>
              <w:left w:val="nil"/>
              <w:bottom w:val="nil"/>
              <w:right w:val="nil"/>
            </w:tcBorders>
            <w:tcMar>
              <w:top w:w="0" w:type="dxa"/>
              <w:left w:w="0" w:type="dxa"/>
              <w:bottom w:w="0" w:type="dxa"/>
              <w:right w:w="0" w:type="dxa"/>
            </w:tcMar>
            <w:vAlign w:val="bottom"/>
          </w:tcPr>
          <w:p w14:paraId="74B45705" w14:textId="77777777" w:rsidR="001614AC" w:rsidRDefault="001614AC">
            <w:pPr>
              <w:keepNext/>
            </w:pPr>
          </w:p>
        </w:tc>
        <w:tc>
          <w:tcPr>
            <w:tcW w:w="995"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457B53E7" w14:textId="77777777" w:rsidR="001614AC" w:rsidRDefault="004468F9">
            <w:pPr>
              <w:keepNext/>
              <w:spacing w:before="55" w:after="30" w:line="288" w:lineRule="auto"/>
              <w:jc w:val="right"/>
            </w:pPr>
            <w:r>
              <w:rPr>
                <w:rFonts w:ascii="Arial" w:eastAsia="Arial" w:hAnsi="Arial" w:cs="Arial"/>
                <w:color w:val="000000"/>
                <w:sz w:val="18"/>
              </w:rPr>
              <w:t>—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274E8CC7" w14:textId="77777777" w:rsidR="001614AC" w:rsidRDefault="001614AC">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0B7B6931" w14:textId="77777777" w:rsidR="001614AC" w:rsidRDefault="001614AC">
            <w:pPr>
              <w:keepNext/>
            </w:pPr>
          </w:p>
        </w:tc>
        <w:tc>
          <w:tcPr>
            <w:tcW w:w="995"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187F2770" w14:textId="77777777" w:rsidR="001614AC" w:rsidRDefault="004468F9">
            <w:pPr>
              <w:keepNext/>
              <w:spacing w:before="55" w:after="30" w:line="288" w:lineRule="auto"/>
              <w:jc w:val="right"/>
            </w:pPr>
            <w:r>
              <w:rPr>
                <w:rFonts w:ascii="Arial" w:eastAsia="Arial" w:hAnsi="Arial" w:cs="Arial"/>
                <w:color w:val="000000"/>
                <w:sz w:val="18"/>
              </w:rPr>
              <w:t>681,265 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6118B4B9" w14:textId="77777777" w:rsidR="001614AC" w:rsidRDefault="001614AC">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0BDA1086" w14:textId="77777777" w:rsidR="001614AC" w:rsidRDefault="001614AC">
            <w:pPr>
              <w:keepNext/>
            </w:pPr>
          </w:p>
        </w:tc>
        <w:tc>
          <w:tcPr>
            <w:tcW w:w="995"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47B8AD0F" w14:textId="77777777" w:rsidR="001614AC" w:rsidRDefault="004468F9">
            <w:pPr>
              <w:keepNext/>
              <w:spacing w:before="55" w:after="30" w:line="288" w:lineRule="auto"/>
              <w:jc w:val="right"/>
            </w:pPr>
            <w:r>
              <w:rPr>
                <w:rFonts w:ascii="Arial" w:eastAsia="Arial" w:hAnsi="Arial" w:cs="Arial"/>
                <w:color w:val="000000"/>
                <w:sz w:val="18"/>
              </w:rPr>
              <w:t>—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12D40420" w14:textId="77777777" w:rsidR="001614AC" w:rsidRDefault="001614AC">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6AAEF3C6" w14:textId="77777777" w:rsidR="001614AC" w:rsidRDefault="001614AC">
            <w:pPr>
              <w:keepNext/>
            </w:pPr>
          </w:p>
        </w:tc>
        <w:tc>
          <w:tcPr>
            <w:tcW w:w="995"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54CADCF4" w14:textId="77777777" w:rsidR="001614AC" w:rsidRDefault="004468F9">
            <w:pPr>
              <w:keepNext/>
              <w:spacing w:before="55" w:after="30" w:line="288" w:lineRule="auto"/>
              <w:jc w:val="right"/>
            </w:pPr>
            <w:r>
              <w:rPr>
                <w:rFonts w:ascii="Arial" w:eastAsia="Arial" w:hAnsi="Arial" w:cs="Arial"/>
                <w:color w:val="000000"/>
                <w:sz w:val="18"/>
              </w:rPr>
              <w:t>681,265 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058B574F" w14:textId="77777777" w:rsidR="001614AC" w:rsidRDefault="001614AC">
            <w:pPr>
              <w:keepNext/>
              <w:spacing w:before="55" w:after="30" w:line="288" w:lineRule="auto"/>
              <w:jc w:val="right"/>
            </w:pPr>
          </w:p>
        </w:tc>
      </w:tr>
      <w:tr w:rsidR="001614AC" w14:paraId="39003C7D" w14:textId="77777777">
        <w:trPr>
          <w:cantSplit/>
        </w:trPr>
        <w:tc>
          <w:tcPr>
            <w:tcW w:w="5280" w:type="dxa"/>
            <w:tcBorders>
              <w:top w:val="single" w:sz="8" w:space="0" w:color="F4F4F4"/>
              <w:left w:val="nil"/>
              <w:bottom w:val="single" w:sz="8" w:space="0" w:color="F4F4F4"/>
              <w:right w:val="nil"/>
            </w:tcBorders>
            <w:tcMar>
              <w:top w:w="0" w:type="dxa"/>
              <w:left w:w="53" w:type="dxa"/>
              <w:bottom w:w="0" w:type="dxa"/>
              <w:right w:w="53" w:type="dxa"/>
            </w:tcMar>
            <w:vAlign w:val="bottom"/>
          </w:tcPr>
          <w:p w14:paraId="38DFCF3F" w14:textId="77777777" w:rsidR="001614AC" w:rsidRDefault="004468F9">
            <w:pPr>
              <w:keepNext/>
              <w:spacing w:before="55" w:after="30" w:line="288" w:lineRule="auto"/>
              <w:ind w:left="240"/>
            </w:pPr>
            <w:r>
              <w:rPr>
                <w:rFonts w:ascii="Arial" w:eastAsia="Arial" w:hAnsi="Arial" w:cs="Arial"/>
                <w:color w:val="000000"/>
                <w:sz w:val="18"/>
              </w:rPr>
              <w:t>CLO</w:t>
            </w:r>
          </w:p>
        </w:tc>
        <w:tc>
          <w:tcPr>
            <w:tcW w:w="105" w:type="dxa"/>
            <w:tcBorders>
              <w:top w:val="nil"/>
              <w:left w:val="nil"/>
              <w:bottom w:val="nil"/>
              <w:right w:val="nil"/>
            </w:tcBorders>
            <w:tcMar>
              <w:top w:w="0" w:type="dxa"/>
              <w:left w:w="0" w:type="dxa"/>
              <w:bottom w:w="0" w:type="dxa"/>
              <w:right w:w="0" w:type="dxa"/>
            </w:tcMar>
            <w:vAlign w:val="bottom"/>
          </w:tcPr>
          <w:p w14:paraId="7D1E763B" w14:textId="77777777" w:rsidR="001614AC" w:rsidRDefault="001614AC">
            <w:pPr>
              <w:keepNext/>
            </w:pPr>
          </w:p>
        </w:tc>
        <w:tc>
          <w:tcPr>
            <w:tcW w:w="995"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14AAA72D" w14:textId="77777777" w:rsidR="001614AC" w:rsidRDefault="004468F9">
            <w:pPr>
              <w:keepNext/>
              <w:spacing w:before="55" w:after="30" w:line="288" w:lineRule="auto"/>
              <w:jc w:val="right"/>
            </w:pPr>
            <w:r>
              <w:rPr>
                <w:rFonts w:ascii="Arial" w:eastAsia="Arial" w:hAnsi="Arial" w:cs="Arial"/>
                <w:color w:val="000000"/>
                <w:sz w:val="18"/>
              </w:rPr>
              <w:t>—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71DC38FE" w14:textId="77777777" w:rsidR="001614AC" w:rsidRDefault="001614AC">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28836BB3" w14:textId="77777777" w:rsidR="001614AC" w:rsidRDefault="001614AC">
            <w:pPr>
              <w:keepNext/>
            </w:pPr>
          </w:p>
        </w:tc>
        <w:tc>
          <w:tcPr>
            <w:tcW w:w="995"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54C77C94" w14:textId="77777777" w:rsidR="001614AC" w:rsidRDefault="004468F9">
            <w:pPr>
              <w:keepNext/>
              <w:spacing w:before="55" w:after="30" w:line="288" w:lineRule="auto"/>
              <w:jc w:val="right"/>
            </w:pPr>
            <w:r>
              <w:rPr>
                <w:rFonts w:ascii="Arial" w:eastAsia="Arial" w:hAnsi="Arial" w:cs="Arial"/>
                <w:color w:val="000000"/>
                <w:sz w:val="18"/>
              </w:rPr>
              <w:t>568,558 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04032FB5" w14:textId="77777777" w:rsidR="001614AC" w:rsidRDefault="001614AC">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0949E27D" w14:textId="77777777" w:rsidR="001614AC" w:rsidRDefault="001614AC">
            <w:pPr>
              <w:keepNext/>
            </w:pPr>
          </w:p>
        </w:tc>
        <w:tc>
          <w:tcPr>
            <w:tcW w:w="995"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72827D92" w14:textId="77777777" w:rsidR="001614AC" w:rsidRDefault="004468F9">
            <w:pPr>
              <w:keepNext/>
              <w:spacing w:before="55" w:after="30" w:line="288" w:lineRule="auto"/>
              <w:jc w:val="right"/>
            </w:pPr>
            <w:r>
              <w:rPr>
                <w:rFonts w:ascii="Arial" w:eastAsia="Arial" w:hAnsi="Arial" w:cs="Arial"/>
                <w:color w:val="000000"/>
                <w:sz w:val="18"/>
              </w:rPr>
              <w:t>—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131831AB" w14:textId="77777777" w:rsidR="001614AC" w:rsidRDefault="001614AC">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223628B1" w14:textId="77777777" w:rsidR="001614AC" w:rsidRDefault="001614AC">
            <w:pPr>
              <w:keepNext/>
            </w:pPr>
          </w:p>
        </w:tc>
        <w:tc>
          <w:tcPr>
            <w:tcW w:w="995"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12C3D14A" w14:textId="77777777" w:rsidR="001614AC" w:rsidRDefault="004468F9">
            <w:pPr>
              <w:keepNext/>
              <w:spacing w:before="55" w:after="30" w:line="288" w:lineRule="auto"/>
              <w:jc w:val="right"/>
            </w:pPr>
            <w:r>
              <w:rPr>
                <w:rFonts w:ascii="Arial" w:eastAsia="Arial" w:hAnsi="Arial" w:cs="Arial"/>
                <w:color w:val="000000"/>
                <w:sz w:val="18"/>
              </w:rPr>
              <w:t>568,558 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7D40C631" w14:textId="77777777" w:rsidR="001614AC" w:rsidRDefault="001614AC">
            <w:pPr>
              <w:keepNext/>
              <w:spacing w:before="55" w:after="30" w:line="288" w:lineRule="auto"/>
              <w:jc w:val="right"/>
            </w:pPr>
          </w:p>
        </w:tc>
      </w:tr>
      <w:tr w:rsidR="001614AC" w14:paraId="29621406" w14:textId="77777777">
        <w:trPr>
          <w:cantSplit/>
        </w:trPr>
        <w:tc>
          <w:tcPr>
            <w:tcW w:w="5280" w:type="dxa"/>
            <w:tcBorders>
              <w:top w:val="single" w:sz="8" w:space="0" w:color="F4F4F4"/>
              <w:left w:val="nil"/>
              <w:bottom w:val="single" w:sz="8" w:space="0" w:color="F4F4F4"/>
              <w:right w:val="nil"/>
            </w:tcBorders>
            <w:tcMar>
              <w:top w:w="0" w:type="dxa"/>
              <w:left w:w="53" w:type="dxa"/>
              <w:bottom w:w="0" w:type="dxa"/>
              <w:right w:w="53" w:type="dxa"/>
            </w:tcMar>
            <w:vAlign w:val="bottom"/>
          </w:tcPr>
          <w:p w14:paraId="591D5675" w14:textId="77777777" w:rsidR="001614AC" w:rsidRDefault="004468F9">
            <w:pPr>
              <w:keepNext/>
              <w:spacing w:before="55" w:after="30" w:line="288" w:lineRule="auto"/>
              <w:ind w:left="240"/>
            </w:pPr>
            <w:r>
              <w:rPr>
                <w:rFonts w:ascii="Arial" w:eastAsia="Arial" w:hAnsi="Arial" w:cs="Arial"/>
                <w:color w:val="000000"/>
                <w:sz w:val="18"/>
              </w:rPr>
              <w:t>Other ABS</w:t>
            </w:r>
          </w:p>
        </w:tc>
        <w:tc>
          <w:tcPr>
            <w:tcW w:w="105" w:type="dxa"/>
            <w:tcBorders>
              <w:top w:val="nil"/>
              <w:left w:val="nil"/>
              <w:bottom w:val="nil"/>
              <w:right w:val="nil"/>
            </w:tcBorders>
            <w:tcMar>
              <w:top w:w="0" w:type="dxa"/>
              <w:left w:w="0" w:type="dxa"/>
              <w:bottom w:w="0" w:type="dxa"/>
              <w:right w:w="0" w:type="dxa"/>
            </w:tcMar>
            <w:vAlign w:val="bottom"/>
          </w:tcPr>
          <w:p w14:paraId="558AB88B" w14:textId="77777777" w:rsidR="001614AC" w:rsidRDefault="001614AC">
            <w:pPr>
              <w:keepNext/>
            </w:pPr>
          </w:p>
        </w:tc>
        <w:tc>
          <w:tcPr>
            <w:tcW w:w="995"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45D697DE" w14:textId="77777777" w:rsidR="001614AC" w:rsidRDefault="004468F9">
            <w:pPr>
              <w:keepNext/>
              <w:spacing w:before="55" w:after="30" w:line="288" w:lineRule="auto"/>
              <w:jc w:val="right"/>
            </w:pPr>
            <w:r>
              <w:rPr>
                <w:rFonts w:ascii="Arial" w:eastAsia="Arial" w:hAnsi="Arial" w:cs="Arial"/>
                <w:color w:val="000000"/>
                <w:sz w:val="18"/>
              </w:rPr>
              <w:t>—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548D04A7" w14:textId="77777777" w:rsidR="001614AC" w:rsidRDefault="001614AC">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40F84ED0" w14:textId="77777777" w:rsidR="001614AC" w:rsidRDefault="001614AC">
            <w:pPr>
              <w:keepNext/>
            </w:pPr>
          </w:p>
        </w:tc>
        <w:tc>
          <w:tcPr>
            <w:tcW w:w="995"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10F45ABB" w14:textId="77777777" w:rsidR="001614AC" w:rsidRDefault="004468F9">
            <w:pPr>
              <w:keepNext/>
              <w:spacing w:before="55" w:after="30" w:line="288" w:lineRule="auto"/>
              <w:jc w:val="right"/>
            </w:pPr>
            <w:r>
              <w:rPr>
                <w:rFonts w:ascii="Arial" w:eastAsia="Arial" w:hAnsi="Arial" w:cs="Arial"/>
                <w:color w:val="000000"/>
                <w:sz w:val="18"/>
              </w:rPr>
              <w:t>252,457 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09497142" w14:textId="77777777" w:rsidR="001614AC" w:rsidRDefault="001614AC">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618AA2BA" w14:textId="77777777" w:rsidR="001614AC" w:rsidRDefault="001614AC">
            <w:pPr>
              <w:keepNext/>
            </w:pPr>
          </w:p>
        </w:tc>
        <w:tc>
          <w:tcPr>
            <w:tcW w:w="995"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1E91AACA" w14:textId="77777777" w:rsidR="001614AC" w:rsidRDefault="004468F9">
            <w:pPr>
              <w:keepNext/>
              <w:spacing w:before="55" w:after="30" w:line="288" w:lineRule="auto"/>
              <w:jc w:val="right"/>
            </w:pPr>
            <w:r>
              <w:rPr>
                <w:rFonts w:ascii="Arial" w:eastAsia="Arial" w:hAnsi="Arial" w:cs="Arial"/>
                <w:color w:val="000000"/>
                <w:sz w:val="18"/>
              </w:rPr>
              <w:t>—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5551CC77" w14:textId="77777777" w:rsidR="001614AC" w:rsidRDefault="001614AC">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3E1DDD34" w14:textId="77777777" w:rsidR="001614AC" w:rsidRDefault="001614AC">
            <w:pPr>
              <w:keepNext/>
            </w:pPr>
          </w:p>
        </w:tc>
        <w:tc>
          <w:tcPr>
            <w:tcW w:w="995"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1ABBE3EB" w14:textId="77777777" w:rsidR="001614AC" w:rsidRDefault="004468F9">
            <w:pPr>
              <w:keepNext/>
              <w:spacing w:before="55" w:after="30" w:line="288" w:lineRule="auto"/>
              <w:jc w:val="right"/>
            </w:pPr>
            <w:r>
              <w:rPr>
                <w:rFonts w:ascii="Arial" w:eastAsia="Arial" w:hAnsi="Arial" w:cs="Arial"/>
                <w:color w:val="000000"/>
                <w:sz w:val="18"/>
              </w:rPr>
              <w:t>252,457 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3523618C" w14:textId="77777777" w:rsidR="001614AC" w:rsidRDefault="001614AC">
            <w:pPr>
              <w:keepNext/>
              <w:spacing w:before="55" w:after="30" w:line="288" w:lineRule="auto"/>
              <w:jc w:val="right"/>
            </w:pPr>
          </w:p>
        </w:tc>
      </w:tr>
      <w:tr w:rsidR="001614AC" w14:paraId="3965D745" w14:textId="77777777">
        <w:trPr>
          <w:cantSplit/>
        </w:trPr>
        <w:tc>
          <w:tcPr>
            <w:tcW w:w="5280" w:type="dxa"/>
            <w:tcBorders>
              <w:top w:val="single" w:sz="8" w:space="0" w:color="F4F4F4"/>
              <w:left w:val="nil"/>
              <w:bottom w:val="nil"/>
              <w:right w:val="nil"/>
            </w:tcBorders>
            <w:tcMar>
              <w:top w:w="0" w:type="dxa"/>
              <w:left w:w="53" w:type="dxa"/>
              <w:bottom w:w="0" w:type="dxa"/>
              <w:right w:w="53" w:type="dxa"/>
            </w:tcMar>
            <w:vAlign w:val="bottom"/>
          </w:tcPr>
          <w:p w14:paraId="32A6EDB1" w14:textId="77777777" w:rsidR="001614AC" w:rsidRDefault="004468F9">
            <w:pPr>
              <w:keepNext/>
              <w:spacing w:before="55" w:after="30" w:line="288" w:lineRule="auto"/>
              <w:ind w:left="240"/>
            </w:pPr>
            <w:r>
              <w:rPr>
                <w:rFonts w:ascii="Arial" w:eastAsia="Arial" w:hAnsi="Arial" w:cs="Arial"/>
                <w:color w:val="000000"/>
                <w:sz w:val="18"/>
              </w:rPr>
              <w:t>Foreign government and agency securities</w:t>
            </w:r>
          </w:p>
        </w:tc>
        <w:tc>
          <w:tcPr>
            <w:tcW w:w="105" w:type="dxa"/>
            <w:tcBorders>
              <w:top w:val="nil"/>
              <w:left w:val="nil"/>
              <w:bottom w:val="nil"/>
              <w:right w:val="nil"/>
            </w:tcBorders>
            <w:tcMar>
              <w:top w:w="0" w:type="dxa"/>
              <w:left w:w="0" w:type="dxa"/>
              <w:bottom w:w="0" w:type="dxa"/>
              <w:right w:w="0" w:type="dxa"/>
            </w:tcMar>
            <w:vAlign w:val="bottom"/>
          </w:tcPr>
          <w:p w14:paraId="48F96C07" w14:textId="77777777" w:rsidR="001614AC" w:rsidRDefault="001614AC">
            <w:pPr>
              <w:keepNext/>
            </w:pPr>
          </w:p>
        </w:tc>
        <w:tc>
          <w:tcPr>
            <w:tcW w:w="995" w:type="dxa"/>
            <w:gridSpan w:val="2"/>
            <w:tcBorders>
              <w:top w:val="single" w:sz="8" w:space="0" w:color="F4F4F4"/>
              <w:left w:val="nil"/>
              <w:bottom w:val="nil"/>
              <w:right w:val="nil"/>
            </w:tcBorders>
            <w:tcMar>
              <w:top w:w="0" w:type="dxa"/>
              <w:left w:w="53" w:type="dxa"/>
              <w:bottom w:w="0" w:type="dxa"/>
              <w:right w:w="0" w:type="dxa"/>
            </w:tcMar>
            <w:vAlign w:val="bottom"/>
          </w:tcPr>
          <w:p w14:paraId="23B22262" w14:textId="77777777" w:rsidR="001614AC" w:rsidRDefault="004468F9">
            <w:pPr>
              <w:keepNext/>
              <w:spacing w:before="55" w:after="30" w:line="288" w:lineRule="auto"/>
              <w:jc w:val="right"/>
            </w:pPr>
            <w:r>
              <w:rPr>
                <w:rFonts w:ascii="Arial" w:eastAsia="Arial" w:hAnsi="Arial" w:cs="Arial"/>
                <w:color w:val="000000"/>
                <w:sz w:val="18"/>
              </w:rPr>
              <w:t>— </w:t>
            </w:r>
          </w:p>
        </w:tc>
        <w:tc>
          <w:tcPr>
            <w:tcW w:w="100" w:type="dxa"/>
            <w:tcBorders>
              <w:top w:val="single" w:sz="8" w:space="0" w:color="F4F4F4"/>
              <w:left w:val="nil"/>
              <w:bottom w:val="nil"/>
              <w:right w:val="nil"/>
            </w:tcBorders>
            <w:tcMar>
              <w:top w:w="0" w:type="dxa"/>
              <w:left w:w="0" w:type="dxa"/>
              <w:bottom w:w="0" w:type="dxa"/>
              <w:right w:w="15" w:type="dxa"/>
            </w:tcMar>
            <w:vAlign w:val="bottom"/>
          </w:tcPr>
          <w:p w14:paraId="03DDDB47" w14:textId="77777777" w:rsidR="001614AC" w:rsidRDefault="001614AC">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7131E5D1" w14:textId="77777777" w:rsidR="001614AC" w:rsidRDefault="001614AC">
            <w:pPr>
              <w:keepNext/>
            </w:pPr>
          </w:p>
        </w:tc>
        <w:tc>
          <w:tcPr>
            <w:tcW w:w="995" w:type="dxa"/>
            <w:gridSpan w:val="2"/>
            <w:tcBorders>
              <w:top w:val="single" w:sz="8" w:space="0" w:color="F4F4F4"/>
              <w:left w:val="nil"/>
              <w:bottom w:val="nil"/>
              <w:right w:val="nil"/>
            </w:tcBorders>
            <w:tcMar>
              <w:top w:w="0" w:type="dxa"/>
              <w:left w:w="53" w:type="dxa"/>
              <w:bottom w:w="0" w:type="dxa"/>
              <w:right w:w="0" w:type="dxa"/>
            </w:tcMar>
            <w:vAlign w:val="bottom"/>
          </w:tcPr>
          <w:p w14:paraId="224A7784" w14:textId="77777777" w:rsidR="001614AC" w:rsidRDefault="004468F9">
            <w:pPr>
              <w:keepNext/>
              <w:spacing w:before="55" w:after="30" w:line="288" w:lineRule="auto"/>
              <w:jc w:val="right"/>
            </w:pPr>
            <w:r>
              <w:rPr>
                <w:rFonts w:ascii="Arial" w:eastAsia="Arial" w:hAnsi="Arial" w:cs="Arial"/>
                <w:color w:val="000000"/>
                <w:sz w:val="18"/>
              </w:rPr>
              <w:t>5,438 </w:t>
            </w:r>
          </w:p>
        </w:tc>
        <w:tc>
          <w:tcPr>
            <w:tcW w:w="100" w:type="dxa"/>
            <w:tcBorders>
              <w:top w:val="single" w:sz="8" w:space="0" w:color="F4F4F4"/>
              <w:left w:val="nil"/>
              <w:bottom w:val="nil"/>
              <w:right w:val="nil"/>
            </w:tcBorders>
            <w:tcMar>
              <w:top w:w="0" w:type="dxa"/>
              <w:left w:w="0" w:type="dxa"/>
              <w:bottom w:w="0" w:type="dxa"/>
              <w:right w:w="15" w:type="dxa"/>
            </w:tcMar>
            <w:vAlign w:val="bottom"/>
          </w:tcPr>
          <w:p w14:paraId="1DD7CEB5" w14:textId="77777777" w:rsidR="001614AC" w:rsidRDefault="001614AC">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7B21C1BA" w14:textId="77777777" w:rsidR="001614AC" w:rsidRDefault="001614AC">
            <w:pPr>
              <w:keepNext/>
            </w:pPr>
          </w:p>
        </w:tc>
        <w:tc>
          <w:tcPr>
            <w:tcW w:w="995" w:type="dxa"/>
            <w:gridSpan w:val="2"/>
            <w:tcBorders>
              <w:top w:val="single" w:sz="8" w:space="0" w:color="F4F4F4"/>
              <w:left w:val="nil"/>
              <w:bottom w:val="nil"/>
              <w:right w:val="nil"/>
            </w:tcBorders>
            <w:tcMar>
              <w:top w:w="0" w:type="dxa"/>
              <w:left w:w="53" w:type="dxa"/>
              <w:bottom w:w="0" w:type="dxa"/>
              <w:right w:w="0" w:type="dxa"/>
            </w:tcMar>
            <w:vAlign w:val="bottom"/>
          </w:tcPr>
          <w:p w14:paraId="591203D1" w14:textId="77777777" w:rsidR="001614AC" w:rsidRDefault="004468F9">
            <w:pPr>
              <w:keepNext/>
              <w:spacing w:before="55" w:after="30" w:line="288" w:lineRule="auto"/>
              <w:jc w:val="right"/>
            </w:pPr>
            <w:r>
              <w:rPr>
                <w:rFonts w:ascii="Arial" w:eastAsia="Arial" w:hAnsi="Arial" w:cs="Arial"/>
                <w:color w:val="000000"/>
                <w:sz w:val="18"/>
              </w:rPr>
              <w:t>— </w:t>
            </w:r>
          </w:p>
        </w:tc>
        <w:tc>
          <w:tcPr>
            <w:tcW w:w="100" w:type="dxa"/>
            <w:tcBorders>
              <w:top w:val="single" w:sz="8" w:space="0" w:color="F4F4F4"/>
              <w:left w:val="nil"/>
              <w:bottom w:val="nil"/>
              <w:right w:val="nil"/>
            </w:tcBorders>
            <w:tcMar>
              <w:top w:w="0" w:type="dxa"/>
              <w:left w:w="0" w:type="dxa"/>
              <w:bottom w:w="0" w:type="dxa"/>
              <w:right w:w="15" w:type="dxa"/>
            </w:tcMar>
            <w:vAlign w:val="bottom"/>
          </w:tcPr>
          <w:p w14:paraId="23293D86" w14:textId="77777777" w:rsidR="001614AC" w:rsidRDefault="001614AC">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0029F3EF" w14:textId="77777777" w:rsidR="001614AC" w:rsidRDefault="001614AC">
            <w:pPr>
              <w:keepNext/>
            </w:pPr>
          </w:p>
        </w:tc>
        <w:tc>
          <w:tcPr>
            <w:tcW w:w="995" w:type="dxa"/>
            <w:gridSpan w:val="2"/>
            <w:tcBorders>
              <w:top w:val="single" w:sz="8" w:space="0" w:color="F4F4F4"/>
              <w:left w:val="nil"/>
              <w:bottom w:val="nil"/>
              <w:right w:val="nil"/>
            </w:tcBorders>
            <w:tcMar>
              <w:top w:w="0" w:type="dxa"/>
              <w:left w:w="53" w:type="dxa"/>
              <w:bottom w:w="0" w:type="dxa"/>
              <w:right w:w="0" w:type="dxa"/>
            </w:tcMar>
            <w:vAlign w:val="bottom"/>
          </w:tcPr>
          <w:p w14:paraId="647FB86B" w14:textId="77777777" w:rsidR="001614AC" w:rsidRDefault="004468F9">
            <w:pPr>
              <w:keepNext/>
              <w:spacing w:before="55" w:after="30" w:line="288" w:lineRule="auto"/>
              <w:jc w:val="right"/>
            </w:pPr>
            <w:r>
              <w:rPr>
                <w:rFonts w:ascii="Arial" w:eastAsia="Arial" w:hAnsi="Arial" w:cs="Arial"/>
                <w:color w:val="000000"/>
                <w:sz w:val="18"/>
              </w:rPr>
              <w:t>5,438 </w:t>
            </w:r>
          </w:p>
        </w:tc>
        <w:tc>
          <w:tcPr>
            <w:tcW w:w="100" w:type="dxa"/>
            <w:tcBorders>
              <w:top w:val="single" w:sz="8" w:space="0" w:color="F4F4F4"/>
              <w:left w:val="nil"/>
              <w:bottom w:val="nil"/>
              <w:right w:val="nil"/>
            </w:tcBorders>
            <w:tcMar>
              <w:top w:w="0" w:type="dxa"/>
              <w:left w:w="0" w:type="dxa"/>
              <w:bottom w:w="0" w:type="dxa"/>
              <w:right w:w="15" w:type="dxa"/>
            </w:tcMar>
            <w:vAlign w:val="bottom"/>
          </w:tcPr>
          <w:p w14:paraId="12D2BB3D" w14:textId="77777777" w:rsidR="001614AC" w:rsidRDefault="001614AC">
            <w:pPr>
              <w:keepNext/>
              <w:spacing w:before="55" w:after="30" w:line="288" w:lineRule="auto"/>
              <w:jc w:val="right"/>
            </w:pPr>
          </w:p>
        </w:tc>
      </w:tr>
      <w:tr w:rsidR="001614AC" w14:paraId="2166AF48" w14:textId="77777777">
        <w:trPr>
          <w:cantSplit/>
        </w:trPr>
        <w:tc>
          <w:tcPr>
            <w:tcW w:w="5280" w:type="dxa"/>
            <w:tcBorders>
              <w:top w:val="nil"/>
              <w:left w:val="nil"/>
              <w:bottom w:val="nil"/>
              <w:right w:val="nil"/>
            </w:tcBorders>
            <w:shd w:val="clear" w:color="auto" w:fill="F4F4F4"/>
            <w:tcMar>
              <w:top w:w="0" w:type="dxa"/>
              <w:left w:w="53" w:type="dxa"/>
              <w:bottom w:w="0" w:type="dxa"/>
              <w:right w:w="53" w:type="dxa"/>
            </w:tcMar>
            <w:vAlign w:val="bottom"/>
          </w:tcPr>
          <w:p w14:paraId="1300502E" w14:textId="77777777" w:rsidR="001614AC" w:rsidRDefault="004468F9">
            <w:pPr>
              <w:keepNext/>
              <w:spacing w:before="75" w:after="30" w:line="288" w:lineRule="auto"/>
              <w:ind w:left="240"/>
            </w:pPr>
            <w:r>
              <w:rPr>
                <w:rFonts w:ascii="Arial" w:eastAsia="Arial" w:hAnsi="Arial" w:cs="Arial"/>
                <w:color w:val="000000"/>
                <w:sz w:val="18"/>
              </w:rPr>
              <w:t>Total fixed-maturities available for sale</w:t>
            </w:r>
          </w:p>
        </w:tc>
        <w:tc>
          <w:tcPr>
            <w:tcW w:w="105" w:type="dxa"/>
            <w:tcBorders>
              <w:top w:val="nil"/>
              <w:left w:val="nil"/>
              <w:bottom w:val="nil"/>
              <w:right w:val="nil"/>
            </w:tcBorders>
            <w:shd w:val="clear" w:color="auto" w:fill="F4F4F4"/>
            <w:tcMar>
              <w:top w:w="0" w:type="dxa"/>
              <w:left w:w="0" w:type="dxa"/>
              <w:bottom w:w="0" w:type="dxa"/>
              <w:right w:w="0" w:type="dxa"/>
            </w:tcMar>
            <w:vAlign w:val="bottom"/>
          </w:tcPr>
          <w:p w14:paraId="0E10AD96" w14:textId="77777777" w:rsidR="001614AC" w:rsidRDefault="001614AC">
            <w:pPr>
              <w:keepNext/>
            </w:pPr>
          </w:p>
        </w:tc>
        <w:tc>
          <w:tcPr>
            <w:tcW w:w="995" w:type="dxa"/>
            <w:gridSpan w:val="2"/>
            <w:tcBorders>
              <w:top w:val="single" w:sz="8" w:space="0" w:color="C7C9C7"/>
              <w:left w:val="nil"/>
              <w:bottom w:val="single" w:sz="8" w:space="0" w:color="C7C9C7"/>
              <w:right w:val="nil"/>
            </w:tcBorders>
            <w:shd w:val="clear" w:color="auto" w:fill="F4F4F4"/>
            <w:tcMar>
              <w:top w:w="0" w:type="dxa"/>
              <w:left w:w="53" w:type="dxa"/>
              <w:bottom w:w="0" w:type="dxa"/>
              <w:right w:w="0" w:type="dxa"/>
            </w:tcMar>
            <w:vAlign w:val="bottom"/>
          </w:tcPr>
          <w:p w14:paraId="30E001CD" w14:textId="77777777" w:rsidR="001614AC" w:rsidRDefault="004468F9">
            <w:pPr>
              <w:keepNext/>
              <w:spacing w:before="55" w:after="30" w:line="288" w:lineRule="auto"/>
              <w:jc w:val="right"/>
            </w:pPr>
            <w:r>
              <w:rPr>
                <w:rFonts w:ascii="Arial" w:eastAsia="Arial" w:hAnsi="Arial" w:cs="Arial"/>
                <w:color w:val="000000"/>
                <w:sz w:val="18"/>
              </w:rPr>
              <w:t>140,034 </w:t>
            </w:r>
          </w:p>
        </w:tc>
        <w:tc>
          <w:tcPr>
            <w:tcW w:w="100" w:type="dxa"/>
            <w:tcBorders>
              <w:top w:val="single" w:sz="8" w:space="0" w:color="C7C9C7"/>
              <w:left w:val="nil"/>
              <w:bottom w:val="single" w:sz="8" w:space="0" w:color="C7C9C7"/>
              <w:right w:val="nil"/>
            </w:tcBorders>
            <w:shd w:val="clear" w:color="auto" w:fill="F4F4F4"/>
            <w:tcMar>
              <w:top w:w="0" w:type="dxa"/>
              <w:left w:w="0" w:type="dxa"/>
              <w:bottom w:w="0" w:type="dxa"/>
              <w:right w:w="15" w:type="dxa"/>
            </w:tcMar>
            <w:vAlign w:val="bottom"/>
          </w:tcPr>
          <w:p w14:paraId="1CB1D2B1" w14:textId="77777777" w:rsidR="001614AC" w:rsidRDefault="001614AC">
            <w:pPr>
              <w:keepNext/>
              <w:spacing w:before="55" w:after="30" w:line="288" w:lineRule="auto"/>
              <w:jc w:val="right"/>
            </w:pPr>
          </w:p>
        </w:tc>
        <w:tc>
          <w:tcPr>
            <w:tcW w:w="105" w:type="dxa"/>
            <w:tcBorders>
              <w:top w:val="nil"/>
              <w:left w:val="nil"/>
              <w:bottom w:val="nil"/>
              <w:right w:val="nil"/>
            </w:tcBorders>
            <w:shd w:val="clear" w:color="auto" w:fill="F4F4F4"/>
            <w:tcMar>
              <w:top w:w="0" w:type="dxa"/>
              <w:left w:w="0" w:type="dxa"/>
              <w:bottom w:w="0" w:type="dxa"/>
              <w:right w:w="0" w:type="dxa"/>
            </w:tcMar>
            <w:vAlign w:val="bottom"/>
          </w:tcPr>
          <w:p w14:paraId="6CEC9322" w14:textId="77777777" w:rsidR="001614AC" w:rsidRDefault="001614AC">
            <w:pPr>
              <w:keepNext/>
            </w:pPr>
          </w:p>
        </w:tc>
        <w:tc>
          <w:tcPr>
            <w:tcW w:w="995" w:type="dxa"/>
            <w:gridSpan w:val="2"/>
            <w:tcBorders>
              <w:top w:val="single" w:sz="8" w:space="0" w:color="C7C9C7"/>
              <w:left w:val="nil"/>
              <w:bottom w:val="single" w:sz="8" w:space="0" w:color="C7C9C7"/>
              <w:right w:val="nil"/>
            </w:tcBorders>
            <w:shd w:val="clear" w:color="auto" w:fill="F4F4F4"/>
            <w:tcMar>
              <w:top w:w="0" w:type="dxa"/>
              <w:left w:w="53" w:type="dxa"/>
              <w:bottom w:w="0" w:type="dxa"/>
              <w:right w:w="0" w:type="dxa"/>
            </w:tcMar>
            <w:vAlign w:val="bottom"/>
          </w:tcPr>
          <w:p w14:paraId="4AD58074" w14:textId="77777777" w:rsidR="001614AC" w:rsidRDefault="004468F9">
            <w:pPr>
              <w:keepNext/>
              <w:spacing w:before="55" w:after="30" w:line="288" w:lineRule="auto"/>
              <w:jc w:val="right"/>
            </w:pPr>
            <w:r>
              <w:rPr>
                <w:rFonts w:ascii="Arial" w:eastAsia="Arial" w:hAnsi="Arial" w:cs="Arial"/>
                <w:color w:val="000000"/>
                <w:sz w:val="18"/>
              </w:rPr>
              <w:t>5,583,306 </w:t>
            </w:r>
          </w:p>
        </w:tc>
        <w:tc>
          <w:tcPr>
            <w:tcW w:w="100" w:type="dxa"/>
            <w:tcBorders>
              <w:top w:val="single" w:sz="8" w:space="0" w:color="C7C9C7"/>
              <w:left w:val="nil"/>
              <w:bottom w:val="single" w:sz="8" w:space="0" w:color="C7C9C7"/>
              <w:right w:val="nil"/>
            </w:tcBorders>
            <w:shd w:val="clear" w:color="auto" w:fill="F4F4F4"/>
            <w:tcMar>
              <w:top w:w="0" w:type="dxa"/>
              <w:left w:w="0" w:type="dxa"/>
              <w:bottom w:w="0" w:type="dxa"/>
              <w:right w:w="15" w:type="dxa"/>
            </w:tcMar>
            <w:vAlign w:val="bottom"/>
          </w:tcPr>
          <w:p w14:paraId="7BADBAC7" w14:textId="77777777" w:rsidR="001614AC" w:rsidRDefault="001614AC">
            <w:pPr>
              <w:keepNext/>
              <w:spacing w:before="55" w:after="30" w:line="288" w:lineRule="auto"/>
              <w:jc w:val="right"/>
            </w:pPr>
          </w:p>
        </w:tc>
        <w:tc>
          <w:tcPr>
            <w:tcW w:w="105" w:type="dxa"/>
            <w:tcBorders>
              <w:top w:val="nil"/>
              <w:left w:val="nil"/>
              <w:bottom w:val="nil"/>
              <w:right w:val="nil"/>
            </w:tcBorders>
            <w:shd w:val="clear" w:color="auto" w:fill="F4F4F4"/>
            <w:tcMar>
              <w:top w:w="0" w:type="dxa"/>
              <w:left w:w="0" w:type="dxa"/>
              <w:bottom w:w="0" w:type="dxa"/>
              <w:right w:w="0" w:type="dxa"/>
            </w:tcMar>
            <w:vAlign w:val="bottom"/>
          </w:tcPr>
          <w:p w14:paraId="52E35FED" w14:textId="77777777" w:rsidR="001614AC" w:rsidRDefault="001614AC">
            <w:pPr>
              <w:keepNext/>
            </w:pPr>
          </w:p>
        </w:tc>
        <w:tc>
          <w:tcPr>
            <w:tcW w:w="995" w:type="dxa"/>
            <w:gridSpan w:val="2"/>
            <w:tcBorders>
              <w:top w:val="single" w:sz="8" w:space="0" w:color="C7C9C7"/>
              <w:left w:val="nil"/>
              <w:bottom w:val="single" w:sz="8" w:space="0" w:color="C7C9C7"/>
              <w:right w:val="nil"/>
            </w:tcBorders>
            <w:shd w:val="clear" w:color="auto" w:fill="F4F4F4"/>
            <w:tcMar>
              <w:top w:w="0" w:type="dxa"/>
              <w:left w:w="53" w:type="dxa"/>
              <w:bottom w:w="0" w:type="dxa"/>
              <w:right w:w="0" w:type="dxa"/>
            </w:tcMar>
            <w:vAlign w:val="bottom"/>
          </w:tcPr>
          <w:p w14:paraId="77E3D5D8" w14:textId="77777777" w:rsidR="001614AC" w:rsidRDefault="004468F9">
            <w:pPr>
              <w:keepNext/>
              <w:spacing w:before="55" w:after="30" w:line="288" w:lineRule="auto"/>
              <w:jc w:val="right"/>
            </w:pPr>
            <w:r>
              <w:rPr>
                <w:rFonts w:ascii="Arial" w:eastAsia="Arial" w:hAnsi="Arial" w:cs="Arial"/>
                <w:color w:val="000000"/>
                <w:sz w:val="18"/>
              </w:rPr>
              <w:t>— </w:t>
            </w:r>
          </w:p>
        </w:tc>
        <w:tc>
          <w:tcPr>
            <w:tcW w:w="100" w:type="dxa"/>
            <w:tcBorders>
              <w:top w:val="single" w:sz="8" w:space="0" w:color="C7C9C7"/>
              <w:left w:val="nil"/>
              <w:bottom w:val="single" w:sz="8" w:space="0" w:color="C7C9C7"/>
              <w:right w:val="nil"/>
            </w:tcBorders>
            <w:shd w:val="clear" w:color="auto" w:fill="F4F4F4"/>
            <w:tcMar>
              <w:top w:w="0" w:type="dxa"/>
              <w:left w:w="0" w:type="dxa"/>
              <w:bottom w:w="0" w:type="dxa"/>
              <w:right w:w="15" w:type="dxa"/>
            </w:tcMar>
            <w:vAlign w:val="bottom"/>
          </w:tcPr>
          <w:p w14:paraId="7A8FBBFF" w14:textId="77777777" w:rsidR="001614AC" w:rsidRDefault="001614AC">
            <w:pPr>
              <w:keepNext/>
              <w:spacing w:before="55" w:after="30" w:line="288" w:lineRule="auto"/>
              <w:jc w:val="right"/>
            </w:pPr>
          </w:p>
        </w:tc>
        <w:tc>
          <w:tcPr>
            <w:tcW w:w="105" w:type="dxa"/>
            <w:tcBorders>
              <w:top w:val="nil"/>
              <w:left w:val="nil"/>
              <w:bottom w:val="nil"/>
              <w:right w:val="nil"/>
            </w:tcBorders>
            <w:shd w:val="clear" w:color="auto" w:fill="F4F4F4"/>
            <w:tcMar>
              <w:top w:w="0" w:type="dxa"/>
              <w:left w:w="0" w:type="dxa"/>
              <w:bottom w:w="0" w:type="dxa"/>
              <w:right w:w="0" w:type="dxa"/>
            </w:tcMar>
            <w:vAlign w:val="bottom"/>
          </w:tcPr>
          <w:p w14:paraId="772C21A4" w14:textId="77777777" w:rsidR="001614AC" w:rsidRDefault="001614AC">
            <w:pPr>
              <w:keepNext/>
            </w:pPr>
          </w:p>
        </w:tc>
        <w:tc>
          <w:tcPr>
            <w:tcW w:w="995" w:type="dxa"/>
            <w:gridSpan w:val="2"/>
            <w:tcBorders>
              <w:top w:val="single" w:sz="8" w:space="0" w:color="C7C9C7"/>
              <w:left w:val="nil"/>
              <w:bottom w:val="single" w:sz="8" w:space="0" w:color="C7C9C7"/>
              <w:right w:val="nil"/>
            </w:tcBorders>
            <w:shd w:val="clear" w:color="auto" w:fill="F4F4F4"/>
            <w:tcMar>
              <w:top w:w="0" w:type="dxa"/>
              <w:left w:w="53" w:type="dxa"/>
              <w:bottom w:w="0" w:type="dxa"/>
              <w:right w:w="0" w:type="dxa"/>
            </w:tcMar>
            <w:vAlign w:val="bottom"/>
          </w:tcPr>
          <w:p w14:paraId="73138217" w14:textId="77777777" w:rsidR="001614AC" w:rsidRDefault="004468F9">
            <w:pPr>
              <w:keepNext/>
              <w:spacing w:before="55" w:after="30" w:line="288" w:lineRule="auto"/>
              <w:jc w:val="right"/>
            </w:pPr>
            <w:r>
              <w:rPr>
                <w:rFonts w:ascii="Arial" w:eastAsia="Arial" w:hAnsi="Arial" w:cs="Arial"/>
                <w:color w:val="000000"/>
                <w:sz w:val="18"/>
              </w:rPr>
              <w:t>5,723,340 </w:t>
            </w:r>
          </w:p>
        </w:tc>
        <w:tc>
          <w:tcPr>
            <w:tcW w:w="100" w:type="dxa"/>
            <w:tcBorders>
              <w:top w:val="single" w:sz="8" w:space="0" w:color="C7C9C7"/>
              <w:left w:val="nil"/>
              <w:bottom w:val="single" w:sz="8" w:space="0" w:color="C7C9C7"/>
              <w:right w:val="nil"/>
            </w:tcBorders>
            <w:shd w:val="clear" w:color="auto" w:fill="F4F4F4"/>
            <w:tcMar>
              <w:top w:w="0" w:type="dxa"/>
              <w:left w:w="0" w:type="dxa"/>
              <w:bottom w:w="0" w:type="dxa"/>
              <w:right w:w="15" w:type="dxa"/>
            </w:tcMar>
            <w:vAlign w:val="bottom"/>
          </w:tcPr>
          <w:p w14:paraId="4E72B3C0" w14:textId="77777777" w:rsidR="001614AC" w:rsidRDefault="001614AC">
            <w:pPr>
              <w:keepNext/>
              <w:spacing w:before="55" w:after="30" w:line="288" w:lineRule="auto"/>
              <w:jc w:val="right"/>
            </w:pPr>
          </w:p>
        </w:tc>
      </w:tr>
      <w:tr w:rsidR="001614AC" w14:paraId="610E86DE" w14:textId="77777777">
        <w:trPr>
          <w:cantSplit/>
        </w:trPr>
        <w:tc>
          <w:tcPr>
            <w:tcW w:w="5280" w:type="dxa"/>
            <w:tcBorders>
              <w:top w:val="nil"/>
              <w:left w:val="nil"/>
              <w:bottom w:val="nil"/>
              <w:right w:val="nil"/>
            </w:tcBorders>
            <w:tcMar>
              <w:top w:w="0" w:type="dxa"/>
              <w:left w:w="53" w:type="dxa"/>
              <w:bottom w:w="0" w:type="dxa"/>
              <w:right w:w="53" w:type="dxa"/>
            </w:tcMar>
            <w:vAlign w:val="bottom"/>
          </w:tcPr>
          <w:p w14:paraId="7B5F3186" w14:textId="77777777" w:rsidR="001614AC" w:rsidRDefault="004468F9">
            <w:pPr>
              <w:keepNext/>
              <w:spacing w:before="75" w:after="30" w:line="288" w:lineRule="auto"/>
            </w:pPr>
            <w:r>
              <w:rPr>
                <w:rFonts w:ascii="Arial" w:eastAsia="Arial" w:hAnsi="Arial" w:cs="Arial"/>
                <w:color w:val="000000"/>
                <w:sz w:val="18"/>
              </w:rPr>
              <w:t>Trading securities</w:t>
            </w:r>
          </w:p>
        </w:tc>
        <w:tc>
          <w:tcPr>
            <w:tcW w:w="105" w:type="dxa"/>
            <w:tcBorders>
              <w:top w:val="nil"/>
              <w:left w:val="nil"/>
              <w:bottom w:val="nil"/>
              <w:right w:val="nil"/>
            </w:tcBorders>
            <w:tcMar>
              <w:top w:w="0" w:type="dxa"/>
              <w:left w:w="0" w:type="dxa"/>
              <w:bottom w:w="0" w:type="dxa"/>
              <w:right w:w="0" w:type="dxa"/>
            </w:tcMar>
            <w:vAlign w:val="bottom"/>
          </w:tcPr>
          <w:p w14:paraId="0DFBCFC1" w14:textId="77777777" w:rsidR="001614AC" w:rsidRDefault="001614AC">
            <w:pPr>
              <w:keepNext/>
            </w:pPr>
          </w:p>
        </w:tc>
        <w:tc>
          <w:tcPr>
            <w:tcW w:w="1095" w:type="dxa"/>
            <w:gridSpan w:val="3"/>
            <w:tcBorders>
              <w:top w:val="single" w:sz="8" w:space="0" w:color="C7C9C7"/>
              <w:left w:val="nil"/>
              <w:bottom w:val="nil"/>
              <w:right w:val="nil"/>
            </w:tcBorders>
            <w:tcMar>
              <w:top w:w="0" w:type="dxa"/>
              <w:left w:w="0" w:type="dxa"/>
              <w:bottom w:w="0" w:type="dxa"/>
              <w:right w:w="0" w:type="dxa"/>
            </w:tcMar>
            <w:vAlign w:val="bottom"/>
          </w:tcPr>
          <w:p w14:paraId="105DCC26" w14:textId="77777777" w:rsidR="001614AC" w:rsidRDefault="001614AC">
            <w:pPr>
              <w:keepNext/>
            </w:pPr>
          </w:p>
        </w:tc>
        <w:tc>
          <w:tcPr>
            <w:tcW w:w="105" w:type="dxa"/>
            <w:tcBorders>
              <w:top w:val="nil"/>
              <w:left w:val="nil"/>
              <w:bottom w:val="nil"/>
              <w:right w:val="nil"/>
            </w:tcBorders>
            <w:tcMar>
              <w:top w:w="0" w:type="dxa"/>
              <w:left w:w="0" w:type="dxa"/>
              <w:bottom w:w="0" w:type="dxa"/>
              <w:right w:w="0" w:type="dxa"/>
            </w:tcMar>
            <w:vAlign w:val="bottom"/>
          </w:tcPr>
          <w:p w14:paraId="796D87A5" w14:textId="77777777" w:rsidR="001614AC" w:rsidRDefault="001614AC">
            <w:pPr>
              <w:keepNext/>
            </w:pPr>
          </w:p>
        </w:tc>
        <w:tc>
          <w:tcPr>
            <w:tcW w:w="1095" w:type="dxa"/>
            <w:gridSpan w:val="3"/>
            <w:tcBorders>
              <w:top w:val="single" w:sz="8" w:space="0" w:color="C7C9C7"/>
              <w:left w:val="nil"/>
              <w:bottom w:val="nil"/>
              <w:right w:val="nil"/>
            </w:tcBorders>
            <w:tcMar>
              <w:top w:w="0" w:type="dxa"/>
              <w:left w:w="0" w:type="dxa"/>
              <w:bottom w:w="0" w:type="dxa"/>
              <w:right w:w="0" w:type="dxa"/>
            </w:tcMar>
            <w:vAlign w:val="bottom"/>
          </w:tcPr>
          <w:p w14:paraId="79F9CDD5" w14:textId="77777777" w:rsidR="001614AC" w:rsidRDefault="001614AC">
            <w:pPr>
              <w:keepNext/>
            </w:pPr>
          </w:p>
        </w:tc>
        <w:tc>
          <w:tcPr>
            <w:tcW w:w="105" w:type="dxa"/>
            <w:tcBorders>
              <w:top w:val="nil"/>
              <w:left w:val="nil"/>
              <w:bottom w:val="nil"/>
              <w:right w:val="nil"/>
            </w:tcBorders>
            <w:tcMar>
              <w:top w:w="0" w:type="dxa"/>
              <w:left w:w="0" w:type="dxa"/>
              <w:bottom w:w="0" w:type="dxa"/>
              <w:right w:w="0" w:type="dxa"/>
            </w:tcMar>
            <w:vAlign w:val="bottom"/>
          </w:tcPr>
          <w:p w14:paraId="7F5A5F2F" w14:textId="77777777" w:rsidR="001614AC" w:rsidRDefault="001614AC">
            <w:pPr>
              <w:keepNext/>
            </w:pPr>
          </w:p>
        </w:tc>
        <w:tc>
          <w:tcPr>
            <w:tcW w:w="1095" w:type="dxa"/>
            <w:gridSpan w:val="3"/>
            <w:tcBorders>
              <w:top w:val="single" w:sz="8" w:space="0" w:color="C7C9C7"/>
              <w:left w:val="nil"/>
              <w:bottom w:val="nil"/>
              <w:right w:val="nil"/>
            </w:tcBorders>
            <w:tcMar>
              <w:top w:w="0" w:type="dxa"/>
              <w:left w:w="0" w:type="dxa"/>
              <w:bottom w:w="0" w:type="dxa"/>
              <w:right w:w="0" w:type="dxa"/>
            </w:tcMar>
            <w:vAlign w:val="bottom"/>
          </w:tcPr>
          <w:p w14:paraId="49028330" w14:textId="77777777" w:rsidR="001614AC" w:rsidRDefault="001614AC">
            <w:pPr>
              <w:keepNext/>
            </w:pPr>
          </w:p>
        </w:tc>
        <w:tc>
          <w:tcPr>
            <w:tcW w:w="105" w:type="dxa"/>
            <w:tcBorders>
              <w:top w:val="nil"/>
              <w:left w:val="nil"/>
              <w:bottom w:val="nil"/>
              <w:right w:val="nil"/>
            </w:tcBorders>
            <w:tcMar>
              <w:top w:w="0" w:type="dxa"/>
              <w:left w:w="0" w:type="dxa"/>
              <w:bottom w:w="0" w:type="dxa"/>
              <w:right w:w="0" w:type="dxa"/>
            </w:tcMar>
            <w:vAlign w:val="bottom"/>
          </w:tcPr>
          <w:p w14:paraId="006F9EAF" w14:textId="77777777" w:rsidR="001614AC" w:rsidRDefault="001614AC">
            <w:pPr>
              <w:keepNext/>
            </w:pPr>
          </w:p>
        </w:tc>
        <w:tc>
          <w:tcPr>
            <w:tcW w:w="1095" w:type="dxa"/>
            <w:gridSpan w:val="3"/>
            <w:tcBorders>
              <w:top w:val="single" w:sz="8" w:space="0" w:color="C7C9C7"/>
              <w:left w:val="nil"/>
              <w:bottom w:val="nil"/>
              <w:right w:val="nil"/>
            </w:tcBorders>
            <w:tcMar>
              <w:top w:w="0" w:type="dxa"/>
              <w:left w:w="0" w:type="dxa"/>
              <w:bottom w:w="0" w:type="dxa"/>
              <w:right w:w="0" w:type="dxa"/>
            </w:tcMar>
            <w:vAlign w:val="bottom"/>
          </w:tcPr>
          <w:p w14:paraId="552755AC" w14:textId="77777777" w:rsidR="001614AC" w:rsidRDefault="001614AC">
            <w:pPr>
              <w:keepNext/>
            </w:pPr>
          </w:p>
        </w:tc>
      </w:tr>
      <w:tr w:rsidR="001614AC" w14:paraId="347CAE83" w14:textId="77777777">
        <w:trPr>
          <w:cantSplit/>
        </w:trPr>
        <w:tc>
          <w:tcPr>
            <w:tcW w:w="5280" w:type="dxa"/>
            <w:tcBorders>
              <w:top w:val="single" w:sz="8" w:space="0" w:color="F4F4F4"/>
              <w:left w:val="nil"/>
              <w:bottom w:val="single" w:sz="8" w:space="0" w:color="F4F4F4"/>
              <w:right w:val="nil"/>
            </w:tcBorders>
            <w:tcMar>
              <w:top w:w="0" w:type="dxa"/>
              <w:left w:w="53" w:type="dxa"/>
              <w:bottom w:w="0" w:type="dxa"/>
              <w:right w:w="53" w:type="dxa"/>
            </w:tcMar>
            <w:vAlign w:val="bottom"/>
          </w:tcPr>
          <w:p w14:paraId="0558E0B9" w14:textId="77777777" w:rsidR="001614AC" w:rsidRDefault="004468F9">
            <w:pPr>
              <w:keepNext/>
              <w:spacing w:before="55" w:after="30" w:line="288" w:lineRule="auto"/>
              <w:ind w:left="240"/>
            </w:pPr>
            <w:r>
              <w:rPr>
                <w:rFonts w:ascii="Arial" w:eastAsia="Arial" w:hAnsi="Arial" w:cs="Arial"/>
                <w:color w:val="000000"/>
                <w:sz w:val="18"/>
              </w:rPr>
              <w:t>State and municipal obligations</w:t>
            </w:r>
          </w:p>
        </w:tc>
        <w:tc>
          <w:tcPr>
            <w:tcW w:w="105" w:type="dxa"/>
            <w:tcBorders>
              <w:top w:val="nil"/>
              <w:left w:val="nil"/>
              <w:bottom w:val="nil"/>
              <w:right w:val="nil"/>
            </w:tcBorders>
            <w:tcMar>
              <w:top w:w="0" w:type="dxa"/>
              <w:left w:w="0" w:type="dxa"/>
              <w:bottom w:w="0" w:type="dxa"/>
              <w:right w:w="0" w:type="dxa"/>
            </w:tcMar>
            <w:vAlign w:val="bottom"/>
          </w:tcPr>
          <w:p w14:paraId="3DB1C62A" w14:textId="77777777" w:rsidR="001614AC" w:rsidRDefault="001614AC">
            <w:pPr>
              <w:keepNext/>
            </w:pPr>
          </w:p>
        </w:tc>
        <w:tc>
          <w:tcPr>
            <w:tcW w:w="995"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680C127F" w14:textId="77777777" w:rsidR="001614AC" w:rsidRDefault="004468F9">
            <w:pPr>
              <w:keepNext/>
              <w:spacing w:before="55" w:after="30" w:line="288" w:lineRule="auto"/>
              <w:jc w:val="right"/>
            </w:pPr>
            <w:r>
              <w:rPr>
                <w:rFonts w:ascii="Arial" w:eastAsia="Arial" w:hAnsi="Arial" w:cs="Arial"/>
                <w:color w:val="000000"/>
                <w:sz w:val="18"/>
              </w:rPr>
              <w:t>—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322E78CA" w14:textId="77777777" w:rsidR="001614AC" w:rsidRDefault="001614AC">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3BDCB161" w14:textId="77777777" w:rsidR="001614AC" w:rsidRDefault="001614AC">
            <w:pPr>
              <w:keepNext/>
            </w:pPr>
          </w:p>
        </w:tc>
        <w:tc>
          <w:tcPr>
            <w:tcW w:w="995"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1C8DA178" w14:textId="77777777" w:rsidR="001614AC" w:rsidRDefault="004468F9">
            <w:pPr>
              <w:keepNext/>
              <w:spacing w:before="55" w:after="30" w:line="288" w:lineRule="auto"/>
              <w:jc w:val="right"/>
            </w:pPr>
            <w:r>
              <w:rPr>
                <w:rFonts w:ascii="Arial" w:eastAsia="Arial" w:hAnsi="Arial" w:cs="Arial"/>
                <w:color w:val="000000"/>
                <w:sz w:val="18"/>
              </w:rPr>
              <w:t>120,449 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00783A29" w14:textId="77777777" w:rsidR="001614AC" w:rsidRDefault="001614AC">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1F5BE7E6" w14:textId="77777777" w:rsidR="001614AC" w:rsidRDefault="001614AC">
            <w:pPr>
              <w:keepNext/>
            </w:pPr>
          </w:p>
        </w:tc>
        <w:tc>
          <w:tcPr>
            <w:tcW w:w="995"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23DC3474" w14:textId="77777777" w:rsidR="001614AC" w:rsidRDefault="004468F9">
            <w:pPr>
              <w:keepNext/>
              <w:spacing w:before="55" w:after="30" w:line="288" w:lineRule="auto"/>
              <w:jc w:val="right"/>
            </w:pPr>
            <w:r>
              <w:rPr>
                <w:rFonts w:ascii="Arial" w:eastAsia="Arial" w:hAnsi="Arial" w:cs="Arial"/>
                <w:color w:val="000000"/>
                <w:sz w:val="18"/>
              </w:rPr>
              <w:t>—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51D51993" w14:textId="77777777" w:rsidR="001614AC" w:rsidRDefault="001614AC">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7742ECE9" w14:textId="77777777" w:rsidR="001614AC" w:rsidRDefault="001614AC">
            <w:pPr>
              <w:keepNext/>
            </w:pPr>
          </w:p>
        </w:tc>
        <w:tc>
          <w:tcPr>
            <w:tcW w:w="995"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5D879A55" w14:textId="77777777" w:rsidR="001614AC" w:rsidRDefault="004468F9">
            <w:pPr>
              <w:keepNext/>
              <w:spacing w:before="55" w:after="30" w:line="288" w:lineRule="auto"/>
              <w:jc w:val="right"/>
            </w:pPr>
            <w:r>
              <w:rPr>
                <w:rFonts w:ascii="Arial" w:eastAsia="Arial" w:hAnsi="Arial" w:cs="Arial"/>
                <w:color w:val="000000"/>
                <w:sz w:val="18"/>
              </w:rPr>
              <w:t>120,449 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36389A1A" w14:textId="77777777" w:rsidR="001614AC" w:rsidRDefault="001614AC">
            <w:pPr>
              <w:keepNext/>
              <w:spacing w:before="55" w:after="30" w:line="288" w:lineRule="auto"/>
              <w:jc w:val="right"/>
            </w:pPr>
          </w:p>
        </w:tc>
      </w:tr>
      <w:tr w:rsidR="001614AC" w14:paraId="665D3F4B" w14:textId="77777777">
        <w:trPr>
          <w:cantSplit/>
        </w:trPr>
        <w:tc>
          <w:tcPr>
            <w:tcW w:w="5280" w:type="dxa"/>
            <w:tcBorders>
              <w:top w:val="single" w:sz="8" w:space="0" w:color="F4F4F4"/>
              <w:left w:val="nil"/>
              <w:bottom w:val="single" w:sz="8" w:space="0" w:color="F4F4F4"/>
              <w:right w:val="nil"/>
            </w:tcBorders>
            <w:tcMar>
              <w:top w:w="0" w:type="dxa"/>
              <w:left w:w="53" w:type="dxa"/>
              <w:bottom w:w="0" w:type="dxa"/>
              <w:right w:w="53" w:type="dxa"/>
            </w:tcMar>
            <w:vAlign w:val="bottom"/>
          </w:tcPr>
          <w:p w14:paraId="2E3FB3FA" w14:textId="77777777" w:rsidR="001614AC" w:rsidRDefault="004468F9">
            <w:pPr>
              <w:keepNext/>
              <w:spacing w:before="55" w:after="30" w:line="288" w:lineRule="auto"/>
              <w:ind w:left="240"/>
            </w:pPr>
            <w:r>
              <w:rPr>
                <w:rFonts w:ascii="Arial" w:eastAsia="Arial" w:hAnsi="Arial" w:cs="Arial"/>
                <w:color w:val="000000"/>
                <w:sz w:val="18"/>
              </w:rPr>
              <w:t>Corporate bonds and notes</w:t>
            </w:r>
          </w:p>
        </w:tc>
        <w:tc>
          <w:tcPr>
            <w:tcW w:w="105" w:type="dxa"/>
            <w:tcBorders>
              <w:top w:val="nil"/>
              <w:left w:val="nil"/>
              <w:bottom w:val="nil"/>
              <w:right w:val="nil"/>
            </w:tcBorders>
            <w:tcMar>
              <w:top w:w="0" w:type="dxa"/>
              <w:left w:w="0" w:type="dxa"/>
              <w:bottom w:w="0" w:type="dxa"/>
              <w:right w:w="0" w:type="dxa"/>
            </w:tcMar>
            <w:vAlign w:val="bottom"/>
          </w:tcPr>
          <w:p w14:paraId="5CE8563C" w14:textId="77777777" w:rsidR="001614AC" w:rsidRDefault="001614AC">
            <w:pPr>
              <w:keepNext/>
            </w:pPr>
          </w:p>
        </w:tc>
        <w:tc>
          <w:tcPr>
            <w:tcW w:w="995"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58412286" w14:textId="77777777" w:rsidR="001614AC" w:rsidRDefault="004468F9">
            <w:pPr>
              <w:keepNext/>
              <w:spacing w:before="55" w:after="30" w:line="288" w:lineRule="auto"/>
              <w:jc w:val="right"/>
            </w:pPr>
            <w:r>
              <w:rPr>
                <w:rFonts w:ascii="Arial" w:eastAsia="Arial" w:hAnsi="Arial" w:cs="Arial"/>
                <w:color w:val="000000"/>
                <w:sz w:val="18"/>
              </w:rPr>
              <w:t>—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55D649A4" w14:textId="77777777" w:rsidR="001614AC" w:rsidRDefault="001614AC">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18D4060D" w14:textId="77777777" w:rsidR="001614AC" w:rsidRDefault="001614AC">
            <w:pPr>
              <w:keepNext/>
            </w:pPr>
          </w:p>
        </w:tc>
        <w:tc>
          <w:tcPr>
            <w:tcW w:w="995"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18F8E2AA" w14:textId="77777777" w:rsidR="001614AC" w:rsidRDefault="004468F9">
            <w:pPr>
              <w:keepNext/>
              <w:spacing w:before="55" w:after="30" w:line="288" w:lineRule="auto"/>
              <w:jc w:val="right"/>
            </w:pPr>
            <w:r>
              <w:rPr>
                <w:rFonts w:ascii="Arial" w:eastAsia="Arial" w:hAnsi="Arial" w:cs="Arial"/>
                <w:color w:val="000000"/>
                <w:sz w:val="18"/>
              </w:rPr>
              <w:t>123,142 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1F1C413E" w14:textId="77777777" w:rsidR="001614AC" w:rsidRDefault="001614AC">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19FFA4D1" w14:textId="77777777" w:rsidR="001614AC" w:rsidRDefault="001614AC">
            <w:pPr>
              <w:keepNext/>
            </w:pPr>
          </w:p>
        </w:tc>
        <w:tc>
          <w:tcPr>
            <w:tcW w:w="995"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7F62AFBA" w14:textId="77777777" w:rsidR="001614AC" w:rsidRDefault="004468F9">
            <w:pPr>
              <w:keepNext/>
              <w:spacing w:before="55" w:after="30" w:line="288" w:lineRule="auto"/>
              <w:jc w:val="right"/>
            </w:pPr>
            <w:r>
              <w:rPr>
                <w:rFonts w:ascii="Arial" w:eastAsia="Arial" w:hAnsi="Arial" w:cs="Arial"/>
                <w:color w:val="000000"/>
                <w:sz w:val="18"/>
              </w:rPr>
              <w:t>—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07FC6F8E" w14:textId="77777777" w:rsidR="001614AC" w:rsidRDefault="001614AC">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7A504D29" w14:textId="77777777" w:rsidR="001614AC" w:rsidRDefault="001614AC">
            <w:pPr>
              <w:keepNext/>
            </w:pPr>
          </w:p>
        </w:tc>
        <w:tc>
          <w:tcPr>
            <w:tcW w:w="995"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75AD0F09" w14:textId="77777777" w:rsidR="001614AC" w:rsidRDefault="004468F9">
            <w:pPr>
              <w:keepNext/>
              <w:spacing w:before="55" w:after="30" w:line="288" w:lineRule="auto"/>
              <w:jc w:val="right"/>
            </w:pPr>
            <w:r>
              <w:rPr>
                <w:rFonts w:ascii="Arial" w:eastAsia="Arial" w:hAnsi="Arial" w:cs="Arial"/>
                <w:color w:val="000000"/>
                <w:sz w:val="18"/>
              </w:rPr>
              <w:t>123,142 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0B26B0E7" w14:textId="77777777" w:rsidR="001614AC" w:rsidRDefault="001614AC">
            <w:pPr>
              <w:keepNext/>
              <w:spacing w:before="55" w:after="30" w:line="288" w:lineRule="auto"/>
              <w:jc w:val="right"/>
            </w:pPr>
          </w:p>
        </w:tc>
      </w:tr>
      <w:tr w:rsidR="001614AC" w14:paraId="4D230254" w14:textId="77777777">
        <w:trPr>
          <w:cantSplit/>
        </w:trPr>
        <w:tc>
          <w:tcPr>
            <w:tcW w:w="5280" w:type="dxa"/>
            <w:tcBorders>
              <w:top w:val="single" w:sz="8" w:space="0" w:color="F4F4F4"/>
              <w:left w:val="nil"/>
              <w:bottom w:val="single" w:sz="8" w:space="0" w:color="F4F4F4"/>
              <w:right w:val="nil"/>
            </w:tcBorders>
            <w:tcMar>
              <w:top w:w="0" w:type="dxa"/>
              <w:left w:w="53" w:type="dxa"/>
              <w:bottom w:w="0" w:type="dxa"/>
              <w:right w:w="53" w:type="dxa"/>
            </w:tcMar>
            <w:vAlign w:val="bottom"/>
          </w:tcPr>
          <w:p w14:paraId="225214FD" w14:textId="77777777" w:rsidR="001614AC" w:rsidRDefault="004468F9">
            <w:pPr>
              <w:keepNext/>
              <w:spacing w:before="55" w:after="30" w:line="288" w:lineRule="auto"/>
              <w:ind w:left="240"/>
            </w:pPr>
            <w:r>
              <w:rPr>
                <w:rFonts w:ascii="Arial" w:eastAsia="Arial" w:hAnsi="Arial" w:cs="Arial"/>
                <w:color w:val="000000"/>
                <w:sz w:val="18"/>
              </w:rPr>
              <w:t>RMBS</w:t>
            </w:r>
          </w:p>
        </w:tc>
        <w:tc>
          <w:tcPr>
            <w:tcW w:w="105" w:type="dxa"/>
            <w:tcBorders>
              <w:top w:val="nil"/>
              <w:left w:val="nil"/>
              <w:bottom w:val="nil"/>
              <w:right w:val="nil"/>
            </w:tcBorders>
            <w:tcMar>
              <w:top w:w="0" w:type="dxa"/>
              <w:left w:w="0" w:type="dxa"/>
              <w:bottom w:w="0" w:type="dxa"/>
              <w:right w:w="0" w:type="dxa"/>
            </w:tcMar>
            <w:vAlign w:val="bottom"/>
          </w:tcPr>
          <w:p w14:paraId="41FBE13C" w14:textId="77777777" w:rsidR="001614AC" w:rsidRDefault="001614AC">
            <w:pPr>
              <w:keepNext/>
            </w:pPr>
          </w:p>
        </w:tc>
        <w:tc>
          <w:tcPr>
            <w:tcW w:w="995"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76FCA4E4" w14:textId="77777777" w:rsidR="001614AC" w:rsidRDefault="004468F9">
            <w:pPr>
              <w:keepNext/>
              <w:spacing w:before="55" w:after="30" w:line="288" w:lineRule="auto"/>
              <w:jc w:val="right"/>
            </w:pPr>
            <w:r>
              <w:rPr>
                <w:rFonts w:ascii="Arial" w:eastAsia="Arial" w:hAnsi="Arial" w:cs="Arial"/>
                <w:color w:val="000000"/>
                <w:sz w:val="18"/>
              </w:rPr>
              <w:t>—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554EC6D2" w14:textId="77777777" w:rsidR="001614AC" w:rsidRDefault="001614AC">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4A2E5A34" w14:textId="77777777" w:rsidR="001614AC" w:rsidRDefault="001614AC">
            <w:pPr>
              <w:keepNext/>
            </w:pPr>
          </w:p>
        </w:tc>
        <w:tc>
          <w:tcPr>
            <w:tcW w:w="995"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6F4756A7" w14:textId="77777777" w:rsidR="001614AC" w:rsidRDefault="004468F9">
            <w:pPr>
              <w:keepNext/>
              <w:spacing w:before="55" w:after="30" w:line="288" w:lineRule="auto"/>
              <w:jc w:val="right"/>
            </w:pPr>
            <w:r>
              <w:rPr>
                <w:rFonts w:ascii="Arial" w:eastAsia="Arial" w:hAnsi="Arial" w:cs="Arial"/>
                <w:color w:val="000000"/>
                <w:sz w:val="18"/>
              </w:rPr>
              <w:t>13,000 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1ED435BD" w14:textId="77777777" w:rsidR="001614AC" w:rsidRDefault="001614AC">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4E1E4AE2" w14:textId="77777777" w:rsidR="001614AC" w:rsidRDefault="001614AC">
            <w:pPr>
              <w:keepNext/>
            </w:pPr>
          </w:p>
        </w:tc>
        <w:tc>
          <w:tcPr>
            <w:tcW w:w="995"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7B2B94EB" w14:textId="77777777" w:rsidR="001614AC" w:rsidRDefault="004468F9">
            <w:pPr>
              <w:keepNext/>
              <w:spacing w:before="55" w:after="30" w:line="288" w:lineRule="auto"/>
              <w:jc w:val="right"/>
            </w:pPr>
            <w:r>
              <w:rPr>
                <w:rFonts w:ascii="Arial" w:eastAsia="Arial" w:hAnsi="Arial" w:cs="Arial"/>
                <w:color w:val="000000"/>
                <w:sz w:val="18"/>
              </w:rPr>
              <w:t>—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51FCECE3" w14:textId="77777777" w:rsidR="001614AC" w:rsidRDefault="001614AC">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6F18A17F" w14:textId="77777777" w:rsidR="001614AC" w:rsidRDefault="001614AC">
            <w:pPr>
              <w:keepNext/>
            </w:pPr>
          </w:p>
        </w:tc>
        <w:tc>
          <w:tcPr>
            <w:tcW w:w="995"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1EF86798" w14:textId="77777777" w:rsidR="001614AC" w:rsidRDefault="004468F9">
            <w:pPr>
              <w:keepNext/>
              <w:spacing w:before="55" w:after="30" w:line="288" w:lineRule="auto"/>
              <w:jc w:val="right"/>
            </w:pPr>
            <w:r>
              <w:rPr>
                <w:rFonts w:ascii="Arial" w:eastAsia="Arial" w:hAnsi="Arial" w:cs="Arial"/>
                <w:color w:val="000000"/>
                <w:sz w:val="18"/>
              </w:rPr>
              <w:t>13,000 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3AAAFFC5" w14:textId="77777777" w:rsidR="001614AC" w:rsidRDefault="001614AC">
            <w:pPr>
              <w:keepNext/>
              <w:spacing w:before="55" w:after="30" w:line="288" w:lineRule="auto"/>
              <w:jc w:val="right"/>
            </w:pPr>
          </w:p>
        </w:tc>
      </w:tr>
      <w:tr w:rsidR="001614AC" w14:paraId="6B27000D" w14:textId="77777777">
        <w:trPr>
          <w:cantSplit/>
        </w:trPr>
        <w:tc>
          <w:tcPr>
            <w:tcW w:w="5280" w:type="dxa"/>
            <w:tcBorders>
              <w:top w:val="single" w:sz="8" w:space="0" w:color="F4F4F4"/>
              <w:left w:val="nil"/>
              <w:bottom w:val="nil"/>
              <w:right w:val="nil"/>
            </w:tcBorders>
            <w:tcMar>
              <w:top w:w="0" w:type="dxa"/>
              <w:left w:w="53" w:type="dxa"/>
              <w:bottom w:w="0" w:type="dxa"/>
              <w:right w:w="53" w:type="dxa"/>
            </w:tcMar>
            <w:vAlign w:val="bottom"/>
          </w:tcPr>
          <w:p w14:paraId="531D4195" w14:textId="77777777" w:rsidR="001614AC" w:rsidRDefault="004468F9">
            <w:pPr>
              <w:keepNext/>
              <w:spacing w:before="55" w:after="30" w:line="288" w:lineRule="auto"/>
              <w:ind w:left="240"/>
            </w:pPr>
            <w:r>
              <w:rPr>
                <w:rFonts w:ascii="Arial" w:eastAsia="Arial" w:hAnsi="Arial" w:cs="Arial"/>
                <w:color w:val="000000"/>
                <w:sz w:val="18"/>
              </w:rPr>
              <w:t>CMBS</w:t>
            </w:r>
          </w:p>
        </w:tc>
        <w:tc>
          <w:tcPr>
            <w:tcW w:w="105" w:type="dxa"/>
            <w:tcBorders>
              <w:top w:val="nil"/>
              <w:left w:val="nil"/>
              <w:bottom w:val="nil"/>
              <w:right w:val="nil"/>
            </w:tcBorders>
            <w:tcMar>
              <w:top w:w="0" w:type="dxa"/>
              <w:left w:w="0" w:type="dxa"/>
              <w:bottom w:w="0" w:type="dxa"/>
              <w:right w:w="0" w:type="dxa"/>
            </w:tcMar>
            <w:vAlign w:val="bottom"/>
          </w:tcPr>
          <w:p w14:paraId="2469CEA4" w14:textId="77777777" w:rsidR="001614AC" w:rsidRDefault="001614AC">
            <w:pPr>
              <w:keepNext/>
            </w:pPr>
          </w:p>
        </w:tc>
        <w:tc>
          <w:tcPr>
            <w:tcW w:w="995" w:type="dxa"/>
            <w:gridSpan w:val="2"/>
            <w:tcBorders>
              <w:top w:val="single" w:sz="8" w:space="0" w:color="F4F4F4"/>
              <w:left w:val="nil"/>
              <w:bottom w:val="nil"/>
              <w:right w:val="nil"/>
            </w:tcBorders>
            <w:tcMar>
              <w:top w:w="0" w:type="dxa"/>
              <w:left w:w="53" w:type="dxa"/>
              <w:bottom w:w="0" w:type="dxa"/>
              <w:right w:w="0" w:type="dxa"/>
            </w:tcMar>
            <w:vAlign w:val="bottom"/>
          </w:tcPr>
          <w:p w14:paraId="0A29376F" w14:textId="77777777" w:rsidR="001614AC" w:rsidRDefault="004468F9">
            <w:pPr>
              <w:keepNext/>
              <w:spacing w:before="55" w:after="30" w:line="288" w:lineRule="auto"/>
              <w:jc w:val="right"/>
            </w:pPr>
            <w:r>
              <w:rPr>
                <w:rFonts w:ascii="Arial" w:eastAsia="Arial" w:hAnsi="Arial" w:cs="Arial"/>
                <w:color w:val="000000"/>
                <w:sz w:val="18"/>
              </w:rPr>
              <w:t>— </w:t>
            </w:r>
          </w:p>
        </w:tc>
        <w:tc>
          <w:tcPr>
            <w:tcW w:w="100" w:type="dxa"/>
            <w:tcBorders>
              <w:top w:val="single" w:sz="8" w:space="0" w:color="F4F4F4"/>
              <w:left w:val="nil"/>
              <w:bottom w:val="nil"/>
              <w:right w:val="nil"/>
            </w:tcBorders>
            <w:tcMar>
              <w:top w:w="0" w:type="dxa"/>
              <w:left w:w="0" w:type="dxa"/>
              <w:bottom w:w="0" w:type="dxa"/>
              <w:right w:w="15" w:type="dxa"/>
            </w:tcMar>
            <w:vAlign w:val="bottom"/>
          </w:tcPr>
          <w:p w14:paraId="6A40463C" w14:textId="77777777" w:rsidR="001614AC" w:rsidRDefault="001614AC">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3ED34C61" w14:textId="77777777" w:rsidR="001614AC" w:rsidRDefault="001614AC">
            <w:pPr>
              <w:keepNext/>
            </w:pPr>
          </w:p>
        </w:tc>
        <w:tc>
          <w:tcPr>
            <w:tcW w:w="995" w:type="dxa"/>
            <w:gridSpan w:val="2"/>
            <w:tcBorders>
              <w:top w:val="single" w:sz="8" w:space="0" w:color="F4F4F4"/>
              <w:left w:val="nil"/>
              <w:bottom w:val="nil"/>
              <w:right w:val="nil"/>
            </w:tcBorders>
            <w:tcMar>
              <w:top w:w="0" w:type="dxa"/>
              <w:left w:w="53" w:type="dxa"/>
              <w:bottom w:w="0" w:type="dxa"/>
              <w:right w:w="0" w:type="dxa"/>
            </w:tcMar>
            <w:vAlign w:val="bottom"/>
          </w:tcPr>
          <w:p w14:paraId="4B26043F" w14:textId="77777777" w:rsidR="001614AC" w:rsidRDefault="004468F9">
            <w:pPr>
              <w:keepNext/>
              <w:spacing w:before="55" w:after="30" w:line="288" w:lineRule="auto"/>
              <w:jc w:val="right"/>
            </w:pPr>
            <w:r>
              <w:rPr>
                <w:rFonts w:ascii="Arial" w:eastAsia="Arial" w:hAnsi="Arial" w:cs="Arial"/>
                <w:color w:val="000000"/>
                <w:sz w:val="18"/>
              </w:rPr>
              <w:t>34,294 </w:t>
            </w:r>
          </w:p>
        </w:tc>
        <w:tc>
          <w:tcPr>
            <w:tcW w:w="100" w:type="dxa"/>
            <w:tcBorders>
              <w:top w:val="single" w:sz="8" w:space="0" w:color="F4F4F4"/>
              <w:left w:val="nil"/>
              <w:bottom w:val="nil"/>
              <w:right w:val="nil"/>
            </w:tcBorders>
            <w:tcMar>
              <w:top w:w="0" w:type="dxa"/>
              <w:left w:w="0" w:type="dxa"/>
              <w:bottom w:w="0" w:type="dxa"/>
              <w:right w:w="15" w:type="dxa"/>
            </w:tcMar>
            <w:vAlign w:val="bottom"/>
          </w:tcPr>
          <w:p w14:paraId="0C7DCB04" w14:textId="77777777" w:rsidR="001614AC" w:rsidRDefault="001614AC">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50E22208" w14:textId="77777777" w:rsidR="001614AC" w:rsidRDefault="001614AC">
            <w:pPr>
              <w:keepNext/>
            </w:pPr>
          </w:p>
        </w:tc>
        <w:tc>
          <w:tcPr>
            <w:tcW w:w="995" w:type="dxa"/>
            <w:gridSpan w:val="2"/>
            <w:tcBorders>
              <w:top w:val="single" w:sz="8" w:space="0" w:color="F4F4F4"/>
              <w:left w:val="nil"/>
              <w:bottom w:val="nil"/>
              <w:right w:val="nil"/>
            </w:tcBorders>
            <w:tcMar>
              <w:top w:w="0" w:type="dxa"/>
              <w:left w:w="53" w:type="dxa"/>
              <w:bottom w:w="0" w:type="dxa"/>
              <w:right w:w="0" w:type="dxa"/>
            </w:tcMar>
            <w:vAlign w:val="bottom"/>
          </w:tcPr>
          <w:p w14:paraId="0E4074FC" w14:textId="77777777" w:rsidR="001614AC" w:rsidRDefault="004468F9">
            <w:pPr>
              <w:keepNext/>
              <w:spacing w:before="55" w:after="30" w:line="288" w:lineRule="auto"/>
              <w:jc w:val="right"/>
            </w:pPr>
            <w:r>
              <w:rPr>
                <w:rFonts w:ascii="Arial" w:eastAsia="Arial" w:hAnsi="Arial" w:cs="Arial"/>
                <w:color w:val="000000"/>
                <w:sz w:val="18"/>
              </w:rPr>
              <w:t>— </w:t>
            </w:r>
          </w:p>
        </w:tc>
        <w:tc>
          <w:tcPr>
            <w:tcW w:w="100" w:type="dxa"/>
            <w:tcBorders>
              <w:top w:val="single" w:sz="8" w:space="0" w:color="F4F4F4"/>
              <w:left w:val="nil"/>
              <w:bottom w:val="nil"/>
              <w:right w:val="nil"/>
            </w:tcBorders>
            <w:tcMar>
              <w:top w:w="0" w:type="dxa"/>
              <w:left w:w="0" w:type="dxa"/>
              <w:bottom w:w="0" w:type="dxa"/>
              <w:right w:w="15" w:type="dxa"/>
            </w:tcMar>
            <w:vAlign w:val="bottom"/>
          </w:tcPr>
          <w:p w14:paraId="59D4A67C" w14:textId="77777777" w:rsidR="001614AC" w:rsidRDefault="001614AC">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4E03D310" w14:textId="77777777" w:rsidR="001614AC" w:rsidRDefault="001614AC">
            <w:pPr>
              <w:keepNext/>
            </w:pPr>
          </w:p>
        </w:tc>
        <w:tc>
          <w:tcPr>
            <w:tcW w:w="995" w:type="dxa"/>
            <w:gridSpan w:val="2"/>
            <w:tcBorders>
              <w:top w:val="single" w:sz="8" w:space="0" w:color="F4F4F4"/>
              <w:left w:val="nil"/>
              <w:bottom w:val="nil"/>
              <w:right w:val="nil"/>
            </w:tcBorders>
            <w:tcMar>
              <w:top w:w="0" w:type="dxa"/>
              <w:left w:w="53" w:type="dxa"/>
              <w:bottom w:w="0" w:type="dxa"/>
              <w:right w:w="0" w:type="dxa"/>
            </w:tcMar>
            <w:vAlign w:val="bottom"/>
          </w:tcPr>
          <w:p w14:paraId="03C4FBDC" w14:textId="77777777" w:rsidR="001614AC" w:rsidRDefault="004468F9">
            <w:pPr>
              <w:keepNext/>
              <w:spacing w:before="55" w:after="30" w:line="288" w:lineRule="auto"/>
              <w:jc w:val="right"/>
            </w:pPr>
            <w:r>
              <w:rPr>
                <w:rFonts w:ascii="Arial" w:eastAsia="Arial" w:hAnsi="Arial" w:cs="Arial"/>
                <w:color w:val="000000"/>
                <w:sz w:val="18"/>
              </w:rPr>
              <w:t>34,294 </w:t>
            </w:r>
          </w:p>
        </w:tc>
        <w:tc>
          <w:tcPr>
            <w:tcW w:w="100" w:type="dxa"/>
            <w:tcBorders>
              <w:top w:val="single" w:sz="8" w:space="0" w:color="F4F4F4"/>
              <w:left w:val="nil"/>
              <w:bottom w:val="nil"/>
              <w:right w:val="nil"/>
            </w:tcBorders>
            <w:tcMar>
              <w:top w:w="0" w:type="dxa"/>
              <w:left w:w="0" w:type="dxa"/>
              <w:bottom w:w="0" w:type="dxa"/>
              <w:right w:w="15" w:type="dxa"/>
            </w:tcMar>
            <w:vAlign w:val="bottom"/>
          </w:tcPr>
          <w:p w14:paraId="36FEE1BE" w14:textId="77777777" w:rsidR="001614AC" w:rsidRDefault="001614AC">
            <w:pPr>
              <w:keepNext/>
              <w:spacing w:before="55" w:after="30" w:line="288" w:lineRule="auto"/>
              <w:jc w:val="right"/>
            </w:pPr>
          </w:p>
        </w:tc>
      </w:tr>
      <w:tr w:rsidR="001614AC" w14:paraId="72B5D7EF" w14:textId="77777777">
        <w:trPr>
          <w:cantSplit/>
        </w:trPr>
        <w:tc>
          <w:tcPr>
            <w:tcW w:w="5280" w:type="dxa"/>
            <w:tcBorders>
              <w:top w:val="nil"/>
              <w:left w:val="nil"/>
              <w:bottom w:val="nil"/>
              <w:right w:val="nil"/>
            </w:tcBorders>
            <w:shd w:val="clear" w:color="auto" w:fill="F4F4F4"/>
            <w:tcMar>
              <w:top w:w="0" w:type="dxa"/>
              <w:left w:w="53" w:type="dxa"/>
              <w:bottom w:w="0" w:type="dxa"/>
              <w:right w:w="53" w:type="dxa"/>
            </w:tcMar>
            <w:vAlign w:val="bottom"/>
          </w:tcPr>
          <w:p w14:paraId="5239DE3E" w14:textId="77777777" w:rsidR="001614AC" w:rsidRDefault="004468F9">
            <w:pPr>
              <w:keepNext/>
              <w:spacing w:before="75" w:after="30" w:line="288" w:lineRule="auto"/>
              <w:ind w:left="240"/>
            </w:pPr>
            <w:r>
              <w:rPr>
                <w:rFonts w:ascii="Arial" w:eastAsia="Arial" w:hAnsi="Arial" w:cs="Arial"/>
                <w:color w:val="000000"/>
                <w:sz w:val="18"/>
              </w:rPr>
              <w:t>Total trading securities</w:t>
            </w:r>
          </w:p>
        </w:tc>
        <w:tc>
          <w:tcPr>
            <w:tcW w:w="105" w:type="dxa"/>
            <w:tcBorders>
              <w:top w:val="nil"/>
              <w:left w:val="nil"/>
              <w:bottom w:val="nil"/>
              <w:right w:val="nil"/>
            </w:tcBorders>
            <w:shd w:val="clear" w:color="auto" w:fill="F4F4F4"/>
            <w:tcMar>
              <w:top w:w="0" w:type="dxa"/>
              <w:left w:w="0" w:type="dxa"/>
              <w:bottom w:w="0" w:type="dxa"/>
              <w:right w:w="0" w:type="dxa"/>
            </w:tcMar>
            <w:vAlign w:val="bottom"/>
          </w:tcPr>
          <w:p w14:paraId="110FE38B" w14:textId="77777777" w:rsidR="001614AC" w:rsidRDefault="001614AC">
            <w:pPr>
              <w:keepNext/>
            </w:pPr>
          </w:p>
        </w:tc>
        <w:tc>
          <w:tcPr>
            <w:tcW w:w="995" w:type="dxa"/>
            <w:gridSpan w:val="2"/>
            <w:tcBorders>
              <w:top w:val="single" w:sz="8" w:space="0" w:color="C7C9C7"/>
              <w:left w:val="nil"/>
              <w:bottom w:val="single" w:sz="8" w:space="0" w:color="C7C9C7"/>
              <w:right w:val="nil"/>
            </w:tcBorders>
            <w:shd w:val="clear" w:color="auto" w:fill="F4F4F4"/>
            <w:tcMar>
              <w:top w:w="0" w:type="dxa"/>
              <w:left w:w="53" w:type="dxa"/>
              <w:bottom w:w="0" w:type="dxa"/>
              <w:right w:w="0" w:type="dxa"/>
            </w:tcMar>
            <w:vAlign w:val="bottom"/>
          </w:tcPr>
          <w:p w14:paraId="2998F801" w14:textId="77777777" w:rsidR="001614AC" w:rsidRDefault="004468F9">
            <w:pPr>
              <w:keepNext/>
              <w:spacing w:before="55" w:after="30" w:line="288" w:lineRule="auto"/>
              <w:jc w:val="right"/>
            </w:pPr>
            <w:r>
              <w:rPr>
                <w:rFonts w:ascii="Arial" w:eastAsia="Arial" w:hAnsi="Arial" w:cs="Arial"/>
                <w:color w:val="000000"/>
                <w:sz w:val="18"/>
              </w:rPr>
              <w:t>— </w:t>
            </w:r>
          </w:p>
        </w:tc>
        <w:tc>
          <w:tcPr>
            <w:tcW w:w="100" w:type="dxa"/>
            <w:tcBorders>
              <w:top w:val="single" w:sz="8" w:space="0" w:color="C7C9C7"/>
              <w:left w:val="nil"/>
              <w:bottom w:val="single" w:sz="8" w:space="0" w:color="C7C9C7"/>
              <w:right w:val="nil"/>
            </w:tcBorders>
            <w:shd w:val="clear" w:color="auto" w:fill="F4F4F4"/>
            <w:tcMar>
              <w:top w:w="0" w:type="dxa"/>
              <w:left w:w="0" w:type="dxa"/>
              <w:bottom w:w="0" w:type="dxa"/>
              <w:right w:w="15" w:type="dxa"/>
            </w:tcMar>
            <w:vAlign w:val="bottom"/>
          </w:tcPr>
          <w:p w14:paraId="6C6F1427" w14:textId="77777777" w:rsidR="001614AC" w:rsidRDefault="001614AC">
            <w:pPr>
              <w:keepNext/>
              <w:spacing w:before="55" w:after="30" w:line="288" w:lineRule="auto"/>
              <w:jc w:val="right"/>
            </w:pPr>
          </w:p>
        </w:tc>
        <w:tc>
          <w:tcPr>
            <w:tcW w:w="105" w:type="dxa"/>
            <w:tcBorders>
              <w:top w:val="nil"/>
              <w:left w:val="nil"/>
              <w:bottom w:val="nil"/>
              <w:right w:val="nil"/>
            </w:tcBorders>
            <w:shd w:val="clear" w:color="auto" w:fill="F4F4F4"/>
            <w:tcMar>
              <w:top w:w="0" w:type="dxa"/>
              <w:left w:w="0" w:type="dxa"/>
              <w:bottom w:w="0" w:type="dxa"/>
              <w:right w:w="0" w:type="dxa"/>
            </w:tcMar>
            <w:vAlign w:val="bottom"/>
          </w:tcPr>
          <w:p w14:paraId="7C651B8B" w14:textId="77777777" w:rsidR="001614AC" w:rsidRDefault="001614AC">
            <w:pPr>
              <w:keepNext/>
            </w:pPr>
          </w:p>
        </w:tc>
        <w:tc>
          <w:tcPr>
            <w:tcW w:w="995" w:type="dxa"/>
            <w:gridSpan w:val="2"/>
            <w:tcBorders>
              <w:top w:val="single" w:sz="8" w:space="0" w:color="C7C9C7"/>
              <w:left w:val="nil"/>
              <w:bottom w:val="single" w:sz="8" w:space="0" w:color="C7C9C7"/>
              <w:right w:val="nil"/>
            </w:tcBorders>
            <w:shd w:val="clear" w:color="auto" w:fill="F4F4F4"/>
            <w:tcMar>
              <w:top w:w="0" w:type="dxa"/>
              <w:left w:w="53" w:type="dxa"/>
              <w:bottom w:w="0" w:type="dxa"/>
              <w:right w:w="0" w:type="dxa"/>
            </w:tcMar>
            <w:vAlign w:val="bottom"/>
          </w:tcPr>
          <w:p w14:paraId="4DDE9B9B" w14:textId="77777777" w:rsidR="001614AC" w:rsidRDefault="004468F9">
            <w:pPr>
              <w:keepNext/>
              <w:spacing w:before="55" w:after="30" w:line="288" w:lineRule="auto"/>
              <w:jc w:val="right"/>
            </w:pPr>
            <w:r>
              <w:rPr>
                <w:rFonts w:ascii="Arial" w:eastAsia="Arial" w:hAnsi="Arial" w:cs="Arial"/>
                <w:color w:val="000000"/>
                <w:sz w:val="18"/>
              </w:rPr>
              <w:t>290,885 </w:t>
            </w:r>
          </w:p>
        </w:tc>
        <w:tc>
          <w:tcPr>
            <w:tcW w:w="100" w:type="dxa"/>
            <w:tcBorders>
              <w:top w:val="single" w:sz="8" w:space="0" w:color="C7C9C7"/>
              <w:left w:val="nil"/>
              <w:bottom w:val="single" w:sz="8" w:space="0" w:color="C7C9C7"/>
              <w:right w:val="nil"/>
            </w:tcBorders>
            <w:shd w:val="clear" w:color="auto" w:fill="F4F4F4"/>
            <w:tcMar>
              <w:top w:w="0" w:type="dxa"/>
              <w:left w:w="0" w:type="dxa"/>
              <w:bottom w:w="0" w:type="dxa"/>
              <w:right w:w="15" w:type="dxa"/>
            </w:tcMar>
            <w:vAlign w:val="bottom"/>
          </w:tcPr>
          <w:p w14:paraId="700469BD" w14:textId="77777777" w:rsidR="001614AC" w:rsidRDefault="001614AC">
            <w:pPr>
              <w:keepNext/>
              <w:spacing w:before="55" w:after="30" w:line="288" w:lineRule="auto"/>
              <w:jc w:val="right"/>
            </w:pPr>
          </w:p>
        </w:tc>
        <w:tc>
          <w:tcPr>
            <w:tcW w:w="105" w:type="dxa"/>
            <w:tcBorders>
              <w:top w:val="nil"/>
              <w:left w:val="nil"/>
              <w:bottom w:val="nil"/>
              <w:right w:val="nil"/>
            </w:tcBorders>
            <w:shd w:val="clear" w:color="auto" w:fill="F4F4F4"/>
            <w:tcMar>
              <w:top w:w="0" w:type="dxa"/>
              <w:left w:w="0" w:type="dxa"/>
              <w:bottom w:w="0" w:type="dxa"/>
              <w:right w:w="0" w:type="dxa"/>
            </w:tcMar>
            <w:vAlign w:val="bottom"/>
          </w:tcPr>
          <w:p w14:paraId="74596F18" w14:textId="77777777" w:rsidR="001614AC" w:rsidRDefault="001614AC">
            <w:pPr>
              <w:keepNext/>
            </w:pPr>
          </w:p>
        </w:tc>
        <w:tc>
          <w:tcPr>
            <w:tcW w:w="995" w:type="dxa"/>
            <w:gridSpan w:val="2"/>
            <w:tcBorders>
              <w:top w:val="single" w:sz="8" w:space="0" w:color="C7C9C7"/>
              <w:left w:val="nil"/>
              <w:bottom w:val="single" w:sz="8" w:space="0" w:color="C7C9C7"/>
              <w:right w:val="nil"/>
            </w:tcBorders>
            <w:shd w:val="clear" w:color="auto" w:fill="F4F4F4"/>
            <w:tcMar>
              <w:top w:w="0" w:type="dxa"/>
              <w:left w:w="53" w:type="dxa"/>
              <w:bottom w:w="0" w:type="dxa"/>
              <w:right w:w="0" w:type="dxa"/>
            </w:tcMar>
            <w:vAlign w:val="bottom"/>
          </w:tcPr>
          <w:p w14:paraId="2607DA3D" w14:textId="77777777" w:rsidR="001614AC" w:rsidRDefault="004468F9">
            <w:pPr>
              <w:keepNext/>
              <w:spacing w:before="55" w:after="30" w:line="288" w:lineRule="auto"/>
              <w:jc w:val="right"/>
            </w:pPr>
            <w:r>
              <w:rPr>
                <w:rFonts w:ascii="Arial" w:eastAsia="Arial" w:hAnsi="Arial" w:cs="Arial"/>
                <w:color w:val="000000"/>
                <w:sz w:val="18"/>
              </w:rPr>
              <w:t>— </w:t>
            </w:r>
          </w:p>
        </w:tc>
        <w:tc>
          <w:tcPr>
            <w:tcW w:w="100" w:type="dxa"/>
            <w:tcBorders>
              <w:top w:val="single" w:sz="8" w:space="0" w:color="C7C9C7"/>
              <w:left w:val="nil"/>
              <w:bottom w:val="single" w:sz="8" w:space="0" w:color="C7C9C7"/>
              <w:right w:val="nil"/>
            </w:tcBorders>
            <w:shd w:val="clear" w:color="auto" w:fill="F4F4F4"/>
            <w:tcMar>
              <w:top w:w="0" w:type="dxa"/>
              <w:left w:w="0" w:type="dxa"/>
              <w:bottom w:w="0" w:type="dxa"/>
              <w:right w:w="15" w:type="dxa"/>
            </w:tcMar>
            <w:vAlign w:val="bottom"/>
          </w:tcPr>
          <w:p w14:paraId="164C2D01" w14:textId="77777777" w:rsidR="001614AC" w:rsidRDefault="001614AC">
            <w:pPr>
              <w:keepNext/>
              <w:spacing w:before="55" w:after="30" w:line="288" w:lineRule="auto"/>
              <w:jc w:val="right"/>
            </w:pPr>
          </w:p>
        </w:tc>
        <w:tc>
          <w:tcPr>
            <w:tcW w:w="105" w:type="dxa"/>
            <w:tcBorders>
              <w:top w:val="nil"/>
              <w:left w:val="nil"/>
              <w:bottom w:val="nil"/>
              <w:right w:val="nil"/>
            </w:tcBorders>
            <w:shd w:val="clear" w:color="auto" w:fill="F4F4F4"/>
            <w:tcMar>
              <w:top w:w="0" w:type="dxa"/>
              <w:left w:w="0" w:type="dxa"/>
              <w:bottom w:w="0" w:type="dxa"/>
              <w:right w:w="0" w:type="dxa"/>
            </w:tcMar>
            <w:vAlign w:val="bottom"/>
          </w:tcPr>
          <w:p w14:paraId="036746D9" w14:textId="77777777" w:rsidR="001614AC" w:rsidRDefault="001614AC">
            <w:pPr>
              <w:keepNext/>
            </w:pPr>
          </w:p>
        </w:tc>
        <w:tc>
          <w:tcPr>
            <w:tcW w:w="995" w:type="dxa"/>
            <w:gridSpan w:val="2"/>
            <w:tcBorders>
              <w:top w:val="single" w:sz="8" w:space="0" w:color="C7C9C7"/>
              <w:left w:val="nil"/>
              <w:bottom w:val="single" w:sz="8" w:space="0" w:color="C7C9C7"/>
              <w:right w:val="nil"/>
            </w:tcBorders>
            <w:shd w:val="clear" w:color="auto" w:fill="F4F4F4"/>
            <w:tcMar>
              <w:top w:w="0" w:type="dxa"/>
              <w:left w:w="53" w:type="dxa"/>
              <w:bottom w:w="0" w:type="dxa"/>
              <w:right w:w="0" w:type="dxa"/>
            </w:tcMar>
            <w:vAlign w:val="bottom"/>
          </w:tcPr>
          <w:p w14:paraId="2C15B140" w14:textId="77777777" w:rsidR="001614AC" w:rsidRDefault="004468F9">
            <w:pPr>
              <w:keepNext/>
              <w:spacing w:before="55" w:after="30" w:line="288" w:lineRule="auto"/>
              <w:jc w:val="right"/>
            </w:pPr>
            <w:r>
              <w:rPr>
                <w:rFonts w:ascii="Arial" w:eastAsia="Arial" w:hAnsi="Arial" w:cs="Arial"/>
                <w:color w:val="000000"/>
                <w:sz w:val="18"/>
              </w:rPr>
              <w:t>290,885 </w:t>
            </w:r>
          </w:p>
        </w:tc>
        <w:tc>
          <w:tcPr>
            <w:tcW w:w="100" w:type="dxa"/>
            <w:tcBorders>
              <w:top w:val="single" w:sz="8" w:space="0" w:color="C7C9C7"/>
              <w:left w:val="nil"/>
              <w:bottom w:val="single" w:sz="8" w:space="0" w:color="C7C9C7"/>
              <w:right w:val="nil"/>
            </w:tcBorders>
            <w:shd w:val="clear" w:color="auto" w:fill="F4F4F4"/>
            <w:tcMar>
              <w:top w:w="0" w:type="dxa"/>
              <w:left w:w="0" w:type="dxa"/>
              <w:bottom w:w="0" w:type="dxa"/>
              <w:right w:w="15" w:type="dxa"/>
            </w:tcMar>
            <w:vAlign w:val="bottom"/>
          </w:tcPr>
          <w:p w14:paraId="573DA37D" w14:textId="77777777" w:rsidR="001614AC" w:rsidRDefault="001614AC">
            <w:pPr>
              <w:keepNext/>
              <w:spacing w:before="55" w:after="30" w:line="288" w:lineRule="auto"/>
              <w:jc w:val="right"/>
            </w:pPr>
          </w:p>
        </w:tc>
      </w:tr>
      <w:tr w:rsidR="001614AC" w14:paraId="0D372C69" w14:textId="77777777">
        <w:trPr>
          <w:cantSplit/>
        </w:trPr>
        <w:tc>
          <w:tcPr>
            <w:tcW w:w="5280" w:type="dxa"/>
            <w:tcBorders>
              <w:top w:val="nil"/>
              <w:left w:val="nil"/>
              <w:bottom w:val="single" w:sz="8" w:space="0" w:color="F4F4F4"/>
              <w:right w:val="nil"/>
            </w:tcBorders>
            <w:tcMar>
              <w:top w:w="0" w:type="dxa"/>
              <w:left w:w="53" w:type="dxa"/>
              <w:bottom w:w="0" w:type="dxa"/>
              <w:right w:w="53" w:type="dxa"/>
            </w:tcMar>
            <w:vAlign w:val="bottom"/>
          </w:tcPr>
          <w:p w14:paraId="4529F0BF" w14:textId="77777777" w:rsidR="001614AC" w:rsidRDefault="004468F9">
            <w:pPr>
              <w:keepNext/>
              <w:spacing w:before="75" w:after="30" w:line="288" w:lineRule="auto"/>
            </w:pPr>
            <w:r>
              <w:rPr>
                <w:rFonts w:ascii="Arial" w:eastAsia="Arial" w:hAnsi="Arial" w:cs="Arial"/>
                <w:color w:val="000000"/>
                <w:sz w:val="18"/>
              </w:rPr>
              <w:t>Equity securities</w:t>
            </w:r>
          </w:p>
        </w:tc>
        <w:tc>
          <w:tcPr>
            <w:tcW w:w="105" w:type="dxa"/>
            <w:tcBorders>
              <w:top w:val="nil"/>
              <w:left w:val="nil"/>
              <w:bottom w:val="nil"/>
              <w:right w:val="nil"/>
            </w:tcBorders>
            <w:tcMar>
              <w:top w:w="0" w:type="dxa"/>
              <w:left w:w="0" w:type="dxa"/>
              <w:bottom w:w="0" w:type="dxa"/>
              <w:right w:w="0" w:type="dxa"/>
            </w:tcMar>
            <w:vAlign w:val="bottom"/>
          </w:tcPr>
          <w:p w14:paraId="7505B237" w14:textId="77777777" w:rsidR="001614AC" w:rsidRDefault="001614AC">
            <w:pPr>
              <w:keepNext/>
            </w:pPr>
          </w:p>
        </w:tc>
        <w:tc>
          <w:tcPr>
            <w:tcW w:w="995" w:type="dxa"/>
            <w:gridSpan w:val="2"/>
            <w:tcBorders>
              <w:top w:val="single" w:sz="8" w:space="0" w:color="C7C9C7"/>
              <w:left w:val="nil"/>
              <w:bottom w:val="single" w:sz="8" w:space="0" w:color="C7C9C7"/>
              <w:right w:val="nil"/>
            </w:tcBorders>
            <w:tcMar>
              <w:top w:w="0" w:type="dxa"/>
              <w:left w:w="53" w:type="dxa"/>
              <w:bottom w:w="0" w:type="dxa"/>
              <w:right w:w="0" w:type="dxa"/>
            </w:tcMar>
            <w:vAlign w:val="bottom"/>
          </w:tcPr>
          <w:p w14:paraId="7692D838" w14:textId="77777777" w:rsidR="001614AC" w:rsidRDefault="004468F9">
            <w:pPr>
              <w:keepNext/>
              <w:spacing w:before="55" w:after="30" w:line="288" w:lineRule="auto"/>
              <w:jc w:val="right"/>
            </w:pPr>
            <w:r>
              <w:rPr>
                <w:rFonts w:ascii="Arial" w:eastAsia="Arial" w:hAnsi="Arial" w:cs="Arial"/>
                <w:color w:val="000000"/>
                <w:sz w:val="18"/>
              </w:rPr>
              <w:t>142,761 </w:t>
            </w:r>
          </w:p>
        </w:tc>
        <w:tc>
          <w:tcPr>
            <w:tcW w:w="100" w:type="dxa"/>
            <w:tcBorders>
              <w:top w:val="single" w:sz="8" w:space="0" w:color="C7C9C7"/>
              <w:left w:val="nil"/>
              <w:bottom w:val="single" w:sz="8" w:space="0" w:color="C7C9C7"/>
              <w:right w:val="nil"/>
            </w:tcBorders>
            <w:tcMar>
              <w:top w:w="0" w:type="dxa"/>
              <w:left w:w="0" w:type="dxa"/>
              <w:bottom w:w="0" w:type="dxa"/>
              <w:right w:w="15" w:type="dxa"/>
            </w:tcMar>
            <w:vAlign w:val="bottom"/>
          </w:tcPr>
          <w:p w14:paraId="7A7DE070" w14:textId="77777777" w:rsidR="001614AC" w:rsidRDefault="001614AC">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4A1831E2" w14:textId="77777777" w:rsidR="001614AC" w:rsidRDefault="001614AC">
            <w:pPr>
              <w:keepNext/>
            </w:pPr>
          </w:p>
        </w:tc>
        <w:tc>
          <w:tcPr>
            <w:tcW w:w="995" w:type="dxa"/>
            <w:gridSpan w:val="2"/>
            <w:tcBorders>
              <w:top w:val="single" w:sz="8" w:space="0" w:color="C7C9C7"/>
              <w:left w:val="nil"/>
              <w:bottom w:val="single" w:sz="8" w:space="0" w:color="C7C9C7"/>
              <w:right w:val="nil"/>
            </w:tcBorders>
            <w:tcMar>
              <w:top w:w="0" w:type="dxa"/>
              <w:left w:w="53" w:type="dxa"/>
              <w:bottom w:w="0" w:type="dxa"/>
              <w:right w:w="0" w:type="dxa"/>
            </w:tcMar>
            <w:vAlign w:val="bottom"/>
          </w:tcPr>
          <w:p w14:paraId="1D3E750F" w14:textId="77777777" w:rsidR="001614AC" w:rsidRDefault="004468F9">
            <w:pPr>
              <w:keepNext/>
              <w:spacing w:before="55" w:after="30" w:line="288" w:lineRule="auto"/>
              <w:jc w:val="right"/>
            </w:pPr>
            <w:r>
              <w:rPr>
                <w:rFonts w:ascii="Arial" w:eastAsia="Arial" w:hAnsi="Arial" w:cs="Arial"/>
                <w:color w:val="000000"/>
                <w:sz w:val="18"/>
              </w:rPr>
              <w:t>8,479 </w:t>
            </w:r>
          </w:p>
        </w:tc>
        <w:tc>
          <w:tcPr>
            <w:tcW w:w="100" w:type="dxa"/>
            <w:tcBorders>
              <w:top w:val="single" w:sz="8" w:space="0" w:color="C7C9C7"/>
              <w:left w:val="nil"/>
              <w:bottom w:val="single" w:sz="8" w:space="0" w:color="C7C9C7"/>
              <w:right w:val="nil"/>
            </w:tcBorders>
            <w:tcMar>
              <w:top w:w="0" w:type="dxa"/>
              <w:left w:w="0" w:type="dxa"/>
              <w:bottom w:w="0" w:type="dxa"/>
              <w:right w:w="15" w:type="dxa"/>
            </w:tcMar>
            <w:vAlign w:val="bottom"/>
          </w:tcPr>
          <w:p w14:paraId="001D7EA5" w14:textId="77777777" w:rsidR="001614AC" w:rsidRDefault="001614AC">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06902A48" w14:textId="77777777" w:rsidR="001614AC" w:rsidRDefault="001614AC">
            <w:pPr>
              <w:keepNext/>
            </w:pPr>
          </w:p>
        </w:tc>
        <w:tc>
          <w:tcPr>
            <w:tcW w:w="995" w:type="dxa"/>
            <w:gridSpan w:val="2"/>
            <w:tcBorders>
              <w:top w:val="single" w:sz="8" w:space="0" w:color="C7C9C7"/>
              <w:left w:val="nil"/>
              <w:bottom w:val="single" w:sz="8" w:space="0" w:color="C7C9C7"/>
              <w:right w:val="nil"/>
            </w:tcBorders>
            <w:tcMar>
              <w:top w:w="0" w:type="dxa"/>
              <w:left w:w="53" w:type="dxa"/>
              <w:bottom w:w="0" w:type="dxa"/>
              <w:right w:w="0" w:type="dxa"/>
            </w:tcMar>
            <w:vAlign w:val="bottom"/>
          </w:tcPr>
          <w:p w14:paraId="63B2B152" w14:textId="77777777" w:rsidR="001614AC" w:rsidRDefault="004468F9">
            <w:pPr>
              <w:keepNext/>
              <w:spacing w:before="55" w:after="30" w:line="288" w:lineRule="auto"/>
              <w:jc w:val="right"/>
            </w:pPr>
            <w:r>
              <w:rPr>
                <w:rFonts w:ascii="Arial" w:eastAsia="Arial" w:hAnsi="Arial" w:cs="Arial"/>
                <w:color w:val="000000"/>
                <w:sz w:val="18"/>
              </w:rPr>
              <w:t>— </w:t>
            </w:r>
          </w:p>
        </w:tc>
        <w:tc>
          <w:tcPr>
            <w:tcW w:w="100" w:type="dxa"/>
            <w:tcBorders>
              <w:top w:val="single" w:sz="8" w:space="0" w:color="C7C9C7"/>
              <w:left w:val="nil"/>
              <w:bottom w:val="single" w:sz="8" w:space="0" w:color="C7C9C7"/>
              <w:right w:val="nil"/>
            </w:tcBorders>
            <w:tcMar>
              <w:top w:w="0" w:type="dxa"/>
              <w:left w:w="0" w:type="dxa"/>
              <w:bottom w:w="0" w:type="dxa"/>
              <w:right w:w="15" w:type="dxa"/>
            </w:tcMar>
            <w:vAlign w:val="bottom"/>
          </w:tcPr>
          <w:p w14:paraId="59498298" w14:textId="77777777" w:rsidR="001614AC" w:rsidRDefault="001614AC">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7423F92D" w14:textId="77777777" w:rsidR="001614AC" w:rsidRDefault="001614AC">
            <w:pPr>
              <w:keepNext/>
            </w:pPr>
          </w:p>
        </w:tc>
        <w:tc>
          <w:tcPr>
            <w:tcW w:w="995" w:type="dxa"/>
            <w:gridSpan w:val="2"/>
            <w:tcBorders>
              <w:top w:val="single" w:sz="8" w:space="0" w:color="C7C9C7"/>
              <w:left w:val="nil"/>
              <w:bottom w:val="single" w:sz="8" w:space="0" w:color="C7C9C7"/>
              <w:right w:val="nil"/>
            </w:tcBorders>
            <w:tcMar>
              <w:top w:w="0" w:type="dxa"/>
              <w:left w:w="53" w:type="dxa"/>
              <w:bottom w:w="0" w:type="dxa"/>
              <w:right w:w="0" w:type="dxa"/>
            </w:tcMar>
            <w:vAlign w:val="bottom"/>
          </w:tcPr>
          <w:p w14:paraId="231B2C22" w14:textId="77777777" w:rsidR="001614AC" w:rsidRDefault="004468F9">
            <w:pPr>
              <w:keepNext/>
              <w:spacing w:before="55" w:after="30" w:line="288" w:lineRule="auto"/>
              <w:jc w:val="right"/>
            </w:pPr>
            <w:r>
              <w:rPr>
                <w:rFonts w:ascii="Arial" w:eastAsia="Arial" w:hAnsi="Arial" w:cs="Arial"/>
                <w:color w:val="000000"/>
                <w:sz w:val="18"/>
              </w:rPr>
              <w:t>151,240 </w:t>
            </w:r>
          </w:p>
        </w:tc>
        <w:tc>
          <w:tcPr>
            <w:tcW w:w="100" w:type="dxa"/>
            <w:tcBorders>
              <w:top w:val="single" w:sz="8" w:space="0" w:color="C7C9C7"/>
              <w:left w:val="nil"/>
              <w:bottom w:val="single" w:sz="8" w:space="0" w:color="C7C9C7"/>
              <w:right w:val="nil"/>
            </w:tcBorders>
            <w:tcMar>
              <w:top w:w="0" w:type="dxa"/>
              <w:left w:w="0" w:type="dxa"/>
              <w:bottom w:w="0" w:type="dxa"/>
              <w:right w:w="15" w:type="dxa"/>
            </w:tcMar>
            <w:vAlign w:val="bottom"/>
          </w:tcPr>
          <w:p w14:paraId="6478E6B2" w14:textId="77777777" w:rsidR="001614AC" w:rsidRDefault="001614AC">
            <w:pPr>
              <w:keepNext/>
              <w:spacing w:before="55" w:after="30" w:line="288" w:lineRule="auto"/>
              <w:jc w:val="right"/>
            </w:pPr>
          </w:p>
        </w:tc>
      </w:tr>
      <w:tr w:rsidR="001614AC" w14:paraId="4D450FB5" w14:textId="77777777">
        <w:trPr>
          <w:cantSplit/>
        </w:trPr>
        <w:tc>
          <w:tcPr>
            <w:tcW w:w="5280" w:type="dxa"/>
            <w:tcBorders>
              <w:top w:val="single" w:sz="8" w:space="0" w:color="F4F4F4"/>
              <w:left w:val="nil"/>
              <w:bottom w:val="nil"/>
              <w:right w:val="nil"/>
            </w:tcBorders>
            <w:tcMar>
              <w:top w:w="0" w:type="dxa"/>
              <w:left w:w="53" w:type="dxa"/>
              <w:bottom w:w="0" w:type="dxa"/>
              <w:right w:w="53" w:type="dxa"/>
            </w:tcMar>
            <w:vAlign w:val="bottom"/>
          </w:tcPr>
          <w:p w14:paraId="18AF6148" w14:textId="77777777" w:rsidR="001614AC" w:rsidRDefault="004468F9">
            <w:pPr>
              <w:keepNext/>
              <w:spacing w:before="55" w:after="30" w:line="288" w:lineRule="auto"/>
            </w:pPr>
            <w:r>
              <w:rPr>
                <w:rFonts w:ascii="Arial" w:eastAsia="Arial" w:hAnsi="Arial" w:cs="Arial"/>
                <w:color w:val="000000"/>
                <w:sz w:val="18"/>
              </w:rPr>
              <w:t>Short-term investments</w:t>
            </w:r>
          </w:p>
        </w:tc>
        <w:tc>
          <w:tcPr>
            <w:tcW w:w="105" w:type="dxa"/>
            <w:tcBorders>
              <w:top w:val="nil"/>
              <w:left w:val="nil"/>
              <w:bottom w:val="nil"/>
              <w:right w:val="nil"/>
            </w:tcBorders>
            <w:tcMar>
              <w:top w:w="0" w:type="dxa"/>
              <w:left w:w="0" w:type="dxa"/>
              <w:bottom w:w="0" w:type="dxa"/>
              <w:right w:w="0" w:type="dxa"/>
            </w:tcMar>
            <w:vAlign w:val="bottom"/>
          </w:tcPr>
          <w:p w14:paraId="1B33D648" w14:textId="77777777" w:rsidR="001614AC" w:rsidRDefault="001614AC">
            <w:pPr>
              <w:keepNext/>
            </w:pPr>
          </w:p>
        </w:tc>
        <w:tc>
          <w:tcPr>
            <w:tcW w:w="1095" w:type="dxa"/>
            <w:gridSpan w:val="3"/>
            <w:tcBorders>
              <w:top w:val="single" w:sz="8" w:space="0" w:color="C7C9C7"/>
              <w:left w:val="nil"/>
              <w:bottom w:val="nil"/>
              <w:right w:val="nil"/>
            </w:tcBorders>
            <w:tcMar>
              <w:top w:w="0" w:type="dxa"/>
              <w:left w:w="0" w:type="dxa"/>
              <w:bottom w:w="0" w:type="dxa"/>
              <w:right w:w="0" w:type="dxa"/>
            </w:tcMar>
            <w:vAlign w:val="bottom"/>
          </w:tcPr>
          <w:p w14:paraId="2EB05ACE" w14:textId="77777777" w:rsidR="001614AC" w:rsidRDefault="001614AC">
            <w:pPr>
              <w:keepNext/>
            </w:pPr>
          </w:p>
        </w:tc>
        <w:tc>
          <w:tcPr>
            <w:tcW w:w="105" w:type="dxa"/>
            <w:tcBorders>
              <w:top w:val="nil"/>
              <w:left w:val="nil"/>
              <w:bottom w:val="nil"/>
              <w:right w:val="nil"/>
            </w:tcBorders>
            <w:tcMar>
              <w:top w:w="0" w:type="dxa"/>
              <w:left w:w="0" w:type="dxa"/>
              <w:bottom w:w="0" w:type="dxa"/>
              <w:right w:w="0" w:type="dxa"/>
            </w:tcMar>
            <w:vAlign w:val="bottom"/>
          </w:tcPr>
          <w:p w14:paraId="3E9851B9" w14:textId="77777777" w:rsidR="001614AC" w:rsidRDefault="001614AC">
            <w:pPr>
              <w:keepNext/>
            </w:pPr>
          </w:p>
        </w:tc>
        <w:tc>
          <w:tcPr>
            <w:tcW w:w="1095" w:type="dxa"/>
            <w:gridSpan w:val="3"/>
            <w:tcBorders>
              <w:top w:val="single" w:sz="8" w:space="0" w:color="C7C9C7"/>
              <w:left w:val="nil"/>
              <w:bottom w:val="nil"/>
              <w:right w:val="nil"/>
            </w:tcBorders>
            <w:tcMar>
              <w:top w:w="0" w:type="dxa"/>
              <w:left w:w="0" w:type="dxa"/>
              <w:bottom w:w="0" w:type="dxa"/>
              <w:right w:w="0" w:type="dxa"/>
            </w:tcMar>
            <w:vAlign w:val="bottom"/>
          </w:tcPr>
          <w:p w14:paraId="74840B95" w14:textId="77777777" w:rsidR="001614AC" w:rsidRDefault="001614AC">
            <w:pPr>
              <w:keepNext/>
            </w:pPr>
          </w:p>
        </w:tc>
        <w:tc>
          <w:tcPr>
            <w:tcW w:w="105" w:type="dxa"/>
            <w:tcBorders>
              <w:top w:val="nil"/>
              <w:left w:val="nil"/>
              <w:bottom w:val="nil"/>
              <w:right w:val="nil"/>
            </w:tcBorders>
            <w:tcMar>
              <w:top w:w="0" w:type="dxa"/>
              <w:left w:w="0" w:type="dxa"/>
              <w:bottom w:w="0" w:type="dxa"/>
              <w:right w:w="0" w:type="dxa"/>
            </w:tcMar>
            <w:vAlign w:val="bottom"/>
          </w:tcPr>
          <w:p w14:paraId="08BD4A1E" w14:textId="77777777" w:rsidR="001614AC" w:rsidRDefault="001614AC">
            <w:pPr>
              <w:keepNext/>
            </w:pPr>
          </w:p>
        </w:tc>
        <w:tc>
          <w:tcPr>
            <w:tcW w:w="1095" w:type="dxa"/>
            <w:gridSpan w:val="3"/>
            <w:tcBorders>
              <w:top w:val="single" w:sz="8" w:space="0" w:color="C7C9C7"/>
              <w:left w:val="nil"/>
              <w:bottom w:val="nil"/>
              <w:right w:val="nil"/>
            </w:tcBorders>
            <w:tcMar>
              <w:top w:w="0" w:type="dxa"/>
              <w:left w:w="0" w:type="dxa"/>
              <w:bottom w:w="0" w:type="dxa"/>
              <w:right w:w="0" w:type="dxa"/>
            </w:tcMar>
            <w:vAlign w:val="bottom"/>
          </w:tcPr>
          <w:p w14:paraId="60D12575" w14:textId="77777777" w:rsidR="001614AC" w:rsidRDefault="001614AC">
            <w:pPr>
              <w:keepNext/>
            </w:pPr>
          </w:p>
        </w:tc>
        <w:tc>
          <w:tcPr>
            <w:tcW w:w="105" w:type="dxa"/>
            <w:tcBorders>
              <w:top w:val="nil"/>
              <w:left w:val="nil"/>
              <w:bottom w:val="nil"/>
              <w:right w:val="nil"/>
            </w:tcBorders>
            <w:tcMar>
              <w:top w:w="0" w:type="dxa"/>
              <w:left w:w="0" w:type="dxa"/>
              <w:bottom w:w="0" w:type="dxa"/>
              <w:right w:w="0" w:type="dxa"/>
            </w:tcMar>
            <w:vAlign w:val="bottom"/>
          </w:tcPr>
          <w:p w14:paraId="5296DB0F" w14:textId="77777777" w:rsidR="001614AC" w:rsidRDefault="001614AC">
            <w:pPr>
              <w:keepNext/>
            </w:pPr>
          </w:p>
        </w:tc>
        <w:tc>
          <w:tcPr>
            <w:tcW w:w="1095" w:type="dxa"/>
            <w:gridSpan w:val="3"/>
            <w:tcBorders>
              <w:top w:val="single" w:sz="8" w:space="0" w:color="C7C9C7"/>
              <w:left w:val="nil"/>
              <w:bottom w:val="nil"/>
              <w:right w:val="nil"/>
            </w:tcBorders>
            <w:tcMar>
              <w:top w:w="0" w:type="dxa"/>
              <w:left w:w="0" w:type="dxa"/>
              <w:bottom w:w="0" w:type="dxa"/>
              <w:right w:w="0" w:type="dxa"/>
            </w:tcMar>
            <w:vAlign w:val="bottom"/>
          </w:tcPr>
          <w:p w14:paraId="005EBB53" w14:textId="77777777" w:rsidR="001614AC" w:rsidRDefault="001614AC">
            <w:pPr>
              <w:keepNext/>
            </w:pPr>
          </w:p>
        </w:tc>
      </w:tr>
      <w:tr w:rsidR="001614AC" w14:paraId="572E685E" w14:textId="77777777">
        <w:trPr>
          <w:cantSplit/>
        </w:trPr>
        <w:tc>
          <w:tcPr>
            <w:tcW w:w="5280" w:type="dxa"/>
            <w:tcBorders>
              <w:top w:val="single" w:sz="8" w:space="0" w:color="F4F4F4"/>
              <w:left w:val="nil"/>
              <w:bottom w:val="single" w:sz="8" w:space="0" w:color="F4F4F4"/>
              <w:right w:val="nil"/>
            </w:tcBorders>
            <w:tcMar>
              <w:top w:w="0" w:type="dxa"/>
              <w:left w:w="53" w:type="dxa"/>
              <w:bottom w:w="0" w:type="dxa"/>
              <w:right w:w="53" w:type="dxa"/>
            </w:tcMar>
            <w:vAlign w:val="bottom"/>
          </w:tcPr>
          <w:p w14:paraId="6D786134" w14:textId="77777777" w:rsidR="001614AC" w:rsidRDefault="004468F9">
            <w:pPr>
              <w:keepNext/>
              <w:spacing w:before="55" w:after="30" w:line="288" w:lineRule="auto"/>
              <w:ind w:left="240"/>
            </w:pPr>
            <w:r>
              <w:rPr>
                <w:rFonts w:ascii="Arial" w:eastAsia="Arial" w:hAnsi="Arial" w:cs="Arial"/>
                <w:color w:val="000000"/>
                <w:sz w:val="18"/>
              </w:rPr>
              <w:t>State and municipal obligations</w:t>
            </w:r>
          </w:p>
        </w:tc>
        <w:tc>
          <w:tcPr>
            <w:tcW w:w="105" w:type="dxa"/>
            <w:tcBorders>
              <w:top w:val="nil"/>
              <w:left w:val="nil"/>
              <w:bottom w:val="nil"/>
              <w:right w:val="nil"/>
            </w:tcBorders>
            <w:tcMar>
              <w:top w:w="0" w:type="dxa"/>
              <w:left w:w="0" w:type="dxa"/>
              <w:bottom w:w="0" w:type="dxa"/>
              <w:right w:w="0" w:type="dxa"/>
            </w:tcMar>
            <w:vAlign w:val="bottom"/>
          </w:tcPr>
          <w:p w14:paraId="3E35F6EF" w14:textId="77777777" w:rsidR="001614AC" w:rsidRDefault="001614AC">
            <w:pPr>
              <w:keepNext/>
            </w:pPr>
          </w:p>
        </w:tc>
        <w:tc>
          <w:tcPr>
            <w:tcW w:w="995"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374F1028" w14:textId="77777777" w:rsidR="001614AC" w:rsidRDefault="004468F9">
            <w:pPr>
              <w:keepNext/>
              <w:spacing w:before="55" w:after="30" w:line="288" w:lineRule="auto"/>
              <w:jc w:val="right"/>
            </w:pPr>
            <w:r>
              <w:rPr>
                <w:rFonts w:ascii="Arial" w:eastAsia="Arial" w:hAnsi="Arial" w:cs="Arial"/>
                <w:color w:val="000000"/>
                <w:sz w:val="18"/>
              </w:rPr>
              <w:t>—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6F2BA67F" w14:textId="77777777" w:rsidR="001614AC" w:rsidRDefault="001614AC">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789F396A" w14:textId="77777777" w:rsidR="001614AC" w:rsidRDefault="001614AC">
            <w:pPr>
              <w:keepNext/>
            </w:pPr>
          </w:p>
        </w:tc>
        <w:tc>
          <w:tcPr>
            <w:tcW w:w="995"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0F6A8B46" w14:textId="77777777" w:rsidR="001614AC" w:rsidRDefault="004468F9">
            <w:pPr>
              <w:keepNext/>
              <w:spacing w:before="55" w:after="30" w:line="288" w:lineRule="auto"/>
              <w:jc w:val="right"/>
            </w:pPr>
            <w:r>
              <w:rPr>
                <w:rFonts w:ascii="Arial" w:eastAsia="Arial" w:hAnsi="Arial" w:cs="Arial"/>
                <w:color w:val="000000"/>
                <w:sz w:val="18"/>
              </w:rPr>
              <w:t>21,819 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056DC856" w14:textId="77777777" w:rsidR="001614AC" w:rsidRDefault="001614AC">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5FAB3ECB" w14:textId="77777777" w:rsidR="001614AC" w:rsidRDefault="001614AC">
            <w:pPr>
              <w:keepNext/>
            </w:pPr>
          </w:p>
        </w:tc>
        <w:tc>
          <w:tcPr>
            <w:tcW w:w="995"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4794CA63" w14:textId="77777777" w:rsidR="001614AC" w:rsidRDefault="004468F9">
            <w:pPr>
              <w:keepNext/>
              <w:spacing w:before="55" w:after="30" w:line="288" w:lineRule="auto"/>
              <w:jc w:val="right"/>
            </w:pPr>
            <w:r>
              <w:rPr>
                <w:rFonts w:ascii="Arial" w:eastAsia="Arial" w:hAnsi="Arial" w:cs="Arial"/>
                <w:color w:val="000000"/>
                <w:sz w:val="18"/>
              </w:rPr>
              <w:t>—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32250D3C" w14:textId="77777777" w:rsidR="001614AC" w:rsidRDefault="001614AC">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52798565" w14:textId="77777777" w:rsidR="001614AC" w:rsidRDefault="001614AC">
            <w:pPr>
              <w:keepNext/>
            </w:pPr>
          </w:p>
        </w:tc>
        <w:tc>
          <w:tcPr>
            <w:tcW w:w="995"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1AFF624A" w14:textId="77777777" w:rsidR="001614AC" w:rsidRDefault="004468F9">
            <w:pPr>
              <w:keepNext/>
              <w:spacing w:before="55" w:after="30" w:line="288" w:lineRule="auto"/>
              <w:jc w:val="right"/>
            </w:pPr>
            <w:r>
              <w:rPr>
                <w:rFonts w:ascii="Arial" w:eastAsia="Arial" w:hAnsi="Arial" w:cs="Arial"/>
                <w:color w:val="000000"/>
                <w:sz w:val="18"/>
              </w:rPr>
              <w:t>21,819 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526A6841" w14:textId="77777777" w:rsidR="001614AC" w:rsidRDefault="001614AC">
            <w:pPr>
              <w:keepNext/>
              <w:spacing w:before="55" w:after="30" w:line="288" w:lineRule="auto"/>
              <w:jc w:val="right"/>
            </w:pPr>
          </w:p>
        </w:tc>
      </w:tr>
      <w:tr w:rsidR="001614AC" w14:paraId="0E8C0D57" w14:textId="77777777">
        <w:trPr>
          <w:cantSplit/>
        </w:trPr>
        <w:tc>
          <w:tcPr>
            <w:tcW w:w="5280" w:type="dxa"/>
            <w:tcBorders>
              <w:top w:val="single" w:sz="8" w:space="0" w:color="F4F4F4"/>
              <w:left w:val="nil"/>
              <w:bottom w:val="single" w:sz="8" w:space="0" w:color="F4F4F4"/>
              <w:right w:val="nil"/>
            </w:tcBorders>
            <w:tcMar>
              <w:top w:w="0" w:type="dxa"/>
              <w:left w:w="53" w:type="dxa"/>
              <w:bottom w:w="0" w:type="dxa"/>
              <w:right w:w="53" w:type="dxa"/>
            </w:tcMar>
            <w:vAlign w:val="bottom"/>
          </w:tcPr>
          <w:p w14:paraId="2A66C76D" w14:textId="77777777" w:rsidR="001614AC" w:rsidRDefault="004468F9">
            <w:pPr>
              <w:keepNext/>
              <w:spacing w:before="55" w:after="30" w:line="288" w:lineRule="auto"/>
              <w:ind w:left="240"/>
            </w:pPr>
            <w:r>
              <w:rPr>
                <w:rFonts w:ascii="Arial" w:eastAsia="Arial" w:hAnsi="Arial" w:cs="Arial"/>
                <w:color w:val="000000"/>
                <w:sz w:val="18"/>
              </w:rPr>
              <w:t>Money market instruments</w:t>
            </w:r>
          </w:p>
        </w:tc>
        <w:tc>
          <w:tcPr>
            <w:tcW w:w="105" w:type="dxa"/>
            <w:tcBorders>
              <w:top w:val="nil"/>
              <w:left w:val="nil"/>
              <w:bottom w:val="nil"/>
              <w:right w:val="nil"/>
            </w:tcBorders>
            <w:tcMar>
              <w:top w:w="0" w:type="dxa"/>
              <w:left w:w="0" w:type="dxa"/>
              <w:bottom w:w="0" w:type="dxa"/>
              <w:right w:w="0" w:type="dxa"/>
            </w:tcMar>
            <w:vAlign w:val="bottom"/>
          </w:tcPr>
          <w:p w14:paraId="43FD5BF1" w14:textId="77777777" w:rsidR="001614AC" w:rsidRDefault="001614AC">
            <w:pPr>
              <w:keepNext/>
            </w:pPr>
          </w:p>
        </w:tc>
        <w:tc>
          <w:tcPr>
            <w:tcW w:w="995"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69BD00FE" w14:textId="77777777" w:rsidR="001614AC" w:rsidRDefault="004468F9">
            <w:pPr>
              <w:keepNext/>
              <w:spacing w:before="55" w:after="30" w:line="288" w:lineRule="auto"/>
              <w:jc w:val="right"/>
            </w:pPr>
            <w:r>
              <w:rPr>
                <w:rFonts w:ascii="Arial" w:eastAsia="Arial" w:hAnsi="Arial" w:cs="Arial"/>
                <w:color w:val="000000"/>
                <w:sz w:val="18"/>
              </w:rPr>
              <w:t>268,900 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12DC0551" w14:textId="77777777" w:rsidR="001614AC" w:rsidRDefault="001614AC">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1DC49D44" w14:textId="77777777" w:rsidR="001614AC" w:rsidRDefault="001614AC">
            <w:pPr>
              <w:keepNext/>
            </w:pPr>
          </w:p>
        </w:tc>
        <w:tc>
          <w:tcPr>
            <w:tcW w:w="995"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1AD1ECF5" w14:textId="77777777" w:rsidR="001614AC" w:rsidRDefault="004468F9">
            <w:pPr>
              <w:keepNext/>
              <w:spacing w:before="55" w:after="30" w:line="288" w:lineRule="auto"/>
              <w:jc w:val="right"/>
            </w:pPr>
            <w:r>
              <w:rPr>
                <w:rFonts w:ascii="Arial" w:eastAsia="Arial" w:hAnsi="Arial" w:cs="Arial"/>
                <w:color w:val="000000"/>
                <w:sz w:val="18"/>
              </w:rPr>
              <w:t>—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027C2FC6" w14:textId="77777777" w:rsidR="001614AC" w:rsidRDefault="001614AC">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71417E51" w14:textId="77777777" w:rsidR="001614AC" w:rsidRDefault="001614AC">
            <w:pPr>
              <w:keepNext/>
            </w:pPr>
          </w:p>
        </w:tc>
        <w:tc>
          <w:tcPr>
            <w:tcW w:w="995"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7897DCE4" w14:textId="77777777" w:rsidR="001614AC" w:rsidRDefault="004468F9">
            <w:pPr>
              <w:keepNext/>
              <w:spacing w:before="55" w:after="30" w:line="288" w:lineRule="auto"/>
              <w:jc w:val="right"/>
            </w:pPr>
            <w:r>
              <w:rPr>
                <w:rFonts w:ascii="Arial" w:eastAsia="Arial" w:hAnsi="Arial" w:cs="Arial"/>
                <w:color w:val="000000"/>
                <w:sz w:val="18"/>
              </w:rPr>
              <w:t>—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75020425" w14:textId="77777777" w:rsidR="001614AC" w:rsidRDefault="001614AC">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6966003E" w14:textId="77777777" w:rsidR="001614AC" w:rsidRDefault="001614AC">
            <w:pPr>
              <w:keepNext/>
            </w:pPr>
          </w:p>
        </w:tc>
        <w:tc>
          <w:tcPr>
            <w:tcW w:w="995"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09242DA8" w14:textId="77777777" w:rsidR="001614AC" w:rsidRDefault="004468F9">
            <w:pPr>
              <w:keepNext/>
              <w:spacing w:before="55" w:after="30" w:line="288" w:lineRule="auto"/>
              <w:jc w:val="right"/>
            </w:pPr>
            <w:r>
              <w:rPr>
                <w:rFonts w:ascii="Arial" w:eastAsia="Arial" w:hAnsi="Arial" w:cs="Arial"/>
                <w:color w:val="000000"/>
                <w:sz w:val="18"/>
              </w:rPr>
              <w:t>268,900 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4BF8456C" w14:textId="77777777" w:rsidR="001614AC" w:rsidRDefault="001614AC">
            <w:pPr>
              <w:keepNext/>
              <w:spacing w:before="55" w:after="30" w:line="288" w:lineRule="auto"/>
              <w:jc w:val="right"/>
            </w:pPr>
          </w:p>
        </w:tc>
      </w:tr>
      <w:tr w:rsidR="001614AC" w14:paraId="18AAB546" w14:textId="77777777">
        <w:trPr>
          <w:cantSplit/>
        </w:trPr>
        <w:tc>
          <w:tcPr>
            <w:tcW w:w="5280" w:type="dxa"/>
            <w:tcBorders>
              <w:top w:val="single" w:sz="8" w:space="0" w:color="F4F4F4"/>
              <w:left w:val="nil"/>
              <w:bottom w:val="single" w:sz="8" w:space="0" w:color="F4F4F4"/>
              <w:right w:val="nil"/>
            </w:tcBorders>
            <w:tcMar>
              <w:top w:w="0" w:type="dxa"/>
              <w:left w:w="53" w:type="dxa"/>
              <w:bottom w:w="0" w:type="dxa"/>
              <w:right w:w="53" w:type="dxa"/>
            </w:tcMar>
            <w:vAlign w:val="bottom"/>
          </w:tcPr>
          <w:p w14:paraId="2DE87290" w14:textId="77777777" w:rsidR="001614AC" w:rsidRDefault="004468F9">
            <w:pPr>
              <w:keepNext/>
              <w:spacing w:before="55" w:after="30" w:line="288" w:lineRule="auto"/>
              <w:ind w:left="240"/>
            </w:pPr>
            <w:r>
              <w:rPr>
                <w:rFonts w:ascii="Arial" w:eastAsia="Arial" w:hAnsi="Arial" w:cs="Arial"/>
                <w:color w:val="000000"/>
                <w:sz w:val="18"/>
              </w:rPr>
              <w:t>Corporate bonds and notes</w:t>
            </w:r>
          </w:p>
        </w:tc>
        <w:tc>
          <w:tcPr>
            <w:tcW w:w="105" w:type="dxa"/>
            <w:tcBorders>
              <w:top w:val="nil"/>
              <w:left w:val="nil"/>
              <w:bottom w:val="nil"/>
              <w:right w:val="nil"/>
            </w:tcBorders>
            <w:tcMar>
              <w:top w:w="0" w:type="dxa"/>
              <w:left w:w="0" w:type="dxa"/>
              <w:bottom w:w="0" w:type="dxa"/>
              <w:right w:w="0" w:type="dxa"/>
            </w:tcMar>
            <w:vAlign w:val="bottom"/>
          </w:tcPr>
          <w:p w14:paraId="497FBB61" w14:textId="77777777" w:rsidR="001614AC" w:rsidRDefault="001614AC">
            <w:pPr>
              <w:keepNext/>
            </w:pPr>
          </w:p>
        </w:tc>
        <w:tc>
          <w:tcPr>
            <w:tcW w:w="995"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44445380" w14:textId="77777777" w:rsidR="001614AC" w:rsidRDefault="004468F9">
            <w:pPr>
              <w:keepNext/>
              <w:spacing w:before="55" w:after="30" w:line="288" w:lineRule="auto"/>
              <w:jc w:val="right"/>
            </w:pPr>
            <w:r>
              <w:rPr>
                <w:rFonts w:ascii="Arial" w:eastAsia="Arial" w:hAnsi="Arial" w:cs="Arial"/>
                <w:color w:val="000000"/>
                <w:sz w:val="18"/>
              </w:rPr>
              <w:t>—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0C44387C" w14:textId="77777777" w:rsidR="001614AC" w:rsidRDefault="001614AC">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30379E80" w14:textId="77777777" w:rsidR="001614AC" w:rsidRDefault="001614AC">
            <w:pPr>
              <w:keepNext/>
            </w:pPr>
          </w:p>
        </w:tc>
        <w:tc>
          <w:tcPr>
            <w:tcW w:w="995"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60C869D7" w14:textId="77777777" w:rsidR="001614AC" w:rsidRDefault="004468F9">
            <w:pPr>
              <w:keepNext/>
              <w:spacing w:before="55" w:after="30" w:line="288" w:lineRule="auto"/>
              <w:jc w:val="right"/>
            </w:pPr>
            <w:r>
              <w:rPr>
                <w:rFonts w:ascii="Arial" w:eastAsia="Arial" w:hAnsi="Arial" w:cs="Arial"/>
                <w:color w:val="000000"/>
                <w:sz w:val="18"/>
              </w:rPr>
              <w:t>30,495 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0391590A" w14:textId="77777777" w:rsidR="001614AC" w:rsidRDefault="001614AC">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7A1198BD" w14:textId="77777777" w:rsidR="001614AC" w:rsidRDefault="001614AC">
            <w:pPr>
              <w:keepNext/>
            </w:pPr>
          </w:p>
        </w:tc>
        <w:tc>
          <w:tcPr>
            <w:tcW w:w="995"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101D8F23" w14:textId="77777777" w:rsidR="001614AC" w:rsidRDefault="004468F9">
            <w:pPr>
              <w:keepNext/>
              <w:spacing w:before="55" w:after="30" w:line="288" w:lineRule="auto"/>
              <w:jc w:val="right"/>
            </w:pPr>
            <w:r>
              <w:rPr>
                <w:rFonts w:ascii="Arial" w:eastAsia="Arial" w:hAnsi="Arial" w:cs="Arial"/>
                <w:color w:val="000000"/>
                <w:sz w:val="18"/>
              </w:rPr>
              <w:t>—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5908EA96" w14:textId="77777777" w:rsidR="001614AC" w:rsidRDefault="001614AC">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461C5129" w14:textId="77777777" w:rsidR="001614AC" w:rsidRDefault="001614AC">
            <w:pPr>
              <w:keepNext/>
            </w:pPr>
          </w:p>
        </w:tc>
        <w:tc>
          <w:tcPr>
            <w:tcW w:w="995"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47627579" w14:textId="77777777" w:rsidR="001614AC" w:rsidRDefault="004468F9">
            <w:pPr>
              <w:keepNext/>
              <w:spacing w:before="55" w:after="30" w:line="288" w:lineRule="auto"/>
              <w:jc w:val="right"/>
            </w:pPr>
            <w:r>
              <w:rPr>
                <w:rFonts w:ascii="Arial" w:eastAsia="Arial" w:hAnsi="Arial" w:cs="Arial"/>
                <w:color w:val="000000"/>
                <w:sz w:val="18"/>
              </w:rPr>
              <w:t>30,495 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27418C28" w14:textId="77777777" w:rsidR="001614AC" w:rsidRDefault="001614AC">
            <w:pPr>
              <w:keepNext/>
              <w:spacing w:before="55" w:after="30" w:line="288" w:lineRule="auto"/>
              <w:jc w:val="right"/>
            </w:pPr>
          </w:p>
        </w:tc>
      </w:tr>
      <w:tr w:rsidR="001614AC" w14:paraId="4768F855" w14:textId="77777777">
        <w:trPr>
          <w:cantSplit/>
        </w:trPr>
        <w:tc>
          <w:tcPr>
            <w:tcW w:w="5280" w:type="dxa"/>
            <w:tcBorders>
              <w:top w:val="single" w:sz="8" w:space="0" w:color="F4F4F4"/>
              <w:left w:val="nil"/>
              <w:bottom w:val="nil"/>
              <w:right w:val="nil"/>
            </w:tcBorders>
            <w:tcMar>
              <w:top w:w="0" w:type="dxa"/>
              <w:left w:w="53" w:type="dxa"/>
              <w:bottom w:w="0" w:type="dxa"/>
              <w:right w:w="53" w:type="dxa"/>
            </w:tcMar>
            <w:vAlign w:val="bottom"/>
          </w:tcPr>
          <w:p w14:paraId="67F8F0A1" w14:textId="77777777" w:rsidR="001614AC" w:rsidRDefault="004468F9">
            <w:pPr>
              <w:keepNext/>
              <w:spacing w:before="55" w:after="30" w:line="288" w:lineRule="auto"/>
              <w:ind w:left="240"/>
            </w:pPr>
            <w:r>
              <w:rPr>
                <w:rFonts w:ascii="Arial" w:eastAsia="Arial" w:hAnsi="Arial" w:cs="Arial"/>
                <w:color w:val="000000"/>
                <w:sz w:val="18"/>
              </w:rPr>
              <w:t>Other ABS</w:t>
            </w:r>
          </w:p>
        </w:tc>
        <w:tc>
          <w:tcPr>
            <w:tcW w:w="105" w:type="dxa"/>
            <w:tcBorders>
              <w:top w:val="nil"/>
              <w:left w:val="nil"/>
              <w:bottom w:val="nil"/>
              <w:right w:val="nil"/>
            </w:tcBorders>
            <w:tcMar>
              <w:top w:w="0" w:type="dxa"/>
              <w:left w:w="0" w:type="dxa"/>
              <w:bottom w:w="0" w:type="dxa"/>
              <w:right w:w="0" w:type="dxa"/>
            </w:tcMar>
            <w:vAlign w:val="bottom"/>
          </w:tcPr>
          <w:p w14:paraId="54344527" w14:textId="77777777" w:rsidR="001614AC" w:rsidRDefault="001614AC">
            <w:pPr>
              <w:keepNext/>
            </w:pPr>
          </w:p>
        </w:tc>
        <w:tc>
          <w:tcPr>
            <w:tcW w:w="995" w:type="dxa"/>
            <w:gridSpan w:val="2"/>
            <w:tcBorders>
              <w:top w:val="single" w:sz="8" w:space="0" w:color="F4F4F4"/>
              <w:left w:val="nil"/>
              <w:bottom w:val="nil"/>
              <w:right w:val="nil"/>
            </w:tcBorders>
            <w:tcMar>
              <w:top w:w="0" w:type="dxa"/>
              <w:left w:w="53" w:type="dxa"/>
              <w:bottom w:w="0" w:type="dxa"/>
              <w:right w:w="0" w:type="dxa"/>
            </w:tcMar>
            <w:vAlign w:val="bottom"/>
          </w:tcPr>
          <w:p w14:paraId="744DBBE3" w14:textId="77777777" w:rsidR="001614AC" w:rsidRDefault="004468F9">
            <w:pPr>
              <w:keepNext/>
              <w:spacing w:before="55" w:after="30" w:line="288" w:lineRule="auto"/>
              <w:jc w:val="right"/>
            </w:pPr>
            <w:r>
              <w:rPr>
                <w:rFonts w:ascii="Arial" w:eastAsia="Arial" w:hAnsi="Arial" w:cs="Arial"/>
                <w:color w:val="000000"/>
                <w:sz w:val="18"/>
              </w:rPr>
              <w:t>— </w:t>
            </w:r>
          </w:p>
        </w:tc>
        <w:tc>
          <w:tcPr>
            <w:tcW w:w="100" w:type="dxa"/>
            <w:tcBorders>
              <w:top w:val="single" w:sz="8" w:space="0" w:color="F4F4F4"/>
              <w:left w:val="nil"/>
              <w:bottom w:val="nil"/>
              <w:right w:val="nil"/>
            </w:tcBorders>
            <w:tcMar>
              <w:top w:w="0" w:type="dxa"/>
              <w:left w:w="0" w:type="dxa"/>
              <w:bottom w:w="0" w:type="dxa"/>
              <w:right w:w="15" w:type="dxa"/>
            </w:tcMar>
            <w:vAlign w:val="bottom"/>
          </w:tcPr>
          <w:p w14:paraId="652DE1AF" w14:textId="77777777" w:rsidR="001614AC" w:rsidRDefault="001614AC">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2C37D7E8" w14:textId="77777777" w:rsidR="001614AC" w:rsidRDefault="001614AC">
            <w:pPr>
              <w:keepNext/>
            </w:pPr>
          </w:p>
        </w:tc>
        <w:tc>
          <w:tcPr>
            <w:tcW w:w="995" w:type="dxa"/>
            <w:gridSpan w:val="2"/>
            <w:tcBorders>
              <w:top w:val="single" w:sz="8" w:space="0" w:color="F4F4F4"/>
              <w:left w:val="nil"/>
              <w:bottom w:val="nil"/>
              <w:right w:val="nil"/>
            </w:tcBorders>
            <w:tcMar>
              <w:top w:w="0" w:type="dxa"/>
              <w:left w:w="53" w:type="dxa"/>
              <w:bottom w:w="0" w:type="dxa"/>
              <w:right w:w="0" w:type="dxa"/>
            </w:tcMar>
            <w:vAlign w:val="bottom"/>
          </w:tcPr>
          <w:p w14:paraId="7562B73E" w14:textId="77777777" w:rsidR="001614AC" w:rsidRDefault="004468F9">
            <w:pPr>
              <w:keepNext/>
              <w:spacing w:before="55" w:after="30" w:line="288" w:lineRule="auto"/>
              <w:jc w:val="right"/>
            </w:pPr>
            <w:r>
              <w:rPr>
                <w:rFonts w:ascii="Arial" w:eastAsia="Arial" w:hAnsi="Arial" w:cs="Arial"/>
                <w:color w:val="000000"/>
                <w:sz w:val="18"/>
              </w:rPr>
              <w:t>219 </w:t>
            </w:r>
          </w:p>
        </w:tc>
        <w:tc>
          <w:tcPr>
            <w:tcW w:w="100" w:type="dxa"/>
            <w:tcBorders>
              <w:top w:val="single" w:sz="8" w:space="0" w:color="F4F4F4"/>
              <w:left w:val="nil"/>
              <w:bottom w:val="nil"/>
              <w:right w:val="nil"/>
            </w:tcBorders>
            <w:tcMar>
              <w:top w:w="0" w:type="dxa"/>
              <w:left w:w="0" w:type="dxa"/>
              <w:bottom w:w="0" w:type="dxa"/>
              <w:right w:w="15" w:type="dxa"/>
            </w:tcMar>
            <w:vAlign w:val="bottom"/>
          </w:tcPr>
          <w:p w14:paraId="671CCF2A" w14:textId="77777777" w:rsidR="001614AC" w:rsidRDefault="001614AC">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57447205" w14:textId="77777777" w:rsidR="001614AC" w:rsidRDefault="001614AC">
            <w:pPr>
              <w:keepNext/>
            </w:pPr>
          </w:p>
        </w:tc>
        <w:tc>
          <w:tcPr>
            <w:tcW w:w="995" w:type="dxa"/>
            <w:gridSpan w:val="2"/>
            <w:tcBorders>
              <w:top w:val="single" w:sz="8" w:space="0" w:color="F4F4F4"/>
              <w:left w:val="nil"/>
              <w:bottom w:val="nil"/>
              <w:right w:val="nil"/>
            </w:tcBorders>
            <w:tcMar>
              <w:top w:w="0" w:type="dxa"/>
              <w:left w:w="53" w:type="dxa"/>
              <w:bottom w:w="0" w:type="dxa"/>
              <w:right w:w="0" w:type="dxa"/>
            </w:tcMar>
            <w:vAlign w:val="bottom"/>
          </w:tcPr>
          <w:p w14:paraId="77D71C01" w14:textId="77777777" w:rsidR="001614AC" w:rsidRDefault="004468F9">
            <w:pPr>
              <w:keepNext/>
              <w:spacing w:before="55" w:after="30" w:line="288" w:lineRule="auto"/>
              <w:jc w:val="right"/>
            </w:pPr>
            <w:r>
              <w:rPr>
                <w:rFonts w:ascii="Arial" w:eastAsia="Arial" w:hAnsi="Arial" w:cs="Arial"/>
                <w:color w:val="000000"/>
                <w:sz w:val="18"/>
              </w:rPr>
              <w:t>— </w:t>
            </w:r>
          </w:p>
        </w:tc>
        <w:tc>
          <w:tcPr>
            <w:tcW w:w="100" w:type="dxa"/>
            <w:tcBorders>
              <w:top w:val="single" w:sz="8" w:space="0" w:color="F4F4F4"/>
              <w:left w:val="nil"/>
              <w:bottom w:val="nil"/>
              <w:right w:val="nil"/>
            </w:tcBorders>
            <w:tcMar>
              <w:top w:w="0" w:type="dxa"/>
              <w:left w:w="0" w:type="dxa"/>
              <w:bottom w:w="0" w:type="dxa"/>
              <w:right w:w="15" w:type="dxa"/>
            </w:tcMar>
            <w:vAlign w:val="bottom"/>
          </w:tcPr>
          <w:p w14:paraId="125A4BAD" w14:textId="77777777" w:rsidR="001614AC" w:rsidRDefault="001614AC">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2D15E252" w14:textId="77777777" w:rsidR="001614AC" w:rsidRDefault="001614AC">
            <w:pPr>
              <w:keepNext/>
            </w:pPr>
          </w:p>
        </w:tc>
        <w:tc>
          <w:tcPr>
            <w:tcW w:w="995" w:type="dxa"/>
            <w:gridSpan w:val="2"/>
            <w:tcBorders>
              <w:top w:val="single" w:sz="8" w:space="0" w:color="F4F4F4"/>
              <w:left w:val="nil"/>
              <w:bottom w:val="nil"/>
              <w:right w:val="nil"/>
            </w:tcBorders>
            <w:tcMar>
              <w:top w:w="0" w:type="dxa"/>
              <w:left w:w="53" w:type="dxa"/>
              <w:bottom w:w="0" w:type="dxa"/>
              <w:right w:w="0" w:type="dxa"/>
            </w:tcMar>
            <w:vAlign w:val="bottom"/>
          </w:tcPr>
          <w:p w14:paraId="3B983FA7" w14:textId="77777777" w:rsidR="001614AC" w:rsidRDefault="004468F9">
            <w:pPr>
              <w:keepNext/>
              <w:spacing w:before="55" w:after="30" w:line="288" w:lineRule="auto"/>
              <w:jc w:val="right"/>
            </w:pPr>
            <w:r>
              <w:rPr>
                <w:rFonts w:ascii="Arial" w:eastAsia="Arial" w:hAnsi="Arial" w:cs="Arial"/>
                <w:color w:val="000000"/>
                <w:sz w:val="18"/>
              </w:rPr>
              <w:t>219 </w:t>
            </w:r>
          </w:p>
        </w:tc>
        <w:tc>
          <w:tcPr>
            <w:tcW w:w="100" w:type="dxa"/>
            <w:tcBorders>
              <w:top w:val="single" w:sz="8" w:space="0" w:color="F4F4F4"/>
              <w:left w:val="nil"/>
              <w:bottom w:val="nil"/>
              <w:right w:val="nil"/>
            </w:tcBorders>
            <w:tcMar>
              <w:top w:w="0" w:type="dxa"/>
              <w:left w:w="0" w:type="dxa"/>
              <w:bottom w:w="0" w:type="dxa"/>
              <w:right w:w="15" w:type="dxa"/>
            </w:tcMar>
            <w:vAlign w:val="bottom"/>
          </w:tcPr>
          <w:p w14:paraId="5ACEB7AB" w14:textId="77777777" w:rsidR="001614AC" w:rsidRDefault="001614AC">
            <w:pPr>
              <w:keepNext/>
              <w:spacing w:before="55" w:after="30" w:line="288" w:lineRule="auto"/>
              <w:jc w:val="right"/>
            </w:pPr>
          </w:p>
        </w:tc>
      </w:tr>
      <w:tr w:rsidR="001614AC" w14:paraId="724076A2" w14:textId="77777777">
        <w:trPr>
          <w:cantSplit/>
        </w:trPr>
        <w:tc>
          <w:tcPr>
            <w:tcW w:w="5280" w:type="dxa"/>
            <w:tcBorders>
              <w:top w:val="single" w:sz="8" w:space="0" w:color="F4F4F4"/>
              <w:left w:val="nil"/>
              <w:bottom w:val="nil"/>
              <w:right w:val="nil"/>
            </w:tcBorders>
            <w:tcMar>
              <w:top w:w="0" w:type="dxa"/>
              <w:left w:w="53" w:type="dxa"/>
              <w:bottom w:w="0" w:type="dxa"/>
              <w:right w:w="53" w:type="dxa"/>
            </w:tcMar>
            <w:vAlign w:val="bottom"/>
          </w:tcPr>
          <w:p w14:paraId="210BAD39" w14:textId="77777777" w:rsidR="001614AC" w:rsidRDefault="004468F9">
            <w:pPr>
              <w:keepNext/>
              <w:spacing w:before="55" w:after="30" w:line="288" w:lineRule="auto"/>
              <w:ind w:left="240"/>
              <w:rPr>
                <w:rFonts w:ascii="Arial" w:eastAsia="Arial" w:hAnsi="Arial" w:cs="Arial"/>
                <w:sz w:val="18"/>
              </w:rPr>
            </w:pPr>
            <w:r>
              <w:rPr>
                <w:rFonts w:ascii="Arial" w:eastAsia="Arial" w:hAnsi="Arial" w:cs="Arial"/>
                <w:sz w:val="18"/>
              </w:rPr>
              <w:t xml:space="preserve">Other investments </w:t>
            </w:r>
            <w:r>
              <w:rPr>
                <w:rFonts w:ascii="Arial" w:eastAsia="Arial" w:hAnsi="Arial" w:cs="Arial"/>
                <w:sz w:val="18"/>
                <w:vertAlign w:val="superscript"/>
              </w:rPr>
              <w:t xml:space="preserve">(1) </w:t>
            </w:r>
          </w:p>
        </w:tc>
        <w:tc>
          <w:tcPr>
            <w:tcW w:w="105" w:type="dxa"/>
            <w:tcBorders>
              <w:top w:val="nil"/>
              <w:left w:val="nil"/>
              <w:bottom w:val="nil"/>
              <w:right w:val="nil"/>
            </w:tcBorders>
            <w:tcMar>
              <w:top w:w="0" w:type="dxa"/>
              <w:left w:w="0" w:type="dxa"/>
              <w:bottom w:w="0" w:type="dxa"/>
              <w:right w:w="0" w:type="dxa"/>
            </w:tcMar>
            <w:vAlign w:val="bottom"/>
          </w:tcPr>
          <w:p w14:paraId="58011D1A" w14:textId="77777777" w:rsidR="001614AC" w:rsidRDefault="001614AC">
            <w:pPr>
              <w:keepNext/>
            </w:pPr>
          </w:p>
        </w:tc>
        <w:tc>
          <w:tcPr>
            <w:tcW w:w="995" w:type="dxa"/>
            <w:gridSpan w:val="2"/>
            <w:tcBorders>
              <w:top w:val="single" w:sz="8" w:space="0" w:color="F4F4F4"/>
              <w:left w:val="nil"/>
              <w:bottom w:val="single" w:sz="8" w:space="0" w:color="C7C9C7"/>
              <w:right w:val="nil"/>
            </w:tcBorders>
            <w:tcMar>
              <w:top w:w="0" w:type="dxa"/>
              <w:left w:w="53" w:type="dxa"/>
              <w:bottom w:w="0" w:type="dxa"/>
              <w:right w:w="0" w:type="dxa"/>
            </w:tcMar>
            <w:vAlign w:val="bottom"/>
          </w:tcPr>
          <w:p w14:paraId="3DC64D88" w14:textId="77777777" w:rsidR="001614AC" w:rsidRDefault="004468F9">
            <w:pPr>
              <w:keepNext/>
              <w:spacing w:before="55" w:after="30" w:line="288" w:lineRule="auto"/>
              <w:jc w:val="right"/>
            </w:pPr>
            <w:r>
              <w:rPr>
                <w:rFonts w:ascii="Arial" w:eastAsia="Arial" w:hAnsi="Arial" w:cs="Arial"/>
                <w:color w:val="000000"/>
                <w:sz w:val="18"/>
              </w:rPr>
              <w:t>— </w:t>
            </w:r>
          </w:p>
        </w:tc>
        <w:tc>
          <w:tcPr>
            <w:tcW w:w="100" w:type="dxa"/>
            <w:tcBorders>
              <w:top w:val="single" w:sz="8" w:space="0" w:color="F4F4F4"/>
              <w:left w:val="nil"/>
              <w:bottom w:val="single" w:sz="8" w:space="0" w:color="C7C9C7"/>
              <w:right w:val="nil"/>
            </w:tcBorders>
            <w:tcMar>
              <w:top w:w="0" w:type="dxa"/>
              <w:left w:w="0" w:type="dxa"/>
              <w:bottom w:w="0" w:type="dxa"/>
              <w:right w:w="15" w:type="dxa"/>
            </w:tcMar>
            <w:vAlign w:val="bottom"/>
          </w:tcPr>
          <w:p w14:paraId="7B992123" w14:textId="77777777" w:rsidR="001614AC" w:rsidRDefault="001614AC">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3C99278A" w14:textId="77777777" w:rsidR="001614AC" w:rsidRDefault="001614AC">
            <w:pPr>
              <w:keepNext/>
            </w:pPr>
          </w:p>
        </w:tc>
        <w:tc>
          <w:tcPr>
            <w:tcW w:w="995" w:type="dxa"/>
            <w:gridSpan w:val="2"/>
            <w:tcBorders>
              <w:top w:val="single" w:sz="8" w:space="0" w:color="F4F4F4"/>
              <w:left w:val="nil"/>
              <w:bottom w:val="single" w:sz="8" w:space="0" w:color="C7C9C7"/>
              <w:right w:val="nil"/>
            </w:tcBorders>
            <w:tcMar>
              <w:top w:w="0" w:type="dxa"/>
              <w:left w:w="53" w:type="dxa"/>
              <w:bottom w:w="0" w:type="dxa"/>
              <w:right w:w="0" w:type="dxa"/>
            </w:tcMar>
            <w:vAlign w:val="bottom"/>
          </w:tcPr>
          <w:p w14:paraId="5A8E9B4B" w14:textId="77777777" w:rsidR="001614AC" w:rsidRDefault="004468F9">
            <w:pPr>
              <w:keepNext/>
              <w:spacing w:before="55" w:after="30" w:line="288" w:lineRule="auto"/>
              <w:jc w:val="right"/>
            </w:pPr>
            <w:r>
              <w:rPr>
                <w:rFonts w:ascii="Arial" w:eastAsia="Arial" w:hAnsi="Arial" w:cs="Arial"/>
                <w:color w:val="000000"/>
                <w:sz w:val="18"/>
              </w:rPr>
              <w:t>296,571 </w:t>
            </w:r>
          </w:p>
        </w:tc>
        <w:tc>
          <w:tcPr>
            <w:tcW w:w="100" w:type="dxa"/>
            <w:tcBorders>
              <w:top w:val="single" w:sz="8" w:space="0" w:color="F4F4F4"/>
              <w:left w:val="nil"/>
              <w:bottom w:val="single" w:sz="8" w:space="0" w:color="C7C9C7"/>
              <w:right w:val="nil"/>
            </w:tcBorders>
            <w:tcMar>
              <w:top w:w="0" w:type="dxa"/>
              <w:left w:w="0" w:type="dxa"/>
              <w:bottom w:w="0" w:type="dxa"/>
              <w:right w:w="15" w:type="dxa"/>
            </w:tcMar>
            <w:vAlign w:val="bottom"/>
          </w:tcPr>
          <w:p w14:paraId="2BE874FF" w14:textId="77777777" w:rsidR="001614AC" w:rsidRDefault="001614AC">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0FDD31EE" w14:textId="77777777" w:rsidR="001614AC" w:rsidRDefault="001614AC">
            <w:pPr>
              <w:keepNext/>
            </w:pPr>
          </w:p>
        </w:tc>
        <w:tc>
          <w:tcPr>
            <w:tcW w:w="995" w:type="dxa"/>
            <w:gridSpan w:val="2"/>
            <w:tcBorders>
              <w:top w:val="single" w:sz="8" w:space="0" w:color="F4F4F4"/>
              <w:left w:val="nil"/>
              <w:bottom w:val="single" w:sz="8" w:space="0" w:color="C7C9C7"/>
              <w:right w:val="nil"/>
            </w:tcBorders>
            <w:tcMar>
              <w:top w:w="0" w:type="dxa"/>
              <w:left w:w="53" w:type="dxa"/>
              <w:bottom w:w="0" w:type="dxa"/>
              <w:right w:w="0" w:type="dxa"/>
            </w:tcMar>
            <w:vAlign w:val="bottom"/>
          </w:tcPr>
          <w:p w14:paraId="33D14264" w14:textId="77777777" w:rsidR="001614AC" w:rsidRDefault="004468F9">
            <w:pPr>
              <w:keepNext/>
              <w:spacing w:before="55" w:after="30" w:line="288" w:lineRule="auto"/>
              <w:jc w:val="right"/>
            </w:pPr>
            <w:r>
              <w:rPr>
                <w:rFonts w:ascii="Arial" w:eastAsia="Arial" w:hAnsi="Arial" w:cs="Arial"/>
                <w:color w:val="000000"/>
                <w:sz w:val="18"/>
              </w:rPr>
              <w:t>— </w:t>
            </w:r>
          </w:p>
        </w:tc>
        <w:tc>
          <w:tcPr>
            <w:tcW w:w="100" w:type="dxa"/>
            <w:tcBorders>
              <w:top w:val="single" w:sz="8" w:space="0" w:color="F4F4F4"/>
              <w:left w:val="nil"/>
              <w:bottom w:val="single" w:sz="8" w:space="0" w:color="C7C9C7"/>
              <w:right w:val="nil"/>
            </w:tcBorders>
            <w:tcMar>
              <w:top w:w="0" w:type="dxa"/>
              <w:left w:w="0" w:type="dxa"/>
              <w:bottom w:w="0" w:type="dxa"/>
              <w:right w:w="15" w:type="dxa"/>
            </w:tcMar>
            <w:vAlign w:val="bottom"/>
          </w:tcPr>
          <w:p w14:paraId="7DECC260" w14:textId="77777777" w:rsidR="001614AC" w:rsidRDefault="001614AC">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7EE9EB16" w14:textId="77777777" w:rsidR="001614AC" w:rsidRDefault="001614AC">
            <w:pPr>
              <w:keepNext/>
            </w:pPr>
          </w:p>
        </w:tc>
        <w:tc>
          <w:tcPr>
            <w:tcW w:w="995" w:type="dxa"/>
            <w:gridSpan w:val="2"/>
            <w:tcBorders>
              <w:top w:val="single" w:sz="8" w:space="0" w:color="F4F4F4"/>
              <w:left w:val="nil"/>
              <w:bottom w:val="single" w:sz="8" w:space="0" w:color="C7C9C7"/>
              <w:right w:val="nil"/>
            </w:tcBorders>
            <w:tcMar>
              <w:top w:w="0" w:type="dxa"/>
              <w:left w:w="53" w:type="dxa"/>
              <w:bottom w:w="0" w:type="dxa"/>
              <w:right w:w="0" w:type="dxa"/>
            </w:tcMar>
            <w:vAlign w:val="bottom"/>
          </w:tcPr>
          <w:p w14:paraId="6EECA1E7" w14:textId="77777777" w:rsidR="001614AC" w:rsidRDefault="004468F9">
            <w:pPr>
              <w:keepNext/>
              <w:spacing w:before="55" w:after="30" w:line="288" w:lineRule="auto"/>
              <w:jc w:val="right"/>
            </w:pPr>
            <w:r>
              <w:rPr>
                <w:rFonts w:ascii="Arial" w:eastAsia="Arial" w:hAnsi="Arial" w:cs="Arial"/>
                <w:color w:val="000000"/>
                <w:sz w:val="18"/>
              </w:rPr>
              <w:t>296,571 </w:t>
            </w:r>
          </w:p>
        </w:tc>
        <w:tc>
          <w:tcPr>
            <w:tcW w:w="100" w:type="dxa"/>
            <w:tcBorders>
              <w:top w:val="single" w:sz="8" w:space="0" w:color="F4F4F4"/>
              <w:left w:val="nil"/>
              <w:bottom w:val="single" w:sz="8" w:space="0" w:color="C7C9C7"/>
              <w:right w:val="nil"/>
            </w:tcBorders>
            <w:tcMar>
              <w:top w:w="0" w:type="dxa"/>
              <w:left w:w="0" w:type="dxa"/>
              <w:bottom w:w="0" w:type="dxa"/>
              <w:right w:w="15" w:type="dxa"/>
            </w:tcMar>
            <w:vAlign w:val="bottom"/>
          </w:tcPr>
          <w:p w14:paraId="070BFEF3" w14:textId="77777777" w:rsidR="001614AC" w:rsidRDefault="001614AC">
            <w:pPr>
              <w:keepNext/>
              <w:spacing w:before="55" w:after="30" w:line="288" w:lineRule="auto"/>
              <w:jc w:val="right"/>
            </w:pPr>
          </w:p>
        </w:tc>
      </w:tr>
      <w:tr w:rsidR="001614AC" w14:paraId="47411009" w14:textId="77777777">
        <w:trPr>
          <w:cantSplit/>
        </w:trPr>
        <w:tc>
          <w:tcPr>
            <w:tcW w:w="5280" w:type="dxa"/>
            <w:tcBorders>
              <w:top w:val="nil"/>
              <w:left w:val="nil"/>
              <w:bottom w:val="nil"/>
              <w:right w:val="nil"/>
            </w:tcBorders>
            <w:shd w:val="clear" w:color="auto" w:fill="F4F4F4"/>
            <w:tcMar>
              <w:top w:w="0" w:type="dxa"/>
              <w:left w:w="53" w:type="dxa"/>
              <w:bottom w:w="0" w:type="dxa"/>
              <w:right w:w="53" w:type="dxa"/>
            </w:tcMar>
            <w:vAlign w:val="bottom"/>
          </w:tcPr>
          <w:p w14:paraId="2E141432" w14:textId="77777777" w:rsidR="001614AC" w:rsidRDefault="004468F9">
            <w:pPr>
              <w:keepNext/>
              <w:spacing w:before="75" w:after="30" w:line="288" w:lineRule="auto"/>
              <w:ind w:left="240"/>
            </w:pPr>
            <w:r>
              <w:rPr>
                <w:rFonts w:ascii="Arial" w:eastAsia="Arial" w:hAnsi="Arial" w:cs="Arial"/>
                <w:color w:val="000000"/>
                <w:sz w:val="18"/>
              </w:rPr>
              <w:t>Total short-term investments</w:t>
            </w:r>
          </w:p>
        </w:tc>
        <w:tc>
          <w:tcPr>
            <w:tcW w:w="105" w:type="dxa"/>
            <w:tcBorders>
              <w:top w:val="nil"/>
              <w:left w:val="nil"/>
              <w:bottom w:val="nil"/>
              <w:right w:val="nil"/>
            </w:tcBorders>
            <w:shd w:val="clear" w:color="auto" w:fill="F4F4F4"/>
            <w:tcMar>
              <w:top w:w="0" w:type="dxa"/>
              <w:left w:w="0" w:type="dxa"/>
              <w:bottom w:w="0" w:type="dxa"/>
              <w:right w:w="0" w:type="dxa"/>
            </w:tcMar>
            <w:vAlign w:val="bottom"/>
          </w:tcPr>
          <w:p w14:paraId="53579901" w14:textId="77777777" w:rsidR="001614AC" w:rsidRDefault="001614AC">
            <w:pPr>
              <w:keepNext/>
            </w:pPr>
          </w:p>
        </w:tc>
        <w:tc>
          <w:tcPr>
            <w:tcW w:w="995" w:type="dxa"/>
            <w:gridSpan w:val="2"/>
            <w:tcBorders>
              <w:top w:val="single" w:sz="8" w:space="0" w:color="C7C9C7"/>
              <w:left w:val="nil"/>
              <w:bottom w:val="single" w:sz="8" w:space="0" w:color="C7C9C7"/>
              <w:right w:val="nil"/>
            </w:tcBorders>
            <w:shd w:val="clear" w:color="auto" w:fill="F4F4F4"/>
            <w:tcMar>
              <w:top w:w="0" w:type="dxa"/>
              <w:left w:w="53" w:type="dxa"/>
              <w:bottom w:w="0" w:type="dxa"/>
              <w:right w:w="0" w:type="dxa"/>
            </w:tcMar>
            <w:vAlign w:val="bottom"/>
          </w:tcPr>
          <w:p w14:paraId="6295A935" w14:textId="77777777" w:rsidR="001614AC" w:rsidRDefault="004468F9">
            <w:pPr>
              <w:keepNext/>
              <w:spacing w:before="55" w:after="30" w:line="288" w:lineRule="auto"/>
              <w:jc w:val="right"/>
            </w:pPr>
            <w:r>
              <w:rPr>
                <w:rFonts w:ascii="Arial" w:eastAsia="Arial" w:hAnsi="Arial" w:cs="Arial"/>
                <w:color w:val="000000"/>
                <w:sz w:val="18"/>
              </w:rPr>
              <w:t>268,900 </w:t>
            </w:r>
          </w:p>
        </w:tc>
        <w:tc>
          <w:tcPr>
            <w:tcW w:w="100" w:type="dxa"/>
            <w:tcBorders>
              <w:top w:val="single" w:sz="8" w:space="0" w:color="C7C9C7"/>
              <w:left w:val="nil"/>
              <w:bottom w:val="single" w:sz="8" w:space="0" w:color="C7C9C7"/>
              <w:right w:val="nil"/>
            </w:tcBorders>
            <w:shd w:val="clear" w:color="auto" w:fill="F4F4F4"/>
            <w:tcMar>
              <w:top w:w="0" w:type="dxa"/>
              <w:left w:w="0" w:type="dxa"/>
              <w:bottom w:w="0" w:type="dxa"/>
              <w:right w:w="15" w:type="dxa"/>
            </w:tcMar>
            <w:vAlign w:val="bottom"/>
          </w:tcPr>
          <w:p w14:paraId="22893B09" w14:textId="77777777" w:rsidR="001614AC" w:rsidRDefault="001614AC">
            <w:pPr>
              <w:keepNext/>
              <w:spacing w:before="55" w:after="30" w:line="288" w:lineRule="auto"/>
              <w:jc w:val="right"/>
            </w:pPr>
          </w:p>
        </w:tc>
        <w:tc>
          <w:tcPr>
            <w:tcW w:w="105" w:type="dxa"/>
            <w:tcBorders>
              <w:top w:val="nil"/>
              <w:left w:val="nil"/>
              <w:bottom w:val="nil"/>
              <w:right w:val="nil"/>
            </w:tcBorders>
            <w:shd w:val="clear" w:color="auto" w:fill="F4F4F4"/>
            <w:tcMar>
              <w:top w:w="0" w:type="dxa"/>
              <w:left w:w="0" w:type="dxa"/>
              <w:bottom w:w="0" w:type="dxa"/>
              <w:right w:w="0" w:type="dxa"/>
            </w:tcMar>
            <w:vAlign w:val="bottom"/>
          </w:tcPr>
          <w:p w14:paraId="05AA8783" w14:textId="77777777" w:rsidR="001614AC" w:rsidRDefault="001614AC">
            <w:pPr>
              <w:keepNext/>
            </w:pPr>
          </w:p>
        </w:tc>
        <w:tc>
          <w:tcPr>
            <w:tcW w:w="995" w:type="dxa"/>
            <w:gridSpan w:val="2"/>
            <w:tcBorders>
              <w:top w:val="single" w:sz="8" w:space="0" w:color="C7C9C7"/>
              <w:left w:val="nil"/>
              <w:bottom w:val="single" w:sz="8" w:space="0" w:color="C7C9C7"/>
              <w:right w:val="nil"/>
            </w:tcBorders>
            <w:shd w:val="clear" w:color="auto" w:fill="F4F4F4"/>
            <w:tcMar>
              <w:top w:w="0" w:type="dxa"/>
              <w:left w:w="53" w:type="dxa"/>
              <w:bottom w:w="0" w:type="dxa"/>
              <w:right w:w="0" w:type="dxa"/>
            </w:tcMar>
            <w:vAlign w:val="bottom"/>
          </w:tcPr>
          <w:p w14:paraId="7A1D6BC0" w14:textId="77777777" w:rsidR="001614AC" w:rsidRDefault="004468F9">
            <w:pPr>
              <w:keepNext/>
              <w:spacing w:before="55" w:after="30" w:line="288" w:lineRule="auto"/>
              <w:jc w:val="right"/>
            </w:pPr>
            <w:r>
              <w:rPr>
                <w:rFonts w:ascii="Arial" w:eastAsia="Arial" w:hAnsi="Arial" w:cs="Arial"/>
                <w:color w:val="000000"/>
                <w:sz w:val="18"/>
              </w:rPr>
              <w:t>349,104 </w:t>
            </w:r>
          </w:p>
        </w:tc>
        <w:tc>
          <w:tcPr>
            <w:tcW w:w="100" w:type="dxa"/>
            <w:tcBorders>
              <w:top w:val="single" w:sz="8" w:space="0" w:color="C7C9C7"/>
              <w:left w:val="nil"/>
              <w:bottom w:val="single" w:sz="8" w:space="0" w:color="C7C9C7"/>
              <w:right w:val="nil"/>
            </w:tcBorders>
            <w:shd w:val="clear" w:color="auto" w:fill="F4F4F4"/>
            <w:tcMar>
              <w:top w:w="0" w:type="dxa"/>
              <w:left w:w="0" w:type="dxa"/>
              <w:bottom w:w="0" w:type="dxa"/>
              <w:right w:w="15" w:type="dxa"/>
            </w:tcMar>
            <w:vAlign w:val="bottom"/>
          </w:tcPr>
          <w:p w14:paraId="55BBA9AC" w14:textId="77777777" w:rsidR="001614AC" w:rsidRDefault="001614AC">
            <w:pPr>
              <w:keepNext/>
              <w:spacing w:before="55" w:after="30" w:line="288" w:lineRule="auto"/>
              <w:jc w:val="right"/>
            </w:pPr>
          </w:p>
        </w:tc>
        <w:tc>
          <w:tcPr>
            <w:tcW w:w="105" w:type="dxa"/>
            <w:tcBorders>
              <w:top w:val="nil"/>
              <w:left w:val="nil"/>
              <w:bottom w:val="nil"/>
              <w:right w:val="nil"/>
            </w:tcBorders>
            <w:shd w:val="clear" w:color="auto" w:fill="F4F4F4"/>
            <w:tcMar>
              <w:top w:w="0" w:type="dxa"/>
              <w:left w:w="0" w:type="dxa"/>
              <w:bottom w:w="0" w:type="dxa"/>
              <w:right w:w="0" w:type="dxa"/>
            </w:tcMar>
            <w:vAlign w:val="bottom"/>
          </w:tcPr>
          <w:p w14:paraId="1B690E51" w14:textId="77777777" w:rsidR="001614AC" w:rsidRDefault="001614AC">
            <w:pPr>
              <w:keepNext/>
            </w:pPr>
          </w:p>
        </w:tc>
        <w:tc>
          <w:tcPr>
            <w:tcW w:w="995" w:type="dxa"/>
            <w:gridSpan w:val="2"/>
            <w:tcBorders>
              <w:top w:val="single" w:sz="8" w:space="0" w:color="C7C9C7"/>
              <w:left w:val="nil"/>
              <w:bottom w:val="single" w:sz="8" w:space="0" w:color="C7C9C7"/>
              <w:right w:val="nil"/>
            </w:tcBorders>
            <w:shd w:val="clear" w:color="auto" w:fill="F4F4F4"/>
            <w:tcMar>
              <w:top w:w="0" w:type="dxa"/>
              <w:left w:w="53" w:type="dxa"/>
              <w:bottom w:w="0" w:type="dxa"/>
              <w:right w:w="0" w:type="dxa"/>
            </w:tcMar>
            <w:vAlign w:val="bottom"/>
          </w:tcPr>
          <w:p w14:paraId="2857034F" w14:textId="77777777" w:rsidR="001614AC" w:rsidRDefault="004468F9">
            <w:pPr>
              <w:keepNext/>
              <w:spacing w:before="55" w:after="30" w:line="288" w:lineRule="auto"/>
              <w:jc w:val="right"/>
            </w:pPr>
            <w:r>
              <w:rPr>
                <w:rFonts w:ascii="Arial" w:eastAsia="Arial" w:hAnsi="Arial" w:cs="Arial"/>
                <w:color w:val="000000"/>
                <w:sz w:val="18"/>
              </w:rPr>
              <w:t>— </w:t>
            </w:r>
          </w:p>
        </w:tc>
        <w:tc>
          <w:tcPr>
            <w:tcW w:w="100" w:type="dxa"/>
            <w:tcBorders>
              <w:top w:val="single" w:sz="8" w:space="0" w:color="C7C9C7"/>
              <w:left w:val="nil"/>
              <w:bottom w:val="single" w:sz="8" w:space="0" w:color="C7C9C7"/>
              <w:right w:val="nil"/>
            </w:tcBorders>
            <w:shd w:val="clear" w:color="auto" w:fill="F4F4F4"/>
            <w:tcMar>
              <w:top w:w="0" w:type="dxa"/>
              <w:left w:w="0" w:type="dxa"/>
              <w:bottom w:w="0" w:type="dxa"/>
              <w:right w:w="15" w:type="dxa"/>
            </w:tcMar>
            <w:vAlign w:val="bottom"/>
          </w:tcPr>
          <w:p w14:paraId="2D26A4EC" w14:textId="77777777" w:rsidR="001614AC" w:rsidRDefault="001614AC">
            <w:pPr>
              <w:keepNext/>
              <w:spacing w:before="55" w:after="30" w:line="288" w:lineRule="auto"/>
              <w:jc w:val="right"/>
            </w:pPr>
          </w:p>
        </w:tc>
        <w:tc>
          <w:tcPr>
            <w:tcW w:w="105" w:type="dxa"/>
            <w:tcBorders>
              <w:top w:val="nil"/>
              <w:left w:val="nil"/>
              <w:bottom w:val="nil"/>
              <w:right w:val="nil"/>
            </w:tcBorders>
            <w:shd w:val="clear" w:color="auto" w:fill="F4F4F4"/>
            <w:tcMar>
              <w:top w:w="0" w:type="dxa"/>
              <w:left w:w="0" w:type="dxa"/>
              <w:bottom w:w="0" w:type="dxa"/>
              <w:right w:w="0" w:type="dxa"/>
            </w:tcMar>
            <w:vAlign w:val="bottom"/>
          </w:tcPr>
          <w:p w14:paraId="3E91C68E" w14:textId="77777777" w:rsidR="001614AC" w:rsidRDefault="001614AC">
            <w:pPr>
              <w:keepNext/>
            </w:pPr>
          </w:p>
        </w:tc>
        <w:tc>
          <w:tcPr>
            <w:tcW w:w="995" w:type="dxa"/>
            <w:gridSpan w:val="2"/>
            <w:tcBorders>
              <w:top w:val="single" w:sz="8" w:space="0" w:color="C7C9C7"/>
              <w:left w:val="nil"/>
              <w:bottom w:val="single" w:sz="8" w:space="0" w:color="C7C9C7"/>
              <w:right w:val="nil"/>
            </w:tcBorders>
            <w:shd w:val="clear" w:color="auto" w:fill="F4F4F4"/>
            <w:tcMar>
              <w:top w:w="0" w:type="dxa"/>
              <w:left w:w="53" w:type="dxa"/>
              <w:bottom w:w="0" w:type="dxa"/>
              <w:right w:w="0" w:type="dxa"/>
            </w:tcMar>
            <w:vAlign w:val="bottom"/>
          </w:tcPr>
          <w:p w14:paraId="797B00BC" w14:textId="77777777" w:rsidR="001614AC" w:rsidRDefault="004468F9">
            <w:pPr>
              <w:keepNext/>
              <w:spacing w:before="55" w:after="30" w:line="288" w:lineRule="auto"/>
              <w:jc w:val="right"/>
            </w:pPr>
            <w:r>
              <w:rPr>
                <w:rFonts w:ascii="Arial" w:eastAsia="Arial" w:hAnsi="Arial" w:cs="Arial"/>
                <w:color w:val="000000"/>
                <w:sz w:val="18"/>
              </w:rPr>
              <w:t>618,004 </w:t>
            </w:r>
          </w:p>
        </w:tc>
        <w:tc>
          <w:tcPr>
            <w:tcW w:w="100" w:type="dxa"/>
            <w:tcBorders>
              <w:top w:val="single" w:sz="8" w:space="0" w:color="C7C9C7"/>
              <w:left w:val="nil"/>
              <w:bottom w:val="single" w:sz="8" w:space="0" w:color="C7C9C7"/>
              <w:right w:val="nil"/>
            </w:tcBorders>
            <w:shd w:val="clear" w:color="auto" w:fill="F4F4F4"/>
            <w:tcMar>
              <w:top w:w="0" w:type="dxa"/>
              <w:left w:w="0" w:type="dxa"/>
              <w:bottom w:w="0" w:type="dxa"/>
              <w:right w:w="15" w:type="dxa"/>
            </w:tcMar>
            <w:vAlign w:val="bottom"/>
          </w:tcPr>
          <w:p w14:paraId="7ED8339D" w14:textId="77777777" w:rsidR="001614AC" w:rsidRDefault="001614AC">
            <w:pPr>
              <w:keepNext/>
              <w:spacing w:before="55" w:after="30" w:line="288" w:lineRule="auto"/>
              <w:jc w:val="right"/>
            </w:pPr>
          </w:p>
        </w:tc>
      </w:tr>
      <w:tr w:rsidR="001614AC" w14:paraId="0597A1A5" w14:textId="77777777">
        <w:trPr>
          <w:cantSplit/>
        </w:trPr>
        <w:tc>
          <w:tcPr>
            <w:tcW w:w="5280" w:type="dxa"/>
            <w:tcBorders>
              <w:top w:val="nil"/>
              <w:left w:val="nil"/>
              <w:bottom w:val="single" w:sz="8" w:space="0" w:color="F4F4F4"/>
              <w:right w:val="nil"/>
            </w:tcBorders>
            <w:tcMar>
              <w:top w:w="0" w:type="dxa"/>
              <w:left w:w="53" w:type="dxa"/>
              <w:bottom w:w="0" w:type="dxa"/>
              <w:right w:w="53" w:type="dxa"/>
            </w:tcMar>
            <w:vAlign w:val="bottom"/>
          </w:tcPr>
          <w:p w14:paraId="261108CE" w14:textId="77777777" w:rsidR="001614AC" w:rsidRDefault="004468F9">
            <w:pPr>
              <w:keepNext/>
              <w:spacing w:before="75" w:after="30" w:line="288" w:lineRule="auto"/>
              <w:rPr>
                <w:rFonts w:ascii="Arial" w:eastAsia="Arial" w:hAnsi="Arial" w:cs="Arial"/>
                <w:sz w:val="18"/>
              </w:rPr>
            </w:pPr>
            <w:r>
              <w:rPr>
                <w:rFonts w:ascii="Arial" w:eastAsia="Arial" w:hAnsi="Arial" w:cs="Arial"/>
                <w:sz w:val="18"/>
              </w:rPr>
              <w:t xml:space="preserve">Other invested assets </w:t>
            </w:r>
            <w:r>
              <w:rPr>
                <w:rFonts w:ascii="Arial" w:eastAsia="Arial" w:hAnsi="Arial" w:cs="Arial"/>
                <w:sz w:val="18"/>
                <w:vertAlign w:val="superscript"/>
              </w:rPr>
              <w:t xml:space="preserve">(2) </w:t>
            </w:r>
          </w:p>
        </w:tc>
        <w:tc>
          <w:tcPr>
            <w:tcW w:w="105" w:type="dxa"/>
            <w:tcBorders>
              <w:top w:val="nil"/>
              <w:left w:val="nil"/>
              <w:bottom w:val="nil"/>
              <w:right w:val="nil"/>
            </w:tcBorders>
            <w:tcMar>
              <w:top w:w="0" w:type="dxa"/>
              <w:left w:w="0" w:type="dxa"/>
              <w:bottom w:w="0" w:type="dxa"/>
              <w:right w:w="0" w:type="dxa"/>
            </w:tcMar>
            <w:vAlign w:val="bottom"/>
          </w:tcPr>
          <w:p w14:paraId="768B9103" w14:textId="77777777" w:rsidR="001614AC" w:rsidRDefault="001614AC">
            <w:pPr>
              <w:keepNext/>
            </w:pPr>
          </w:p>
        </w:tc>
        <w:tc>
          <w:tcPr>
            <w:tcW w:w="995" w:type="dxa"/>
            <w:gridSpan w:val="2"/>
            <w:tcBorders>
              <w:top w:val="single" w:sz="8" w:space="0" w:color="C7C9C7"/>
              <w:left w:val="nil"/>
              <w:bottom w:val="single" w:sz="8" w:space="0" w:color="C7C9C7"/>
              <w:right w:val="nil"/>
            </w:tcBorders>
            <w:tcMar>
              <w:top w:w="0" w:type="dxa"/>
              <w:left w:w="53" w:type="dxa"/>
              <w:bottom w:w="0" w:type="dxa"/>
              <w:right w:w="0" w:type="dxa"/>
            </w:tcMar>
            <w:vAlign w:val="bottom"/>
          </w:tcPr>
          <w:p w14:paraId="6347198C" w14:textId="77777777" w:rsidR="001614AC" w:rsidRDefault="004468F9">
            <w:pPr>
              <w:keepNext/>
              <w:spacing w:before="55" w:after="30" w:line="288" w:lineRule="auto"/>
              <w:jc w:val="right"/>
            </w:pPr>
            <w:r>
              <w:rPr>
                <w:rFonts w:ascii="Arial" w:eastAsia="Arial" w:hAnsi="Arial" w:cs="Arial"/>
                <w:color w:val="000000"/>
                <w:sz w:val="18"/>
              </w:rPr>
              <w:t>— </w:t>
            </w:r>
          </w:p>
        </w:tc>
        <w:tc>
          <w:tcPr>
            <w:tcW w:w="100" w:type="dxa"/>
            <w:tcBorders>
              <w:top w:val="single" w:sz="8" w:space="0" w:color="C7C9C7"/>
              <w:left w:val="nil"/>
              <w:bottom w:val="single" w:sz="8" w:space="0" w:color="C7C9C7"/>
              <w:right w:val="nil"/>
            </w:tcBorders>
            <w:tcMar>
              <w:top w:w="0" w:type="dxa"/>
              <w:left w:w="0" w:type="dxa"/>
              <w:bottom w:w="0" w:type="dxa"/>
              <w:right w:w="15" w:type="dxa"/>
            </w:tcMar>
            <w:vAlign w:val="bottom"/>
          </w:tcPr>
          <w:p w14:paraId="39ABFAA2" w14:textId="77777777" w:rsidR="001614AC" w:rsidRDefault="001614AC">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15BAEC79" w14:textId="77777777" w:rsidR="001614AC" w:rsidRDefault="001614AC">
            <w:pPr>
              <w:keepNext/>
            </w:pPr>
          </w:p>
        </w:tc>
        <w:tc>
          <w:tcPr>
            <w:tcW w:w="995" w:type="dxa"/>
            <w:gridSpan w:val="2"/>
            <w:tcBorders>
              <w:top w:val="single" w:sz="8" w:space="0" w:color="C7C9C7"/>
              <w:left w:val="nil"/>
              <w:bottom w:val="single" w:sz="8" w:space="0" w:color="C7C9C7"/>
              <w:right w:val="nil"/>
            </w:tcBorders>
            <w:tcMar>
              <w:top w:w="0" w:type="dxa"/>
              <w:left w:w="53" w:type="dxa"/>
              <w:bottom w:w="0" w:type="dxa"/>
              <w:right w:w="0" w:type="dxa"/>
            </w:tcMar>
            <w:vAlign w:val="bottom"/>
          </w:tcPr>
          <w:p w14:paraId="3F0EACB5" w14:textId="77777777" w:rsidR="001614AC" w:rsidRDefault="004468F9">
            <w:pPr>
              <w:keepNext/>
              <w:spacing w:before="55" w:after="30" w:line="288" w:lineRule="auto"/>
              <w:jc w:val="right"/>
            </w:pPr>
            <w:r>
              <w:rPr>
                <w:rFonts w:ascii="Arial" w:eastAsia="Arial" w:hAnsi="Arial" w:cs="Arial"/>
                <w:color w:val="000000"/>
                <w:sz w:val="18"/>
              </w:rPr>
              <w:t>— </w:t>
            </w:r>
          </w:p>
        </w:tc>
        <w:tc>
          <w:tcPr>
            <w:tcW w:w="100" w:type="dxa"/>
            <w:tcBorders>
              <w:top w:val="single" w:sz="8" w:space="0" w:color="C7C9C7"/>
              <w:left w:val="nil"/>
              <w:bottom w:val="single" w:sz="8" w:space="0" w:color="C7C9C7"/>
              <w:right w:val="nil"/>
            </w:tcBorders>
            <w:tcMar>
              <w:top w:w="0" w:type="dxa"/>
              <w:left w:w="0" w:type="dxa"/>
              <w:bottom w:w="0" w:type="dxa"/>
              <w:right w:w="15" w:type="dxa"/>
            </w:tcMar>
            <w:vAlign w:val="bottom"/>
          </w:tcPr>
          <w:p w14:paraId="310471EC" w14:textId="77777777" w:rsidR="001614AC" w:rsidRDefault="001614AC">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1293403B" w14:textId="77777777" w:rsidR="001614AC" w:rsidRDefault="001614AC">
            <w:pPr>
              <w:keepNext/>
            </w:pPr>
          </w:p>
        </w:tc>
        <w:tc>
          <w:tcPr>
            <w:tcW w:w="995" w:type="dxa"/>
            <w:gridSpan w:val="2"/>
            <w:tcBorders>
              <w:top w:val="single" w:sz="8" w:space="0" w:color="C7C9C7"/>
              <w:left w:val="nil"/>
              <w:bottom w:val="single" w:sz="8" w:space="0" w:color="C7C9C7"/>
              <w:right w:val="nil"/>
            </w:tcBorders>
            <w:tcMar>
              <w:top w:w="0" w:type="dxa"/>
              <w:left w:w="53" w:type="dxa"/>
              <w:bottom w:w="0" w:type="dxa"/>
              <w:right w:w="0" w:type="dxa"/>
            </w:tcMar>
            <w:vAlign w:val="bottom"/>
          </w:tcPr>
          <w:p w14:paraId="3613D493" w14:textId="77777777" w:rsidR="001614AC" w:rsidRDefault="004468F9">
            <w:pPr>
              <w:keepNext/>
              <w:spacing w:before="55" w:after="30" w:line="288" w:lineRule="auto"/>
              <w:jc w:val="right"/>
            </w:pPr>
            <w:r>
              <w:rPr>
                <w:rFonts w:ascii="Arial" w:eastAsia="Arial" w:hAnsi="Arial" w:cs="Arial"/>
                <w:color w:val="000000"/>
                <w:sz w:val="18"/>
              </w:rPr>
              <w:t>3,000 </w:t>
            </w:r>
          </w:p>
        </w:tc>
        <w:tc>
          <w:tcPr>
            <w:tcW w:w="100" w:type="dxa"/>
            <w:tcBorders>
              <w:top w:val="single" w:sz="8" w:space="0" w:color="C7C9C7"/>
              <w:left w:val="nil"/>
              <w:bottom w:val="single" w:sz="8" w:space="0" w:color="C7C9C7"/>
              <w:right w:val="nil"/>
            </w:tcBorders>
            <w:tcMar>
              <w:top w:w="0" w:type="dxa"/>
              <w:left w:w="0" w:type="dxa"/>
              <w:bottom w:w="0" w:type="dxa"/>
              <w:right w:w="15" w:type="dxa"/>
            </w:tcMar>
            <w:vAlign w:val="bottom"/>
          </w:tcPr>
          <w:p w14:paraId="31CEEDA2" w14:textId="77777777" w:rsidR="001614AC" w:rsidRDefault="001614AC">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6A7F3EB5" w14:textId="77777777" w:rsidR="001614AC" w:rsidRDefault="001614AC">
            <w:pPr>
              <w:keepNext/>
            </w:pPr>
          </w:p>
        </w:tc>
        <w:tc>
          <w:tcPr>
            <w:tcW w:w="995" w:type="dxa"/>
            <w:gridSpan w:val="2"/>
            <w:tcBorders>
              <w:top w:val="single" w:sz="8" w:space="0" w:color="C7C9C7"/>
              <w:left w:val="nil"/>
              <w:bottom w:val="single" w:sz="8" w:space="0" w:color="C7C9C7"/>
              <w:right w:val="nil"/>
            </w:tcBorders>
            <w:tcMar>
              <w:top w:w="0" w:type="dxa"/>
              <w:left w:w="53" w:type="dxa"/>
              <w:bottom w:w="0" w:type="dxa"/>
              <w:right w:w="0" w:type="dxa"/>
            </w:tcMar>
            <w:vAlign w:val="bottom"/>
          </w:tcPr>
          <w:p w14:paraId="2E95A44F" w14:textId="77777777" w:rsidR="001614AC" w:rsidRDefault="004468F9">
            <w:pPr>
              <w:keepNext/>
              <w:spacing w:before="55" w:after="30" w:line="288" w:lineRule="auto"/>
              <w:jc w:val="right"/>
            </w:pPr>
            <w:r>
              <w:rPr>
                <w:rFonts w:ascii="Arial" w:eastAsia="Arial" w:hAnsi="Arial" w:cs="Arial"/>
                <w:color w:val="000000"/>
                <w:sz w:val="18"/>
              </w:rPr>
              <w:t>3,000 </w:t>
            </w:r>
          </w:p>
        </w:tc>
        <w:tc>
          <w:tcPr>
            <w:tcW w:w="100" w:type="dxa"/>
            <w:tcBorders>
              <w:top w:val="single" w:sz="8" w:space="0" w:color="C7C9C7"/>
              <w:left w:val="nil"/>
              <w:bottom w:val="single" w:sz="8" w:space="0" w:color="C7C9C7"/>
              <w:right w:val="nil"/>
            </w:tcBorders>
            <w:tcMar>
              <w:top w:w="0" w:type="dxa"/>
              <w:left w:w="0" w:type="dxa"/>
              <w:bottom w:w="0" w:type="dxa"/>
              <w:right w:w="15" w:type="dxa"/>
            </w:tcMar>
            <w:vAlign w:val="bottom"/>
          </w:tcPr>
          <w:p w14:paraId="3DCD3C85" w14:textId="77777777" w:rsidR="001614AC" w:rsidRDefault="001614AC">
            <w:pPr>
              <w:keepNext/>
              <w:spacing w:before="55" w:after="30" w:line="288" w:lineRule="auto"/>
              <w:jc w:val="right"/>
            </w:pPr>
          </w:p>
        </w:tc>
      </w:tr>
      <w:tr w:rsidR="001614AC" w14:paraId="453A4909" w14:textId="77777777">
        <w:trPr>
          <w:cantSplit/>
        </w:trPr>
        <w:tc>
          <w:tcPr>
            <w:tcW w:w="5280" w:type="dxa"/>
            <w:tcBorders>
              <w:top w:val="single" w:sz="8" w:space="0" w:color="F4F4F4"/>
              <w:left w:val="nil"/>
              <w:bottom w:val="nil"/>
              <w:right w:val="nil"/>
            </w:tcBorders>
            <w:shd w:val="clear" w:color="auto" w:fill="F4F4F4"/>
            <w:tcMar>
              <w:top w:w="0" w:type="dxa"/>
              <w:left w:w="53" w:type="dxa"/>
              <w:bottom w:w="0" w:type="dxa"/>
              <w:right w:w="53" w:type="dxa"/>
            </w:tcMar>
            <w:vAlign w:val="bottom"/>
          </w:tcPr>
          <w:p w14:paraId="2520FCED" w14:textId="77777777" w:rsidR="001614AC" w:rsidRDefault="004468F9">
            <w:pPr>
              <w:keepNext/>
              <w:spacing w:before="55" w:after="30" w:line="288" w:lineRule="auto"/>
              <w:rPr>
                <w:rFonts w:ascii="Arial" w:eastAsia="Arial" w:hAnsi="Arial" w:cs="Arial"/>
                <w:sz w:val="18"/>
              </w:rPr>
            </w:pPr>
            <w:r>
              <w:rPr>
                <w:rFonts w:ascii="Arial" w:eastAsia="Arial" w:hAnsi="Arial" w:cs="Arial"/>
                <w:sz w:val="18"/>
              </w:rPr>
              <w:t>Total investments at fair value</w:t>
            </w:r>
            <w:r>
              <w:rPr>
                <w:rFonts w:ascii="Arial" w:eastAsia="Arial" w:hAnsi="Arial" w:cs="Arial"/>
                <w:sz w:val="18"/>
                <w:vertAlign w:val="superscript"/>
              </w:rPr>
              <w:t xml:space="preserve"> (2) </w:t>
            </w:r>
          </w:p>
        </w:tc>
        <w:tc>
          <w:tcPr>
            <w:tcW w:w="105" w:type="dxa"/>
            <w:tcBorders>
              <w:top w:val="nil"/>
              <w:left w:val="nil"/>
              <w:bottom w:val="nil"/>
              <w:right w:val="nil"/>
            </w:tcBorders>
            <w:shd w:val="clear" w:color="auto" w:fill="F4F4F4"/>
            <w:tcMar>
              <w:top w:w="0" w:type="dxa"/>
              <w:left w:w="0" w:type="dxa"/>
              <w:bottom w:w="0" w:type="dxa"/>
              <w:right w:w="0" w:type="dxa"/>
            </w:tcMar>
            <w:vAlign w:val="bottom"/>
          </w:tcPr>
          <w:p w14:paraId="7D93DC99" w14:textId="77777777" w:rsidR="001614AC" w:rsidRDefault="001614AC">
            <w:pPr>
              <w:keepNext/>
            </w:pPr>
          </w:p>
        </w:tc>
        <w:tc>
          <w:tcPr>
            <w:tcW w:w="995" w:type="dxa"/>
            <w:gridSpan w:val="2"/>
            <w:tcBorders>
              <w:top w:val="single" w:sz="8" w:space="0" w:color="C7C9C7"/>
              <w:left w:val="nil"/>
              <w:bottom w:val="single" w:sz="8" w:space="0" w:color="C7C9C7"/>
              <w:right w:val="nil"/>
            </w:tcBorders>
            <w:shd w:val="clear" w:color="auto" w:fill="F4F4F4"/>
            <w:tcMar>
              <w:top w:w="0" w:type="dxa"/>
              <w:left w:w="53" w:type="dxa"/>
              <w:bottom w:w="0" w:type="dxa"/>
              <w:right w:w="0" w:type="dxa"/>
            </w:tcMar>
            <w:vAlign w:val="bottom"/>
          </w:tcPr>
          <w:p w14:paraId="2C82C4E1" w14:textId="77777777" w:rsidR="001614AC" w:rsidRDefault="004468F9">
            <w:pPr>
              <w:keepNext/>
              <w:spacing w:before="55" w:after="30" w:line="288" w:lineRule="auto"/>
              <w:jc w:val="right"/>
            </w:pPr>
            <w:r>
              <w:rPr>
                <w:rFonts w:ascii="Arial" w:eastAsia="Arial" w:hAnsi="Arial" w:cs="Arial"/>
                <w:color w:val="000000"/>
                <w:sz w:val="18"/>
              </w:rPr>
              <w:t>551,695 </w:t>
            </w:r>
          </w:p>
        </w:tc>
        <w:tc>
          <w:tcPr>
            <w:tcW w:w="100" w:type="dxa"/>
            <w:tcBorders>
              <w:top w:val="single" w:sz="8" w:space="0" w:color="C7C9C7"/>
              <w:left w:val="nil"/>
              <w:bottom w:val="single" w:sz="8" w:space="0" w:color="C7C9C7"/>
              <w:right w:val="nil"/>
            </w:tcBorders>
            <w:shd w:val="clear" w:color="auto" w:fill="F4F4F4"/>
            <w:tcMar>
              <w:top w:w="0" w:type="dxa"/>
              <w:left w:w="0" w:type="dxa"/>
              <w:bottom w:w="0" w:type="dxa"/>
              <w:right w:w="15" w:type="dxa"/>
            </w:tcMar>
            <w:vAlign w:val="bottom"/>
          </w:tcPr>
          <w:p w14:paraId="2FC7C9C6" w14:textId="77777777" w:rsidR="001614AC" w:rsidRDefault="001614AC">
            <w:pPr>
              <w:keepNext/>
              <w:spacing w:before="55" w:after="30" w:line="288" w:lineRule="auto"/>
              <w:jc w:val="right"/>
            </w:pPr>
          </w:p>
        </w:tc>
        <w:tc>
          <w:tcPr>
            <w:tcW w:w="105" w:type="dxa"/>
            <w:tcBorders>
              <w:top w:val="nil"/>
              <w:left w:val="nil"/>
              <w:bottom w:val="nil"/>
              <w:right w:val="nil"/>
            </w:tcBorders>
            <w:shd w:val="clear" w:color="auto" w:fill="F4F4F4"/>
            <w:tcMar>
              <w:top w:w="0" w:type="dxa"/>
              <w:left w:w="0" w:type="dxa"/>
              <w:bottom w:w="0" w:type="dxa"/>
              <w:right w:w="0" w:type="dxa"/>
            </w:tcMar>
            <w:vAlign w:val="bottom"/>
          </w:tcPr>
          <w:p w14:paraId="1E948933" w14:textId="77777777" w:rsidR="001614AC" w:rsidRDefault="001614AC">
            <w:pPr>
              <w:keepNext/>
            </w:pPr>
          </w:p>
        </w:tc>
        <w:tc>
          <w:tcPr>
            <w:tcW w:w="995" w:type="dxa"/>
            <w:gridSpan w:val="2"/>
            <w:tcBorders>
              <w:top w:val="single" w:sz="8" w:space="0" w:color="C7C9C7"/>
              <w:left w:val="nil"/>
              <w:bottom w:val="single" w:sz="8" w:space="0" w:color="C7C9C7"/>
              <w:right w:val="nil"/>
            </w:tcBorders>
            <w:shd w:val="clear" w:color="auto" w:fill="F4F4F4"/>
            <w:tcMar>
              <w:top w:w="0" w:type="dxa"/>
              <w:left w:w="53" w:type="dxa"/>
              <w:bottom w:w="0" w:type="dxa"/>
              <w:right w:w="0" w:type="dxa"/>
            </w:tcMar>
            <w:vAlign w:val="bottom"/>
          </w:tcPr>
          <w:p w14:paraId="43601BF4" w14:textId="77777777" w:rsidR="001614AC" w:rsidRDefault="004468F9">
            <w:pPr>
              <w:keepNext/>
              <w:spacing w:before="55" w:after="30" w:line="288" w:lineRule="auto"/>
              <w:jc w:val="right"/>
            </w:pPr>
            <w:r>
              <w:rPr>
                <w:rFonts w:ascii="Arial" w:eastAsia="Arial" w:hAnsi="Arial" w:cs="Arial"/>
                <w:color w:val="000000"/>
                <w:sz w:val="18"/>
              </w:rPr>
              <w:t>6,231,774 </w:t>
            </w:r>
          </w:p>
        </w:tc>
        <w:tc>
          <w:tcPr>
            <w:tcW w:w="100" w:type="dxa"/>
            <w:tcBorders>
              <w:top w:val="single" w:sz="8" w:space="0" w:color="C7C9C7"/>
              <w:left w:val="nil"/>
              <w:bottom w:val="single" w:sz="8" w:space="0" w:color="C7C9C7"/>
              <w:right w:val="nil"/>
            </w:tcBorders>
            <w:shd w:val="clear" w:color="auto" w:fill="F4F4F4"/>
            <w:tcMar>
              <w:top w:w="0" w:type="dxa"/>
              <w:left w:w="0" w:type="dxa"/>
              <w:bottom w:w="0" w:type="dxa"/>
              <w:right w:w="15" w:type="dxa"/>
            </w:tcMar>
            <w:vAlign w:val="bottom"/>
          </w:tcPr>
          <w:p w14:paraId="591D42D8" w14:textId="77777777" w:rsidR="001614AC" w:rsidRDefault="001614AC">
            <w:pPr>
              <w:keepNext/>
              <w:spacing w:before="55" w:after="30" w:line="288" w:lineRule="auto"/>
              <w:jc w:val="right"/>
            </w:pPr>
          </w:p>
        </w:tc>
        <w:tc>
          <w:tcPr>
            <w:tcW w:w="105" w:type="dxa"/>
            <w:tcBorders>
              <w:top w:val="nil"/>
              <w:left w:val="nil"/>
              <w:bottom w:val="nil"/>
              <w:right w:val="nil"/>
            </w:tcBorders>
            <w:shd w:val="clear" w:color="auto" w:fill="F4F4F4"/>
            <w:tcMar>
              <w:top w:w="0" w:type="dxa"/>
              <w:left w:w="0" w:type="dxa"/>
              <w:bottom w:w="0" w:type="dxa"/>
              <w:right w:w="0" w:type="dxa"/>
            </w:tcMar>
            <w:vAlign w:val="bottom"/>
          </w:tcPr>
          <w:p w14:paraId="529A4530" w14:textId="77777777" w:rsidR="001614AC" w:rsidRDefault="001614AC">
            <w:pPr>
              <w:keepNext/>
            </w:pPr>
          </w:p>
        </w:tc>
        <w:tc>
          <w:tcPr>
            <w:tcW w:w="995" w:type="dxa"/>
            <w:gridSpan w:val="2"/>
            <w:tcBorders>
              <w:top w:val="single" w:sz="8" w:space="0" w:color="C7C9C7"/>
              <w:left w:val="nil"/>
              <w:bottom w:val="single" w:sz="8" w:space="0" w:color="C7C9C7"/>
              <w:right w:val="nil"/>
            </w:tcBorders>
            <w:shd w:val="clear" w:color="auto" w:fill="F4F4F4"/>
            <w:tcMar>
              <w:top w:w="0" w:type="dxa"/>
              <w:left w:w="53" w:type="dxa"/>
              <w:bottom w:w="0" w:type="dxa"/>
              <w:right w:w="0" w:type="dxa"/>
            </w:tcMar>
            <w:vAlign w:val="bottom"/>
          </w:tcPr>
          <w:p w14:paraId="035D31C9" w14:textId="77777777" w:rsidR="001614AC" w:rsidRDefault="004468F9">
            <w:pPr>
              <w:keepNext/>
              <w:spacing w:before="55" w:after="30" w:line="288" w:lineRule="auto"/>
              <w:jc w:val="right"/>
            </w:pPr>
            <w:r>
              <w:rPr>
                <w:rFonts w:ascii="Arial" w:eastAsia="Arial" w:hAnsi="Arial" w:cs="Arial"/>
                <w:color w:val="000000"/>
                <w:sz w:val="18"/>
              </w:rPr>
              <w:t>3,000 </w:t>
            </w:r>
          </w:p>
        </w:tc>
        <w:tc>
          <w:tcPr>
            <w:tcW w:w="100" w:type="dxa"/>
            <w:tcBorders>
              <w:top w:val="single" w:sz="8" w:space="0" w:color="C7C9C7"/>
              <w:left w:val="nil"/>
              <w:bottom w:val="single" w:sz="8" w:space="0" w:color="C7C9C7"/>
              <w:right w:val="nil"/>
            </w:tcBorders>
            <w:shd w:val="clear" w:color="auto" w:fill="F4F4F4"/>
            <w:tcMar>
              <w:top w:w="0" w:type="dxa"/>
              <w:left w:w="0" w:type="dxa"/>
              <w:bottom w:w="0" w:type="dxa"/>
              <w:right w:w="15" w:type="dxa"/>
            </w:tcMar>
            <w:vAlign w:val="bottom"/>
          </w:tcPr>
          <w:p w14:paraId="294B9C5A" w14:textId="77777777" w:rsidR="001614AC" w:rsidRDefault="001614AC">
            <w:pPr>
              <w:keepNext/>
              <w:spacing w:before="55" w:after="30" w:line="288" w:lineRule="auto"/>
              <w:jc w:val="right"/>
            </w:pPr>
          </w:p>
        </w:tc>
        <w:tc>
          <w:tcPr>
            <w:tcW w:w="105" w:type="dxa"/>
            <w:tcBorders>
              <w:top w:val="nil"/>
              <w:left w:val="nil"/>
              <w:bottom w:val="nil"/>
              <w:right w:val="nil"/>
            </w:tcBorders>
            <w:shd w:val="clear" w:color="auto" w:fill="F4F4F4"/>
            <w:tcMar>
              <w:top w:w="0" w:type="dxa"/>
              <w:left w:w="0" w:type="dxa"/>
              <w:bottom w:w="0" w:type="dxa"/>
              <w:right w:w="0" w:type="dxa"/>
            </w:tcMar>
            <w:vAlign w:val="bottom"/>
          </w:tcPr>
          <w:p w14:paraId="54B9E23D" w14:textId="77777777" w:rsidR="001614AC" w:rsidRDefault="001614AC">
            <w:pPr>
              <w:keepNext/>
            </w:pPr>
          </w:p>
        </w:tc>
        <w:tc>
          <w:tcPr>
            <w:tcW w:w="995" w:type="dxa"/>
            <w:gridSpan w:val="2"/>
            <w:tcBorders>
              <w:top w:val="single" w:sz="8" w:space="0" w:color="C7C9C7"/>
              <w:left w:val="nil"/>
              <w:bottom w:val="single" w:sz="8" w:space="0" w:color="C7C9C7"/>
              <w:right w:val="nil"/>
            </w:tcBorders>
            <w:shd w:val="clear" w:color="auto" w:fill="F4F4F4"/>
            <w:tcMar>
              <w:top w:w="0" w:type="dxa"/>
              <w:left w:w="53" w:type="dxa"/>
              <w:bottom w:w="0" w:type="dxa"/>
              <w:right w:w="0" w:type="dxa"/>
            </w:tcMar>
            <w:vAlign w:val="bottom"/>
          </w:tcPr>
          <w:p w14:paraId="7A292B2D" w14:textId="77777777" w:rsidR="001614AC" w:rsidRDefault="004468F9">
            <w:pPr>
              <w:keepNext/>
              <w:spacing w:before="55" w:after="30" w:line="288" w:lineRule="auto"/>
              <w:jc w:val="right"/>
            </w:pPr>
            <w:r>
              <w:rPr>
                <w:rFonts w:ascii="Arial" w:eastAsia="Arial" w:hAnsi="Arial" w:cs="Arial"/>
                <w:color w:val="000000"/>
                <w:sz w:val="18"/>
              </w:rPr>
              <w:t>6,786,469 </w:t>
            </w:r>
          </w:p>
        </w:tc>
        <w:tc>
          <w:tcPr>
            <w:tcW w:w="100" w:type="dxa"/>
            <w:tcBorders>
              <w:top w:val="single" w:sz="8" w:space="0" w:color="C7C9C7"/>
              <w:left w:val="nil"/>
              <w:bottom w:val="single" w:sz="8" w:space="0" w:color="C7C9C7"/>
              <w:right w:val="nil"/>
            </w:tcBorders>
            <w:shd w:val="clear" w:color="auto" w:fill="F4F4F4"/>
            <w:tcMar>
              <w:top w:w="0" w:type="dxa"/>
              <w:left w:w="0" w:type="dxa"/>
              <w:bottom w:w="0" w:type="dxa"/>
              <w:right w:w="15" w:type="dxa"/>
            </w:tcMar>
            <w:vAlign w:val="bottom"/>
          </w:tcPr>
          <w:p w14:paraId="186A6891" w14:textId="77777777" w:rsidR="001614AC" w:rsidRDefault="001614AC">
            <w:pPr>
              <w:keepNext/>
              <w:spacing w:before="55" w:after="30" w:line="288" w:lineRule="auto"/>
              <w:jc w:val="right"/>
            </w:pPr>
          </w:p>
        </w:tc>
      </w:tr>
      <w:tr w:rsidR="001614AC" w14:paraId="219E2362" w14:textId="77777777">
        <w:trPr>
          <w:cantSplit/>
        </w:trPr>
        <w:tc>
          <w:tcPr>
            <w:tcW w:w="5280" w:type="dxa"/>
            <w:tcBorders>
              <w:top w:val="nil"/>
              <w:left w:val="nil"/>
              <w:bottom w:val="single" w:sz="8" w:space="0" w:color="F4F4F4"/>
              <w:right w:val="nil"/>
            </w:tcBorders>
            <w:tcMar>
              <w:top w:w="0" w:type="dxa"/>
              <w:left w:w="53" w:type="dxa"/>
              <w:bottom w:w="0" w:type="dxa"/>
              <w:right w:w="53" w:type="dxa"/>
            </w:tcMar>
            <w:vAlign w:val="bottom"/>
          </w:tcPr>
          <w:p w14:paraId="6810A73F" w14:textId="77777777" w:rsidR="001614AC" w:rsidRDefault="004468F9">
            <w:pPr>
              <w:keepNext/>
              <w:spacing w:before="75" w:after="30" w:line="288" w:lineRule="auto"/>
            </w:pPr>
            <w:r>
              <w:rPr>
                <w:rFonts w:ascii="Arial" w:eastAsia="Arial" w:hAnsi="Arial" w:cs="Arial"/>
                <w:b/>
                <w:color w:val="000000"/>
                <w:sz w:val="18"/>
              </w:rPr>
              <w:t>Other</w:t>
            </w:r>
          </w:p>
        </w:tc>
        <w:tc>
          <w:tcPr>
            <w:tcW w:w="105" w:type="dxa"/>
            <w:tcBorders>
              <w:top w:val="nil"/>
              <w:left w:val="nil"/>
              <w:bottom w:val="nil"/>
              <w:right w:val="nil"/>
            </w:tcBorders>
            <w:tcMar>
              <w:top w:w="0" w:type="dxa"/>
              <w:left w:w="0" w:type="dxa"/>
              <w:bottom w:w="0" w:type="dxa"/>
              <w:right w:w="0" w:type="dxa"/>
            </w:tcMar>
            <w:vAlign w:val="bottom"/>
          </w:tcPr>
          <w:p w14:paraId="61ED18F1" w14:textId="77777777" w:rsidR="001614AC" w:rsidRDefault="001614AC">
            <w:pPr>
              <w:keepNext/>
            </w:pPr>
          </w:p>
        </w:tc>
        <w:tc>
          <w:tcPr>
            <w:tcW w:w="1095" w:type="dxa"/>
            <w:gridSpan w:val="3"/>
            <w:tcBorders>
              <w:top w:val="single" w:sz="8" w:space="0" w:color="C7C9C7"/>
              <w:left w:val="nil"/>
              <w:bottom w:val="single" w:sz="8" w:space="0" w:color="F4F4F4"/>
              <w:right w:val="nil"/>
            </w:tcBorders>
            <w:tcMar>
              <w:top w:w="0" w:type="dxa"/>
              <w:left w:w="0" w:type="dxa"/>
              <w:bottom w:w="0" w:type="dxa"/>
              <w:right w:w="0" w:type="dxa"/>
            </w:tcMar>
            <w:vAlign w:val="bottom"/>
          </w:tcPr>
          <w:p w14:paraId="5FE2B575" w14:textId="77777777" w:rsidR="001614AC" w:rsidRDefault="001614AC">
            <w:pPr>
              <w:keepNext/>
            </w:pPr>
          </w:p>
        </w:tc>
        <w:tc>
          <w:tcPr>
            <w:tcW w:w="105" w:type="dxa"/>
            <w:tcBorders>
              <w:top w:val="nil"/>
              <w:left w:val="nil"/>
              <w:bottom w:val="nil"/>
              <w:right w:val="nil"/>
            </w:tcBorders>
            <w:tcMar>
              <w:top w:w="0" w:type="dxa"/>
              <w:left w:w="0" w:type="dxa"/>
              <w:bottom w:w="0" w:type="dxa"/>
              <w:right w:w="0" w:type="dxa"/>
            </w:tcMar>
            <w:vAlign w:val="bottom"/>
          </w:tcPr>
          <w:p w14:paraId="17583687" w14:textId="77777777" w:rsidR="001614AC" w:rsidRDefault="001614AC">
            <w:pPr>
              <w:keepNext/>
            </w:pPr>
          </w:p>
        </w:tc>
        <w:tc>
          <w:tcPr>
            <w:tcW w:w="1095" w:type="dxa"/>
            <w:gridSpan w:val="3"/>
            <w:tcBorders>
              <w:top w:val="single" w:sz="8" w:space="0" w:color="C7C9C7"/>
              <w:left w:val="nil"/>
              <w:bottom w:val="single" w:sz="8" w:space="0" w:color="F4F4F4"/>
              <w:right w:val="nil"/>
            </w:tcBorders>
            <w:tcMar>
              <w:top w:w="0" w:type="dxa"/>
              <w:left w:w="0" w:type="dxa"/>
              <w:bottom w:w="0" w:type="dxa"/>
              <w:right w:w="0" w:type="dxa"/>
            </w:tcMar>
            <w:vAlign w:val="bottom"/>
          </w:tcPr>
          <w:p w14:paraId="2E309789" w14:textId="77777777" w:rsidR="001614AC" w:rsidRDefault="001614AC">
            <w:pPr>
              <w:keepNext/>
            </w:pPr>
          </w:p>
        </w:tc>
        <w:tc>
          <w:tcPr>
            <w:tcW w:w="105" w:type="dxa"/>
            <w:tcBorders>
              <w:top w:val="nil"/>
              <w:left w:val="nil"/>
              <w:bottom w:val="nil"/>
              <w:right w:val="nil"/>
            </w:tcBorders>
            <w:tcMar>
              <w:top w:w="0" w:type="dxa"/>
              <w:left w:w="0" w:type="dxa"/>
              <w:bottom w:w="0" w:type="dxa"/>
              <w:right w:w="0" w:type="dxa"/>
            </w:tcMar>
            <w:vAlign w:val="bottom"/>
          </w:tcPr>
          <w:p w14:paraId="193228FB" w14:textId="77777777" w:rsidR="001614AC" w:rsidRDefault="001614AC">
            <w:pPr>
              <w:keepNext/>
            </w:pPr>
          </w:p>
        </w:tc>
        <w:tc>
          <w:tcPr>
            <w:tcW w:w="1095" w:type="dxa"/>
            <w:gridSpan w:val="3"/>
            <w:tcBorders>
              <w:top w:val="single" w:sz="8" w:space="0" w:color="C7C9C7"/>
              <w:left w:val="nil"/>
              <w:bottom w:val="single" w:sz="8" w:space="0" w:color="F4F4F4"/>
              <w:right w:val="nil"/>
            </w:tcBorders>
            <w:tcMar>
              <w:top w:w="0" w:type="dxa"/>
              <w:left w:w="0" w:type="dxa"/>
              <w:bottom w:w="0" w:type="dxa"/>
              <w:right w:w="0" w:type="dxa"/>
            </w:tcMar>
            <w:vAlign w:val="bottom"/>
          </w:tcPr>
          <w:p w14:paraId="345AE03A" w14:textId="77777777" w:rsidR="001614AC" w:rsidRDefault="001614AC">
            <w:pPr>
              <w:keepNext/>
            </w:pPr>
          </w:p>
        </w:tc>
        <w:tc>
          <w:tcPr>
            <w:tcW w:w="105" w:type="dxa"/>
            <w:tcBorders>
              <w:top w:val="nil"/>
              <w:left w:val="nil"/>
              <w:bottom w:val="nil"/>
              <w:right w:val="nil"/>
            </w:tcBorders>
            <w:tcMar>
              <w:top w:w="0" w:type="dxa"/>
              <w:left w:w="0" w:type="dxa"/>
              <w:bottom w:w="0" w:type="dxa"/>
              <w:right w:w="0" w:type="dxa"/>
            </w:tcMar>
            <w:vAlign w:val="bottom"/>
          </w:tcPr>
          <w:p w14:paraId="1D58F002" w14:textId="77777777" w:rsidR="001614AC" w:rsidRDefault="001614AC">
            <w:pPr>
              <w:keepNext/>
            </w:pPr>
          </w:p>
        </w:tc>
        <w:tc>
          <w:tcPr>
            <w:tcW w:w="1095" w:type="dxa"/>
            <w:gridSpan w:val="3"/>
            <w:tcBorders>
              <w:top w:val="single" w:sz="8" w:space="0" w:color="C7C9C7"/>
              <w:left w:val="nil"/>
              <w:bottom w:val="single" w:sz="8" w:space="0" w:color="F4F4F4"/>
              <w:right w:val="nil"/>
            </w:tcBorders>
            <w:tcMar>
              <w:top w:w="0" w:type="dxa"/>
              <w:left w:w="0" w:type="dxa"/>
              <w:bottom w:w="0" w:type="dxa"/>
              <w:right w:w="0" w:type="dxa"/>
            </w:tcMar>
            <w:vAlign w:val="bottom"/>
          </w:tcPr>
          <w:p w14:paraId="77FC3585" w14:textId="77777777" w:rsidR="001614AC" w:rsidRDefault="001614AC">
            <w:pPr>
              <w:keepNext/>
            </w:pPr>
          </w:p>
        </w:tc>
      </w:tr>
      <w:tr w:rsidR="001614AC" w14:paraId="17979B07" w14:textId="77777777">
        <w:trPr>
          <w:cantSplit/>
        </w:trPr>
        <w:tc>
          <w:tcPr>
            <w:tcW w:w="5280" w:type="dxa"/>
            <w:tcBorders>
              <w:top w:val="single" w:sz="8" w:space="0" w:color="F4F4F4"/>
              <w:left w:val="nil"/>
              <w:bottom w:val="single" w:sz="8" w:space="0" w:color="F4F4F4"/>
              <w:right w:val="nil"/>
            </w:tcBorders>
            <w:tcMar>
              <w:top w:w="0" w:type="dxa"/>
              <w:left w:w="53" w:type="dxa"/>
              <w:bottom w:w="0" w:type="dxa"/>
              <w:right w:w="53" w:type="dxa"/>
            </w:tcMar>
            <w:vAlign w:val="bottom"/>
          </w:tcPr>
          <w:p w14:paraId="4AC02803" w14:textId="77777777" w:rsidR="001614AC" w:rsidRDefault="004468F9">
            <w:pPr>
              <w:keepNext/>
              <w:spacing w:before="55" w:after="30" w:line="288" w:lineRule="auto"/>
              <w:rPr>
                <w:rFonts w:ascii="Arial" w:eastAsia="Arial" w:hAnsi="Arial" w:cs="Arial"/>
                <w:sz w:val="18"/>
              </w:rPr>
            </w:pPr>
            <w:r>
              <w:rPr>
                <w:rFonts w:ascii="Arial" w:eastAsia="Arial" w:hAnsi="Arial" w:cs="Arial"/>
                <w:sz w:val="18"/>
              </w:rPr>
              <w:t xml:space="preserve">Embedded </w:t>
            </w:r>
            <w:r>
              <w:rPr>
                <w:rFonts w:ascii="Arial" w:eastAsia="Arial" w:hAnsi="Arial" w:cs="Arial"/>
                <w:sz w:val="18"/>
              </w:rPr>
              <w:t>derivatives</w:t>
            </w:r>
            <w:r>
              <w:rPr>
                <w:rFonts w:ascii="Arial" w:eastAsia="Arial" w:hAnsi="Arial" w:cs="Arial"/>
                <w:sz w:val="18"/>
                <w:vertAlign w:val="superscript"/>
              </w:rPr>
              <w:t xml:space="preserve"> (3)</w:t>
            </w:r>
          </w:p>
        </w:tc>
        <w:tc>
          <w:tcPr>
            <w:tcW w:w="105" w:type="dxa"/>
            <w:tcBorders>
              <w:top w:val="nil"/>
              <w:left w:val="nil"/>
              <w:bottom w:val="nil"/>
              <w:right w:val="nil"/>
            </w:tcBorders>
            <w:tcMar>
              <w:top w:w="0" w:type="dxa"/>
              <w:left w:w="0" w:type="dxa"/>
              <w:bottom w:w="0" w:type="dxa"/>
              <w:right w:w="0" w:type="dxa"/>
            </w:tcMar>
            <w:vAlign w:val="bottom"/>
          </w:tcPr>
          <w:p w14:paraId="48CBEAE2" w14:textId="77777777" w:rsidR="001614AC" w:rsidRDefault="001614AC">
            <w:pPr>
              <w:keepNext/>
            </w:pPr>
          </w:p>
        </w:tc>
        <w:tc>
          <w:tcPr>
            <w:tcW w:w="995"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51FEBA3D" w14:textId="77777777" w:rsidR="001614AC" w:rsidRDefault="004468F9">
            <w:pPr>
              <w:keepNext/>
              <w:spacing w:before="55" w:after="30" w:line="288" w:lineRule="auto"/>
              <w:jc w:val="right"/>
            </w:pPr>
            <w:r>
              <w:rPr>
                <w:rFonts w:ascii="Arial" w:eastAsia="Arial" w:hAnsi="Arial" w:cs="Arial"/>
                <w:color w:val="000000"/>
                <w:sz w:val="18"/>
              </w:rPr>
              <w:t>—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343BA3B5" w14:textId="77777777" w:rsidR="001614AC" w:rsidRDefault="001614AC">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6F041FA8" w14:textId="77777777" w:rsidR="001614AC" w:rsidRDefault="001614AC">
            <w:pPr>
              <w:keepNext/>
            </w:pPr>
          </w:p>
        </w:tc>
        <w:tc>
          <w:tcPr>
            <w:tcW w:w="995"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0C3F661F" w14:textId="77777777" w:rsidR="001614AC" w:rsidRDefault="004468F9">
            <w:pPr>
              <w:keepNext/>
              <w:spacing w:before="55" w:after="30" w:line="288" w:lineRule="auto"/>
              <w:jc w:val="right"/>
            </w:pPr>
            <w:r>
              <w:rPr>
                <w:rFonts w:ascii="Arial" w:eastAsia="Arial" w:hAnsi="Arial" w:cs="Arial"/>
                <w:color w:val="000000"/>
                <w:sz w:val="18"/>
              </w:rPr>
              <w:t>—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773D70ED" w14:textId="77777777" w:rsidR="001614AC" w:rsidRDefault="001614AC">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0B2220BF" w14:textId="77777777" w:rsidR="001614AC" w:rsidRDefault="001614AC">
            <w:pPr>
              <w:keepNext/>
            </w:pPr>
          </w:p>
        </w:tc>
        <w:tc>
          <w:tcPr>
            <w:tcW w:w="995"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374F018D" w14:textId="77777777" w:rsidR="001614AC" w:rsidRDefault="004468F9">
            <w:pPr>
              <w:keepNext/>
              <w:spacing w:before="55" w:after="30" w:line="288" w:lineRule="auto"/>
              <w:jc w:val="right"/>
            </w:pPr>
            <w:r>
              <w:rPr>
                <w:rFonts w:ascii="Arial" w:eastAsia="Arial" w:hAnsi="Arial" w:cs="Arial"/>
                <w:color w:val="000000"/>
                <w:sz w:val="18"/>
              </w:rPr>
              <w:t>5,513 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6CFB409B" w14:textId="77777777" w:rsidR="001614AC" w:rsidRDefault="001614AC">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7DEA77F6" w14:textId="77777777" w:rsidR="001614AC" w:rsidRDefault="001614AC">
            <w:pPr>
              <w:keepNext/>
            </w:pPr>
          </w:p>
        </w:tc>
        <w:tc>
          <w:tcPr>
            <w:tcW w:w="995"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270909BC" w14:textId="77777777" w:rsidR="001614AC" w:rsidRDefault="004468F9">
            <w:pPr>
              <w:keepNext/>
              <w:spacing w:before="55" w:after="30" w:line="288" w:lineRule="auto"/>
              <w:jc w:val="right"/>
            </w:pPr>
            <w:r>
              <w:rPr>
                <w:rFonts w:ascii="Arial" w:eastAsia="Arial" w:hAnsi="Arial" w:cs="Arial"/>
                <w:color w:val="000000"/>
                <w:sz w:val="18"/>
              </w:rPr>
              <w:t>5,513 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20C74465" w14:textId="77777777" w:rsidR="001614AC" w:rsidRDefault="001614AC">
            <w:pPr>
              <w:keepNext/>
              <w:spacing w:before="55" w:after="30" w:line="288" w:lineRule="auto"/>
              <w:jc w:val="right"/>
            </w:pPr>
          </w:p>
        </w:tc>
      </w:tr>
      <w:tr w:rsidR="001614AC" w14:paraId="23396201" w14:textId="77777777">
        <w:trPr>
          <w:cantSplit/>
        </w:trPr>
        <w:tc>
          <w:tcPr>
            <w:tcW w:w="5280" w:type="dxa"/>
            <w:tcBorders>
              <w:top w:val="single" w:sz="8" w:space="0" w:color="F4F4F4"/>
              <w:left w:val="nil"/>
              <w:bottom w:val="single" w:sz="8" w:space="0" w:color="F4F4F4"/>
              <w:right w:val="nil"/>
            </w:tcBorders>
            <w:tcMar>
              <w:top w:w="0" w:type="dxa"/>
              <w:left w:w="53" w:type="dxa"/>
              <w:bottom w:w="0" w:type="dxa"/>
              <w:right w:w="53" w:type="dxa"/>
            </w:tcMar>
            <w:vAlign w:val="bottom"/>
          </w:tcPr>
          <w:p w14:paraId="2E232832" w14:textId="77777777" w:rsidR="001614AC" w:rsidRDefault="004468F9">
            <w:pPr>
              <w:keepNext/>
              <w:spacing w:before="55" w:after="30" w:line="288" w:lineRule="auto"/>
              <w:rPr>
                <w:rFonts w:ascii="Arial" w:eastAsia="Arial" w:hAnsi="Arial" w:cs="Arial"/>
                <w:sz w:val="18"/>
              </w:rPr>
            </w:pPr>
            <w:r>
              <w:rPr>
                <w:rFonts w:ascii="Arial" w:eastAsia="Arial" w:hAnsi="Arial" w:cs="Arial"/>
                <w:sz w:val="18"/>
              </w:rPr>
              <w:t>Loaned securities</w:t>
            </w:r>
            <w:r>
              <w:rPr>
                <w:rFonts w:ascii="Arial" w:eastAsia="Arial" w:hAnsi="Arial" w:cs="Arial"/>
                <w:sz w:val="18"/>
                <w:vertAlign w:val="superscript"/>
              </w:rPr>
              <w:t xml:space="preserve"> (4) </w:t>
            </w:r>
          </w:p>
        </w:tc>
        <w:tc>
          <w:tcPr>
            <w:tcW w:w="105" w:type="dxa"/>
            <w:tcBorders>
              <w:top w:val="nil"/>
              <w:left w:val="nil"/>
              <w:bottom w:val="nil"/>
              <w:right w:val="nil"/>
            </w:tcBorders>
            <w:tcMar>
              <w:top w:w="0" w:type="dxa"/>
              <w:left w:w="0" w:type="dxa"/>
              <w:bottom w:w="0" w:type="dxa"/>
              <w:right w:w="0" w:type="dxa"/>
            </w:tcMar>
            <w:vAlign w:val="bottom"/>
          </w:tcPr>
          <w:p w14:paraId="15C9D90A" w14:textId="77777777" w:rsidR="001614AC" w:rsidRDefault="001614AC">
            <w:pPr>
              <w:keepNext/>
            </w:pPr>
          </w:p>
        </w:tc>
        <w:tc>
          <w:tcPr>
            <w:tcW w:w="1095" w:type="dxa"/>
            <w:gridSpan w:val="3"/>
            <w:tcBorders>
              <w:top w:val="single" w:sz="8" w:space="0" w:color="F4F4F4"/>
              <w:left w:val="nil"/>
              <w:bottom w:val="single" w:sz="8" w:space="0" w:color="F4F4F4"/>
              <w:right w:val="nil"/>
            </w:tcBorders>
            <w:tcMar>
              <w:top w:w="0" w:type="dxa"/>
              <w:left w:w="0" w:type="dxa"/>
              <w:bottom w:w="0" w:type="dxa"/>
              <w:right w:w="0" w:type="dxa"/>
            </w:tcMar>
            <w:vAlign w:val="bottom"/>
          </w:tcPr>
          <w:p w14:paraId="7B98040F" w14:textId="77777777" w:rsidR="001614AC" w:rsidRDefault="001614AC">
            <w:pPr>
              <w:keepNext/>
            </w:pPr>
          </w:p>
        </w:tc>
        <w:tc>
          <w:tcPr>
            <w:tcW w:w="105" w:type="dxa"/>
            <w:tcBorders>
              <w:top w:val="nil"/>
              <w:left w:val="nil"/>
              <w:bottom w:val="nil"/>
              <w:right w:val="nil"/>
            </w:tcBorders>
            <w:tcMar>
              <w:top w:w="0" w:type="dxa"/>
              <w:left w:w="0" w:type="dxa"/>
              <w:bottom w:w="0" w:type="dxa"/>
              <w:right w:w="0" w:type="dxa"/>
            </w:tcMar>
            <w:vAlign w:val="bottom"/>
          </w:tcPr>
          <w:p w14:paraId="11E0B2D5" w14:textId="77777777" w:rsidR="001614AC" w:rsidRDefault="001614AC">
            <w:pPr>
              <w:keepNext/>
            </w:pPr>
          </w:p>
        </w:tc>
        <w:tc>
          <w:tcPr>
            <w:tcW w:w="1095" w:type="dxa"/>
            <w:gridSpan w:val="3"/>
            <w:tcBorders>
              <w:top w:val="single" w:sz="8" w:space="0" w:color="F4F4F4"/>
              <w:left w:val="nil"/>
              <w:bottom w:val="single" w:sz="8" w:space="0" w:color="F4F4F4"/>
              <w:right w:val="nil"/>
            </w:tcBorders>
            <w:tcMar>
              <w:top w:w="0" w:type="dxa"/>
              <w:left w:w="0" w:type="dxa"/>
              <w:bottom w:w="0" w:type="dxa"/>
              <w:right w:w="0" w:type="dxa"/>
            </w:tcMar>
            <w:vAlign w:val="bottom"/>
          </w:tcPr>
          <w:p w14:paraId="743940C2" w14:textId="77777777" w:rsidR="001614AC" w:rsidRDefault="001614AC">
            <w:pPr>
              <w:keepNext/>
            </w:pPr>
          </w:p>
        </w:tc>
        <w:tc>
          <w:tcPr>
            <w:tcW w:w="105" w:type="dxa"/>
            <w:tcBorders>
              <w:top w:val="nil"/>
              <w:left w:val="nil"/>
              <w:bottom w:val="nil"/>
              <w:right w:val="nil"/>
            </w:tcBorders>
            <w:tcMar>
              <w:top w:w="0" w:type="dxa"/>
              <w:left w:w="0" w:type="dxa"/>
              <w:bottom w:w="0" w:type="dxa"/>
              <w:right w:w="0" w:type="dxa"/>
            </w:tcMar>
            <w:vAlign w:val="bottom"/>
          </w:tcPr>
          <w:p w14:paraId="53765932" w14:textId="77777777" w:rsidR="001614AC" w:rsidRDefault="001614AC">
            <w:pPr>
              <w:keepNext/>
            </w:pPr>
          </w:p>
        </w:tc>
        <w:tc>
          <w:tcPr>
            <w:tcW w:w="1095" w:type="dxa"/>
            <w:gridSpan w:val="3"/>
            <w:tcBorders>
              <w:top w:val="single" w:sz="8" w:space="0" w:color="F4F4F4"/>
              <w:left w:val="nil"/>
              <w:bottom w:val="single" w:sz="8" w:space="0" w:color="F4F4F4"/>
              <w:right w:val="nil"/>
            </w:tcBorders>
            <w:tcMar>
              <w:top w:w="0" w:type="dxa"/>
              <w:left w:w="0" w:type="dxa"/>
              <w:bottom w:w="0" w:type="dxa"/>
              <w:right w:w="0" w:type="dxa"/>
            </w:tcMar>
            <w:vAlign w:val="bottom"/>
          </w:tcPr>
          <w:p w14:paraId="7E48C3C7" w14:textId="77777777" w:rsidR="001614AC" w:rsidRDefault="001614AC">
            <w:pPr>
              <w:keepNext/>
            </w:pPr>
          </w:p>
        </w:tc>
        <w:tc>
          <w:tcPr>
            <w:tcW w:w="105" w:type="dxa"/>
            <w:tcBorders>
              <w:top w:val="nil"/>
              <w:left w:val="nil"/>
              <w:bottom w:val="nil"/>
              <w:right w:val="nil"/>
            </w:tcBorders>
            <w:tcMar>
              <w:top w:w="0" w:type="dxa"/>
              <w:left w:w="0" w:type="dxa"/>
              <w:bottom w:w="0" w:type="dxa"/>
              <w:right w:w="0" w:type="dxa"/>
            </w:tcMar>
            <w:vAlign w:val="bottom"/>
          </w:tcPr>
          <w:p w14:paraId="488BA9B8" w14:textId="77777777" w:rsidR="001614AC" w:rsidRDefault="001614AC">
            <w:pPr>
              <w:keepNext/>
            </w:pPr>
          </w:p>
        </w:tc>
        <w:tc>
          <w:tcPr>
            <w:tcW w:w="1095" w:type="dxa"/>
            <w:gridSpan w:val="3"/>
            <w:tcBorders>
              <w:top w:val="single" w:sz="8" w:space="0" w:color="F4F4F4"/>
              <w:left w:val="nil"/>
              <w:bottom w:val="single" w:sz="8" w:space="0" w:color="F4F4F4"/>
              <w:right w:val="nil"/>
            </w:tcBorders>
            <w:tcMar>
              <w:top w:w="0" w:type="dxa"/>
              <w:left w:w="0" w:type="dxa"/>
              <w:bottom w:w="0" w:type="dxa"/>
              <w:right w:w="0" w:type="dxa"/>
            </w:tcMar>
            <w:vAlign w:val="bottom"/>
          </w:tcPr>
          <w:p w14:paraId="30FADE92" w14:textId="77777777" w:rsidR="001614AC" w:rsidRDefault="001614AC">
            <w:pPr>
              <w:keepNext/>
            </w:pPr>
          </w:p>
        </w:tc>
      </w:tr>
      <w:tr w:rsidR="001614AC" w14:paraId="0965EBBC" w14:textId="77777777">
        <w:trPr>
          <w:cantSplit/>
        </w:trPr>
        <w:tc>
          <w:tcPr>
            <w:tcW w:w="5280" w:type="dxa"/>
            <w:tcBorders>
              <w:top w:val="single" w:sz="8" w:space="0" w:color="F4F4F4"/>
              <w:left w:val="nil"/>
              <w:bottom w:val="single" w:sz="8" w:space="0" w:color="F4F4F4"/>
              <w:right w:val="nil"/>
            </w:tcBorders>
            <w:tcMar>
              <w:top w:w="0" w:type="dxa"/>
              <w:left w:w="53" w:type="dxa"/>
              <w:bottom w:w="0" w:type="dxa"/>
              <w:right w:w="53" w:type="dxa"/>
            </w:tcMar>
            <w:vAlign w:val="bottom"/>
          </w:tcPr>
          <w:p w14:paraId="6B718778" w14:textId="77777777" w:rsidR="001614AC" w:rsidRDefault="004468F9">
            <w:pPr>
              <w:keepNext/>
              <w:spacing w:before="55" w:after="30" w:line="288" w:lineRule="auto"/>
              <w:ind w:left="240"/>
            </w:pPr>
            <w:r>
              <w:rPr>
                <w:rFonts w:ascii="Arial" w:eastAsia="Arial" w:hAnsi="Arial" w:cs="Arial"/>
                <w:color w:val="000000"/>
                <w:sz w:val="18"/>
              </w:rPr>
              <w:t>U.S. government and agency securities</w:t>
            </w:r>
          </w:p>
        </w:tc>
        <w:tc>
          <w:tcPr>
            <w:tcW w:w="105" w:type="dxa"/>
            <w:tcBorders>
              <w:top w:val="nil"/>
              <w:left w:val="nil"/>
              <w:bottom w:val="nil"/>
              <w:right w:val="nil"/>
            </w:tcBorders>
            <w:tcMar>
              <w:top w:w="0" w:type="dxa"/>
              <w:left w:w="0" w:type="dxa"/>
              <w:bottom w:w="0" w:type="dxa"/>
              <w:right w:w="0" w:type="dxa"/>
            </w:tcMar>
            <w:vAlign w:val="bottom"/>
          </w:tcPr>
          <w:p w14:paraId="7D66EEE4" w14:textId="77777777" w:rsidR="001614AC" w:rsidRDefault="001614AC">
            <w:pPr>
              <w:keepNext/>
            </w:pPr>
          </w:p>
        </w:tc>
        <w:tc>
          <w:tcPr>
            <w:tcW w:w="995"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70E79B09" w14:textId="77777777" w:rsidR="001614AC" w:rsidRDefault="004468F9">
            <w:pPr>
              <w:keepNext/>
              <w:spacing w:before="55" w:after="30" w:line="288" w:lineRule="auto"/>
              <w:jc w:val="right"/>
            </w:pPr>
            <w:r>
              <w:rPr>
                <w:rFonts w:ascii="Arial" w:eastAsia="Arial" w:hAnsi="Arial" w:cs="Arial"/>
                <w:color w:val="000000"/>
                <w:sz w:val="18"/>
              </w:rPr>
              <w:t>4,876 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00338C01" w14:textId="77777777" w:rsidR="001614AC" w:rsidRDefault="001614AC">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548EACD9" w14:textId="77777777" w:rsidR="001614AC" w:rsidRDefault="001614AC">
            <w:pPr>
              <w:keepNext/>
            </w:pPr>
          </w:p>
        </w:tc>
        <w:tc>
          <w:tcPr>
            <w:tcW w:w="995"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0089DA4D" w14:textId="77777777" w:rsidR="001614AC" w:rsidRDefault="004468F9">
            <w:pPr>
              <w:keepNext/>
              <w:spacing w:before="55" w:after="30" w:line="288" w:lineRule="auto"/>
              <w:jc w:val="right"/>
            </w:pPr>
            <w:r>
              <w:rPr>
                <w:rFonts w:ascii="Arial" w:eastAsia="Arial" w:hAnsi="Arial" w:cs="Arial"/>
                <w:color w:val="000000"/>
                <w:sz w:val="18"/>
              </w:rPr>
              <w:t>—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43887930" w14:textId="77777777" w:rsidR="001614AC" w:rsidRDefault="001614AC">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659E0FA3" w14:textId="77777777" w:rsidR="001614AC" w:rsidRDefault="001614AC">
            <w:pPr>
              <w:keepNext/>
            </w:pPr>
          </w:p>
        </w:tc>
        <w:tc>
          <w:tcPr>
            <w:tcW w:w="995"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7BCAC66A" w14:textId="77777777" w:rsidR="001614AC" w:rsidRDefault="004468F9">
            <w:pPr>
              <w:keepNext/>
              <w:spacing w:before="55" w:after="30" w:line="288" w:lineRule="auto"/>
              <w:jc w:val="right"/>
            </w:pPr>
            <w:r>
              <w:rPr>
                <w:rFonts w:ascii="Arial" w:eastAsia="Arial" w:hAnsi="Arial" w:cs="Arial"/>
                <w:color w:val="000000"/>
                <w:sz w:val="18"/>
              </w:rPr>
              <w:t>—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2D2AC76C" w14:textId="77777777" w:rsidR="001614AC" w:rsidRDefault="001614AC">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5D3137E6" w14:textId="77777777" w:rsidR="001614AC" w:rsidRDefault="001614AC">
            <w:pPr>
              <w:keepNext/>
            </w:pPr>
          </w:p>
        </w:tc>
        <w:tc>
          <w:tcPr>
            <w:tcW w:w="995" w:type="dxa"/>
            <w:gridSpan w:val="2"/>
            <w:tcBorders>
              <w:top w:val="single" w:sz="8" w:space="0" w:color="F4F4F4"/>
              <w:left w:val="nil"/>
              <w:bottom w:val="single" w:sz="8" w:space="0" w:color="F4F4F4"/>
              <w:right w:val="nil"/>
            </w:tcBorders>
            <w:tcMar>
              <w:top w:w="0" w:type="dxa"/>
              <w:left w:w="53" w:type="dxa"/>
              <w:bottom w:w="0" w:type="dxa"/>
              <w:right w:w="0" w:type="dxa"/>
            </w:tcMar>
            <w:vAlign w:val="bottom"/>
          </w:tcPr>
          <w:p w14:paraId="443A5F33" w14:textId="77777777" w:rsidR="001614AC" w:rsidRDefault="004468F9">
            <w:pPr>
              <w:keepNext/>
              <w:spacing w:before="55" w:after="30" w:line="288" w:lineRule="auto"/>
              <w:jc w:val="right"/>
            </w:pPr>
            <w:r>
              <w:rPr>
                <w:rFonts w:ascii="Arial" w:eastAsia="Arial" w:hAnsi="Arial" w:cs="Arial"/>
                <w:color w:val="000000"/>
                <w:sz w:val="18"/>
              </w:rPr>
              <w:t>4,876 </w:t>
            </w:r>
          </w:p>
        </w:tc>
        <w:tc>
          <w:tcPr>
            <w:tcW w:w="100" w:type="dxa"/>
            <w:tcBorders>
              <w:top w:val="single" w:sz="8" w:space="0" w:color="F4F4F4"/>
              <w:left w:val="nil"/>
              <w:bottom w:val="single" w:sz="8" w:space="0" w:color="F4F4F4"/>
              <w:right w:val="nil"/>
            </w:tcBorders>
            <w:tcMar>
              <w:top w:w="0" w:type="dxa"/>
              <w:left w:w="0" w:type="dxa"/>
              <w:bottom w:w="0" w:type="dxa"/>
              <w:right w:w="15" w:type="dxa"/>
            </w:tcMar>
            <w:vAlign w:val="bottom"/>
          </w:tcPr>
          <w:p w14:paraId="0E630FE8" w14:textId="77777777" w:rsidR="001614AC" w:rsidRDefault="001614AC">
            <w:pPr>
              <w:keepNext/>
              <w:spacing w:before="55" w:after="30" w:line="288" w:lineRule="auto"/>
              <w:jc w:val="right"/>
            </w:pPr>
          </w:p>
        </w:tc>
      </w:tr>
      <w:tr w:rsidR="001614AC" w14:paraId="6789F70E" w14:textId="77777777">
        <w:trPr>
          <w:cantSplit/>
        </w:trPr>
        <w:tc>
          <w:tcPr>
            <w:tcW w:w="5280" w:type="dxa"/>
            <w:tcBorders>
              <w:top w:val="single" w:sz="8" w:space="0" w:color="F4F4F4"/>
              <w:left w:val="nil"/>
              <w:bottom w:val="nil"/>
              <w:right w:val="nil"/>
            </w:tcBorders>
            <w:tcMar>
              <w:top w:w="0" w:type="dxa"/>
              <w:left w:w="53" w:type="dxa"/>
              <w:bottom w:w="0" w:type="dxa"/>
              <w:right w:w="53" w:type="dxa"/>
            </w:tcMar>
            <w:vAlign w:val="bottom"/>
          </w:tcPr>
          <w:p w14:paraId="26114478" w14:textId="77777777" w:rsidR="001614AC" w:rsidRDefault="004468F9">
            <w:pPr>
              <w:keepNext/>
              <w:spacing w:before="55" w:after="30" w:line="288" w:lineRule="auto"/>
              <w:ind w:left="240"/>
            </w:pPr>
            <w:r>
              <w:rPr>
                <w:rFonts w:ascii="Arial" w:eastAsia="Arial" w:hAnsi="Arial" w:cs="Arial"/>
                <w:color w:val="000000"/>
                <w:sz w:val="18"/>
              </w:rPr>
              <w:t>Corporate bonds and notes</w:t>
            </w:r>
          </w:p>
        </w:tc>
        <w:tc>
          <w:tcPr>
            <w:tcW w:w="105" w:type="dxa"/>
            <w:tcBorders>
              <w:top w:val="nil"/>
              <w:left w:val="nil"/>
              <w:bottom w:val="nil"/>
              <w:right w:val="nil"/>
            </w:tcBorders>
            <w:tcMar>
              <w:top w:w="0" w:type="dxa"/>
              <w:left w:w="0" w:type="dxa"/>
              <w:bottom w:w="0" w:type="dxa"/>
              <w:right w:w="0" w:type="dxa"/>
            </w:tcMar>
            <w:vAlign w:val="bottom"/>
          </w:tcPr>
          <w:p w14:paraId="7F7C79C5" w14:textId="77777777" w:rsidR="001614AC" w:rsidRDefault="001614AC">
            <w:pPr>
              <w:keepNext/>
            </w:pPr>
          </w:p>
        </w:tc>
        <w:tc>
          <w:tcPr>
            <w:tcW w:w="995" w:type="dxa"/>
            <w:gridSpan w:val="2"/>
            <w:tcBorders>
              <w:top w:val="single" w:sz="8" w:space="0" w:color="F4F4F4"/>
              <w:left w:val="nil"/>
              <w:bottom w:val="nil"/>
              <w:right w:val="nil"/>
            </w:tcBorders>
            <w:tcMar>
              <w:top w:w="0" w:type="dxa"/>
              <w:left w:w="53" w:type="dxa"/>
              <w:bottom w:w="0" w:type="dxa"/>
              <w:right w:w="0" w:type="dxa"/>
            </w:tcMar>
            <w:vAlign w:val="bottom"/>
          </w:tcPr>
          <w:p w14:paraId="65587406" w14:textId="77777777" w:rsidR="001614AC" w:rsidRDefault="004468F9">
            <w:pPr>
              <w:keepNext/>
              <w:spacing w:before="55" w:after="30" w:line="288" w:lineRule="auto"/>
              <w:jc w:val="right"/>
            </w:pPr>
            <w:r>
              <w:rPr>
                <w:rFonts w:ascii="Arial" w:eastAsia="Arial" w:hAnsi="Arial" w:cs="Arial"/>
                <w:color w:val="000000"/>
                <w:sz w:val="18"/>
              </w:rPr>
              <w:t>— </w:t>
            </w:r>
          </w:p>
        </w:tc>
        <w:tc>
          <w:tcPr>
            <w:tcW w:w="100" w:type="dxa"/>
            <w:tcBorders>
              <w:top w:val="single" w:sz="8" w:space="0" w:color="F4F4F4"/>
              <w:left w:val="nil"/>
              <w:bottom w:val="nil"/>
              <w:right w:val="nil"/>
            </w:tcBorders>
            <w:tcMar>
              <w:top w:w="0" w:type="dxa"/>
              <w:left w:w="0" w:type="dxa"/>
              <w:bottom w:w="0" w:type="dxa"/>
              <w:right w:w="15" w:type="dxa"/>
            </w:tcMar>
            <w:vAlign w:val="bottom"/>
          </w:tcPr>
          <w:p w14:paraId="0D67F4F5" w14:textId="77777777" w:rsidR="001614AC" w:rsidRDefault="001614AC">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682D0842" w14:textId="77777777" w:rsidR="001614AC" w:rsidRDefault="001614AC">
            <w:pPr>
              <w:keepNext/>
            </w:pPr>
          </w:p>
        </w:tc>
        <w:tc>
          <w:tcPr>
            <w:tcW w:w="995" w:type="dxa"/>
            <w:gridSpan w:val="2"/>
            <w:tcBorders>
              <w:top w:val="single" w:sz="8" w:space="0" w:color="F4F4F4"/>
              <w:left w:val="nil"/>
              <w:bottom w:val="nil"/>
              <w:right w:val="nil"/>
            </w:tcBorders>
            <w:tcMar>
              <w:top w:w="0" w:type="dxa"/>
              <w:left w:w="53" w:type="dxa"/>
              <w:bottom w:w="0" w:type="dxa"/>
              <w:right w:w="0" w:type="dxa"/>
            </w:tcMar>
            <w:vAlign w:val="bottom"/>
          </w:tcPr>
          <w:p w14:paraId="22A2C117" w14:textId="77777777" w:rsidR="001614AC" w:rsidRDefault="004468F9">
            <w:pPr>
              <w:keepNext/>
              <w:spacing w:before="55" w:after="30" w:line="288" w:lineRule="auto"/>
              <w:jc w:val="right"/>
            </w:pPr>
            <w:r>
              <w:rPr>
                <w:rFonts w:ascii="Arial" w:eastAsia="Arial" w:hAnsi="Arial" w:cs="Arial"/>
                <w:color w:val="000000"/>
                <w:sz w:val="18"/>
              </w:rPr>
              <w:t>31,324 </w:t>
            </w:r>
          </w:p>
        </w:tc>
        <w:tc>
          <w:tcPr>
            <w:tcW w:w="100" w:type="dxa"/>
            <w:tcBorders>
              <w:top w:val="single" w:sz="8" w:space="0" w:color="F4F4F4"/>
              <w:left w:val="nil"/>
              <w:bottom w:val="nil"/>
              <w:right w:val="nil"/>
            </w:tcBorders>
            <w:tcMar>
              <w:top w:w="0" w:type="dxa"/>
              <w:left w:w="0" w:type="dxa"/>
              <w:bottom w:w="0" w:type="dxa"/>
              <w:right w:w="15" w:type="dxa"/>
            </w:tcMar>
            <w:vAlign w:val="bottom"/>
          </w:tcPr>
          <w:p w14:paraId="58D66586" w14:textId="77777777" w:rsidR="001614AC" w:rsidRDefault="001614AC">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34019B2D" w14:textId="77777777" w:rsidR="001614AC" w:rsidRDefault="001614AC">
            <w:pPr>
              <w:keepNext/>
            </w:pPr>
          </w:p>
        </w:tc>
        <w:tc>
          <w:tcPr>
            <w:tcW w:w="995" w:type="dxa"/>
            <w:gridSpan w:val="2"/>
            <w:tcBorders>
              <w:top w:val="single" w:sz="8" w:space="0" w:color="F4F4F4"/>
              <w:left w:val="nil"/>
              <w:bottom w:val="nil"/>
              <w:right w:val="nil"/>
            </w:tcBorders>
            <w:tcMar>
              <w:top w:w="0" w:type="dxa"/>
              <w:left w:w="53" w:type="dxa"/>
              <w:bottom w:w="0" w:type="dxa"/>
              <w:right w:w="0" w:type="dxa"/>
            </w:tcMar>
            <w:vAlign w:val="bottom"/>
          </w:tcPr>
          <w:p w14:paraId="3CAACA7D" w14:textId="77777777" w:rsidR="001614AC" w:rsidRDefault="004468F9">
            <w:pPr>
              <w:keepNext/>
              <w:spacing w:before="55" w:after="30" w:line="288" w:lineRule="auto"/>
              <w:jc w:val="right"/>
            </w:pPr>
            <w:r>
              <w:rPr>
                <w:rFonts w:ascii="Arial" w:eastAsia="Arial" w:hAnsi="Arial" w:cs="Arial"/>
                <w:color w:val="000000"/>
                <w:sz w:val="18"/>
              </w:rPr>
              <w:t>— </w:t>
            </w:r>
          </w:p>
        </w:tc>
        <w:tc>
          <w:tcPr>
            <w:tcW w:w="100" w:type="dxa"/>
            <w:tcBorders>
              <w:top w:val="single" w:sz="8" w:space="0" w:color="F4F4F4"/>
              <w:left w:val="nil"/>
              <w:bottom w:val="nil"/>
              <w:right w:val="nil"/>
            </w:tcBorders>
            <w:tcMar>
              <w:top w:w="0" w:type="dxa"/>
              <w:left w:w="0" w:type="dxa"/>
              <w:bottom w:w="0" w:type="dxa"/>
              <w:right w:w="15" w:type="dxa"/>
            </w:tcMar>
            <w:vAlign w:val="bottom"/>
          </w:tcPr>
          <w:p w14:paraId="7F26FFA3" w14:textId="77777777" w:rsidR="001614AC" w:rsidRDefault="001614AC">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162A1571" w14:textId="77777777" w:rsidR="001614AC" w:rsidRDefault="001614AC">
            <w:pPr>
              <w:keepNext/>
            </w:pPr>
          </w:p>
        </w:tc>
        <w:tc>
          <w:tcPr>
            <w:tcW w:w="995" w:type="dxa"/>
            <w:gridSpan w:val="2"/>
            <w:tcBorders>
              <w:top w:val="single" w:sz="8" w:space="0" w:color="F4F4F4"/>
              <w:left w:val="nil"/>
              <w:bottom w:val="nil"/>
              <w:right w:val="nil"/>
            </w:tcBorders>
            <w:tcMar>
              <w:top w:w="0" w:type="dxa"/>
              <w:left w:w="53" w:type="dxa"/>
              <w:bottom w:w="0" w:type="dxa"/>
              <w:right w:w="0" w:type="dxa"/>
            </w:tcMar>
            <w:vAlign w:val="bottom"/>
          </w:tcPr>
          <w:p w14:paraId="67854207" w14:textId="77777777" w:rsidR="001614AC" w:rsidRDefault="004468F9">
            <w:pPr>
              <w:keepNext/>
              <w:spacing w:before="55" w:after="30" w:line="288" w:lineRule="auto"/>
              <w:jc w:val="right"/>
            </w:pPr>
            <w:r>
              <w:rPr>
                <w:rFonts w:ascii="Arial" w:eastAsia="Arial" w:hAnsi="Arial" w:cs="Arial"/>
                <w:color w:val="000000"/>
                <w:sz w:val="18"/>
              </w:rPr>
              <w:t>31,324 </w:t>
            </w:r>
          </w:p>
        </w:tc>
        <w:tc>
          <w:tcPr>
            <w:tcW w:w="100" w:type="dxa"/>
            <w:tcBorders>
              <w:top w:val="single" w:sz="8" w:space="0" w:color="F4F4F4"/>
              <w:left w:val="nil"/>
              <w:bottom w:val="nil"/>
              <w:right w:val="nil"/>
            </w:tcBorders>
            <w:tcMar>
              <w:top w:w="0" w:type="dxa"/>
              <w:left w:w="0" w:type="dxa"/>
              <w:bottom w:w="0" w:type="dxa"/>
              <w:right w:w="15" w:type="dxa"/>
            </w:tcMar>
            <w:vAlign w:val="bottom"/>
          </w:tcPr>
          <w:p w14:paraId="7E42E64C" w14:textId="77777777" w:rsidR="001614AC" w:rsidRDefault="001614AC">
            <w:pPr>
              <w:keepNext/>
              <w:spacing w:before="55" w:after="30" w:line="288" w:lineRule="auto"/>
              <w:jc w:val="right"/>
            </w:pPr>
          </w:p>
        </w:tc>
      </w:tr>
      <w:tr w:rsidR="001614AC" w14:paraId="615E254E" w14:textId="77777777">
        <w:trPr>
          <w:cantSplit/>
        </w:trPr>
        <w:tc>
          <w:tcPr>
            <w:tcW w:w="5280" w:type="dxa"/>
            <w:tcBorders>
              <w:top w:val="single" w:sz="8" w:space="0" w:color="F4F4F4"/>
              <w:left w:val="nil"/>
              <w:bottom w:val="nil"/>
              <w:right w:val="nil"/>
            </w:tcBorders>
            <w:tcMar>
              <w:top w:w="0" w:type="dxa"/>
              <w:left w:w="53" w:type="dxa"/>
              <w:bottom w:w="0" w:type="dxa"/>
              <w:right w:w="53" w:type="dxa"/>
            </w:tcMar>
            <w:vAlign w:val="bottom"/>
          </w:tcPr>
          <w:p w14:paraId="32D7C142" w14:textId="77777777" w:rsidR="001614AC" w:rsidRDefault="004468F9">
            <w:pPr>
              <w:keepNext/>
              <w:spacing w:before="55" w:after="30" w:line="288" w:lineRule="auto"/>
              <w:ind w:left="240"/>
            </w:pPr>
            <w:r>
              <w:rPr>
                <w:rFonts w:ascii="Arial" w:eastAsia="Arial" w:hAnsi="Arial" w:cs="Arial"/>
                <w:color w:val="000000"/>
                <w:sz w:val="18"/>
              </w:rPr>
              <w:lastRenderedPageBreak/>
              <w:t>Equity securities</w:t>
            </w:r>
          </w:p>
        </w:tc>
        <w:tc>
          <w:tcPr>
            <w:tcW w:w="105" w:type="dxa"/>
            <w:tcBorders>
              <w:top w:val="nil"/>
              <w:left w:val="nil"/>
              <w:bottom w:val="nil"/>
              <w:right w:val="nil"/>
            </w:tcBorders>
            <w:tcMar>
              <w:top w:w="0" w:type="dxa"/>
              <w:left w:w="0" w:type="dxa"/>
              <w:bottom w:w="0" w:type="dxa"/>
              <w:right w:w="0" w:type="dxa"/>
            </w:tcMar>
            <w:vAlign w:val="bottom"/>
          </w:tcPr>
          <w:p w14:paraId="1A1DCD68" w14:textId="77777777" w:rsidR="001614AC" w:rsidRDefault="001614AC">
            <w:pPr>
              <w:keepNext/>
            </w:pPr>
          </w:p>
        </w:tc>
        <w:tc>
          <w:tcPr>
            <w:tcW w:w="995" w:type="dxa"/>
            <w:gridSpan w:val="2"/>
            <w:tcBorders>
              <w:top w:val="single" w:sz="8" w:space="0" w:color="F4F4F4"/>
              <w:left w:val="nil"/>
              <w:bottom w:val="single" w:sz="8" w:space="0" w:color="C7C9C7"/>
              <w:right w:val="nil"/>
            </w:tcBorders>
            <w:tcMar>
              <w:top w:w="0" w:type="dxa"/>
              <w:left w:w="53" w:type="dxa"/>
              <w:bottom w:w="0" w:type="dxa"/>
              <w:right w:w="0" w:type="dxa"/>
            </w:tcMar>
            <w:vAlign w:val="bottom"/>
          </w:tcPr>
          <w:p w14:paraId="045DCCC0" w14:textId="77777777" w:rsidR="001614AC" w:rsidRDefault="004468F9">
            <w:pPr>
              <w:keepNext/>
              <w:spacing w:before="55" w:after="30" w:line="288" w:lineRule="auto"/>
              <w:jc w:val="right"/>
            </w:pPr>
            <w:r>
              <w:rPr>
                <w:rFonts w:ascii="Arial" w:eastAsia="Arial" w:hAnsi="Arial" w:cs="Arial"/>
                <w:color w:val="000000"/>
                <w:sz w:val="18"/>
              </w:rPr>
              <w:t>21,299 </w:t>
            </w:r>
          </w:p>
        </w:tc>
        <w:tc>
          <w:tcPr>
            <w:tcW w:w="100" w:type="dxa"/>
            <w:tcBorders>
              <w:top w:val="single" w:sz="8" w:space="0" w:color="F4F4F4"/>
              <w:left w:val="nil"/>
              <w:bottom w:val="single" w:sz="8" w:space="0" w:color="C7C9C7"/>
              <w:right w:val="nil"/>
            </w:tcBorders>
            <w:tcMar>
              <w:top w:w="0" w:type="dxa"/>
              <w:left w:w="0" w:type="dxa"/>
              <w:bottom w:w="0" w:type="dxa"/>
              <w:right w:w="15" w:type="dxa"/>
            </w:tcMar>
            <w:vAlign w:val="bottom"/>
          </w:tcPr>
          <w:p w14:paraId="1D849D8C" w14:textId="77777777" w:rsidR="001614AC" w:rsidRDefault="001614AC">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039CB564" w14:textId="77777777" w:rsidR="001614AC" w:rsidRDefault="001614AC">
            <w:pPr>
              <w:keepNext/>
            </w:pPr>
          </w:p>
        </w:tc>
        <w:tc>
          <w:tcPr>
            <w:tcW w:w="995" w:type="dxa"/>
            <w:gridSpan w:val="2"/>
            <w:tcBorders>
              <w:top w:val="single" w:sz="8" w:space="0" w:color="F4F4F4"/>
              <w:left w:val="nil"/>
              <w:bottom w:val="single" w:sz="8" w:space="0" w:color="C7C9C7"/>
              <w:right w:val="nil"/>
            </w:tcBorders>
            <w:tcMar>
              <w:top w:w="0" w:type="dxa"/>
              <w:left w:w="53" w:type="dxa"/>
              <w:bottom w:w="0" w:type="dxa"/>
              <w:right w:w="0" w:type="dxa"/>
            </w:tcMar>
            <w:vAlign w:val="bottom"/>
          </w:tcPr>
          <w:p w14:paraId="2DE77347" w14:textId="77777777" w:rsidR="001614AC" w:rsidRDefault="004468F9">
            <w:pPr>
              <w:keepNext/>
              <w:spacing w:before="55" w:after="30" w:line="288" w:lineRule="auto"/>
              <w:jc w:val="right"/>
            </w:pPr>
            <w:r>
              <w:rPr>
                <w:rFonts w:ascii="Arial" w:eastAsia="Arial" w:hAnsi="Arial" w:cs="Arial"/>
                <w:color w:val="000000"/>
                <w:sz w:val="18"/>
              </w:rPr>
              <w:t>— </w:t>
            </w:r>
          </w:p>
        </w:tc>
        <w:tc>
          <w:tcPr>
            <w:tcW w:w="100" w:type="dxa"/>
            <w:tcBorders>
              <w:top w:val="single" w:sz="8" w:space="0" w:color="F4F4F4"/>
              <w:left w:val="nil"/>
              <w:bottom w:val="single" w:sz="8" w:space="0" w:color="C7C9C7"/>
              <w:right w:val="nil"/>
            </w:tcBorders>
            <w:tcMar>
              <w:top w:w="0" w:type="dxa"/>
              <w:left w:w="0" w:type="dxa"/>
              <w:bottom w:w="0" w:type="dxa"/>
              <w:right w:w="15" w:type="dxa"/>
            </w:tcMar>
            <w:vAlign w:val="bottom"/>
          </w:tcPr>
          <w:p w14:paraId="233E3C3E" w14:textId="77777777" w:rsidR="001614AC" w:rsidRDefault="001614AC">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2599DB03" w14:textId="77777777" w:rsidR="001614AC" w:rsidRDefault="001614AC">
            <w:pPr>
              <w:keepNext/>
            </w:pPr>
          </w:p>
        </w:tc>
        <w:tc>
          <w:tcPr>
            <w:tcW w:w="995" w:type="dxa"/>
            <w:gridSpan w:val="2"/>
            <w:tcBorders>
              <w:top w:val="single" w:sz="8" w:space="0" w:color="F4F4F4"/>
              <w:left w:val="nil"/>
              <w:bottom w:val="single" w:sz="8" w:space="0" w:color="C7C9C7"/>
              <w:right w:val="nil"/>
            </w:tcBorders>
            <w:tcMar>
              <w:top w:w="0" w:type="dxa"/>
              <w:left w:w="53" w:type="dxa"/>
              <w:bottom w:w="0" w:type="dxa"/>
              <w:right w:w="0" w:type="dxa"/>
            </w:tcMar>
            <w:vAlign w:val="bottom"/>
          </w:tcPr>
          <w:p w14:paraId="1A73B651" w14:textId="77777777" w:rsidR="001614AC" w:rsidRDefault="004468F9">
            <w:pPr>
              <w:keepNext/>
              <w:spacing w:before="55" w:after="30" w:line="288" w:lineRule="auto"/>
              <w:jc w:val="right"/>
            </w:pPr>
            <w:r>
              <w:rPr>
                <w:rFonts w:ascii="Arial" w:eastAsia="Arial" w:hAnsi="Arial" w:cs="Arial"/>
                <w:color w:val="000000"/>
                <w:sz w:val="18"/>
              </w:rPr>
              <w:t>— </w:t>
            </w:r>
          </w:p>
        </w:tc>
        <w:tc>
          <w:tcPr>
            <w:tcW w:w="100" w:type="dxa"/>
            <w:tcBorders>
              <w:top w:val="single" w:sz="8" w:space="0" w:color="F4F4F4"/>
              <w:left w:val="nil"/>
              <w:bottom w:val="single" w:sz="8" w:space="0" w:color="C7C9C7"/>
              <w:right w:val="nil"/>
            </w:tcBorders>
            <w:tcMar>
              <w:top w:w="0" w:type="dxa"/>
              <w:left w:w="0" w:type="dxa"/>
              <w:bottom w:w="0" w:type="dxa"/>
              <w:right w:w="15" w:type="dxa"/>
            </w:tcMar>
            <w:vAlign w:val="bottom"/>
          </w:tcPr>
          <w:p w14:paraId="64260C0D" w14:textId="77777777" w:rsidR="001614AC" w:rsidRDefault="001614AC">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22A94BA1" w14:textId="77777777" w:rsidR="001614AC" w:rsidRDefault="001614AC">
            <w:pPr>
              <w:keepNext/>
            </w:pPr>
          </w:p>
        </w:tc>
        <w:tc>
          <w:tcPr>
            <w:tcW w:w="995" w:type="dxa"/>
            <w:gridSpan w:val="2"/>
            <w:tcBorders>
              <w:top w:val="single" w:sz="8" w:space="0" w:color="F4F4F4"/>
              <w:left w:val="nil"/>
              <w:bottom w:val="single" w:sz="8" w:space="0" w:color="C7C9C7"/>
              <w:right w:val="nil"/>
            </w:tcBorders>
            <w:tcMar>
              <w:top w:w="0" w:type="dxa"/>
              <w:left w:w="53" w:type="dxa"/>
              <w:bottom w:w="0" w:type="dxa"/>
              <w:right w:w="0" w:type="dxa"/>
            </w:tcMar>
            <w:vAlign w:val="bottom"/>
          </w:tcPr>
          <w:p w14:paraId="53C73175" w14:textId="77777777" w:rsidR="001614AC" w:rsidRDefault="004468F9">
            <w:pPr>
              <w:keepNext/>
              <w:spacing w:before="55" w:after="30" w:line="288" w:lineRule="auto"/>
              <w:jc w:val="right"/>
            </w:pPr>
            <w:r>
              <w:rPr>
                <w:rFonts w:ascii="Arial" w:eastAsia="Arial" w:hAnsi="Arial" w:cs="Arial"/>
                <w:color w:val="000000"/>
                <w:sz w:val="18"/>
              </w:rPr>
              <w:t>21,299 </w:t>
            </w:r>
          </w:p>
        </w:tc>
        <w:tc>
          <w:tcPr>
            <w:tcW w:w="100" w:type="dxa"/>
            <w:tcBorders>
              <w:top w:val="single" w:sz="8" w:space="0" w:color="F4F4F4"/>
              <w:left w:val="nil"/>
              <w:bottom w:val="single" w:sz="8" w:space="0" w:color="C7C9C7"/>
              <w:right w:val="nil"/>
            </w:tcBorders>
            <w:tcMar>
              <w:top w:w="0" w:type="dxa"/>
              <w:left w:w="0" w:type="dxa"/>
              <w:bottom w:w="0" w:type="dxa"/>
              <w:right w:w="15" w:type="dxa"/>
            </w:tcMar>
            <w:vAlign w:val="bottom"/>
          </w:tcPr>
          <w:p w14:paraId="1BC14AC5" w14:textId="77777777" w:rsidR="001614AC" w:rsidRDefault="001614AC">
            <w:pPr>
              <w:keepNext/>
              <w:spacing w:before="55" w:after="30" w:line="288" w:lineRule="auto"/>
              <w:jc w:val="right"/>
            </w:pPr>
          </w:p>
        </w:tc>
      </w:tr>
      <w:tr w:rsidR="001614AC" w14:paraId="7AB17FB8" w14:textId="77777777">
        <w:trPr>
          <w:cantSplit/>
        </w:trPr>
        <w:tc>
          <w:tcPr>
            <w:tcW w:w="5280" w:type="dxa"/>
            <w:tcBorders>
              <w:top w:val="nil"/>
              <w:left w:val="nil"/>
              <w:bottom w:val="nil"/>
              <w:right w:val="nil"/>
            </w:tcBorders>
            <w:shd w:val="clear" w:color="auto" w:fill="F4F4F4"/>
            <w:tcMar>
              <w:top w:w="0" w:type="dxa"/>
              <w:left w:w="53" w:type="dxa"/>
              <w:bottom w:w="0" w:type="dxa"/>
              <w:right w:w="53" w:type="dxa"/>
            </w:tcMar>
            <w:vAlign w:val="bottom"/>
          </w:tcPr>
          <w:p w14:paraId="73CA14F3" w14:textId="77777777" w:rsidR="001614AC" w:rsidRDefault="004468F9">
            <w:pPr>
              <w:spacing w:before="75" w:after="30" w:line="288" w:lineRule="auto"/>
              <w:rPr>
                <w:rFonts w:ascii="Arial" w:eastAsia="Arial" w:hAnsi="Arial" w:cs="Arial"/>
                <w:sz w:val="18"/>
              </w:rPr>
            </w:pPr>
            <w:r>
              <w:rPr>
                <w:rFonts w:ascii="Arial" w:eastAsia="Arial" w:hAnsi="Arial" w:cs="Arial"/>
                <w:sz w:val="18"/>
              </w:rPr>
              <w:t xml:space="preserve">Total assets at fair value </w:t>
            </w:r>
            <w:r>
              <w:rPr>
                <w:rFonts w:ascii="Arial" w:eastAsia="Arial" w:hAnsi="Arial" w:cs="Arial"/>
                <w:sz w:val="18"/>
                <w:vertAlign w:val="superscript"/>
              </w:rPr>
              <w:t xml:space="preserve">(2) </w:t>
            </w:r>
          </w:p>
        </w:tc>
        <w:tc>
          <w:tcPr>
            <w:tcW w:w="105" w:type="dxa"/>
            <w:tcBorders>
              <w:top w:val="nil"/>
              <w:left w:val="nil"/>
              <w:bottom w:val="nil"/>
              <w:right w:val="nil"/>
            </w:tcBorders>
            <w:shd w:val="clear" w:color="auto" w:fill="F4F4F4"/>
            <w:tcMar>
              <w:top w:w="0" w:type="dxa"/>
              <w:left w:w="0" w:type="dxa"/>
              <w:bottom w:w="0" w:type="dxa"/>
              <w:right w:w="0" w:type="dxa"/>
            </w:tcMar>
            <w:vAlign w:val="bottom"/>
          </w:tcPr>
          <w:p w14:paraId="2A929288" w14:textId="77777777" w:rsidR="001614AC" w:rsidRDefault="001614AC"/>
        </w:tc>
        <w:tc>
          <w:tcPr>
            <w:tcW w:w="160" w:type="dxa"/>
            <w:tcBorders>
              <w:top w:val="single" w:sz="8" w:space="0" w:color="C7C9C7"/>
              <w:left w:val="nil"/>
              <w:bottom w:val="double" w:sz="8" w:space="0" w:color="C7C9C7"/>
              <w:right w:val="nil"/>
            </w:tcBorders>
            <w:shd w:val="clear" w:color="auto" w:fill="F4F4F4"/>
            <w:tcMar>
              <w:top w:w="0" w:type="dxa"/>
              <w:left w:w="53" w:type="dxa"/>
              <w:bottom w:w="0" w:type="dxa"/>
              <w:right w:w="0" w:type="dxa"/>
            </w:tcMar>
            <w:vAlign w:val="bottom"/>
          </w:tcPr>
          <w:p w14:paraId="540C46BE" w14:textId="77777777" w:rsidR="001614AC" w:rsidRDefault="004468F9">
            <w:pPr>
              <w:spacing w:before="55" w:after="30" w:line="288" w:lineRule="auto"/>
            </w:pPr>
            <w:r>
              <w:rPr>
                <w:rFonts w:ascii="Arial" w:eastAsia="Arial" w:hAnsi="Arial" w:cs="Arial"/>
                <w:color w:val="000000"/>
                <w:sz w:val="18"/>
              </w:rPr>
              <w:t>$</w:t>
            </w:r>
          </w:p>
        </w:tc>
        <w:tc>
          <w:tcPr>
            <w:tcW w:w="835" w:type="dxa"/>
            <w:tcBorders>
              <w:top w:val="single" w:sz="8" w:space="0" w:color="C7C9C7"/>
              <w:left w:val="nil"/>
              <w:bottom w:val="double" w:sz="8" w:space="0" w:color="C7C9C7"/>
              <w:right w:val="nil"/>
            </w:tcBorders>
            <w:shd w:val="clear" w:color="auto" w:fill="F4F4F4"/>
            <w:tcMar>
              <w:top w:w="0" w:type="dxa"/>
              <w:left w:w="0" w:type="dxa"/>
              <w:bottom w:w="0" w:type="dxa"/>
              <w:right w:w="0" w:type="dxa"/>
            </w:tcMar>
            <w:vAlign w:val="bottom"/>
          </w:tcPr>
          <w:p w14:paraId="7602D0F8" w14:textId="77777777" w:rsidR="001614AC" w:rsidRDefault="004468F9">
            <w:pPr>
              <w:spacing w:before="55" w:after="30" w:line="288" w:lineRule="auto"/>
              <w:jc w:val="right"/>
            </w:pPr>
            <w:r>
              <w:rPr>
                <w:rFonts w:ascii="Arial" w:eastAsia="Arial" w:hAnsi="Arial" w:cs="Arial"/>
                <w:color w:val="000000"/>
                <w:sz w:val="18"/>
              </w:rPr>
              <w:t>577,870 </w:t>
            </w:r>
          </w:p>
        </w:tc>
        <w:tc>
          <w:tcPr>
            <w:tcW w:w="100" w:type="dxa"/>
            <w:tcBorders>
              <w:top w:val="single" w:sz="8" w:space="0" w:color="C7C9C7"/>
              <w:left w:val="nil"/>
              <w:bottom w:val="double" w:sz="8" w:space="0" w:color="C7C9C7"/>
              <w:right w:val="nil"/>
            </w:tcBorders>
            <w:shd w:val="clear" w:color="auto" w:fill="F4F4F4"/>
            <w:tcMar>
              <w:top w:w="0" w:type="dxa"/>
              <w:left w:w="0" w:type="dxa"/>
              <w:bottom w:w="0" w:type="dxa"/>
              <w:right w:w="15" w:type="dxa"/>
            </w:tcMar>
            <w:vAlign w:val="bottom"/>
          </w:tcPr>
          <w:p w14:paraId="6517B426" w14:textId="77777777" w:rsidR="001614AC" w:rsidRDefault="001614AC">
            <w:pPr>
              <w:spacing w:before="55" w:after="30" w:line="288" w:lineRule="auto"/>
              <w:jc w:val="right"/>
            </w:pPr>
          </w:p>
        </w:tc>
        <w:tc>
          <w:tcPr>
            <w:tcW w:w="105" w:type="dxa"/>
            <w:tcBorders>
              <w:top w:val="nil"/>
              <w:left w:val="nil"/>
              <w:bottom w:val="nil"/>
              <w:right w:val="nil"/>
            </w:tcBorders>
            <w:shd w:val="clear" w:color="auto" w:fill="F4F4F4"/>
            <w:tcMar>
              <w:top w:w="0" w:type="dxa"/>
              <w:left w:w="0" w:type="dxa"/>
              <w:bottom w:w="0" w:type="dxa"/>
              <w:right w:w="0" w:type="dxa"/>
            </w:tcMar>
            <w:vAlign w:val="bottom"/>
          </w:tcPr>
          <w:p w14:paraId="596711F6" w14:textId="77777777" w:rsidR="001614AC" w:rsidRDefault="001614AC"/>
        </w:tc>
        <w:tc>
          <w:tcPr>
            <w:tcW w:w="160" w:type="dxa"/>
            <w:tcBorders>
              <w:top w:val="single" w:sz="8" w:space="0" w:color="C7C9C7"/>
              <w:left w:val="nil"/>
              <w:bottom w:val="double" w:sz="8" w:space="0" w:color="C7C9C7"/>
              <w:right w:val="nil"/>
            </w:tcBorders>
            <w:shd w:val="clear" w:color="auto" w:fill="F4F4F4"/>
            <w:tcMar>
              <w:top w:w="0" w:type="dxa"/>
              <w:left w:w="53" w:type="dxa"/>
              <w:bottom w:w="0" w:type="dxa"/>
              <w:right w:w="0" w:type="dxa"/>
            </w:tcMar>
            <w:vAlign w:val="bottom"/>
          </w:tcPr>
          <w:p w14:paraId="6228E361" w14:textId="77777777" w:rsidR="001614AC" w:rsidRDefault="004468F9">
            <w:pPr>
              <w:spacing w:before="55" w:after="30" w:line="288" w:lineRule="auto"/>
            </w:pPr>
            <w:r>
              <w:rPr>
                <w:rFonts w:ascii="Arial" w:eastAsia="Arial" w:hAnsi="Arial" w:cs="Arial"/>
                <w:color w:val="000000"/>
                <w:sz w:val="18"/>
              </w:rPr>
              <w:t>$</w:t>
            </w:r>
          </w:p>
        </w:tc>
        <w:tc>
          <w:tcPr>
            <w:tcW w:w="835" w:type="dxa"/>
            <w:tcBorders>
              <w:top w:val="single" w:sz="8" w:space="0" w:color="C7C9C7"/>
              <w:left w:val="nil"/>
              <w:bottom w:val="double" w:sz="8" w:space="0" w:color="C7C9C7"/>
              <w:right w:val="nil"/>
            </w:tcBorders>
            <w:shd w:val="clear" w:color="auto" w:fill="F4F4F4"/>
            <w:tcMar>
              <w:top w:w="0" w:type="dxa"/>
              <w:left w:w="0" w:type="dxa"/>
              <w:bottom w:w="0" w:type="dxa"/>
              <w:right w:w="0" w:type="dxa"/>
            </w:tcMar>
            <w:vAlign w:val="bottom"/>
          </w:tcPr>
          <w:p w14:paraId="55A7F859" w14:textId="77777777" w:rsidR="001614AC" w:rsidRDefault="004468F9">
            <w:pPr>
              <w:spacing w:before="55" w:after="30" w:line="288" w:lineRule="auto"/>
              <w:jc w:val="right"/>
            </w:pPr>
            <w:r>
              <w:rPr>
                <w:rFonts w:ascii="Arial" w:eastAsia="Arial" w:hAnsi="Arial" w:cs="Arial"/>
                <w:color w:val="000000"/>
                <w:sz w:val="18"/>
              </w:rPr>
              <w:t>6,263,098 </w:t>
            </w:r>
          </w:p>
        </w:tc>
        <w:tc>
          <w:tcPr>
            <w:tcW w:w="100" w:type="dxa"/>
            <w:tcBorders>
              <w:top w:val="single" w:sz="8" w:space="0" w:color="C7C9C7"/>
              <w:left w:val="nil"/>
              <w:bottom w:val="double" w:sz="8" w:space="0" w:color="C7C9C7"/>
              <w:right w:val="nil"/>
            </w:tcBorders>
            <w:shd w:val="clear" w:color="auto" w:fill="F4F4F4"/>
            <w:tcMar>
              <w:top w:w="0" w:type="dxa"/>
              <w:left w:w="0" w:type="dxa"/>
              <w:bottom w:w="0" w:type="dxa"/>
              <w:right w:w="15" w:type="dxa"/>
            </w:tcMar>
            <w:vAlign w:val="bottom"/>
          </w:tcPr>
          <w:p w14:paraId="27EF4EB1" w14:textId="77777777" w:rsidR="001614AC" w:rsidRDefault="001614AC">
            <w:pPr>
              <w:spacing w:before="55" w:after="30" w:line="288" w:lineRule="auto"/>
              <w:jc w:val="right"/>
            </w:pPr>
          </w:p>
        </w:tc>
        <w:tc>
          <w:tcPr>
            <w:tcW w:w="105" w:type="dxa"/>
            <w:tcBorders>
              <w:top w:val="nil"/>
              <w:left w:val="nil"/>
              <w:bottom w:val="nil"/>
              <w:right w:val="nil"/>
            </w:tcBorders>
            <w:shd w:val="clear" w:color="auto" w:fill="F4F4F4"/>
            <w:tcMar>
              <w:top w:w="0" w:type="dxa"/>
              <w:left w:w="0" w:type="dxa"/>
              <w:bottom w:w="0" w:type="dxa"/>
              <w:right w:w="0" w:type="dxa"/>
            </w:tcMar>
            <w:vAlign w:val="bottom"/>
          </w:tcPr>
          <w:p w14:paraId="22AAA668" w14:textId="77777777" w:rsidR="001614AC" w:rsidRDefault="001614AC"/>
        </w:tc>
        <w:tc>
          <w:tcPr>
            <w:tcW w:w="160" w:type="dxa"/>
            <w:tcBorders>
              <w:top w:val="single" w:sz="8" w:space="0" w:color="C7C9C7"/>
              <w:left w:val="nil"/>
              <w:bottom w:val="double" w:sz="8" w:space="0" w:color="C7C9C7"/>
              <w:right w:val="nil"/>
            </w:tcBorders>
            <w:shd w:val="clear" w:color="auto" w:fill="F4F4F4"/>
            <w:tcMar>
              <w:top w:w="0" w:type="dxa"/>
              <w:left w:w="53" w:type="dxa"/>
              <w:bottom w:w="0" w:type="dxa"/>
              <w:right w:w="0" w:type="dxa"/>
            </w:tcMar>
            <w:vAlign w:val="bottom"/>
          </w:tcPr>
          <w:p w14:paraId="07BEAFEA" w14:textId="77777777" w:rsidR="001614AC" w:rsidRDefault="004468F9">
            <w:pPr>
              <w:spacing w:before="55" w:after="30" w:line="288" w:lineRule="auto"/>
            </w:pPr>
            <w:r>
              <w:rPr>
                <w:rFonts w:ascii="Arial" w:eastAsia="Arial" w:hAnsi="Arial" w:cs="Arial"/>
                <w:color w:val="000000"/>
                <w:sz w:val="18"/>
              </w:rPr>
              <w:t>$</w:t>
            </w:r>
          </w:p>
        </w:tc>
        <w:tc>
          <w:tcPr>
            <w:tcW w:w="835" w:type="dxa"/>
            <w:tcBorders>
              <w:top w:val="single" w:sz="8" w:space="0" w:color="C7C9C7"/>
              <w:left w:val="nil"/>
              <w:bottom w:val="double" w:sz="8" w:space="0" w:color="C7C9C7"/>
              <w:right w:val="nil"/>
            </w:tcBorders>
            <w:shd w:val="clear" w:color="auto" w:fill="F4F4F4"/>
            <w:tcMar>
              <w:top w:w="0" w:type="dxa"/>
              <w:left w:w="0" w:type="dxa"/>
              <w:bottom w:w="0" w:type="dxa"/>
              <w:right w:w="0" w:type="dxa"/>
            </w:tcMar>
            <w:vAlign w:val="bottom"/>
          </w:tcPr>
          <w:p w14:paraId="396F461A" w14:textId="77777777" w:rsidR="001614AC" w:rsidRDefault="004468F9">
            <w:pPr>
              <w:spacing w:before="55" w:after="30" w:line="288" w:lineRule="auto"/>
              <w:jc w:val="right"/>
            </w:pPr>
            <w:r>
              <w:rPr>
                <w:rFonts w:ascii="Arial" w:eastAsia="Arial" w:hAnsi="Arial" w:cs="Arial"/>
                <w:color w:val="000000"/>
                <w:sz w:val="18"/>
              </w:rPr>
              <w:t>8,513 </w:t>
            </w:r>
          </w:p>
        </w:tc>
        <w:tc>
          <w:tcPr>
            <w:tcW w:w="100" w:type="dxa"/>
            <w:tcBorders>
              <w:top w:val="single" w:sz="8" w:space="0" w:color="C7C9C7"/>
              <w:left w:val="nil"/>
              <w:bottom w:val="double" w:sz="8" w:space="0" w:color="C7C9C7"/>
              <w:right w:val="nil"/>
            </w:tcBorders>
            <w:shd w:val="clear" w:color="auto" w:fill="F4F4F4"/>
            <w:tcMar>
              <w:top w:w="0" w:type="dxa"/>
              <w:left w:w="0" w:type="dxa"/>
              <w:bottom w:w="0" w:type="dxa"/>
              <w:right w:w="15" w:type="dxa"/>
            </w:tcMar>
            <w:vAlign w:val="bottom"/>
          </w:tcPr>
          <w:p w14:paraId="7CE11FB8" w14:textId="77777777" w:rsidR="001614AC" w:rsidRDefault="001614AC">
            <w:pPr>
              <w:spacing w:before="55" w:after="30" w:line="288" w:lineRule="auto"/>
              <w:jc w:val="right"/>
            </w:pPr>
          </w:p>
        </w:tc>
        <w:tc>
          <w:tcPr>
            <w:tcW w:w="105" w:type="dxa"/>
            <w:tcBorders>
              <w:top w:val="nil"/>
              <w:left w:val="nil"/>
              <w:bottom w:val="nil"/>
              <w:right w:val="nil"/>
            </w:tcBorders>
            <w:shd w:val="clear" w:color="auto" w:fill="F4F4F4"/>
            <w:tcMar>
              <w:top w:w="0" w:type="dxa"/>
              <w:left w:w="0" w:type="dxa"/>
              <w:bottom w:w="0" w:type="dxa"/>
              <w:right w:w="0" w:type="dxa"/>
            </w:tcMar>
            <w:vAlign w:val="bottom"/>
          </w:tcPr>
          <w:p w14:paraId="638AD299" w14:textId="77777777" w:rsidR="001614AC" w:rsidRDefault="001614AC"/>
        </w:tc>
        <w:tc>
          <w:tcPr>
            <w:tcW w:w="160" w:type="dxa"/>
            <w:tcBorders>
              <w:top w:val="single" w:sz="8" w:space="0" w:color="C7C9C7"/>
              <w:left w:val="nil"/>
              <w:bottom w:val="double" w:sz="8" w:space="0" w:color="C7C9C7"/>
              <w:right w:val="nil"/>
            </w:tcBorders>
            <w:shd w:val="clear" w:color="auto" w:fill="F4F4F4"/>
            <w:tcMar>
              <w:top w:w="0" w:type="dxa"/>
              <w:left w:w="53" w:type="dxa"/>
              <w:bottom w:w="0" w:type="dxa"/>
              <w:right w:w="0" w:type="dxa"/>
            </w:tcMar>
            <w:vAlign w:val="bottom"/>
          </w:tcPr>
          <w:p w14:paraId="5FBE220E" w14:textId="77777777" w:rsidR="001614AC" w:rsidRDefault="004468F9">
            <w:pPr>
              <w:spacing w:before="55" w:after="30" w:line="288" w:lineRule="auto"/>
            </w:pPr>
            <w:r>
              <w:rPr>
                <w:rFonts w:ascii="Arial" w:eastAsia="Arial" w:hAnsi="Arial" w:cs="Arial"/>
                <w:color w:val="000000"/>
                <w:sz w:val="18"/>
              </w:rPr>
              <w:t>$</w:t>
            </w:r>
          </w:p>
        </w:tc>
        <w:tc>
          <w:tcPr>
            <w:tcW w:w="835" w:type="dxa"/>
            <w:tcBorders>
              <w:top w:val="single" w:sz="8" w:space="0" w:color="C7C9C7"/>
              <w:left w:val="nil"/>
              <w:bottom w:val="double" w:sz="8" w:space="0" w:color="C7C9C7"/>
              <w:right w:val="nil"/>
            </w:tcBorders>
            <w:shd w:val="clear" w:color="auto" w:fill="F4F4F4"/>
            <w:tcMar>
              <w:top w:w="0" w:type="dxa"/>
              <w:left w:w="0" w:type="dxa"/>
              <w:bottom w:w="0" w:type="dxa"/>
              <w:right w:w="0" w:type="dxa"/>
            </w:tcMar>
            <w:vAlign w:val="bottom"/>
          </w:tcPr>
          <w:p w14:paraId="1C2D5133" w14:textId="77777777" w:rsidR="001614AC" w:rsidRDefault="004468F9">
            <w:pPr>
              <w:spacing w:before="55" w:after="30" w:line="288" w:lineRule="auto"/>
              <w:jc w:val="right"/>
            </w:pPr>
            <w:r>
              <w:rPr>
                <w:rFonts w:ascii="Arial" w:eastAsia="Arial" w:hAnsi="Arial" w:cs="Arial"/>
                <w:color w:val="000000"/>
                <w:sz w:val="18"/>
              </w:rPr>
              <w:t>6,849,481 </w:t>
            </w:r>
          </w:p>
        </w:tc>
        <w:tc>
          <w:tcPr>
            <w:tcW w:w="100" w:type="dxa"/>
            <w:tcBorders>
              <w:top w:val="single" w:sz="8" w:space="0" w:color="C7C9C7"/>
              <w:left w:val="nil"/>
              <w:bottom w:val="double" w:sz="8" w:space="0" w:color="C7C9C7"/>
              <w:right w:val="nil"/>
            </w:tcBorders>
            <w:shd w:val="clear" w:color="auto" w:fill="F4F4F4"/>
            <w:tcMar>
              <w:top w:w="0" w:type="dxa"/>
              <w:left w:w="0" w:type="dxa"/>
              <w:bottom w:w="0" w:type="dxa"/>
              <w:right w:w="15" w:type="dxa"/>
            </w:tcMar>
            <w:vAlign w:val="bottom"/>
          </w:tcPr>
          <w:p w14:paraId="1190CA67" w14:textId="77777777" w:rsidR="001614AC" w:rsidRDefault="001614AC">
            <w:pPr>
              <w:spacing w:before="55" w:after="30" w:line="288" w:lineRule="auto"/>
              <w:jc w:val="right"/>
            </w:pPr>
          </w:p>
        </w:tc>
      </w:tr>
    </w:tbl>
    <w:p w14:paraId="067DBFCA" w14:textId="77777777" w:rsidR="001614AC" w:rsidRDefault="004468F9" w:rsidP="004468F9">
      <w:pPr>
        <w:keepNext/>
        <w:numPr>
          <w:ilvl w:val="0"/>
          <w:numId w:val="13"/>
        </w:numPr>
        <w:spacing w:line="288" w:lineRule="auto"/>
        <w:ind w:left="360"/>
        <w:rPr>
          <w:rFonts w:ascii="Arial" w:eastAsia="Arial" w:hAnsi="Arial" w:cs="Arial"/>
          <w:b/>
          <w:color w:val="64615D"/>
          <w:sz w:val="16"/>
        </w:rPr>
      </w:pPr>
      <w:r>
        <w:rPr>
          <w:rFonts w:ascii="Arial" w:eastAsia="Arial" w:hAnsi="Arial" w:cs="Arial"/>
          <w:color w:val="64615D"/>
          <w:sz w:val="16"/>
        </w:rPr>
        <w:t>Comprising short-term certificates of deposit and commercial paper.</w:t>
      </w:r>
    </w:p>
    <w:p w14:paraId="21336B4C" w14:textId="77777777" w:rsidR="001614AC" w:rsidRDefault="004468F9" w:rsidP="004468F9">
      <w:pPr>
        <w:numPr>
          <w:ilvl w:val="0"/>
          <w:numId w:val="13"/>
        </w:numPr>
        <w:spacing w:line="288" w:lineRule="auto"/>
        <w:ind w:left="360"/>
        <w:rPr>
          <w:rFonts w:ascii="Arial" w:eastAsia="Arial" w:hAnsi="Arial" w:cs="Arial"/>
          <w:b/>
          <w:color w:val="64615D"/>
          <w:sz w:val="16"/>
        </w:rPr>
      </w:pPr>
      <w:r>
        <w:rPr>
          <w:rFonts w:ascii="Arial" w:eastAsia="Arial" w:hAnsi="Arial" w:cs="Arial"/>
          <w:color w:val="64615D"/>
          <w:sz w:val="16"/>
        </w:rPr>
        <w:t>Does not include other invested assets of $2.0 million that are primarily invested in limited partnership investments valued using the net asset value as a practical expedient.</w:t>
      </w:r>
    </w:p>
    <w:p w14:paraId="4CA7FDF4" w14:textId="77777777" w:rsidR="001614AC" w:rsidRDefault="004468F9" w:rsidP="004468F9">
      <w:pPr>
        <w:numPr>
          <w:ilvl w:val="0"/>
          <w:numId w:val="13"/>
        </w:numPr>
        <w:spacing w:line="288" w:lineRule="auto"/>
        <w:ind w:left="360"/>
        <w:rPr>
          <w:rFonts w:ascii="Arial" w:eastAsia="Arial" w:hAnsi="Arial" w:cs="Arial"/>
          <w:b/>
          <w:color w:val="64615D"/>
          <w:sz w:val="16"/>
        </w:rPr>
      </w:pPr>
      <w:r>
        <w:rPr>
          <w:rFonts w:ascii="Arial" w:eastAsia="Arial" w:hAnsi="Arial" w:cs="Arial"/>
          <w:color w:val="64615D"/>
          <w:sz w:val="16"/>
        </w:rPr>
        <w:t>Embedded de</w:t>
      </w:r>
      <w:r>
        <w:rPr>
          <w:rFonts w:ascii="Arial" w:eastAsia="Arial" w:hAnsi="Arial" w:cs="Arial"/>
          <w:color w:val="64615D"/>
          <w:sz w:val="16"/>
        </w:rPr>
        <w:t>rivatives related to our Excess-of-Loss Program are classified as other assets in our consolidated balance sheets. See Note 8 for more information about our reinsurance programs.</w:t>
      </w:r>
    </w:p>
    <w:p w14:paraId="63C64E15" w14:textId="77777777" w:rsidR="001614AC" w:rsidRDefault="004468F9" w:rsidP="004468F9">
      <w:pPr>
        <w:numPr>
          <w:ilvl w:val="0"/>
          <w:numId w:val="13"/>
        </w:numPr>
        <w:spacing w:line="288" w:lineRule="auto"/>
        <w:ind w:left="360"/>
        <w:rPr>
          <w:rFonts w:ascii="Arial" w:eastAsia="Arial" w:hAnsi="Arial" w:cs="Arial"/>
          <w:b/>
          <w:color w:val="64615D"/>
          <w:sz w:val="16"/>
        </w:rPr>
      </w:pPr>
      <w:r>
        <w:rPr>
          <w:rFonts w:ascii="Arial" w:eastAsia="Arial" w:hAnsi="Arial" w:cs="Arial"/>
          <w:color w:val="64615D"/>
          <w:sz w:val="16"/>
        </w:rPr>
        <w:t>Securities loaned to third-party borrowers under securities lending agreement</w:t>
      </w:r>
      <w:r>
        <w:rPr>
          <w:rFonts w:ascii="Arial" w:eastAsia="Arial" w:hAnsi="Arial" w:cs="Arial"/>
          <w:color w:val="64615D"/>
          <w:sz w:val="16"/>
        </w:rPr>
        <w:t>s are classified as other assets in our condensed consolidated balance sheets. See Note 6 for more information.</w:t>
      </w:r>
    </w:p>
    <w:p w14:paraId="49AE70AB" w14:textId="77777777" w:rsidR="001614AC" w:rsidRDefault="004468F9">
      <w:pPr>
        <w:keepNext/>
        <w:keepLines/>
        <w:widowControl w:val="0"/>
        <w:spacing w:before="200" w:after="100" w:line="288" w:lineRule="auto"/>
        <w:ind w:firstLine="450"/>
        <w:rPr>
          <w:rFonts w:ascii="Arial" w:eastAsia="Arial" w:hAnsi="Arial" w:cs="Arial"/>
          <w:b/>
          <w:color w:val="64615D"/>
          <w:sz w:val="18"/>
        </w:rPr>
      </w:pPr>
      <w:r>
        <w:rPr>
          <w:rFonts w:ascii="Arial" w:eastAsia="Arial" w:hAnsi="Arial" w:cs="Arial"/>
          <w:sz w:val="18"/>
        </w:rPr>
        <w:t>There were no transfers to or from Level III for the three and six months ended June 30, 2021 or the year ended December 31, 2020. Activity rela</w:t>
      </w:r>
      <w:r>
        <w:rPr>
          <w:rFonts w:ascii="Arial" w:eastAsia="Arial" w:hAnsi="Arial" w:cs="Arial"/>
          <w:sz w:val="18"/>
        </w:rPr>
        <w:t xml:space="preserve">ted to Level III assets and liabilities (including realized and unrealized gains and losses, purchases, sales, issuances, settlements and transfers) was immaterial for the three and six months ended June 30, 2021 and the year ended December 31, 2020. </w:t>
      </w:r>
    </w:p>
    <w:p w14:paraId="44251F52" w14:textId="77777777" w:rsidR="001614AC" w:rsidRDefault="004468F9">
      <w:pPr>
        <w:keepNext/>
        <w:spacing w:before="180" w:after="140" w:line="288" w:lineRule="auto"/>
        <w:rPr>
          <w:rFonts w:ascii="Arial" w:eastAsia="Arial" w:hAnsi="Arial" w:cs="Arial"/>
          <w:b/>
          <w:color w:val="002B49"/>
          <w:sz w:val="26"/>
        </w:rPr>
      </w:pPr>
      <w:r>
        <w:rPr>
          <w:rFonts w:ascii="Arial" w:eastAsia="Arial" w:hAnsi="Arial" w:cs="Arial"/>
          <w:b/>
          <w:color w:val="002B49"/>
          <w:sz w:val="26"/>
        </w:rPr>
        <w:t>Ot</w:t>
      </w:r>
      <w:r>
        <w:rPr>
          <w:rFonts w:ascii="Arial" w:eastAsia="Arial" w:hAnsi="Arial" w:cs="Arial"/>
          <w:b/>
          <w:color w:val="002B49"/>
          <w:sz w:val="26"/>
        </w:rPr>
        <w:t xml:space="preserve">her Fair Value Disclosure </w:t>
      </w:r>
    </w:p>
    <w:p w14:paraId="5F2F6667" w14:textId="77777777" w:rsidR="001614AC" w:rsidRDefault="004468F9">
      <w:pPr>
        <w:keepNext/>
        <w:spacing w:before="100" w:after="100" w:line="288" w:lineRule="auto"/>
        <w:ind w:firstLine="450"/>
        <w:rPr>
          <w:rFonts w:ascii="Arial" w:eastAsia="Arial" w:hAnsi="Arial" w:cs="Arial"/>
          <w:b/>
          <w:color w:val="64615D"/>
          <w:sz w:val="18"/>
        </w:rPr>
      </w:pPr>
      <w:r>
        <w:rPr>
          <w:rFonts w:ascii="Arial" w:eastAsia="Arial" w:hAnsi="Arial" w:cs="Arial"/>
          <w:sz w:val="18"/>
        </w:rPr>
        <w:t xml:space="preserve">The carrying value and estimated fair value of other selected liabilities not carried at fair value in our condensed consolidated balance sheets were as follows as of the dates indicated. </w:t>
      </w:r>
    </w:p>
    <w:tbl>
      <w:tblPr>
        <w:tblW w:w="102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3"/>
        <w:gridCol w:w="107"/>
        <w:gridCol w:w="162"/>
        <w:gridCol w:w="863"/>
        <w:gridCol w:w="101"/>
        <w:gridCol w:w="106"/>
        <w:gridCol w:w="162"/>
        <w:gridCol w:w="863"/>
        <w:gridCol w:w="101"/>
        <w:gridCol w:w="106"/>
        <w:gridCol w:w="162"/>
        <w:gridCol w:w="863"/>
        <w:gridCol w:w="101"/>
        <w:gridCol w:w="106"/>
        <w:gridCol w:w="162"/>
        <w:gridCol w:w="863"/>
        <w:gridCol w:w="101"/>
      </w:tblGrid>
      <w:tr w:rsidR="001614AC" w14:paraId="7D1CC09C" w14:textId="77777777">
        <w:trPr>
          <w:cantSplit/>
        </w:trPr>
        <w:tc>
          <w:tcPr>
            <w:tcW w:w="10080" w:type="dxa"/>
            <w:gridSpan w:val="17"/>
            <w:tcBorders>
              <w:top w:val="nil"/>
              <w:left w:val="nil"/>
              <w:bottom w:val="single" w:sz="12" w:space="0" w:color="99AAB6"/>
              <w:right w:val="nil"/>
            </w:tcBorders>
            <w:tcMar>
              <w:top w:w="0" w:type="dxa"/>
              <w:left w:w="53" w:type="dxa"/>
              <w:bottom w:w="0" w:type="dxa"/>
              <w:right w:w="53" w:type="dxa"/>
            </w:tcMar>
            <w:vAlign w:val="bottom"/>
          </w:tcPr>
          <w:p w14:paraId="3878608D" w14:textId="77777777" w:rsidR="001614AC" w:rsidRDefault="004468F9">
            <w:pPr>
              <w:keepNext/>
              <w:spacing w:before="75" w:after="30" w:line="288" w:lineRule="auto"/>
              <w:rPr>
                <w:rFonts w:ascii="Arial" w:eastAsia="Arial" w:hAnsi="Arial" w:cs="Arial"/>
                <w:b/>
                <w:sz w:val="20"/>
              </w:rPr>
            </w:pPr>
            <w:r>
              <w:rPr>
                <w:rFonts w:ascii="Arial" w:eastAsia="Arial" w:hAnsi="Arial" w:cs="Arial"/>
                <w:b/>
                <w:sz w:val="20"/>
              </w:rPr>
              <w:t>Financial liabilities not carried at fai</w:t>
            </w:r>
            <w:r>
              <w:rPr>
                <w:rFonts w:ascii="Arial" w:eastAsia="Arial" w:hAnsi="Arial" w:cs="Arial"/>
                <w:b/>
                <w:sz w:val="20"/>
              </w:rPr>
              <w:t>r value</w:t>
            </w:r>
          </w:p>
        </w:tc>
      </w:tr>
      <w:tr w:rsidR="001614AC" w14:paraId="1D787F2E" w14:textId="77777777">
        <w:trPr>
          <w:cantSplit/>
          <w:trHeight w:hRule="exact" w:val="135"/>
        </w:trPr>
        <w:tc>
          <w:tcPr>
            <w:tcW w:w="5280" w:type="dxa"/>
            <w:tcBorders>
              <w:top w:val="nil"/>
              <w:left w:val="nil"/>
              <w:bottom w:val="nil"/>
              <w:right w:val="nil"/>
            </w:tcBorders>
            <w:tcMar>
              <w:top w:w="0" w:type="dxa"/>
              <w:left w:w="0" w:type="dxa"/>
              <w:bottom w:w="0" w:type="dxa"/>
              <w:right w:w="0" w:type="dxa"/>
            </w:tcMar>
            <w:vAlign w:val="bottom"/>
          </w:tcPr>
          <w:p w14:paraId="53161423" w14:textId="77777777" w:rsidR="001614AC" w:rsidRDefault="001614AC">
            <w:pPr>
              <w:keepNext/>
            </w:pPr>
          </w:p>
        </w:tc>
        <w:tc>
          <w:tcPr>
            <w:tcW w:w="105" w:type="dxa"/>
            <w:tcBorders>
              <w:top w:val="single" w:sz="12" w:space="0" w:color="99AAB6"/>
              <w:left w:val="nil"/>
              <w:bottom w:val="nil"/>
              <w:right w:val="nil"/>
            </w:tcBorders>
            <w:tcMar>
              <w:top w:w="0" w:type="dxa"/>
              <w:left w:w="0" w:type="dxa"/>
              <w:bottom w:w="0" w:type="dxa"/>
              <w:right w:w="0" w:type="dxa"/>
            </w:tcMar>
            <w:vAlign w:val="bottom"/>
          </w:tcPr>
          <w:p w14:paraId="110F591C" w14:textId="77777777" w:rsidR="001614AC" w:rsidRDefault="001614AC">
            <w:pPr>
              <w:keepNext/>
            </w:pPr>
          </w:p>
        </w:tc>
        <w:tc>
          <w:tcPr>
            <w:tcW w:w="1095" w:type="dxa"/>
            <w:gridSpan w:val="3"/>
            <w:tcBorders>
              <w:top w:val="single" w:sz="12" w:space="0" w:color="99AAB6"/>
              <w:left w:val="nil"/>
              <w:bottom w:val="nil"/>
              <w:right w:val="nil"/>
            </w:tcBorders>
            <w:tcMar>
              <w:top w:w="0" w:type="dxa"/>
              <w:left w:w="0" w:type="dxa"/>
              <w:bottom w:w="0" w:type="dxa"/>
              <w:right w:w="0" w:type="dxa"/>
            </w:tcMar>
            <w:vAlign w:val="bottom"/>
          </w:tcPr>
          <w:p w14:paraId="14DA4B36" w14:textId="77777777" w:rsidR="001614AC" w:rsidRDefault="001614AC">
            <w:pPr>
              <w:keepNext/>
            </w:pPr>
          </w:p>
        </w:tc>
        <w:tc>
          <w:tcPr>
            <w:tcW w:w="105" w:type="dxa"/>
            <w:tcBorders>
              <w:top w:val="single" w:sz="12" w:space="0" w:color="99AAB6"/>
              <w:left w:val="nil"/>
              <w:bottom w:val="nil"/>
              <w:right w:val="nil"/>
            </w:tcBorders>
            <w:tcMar>
              <w:top w:w="0" w:type="dxa"/>
              <w:left w:w="0" w:type="dxa"/>
              <w:bottom w:w="0" w:type="dxa"/>
              <w:right w:w="0" w:type="dxa"/>
            </w:tcMar>
            <w:vAlign w:val="bottom"/>
          </w:tcPr>
          <w:p w14:paraId="15840766" w14:textId="77777777" w:rsidR="001614AC" w:rsidRDefault="001614AC">
            <w:pPr>
              <w:keepNext/>
            </w:pPr>
          </w:p>
        </w:tc>
        <w:tc>
          <w:tcPr>
            <w:tcW w:w="1095" w:type="dxa"/>
            <w:gridSpan w:val="3"/>
            <w:tcBorders>
              <w:top w:val="single" w:sz="12" w:space="0" w:color="99AAB6"/>
              <w:left w:val="nil"/>
              <w:bottom w:val="nil"/>
              <w:right w:val="nil"/>
            </w:tcBorders>
            <w:tcMar>
              <w:top w:w="0" w:type="dxa"/>
              <w:left w:w="0" w:type="dxa"/>
              <w:bottom w:w="0" w:type="dxa"/>
              <w:right w:w="0" w:type="dxa"/>
            </w:tcMar>
            <w:vAlign w:val="bottom"/>
          </w:tcPr>
          <w:p w14:paraId="051C910D" w14:textId="77777777" w:rsidR="001614AC" w:rsidRDefault="001614AC">
            <w:pPr>
              <w:keepNext/>
            </w:pPr>
          </w:p>
        </w:tc>
        <w:tc>
          <w:tcPr>
            <w:tcW w:w="105" w:type="dxa"/>
            <w:tcBorders>
              <w:top w:val="single" w:sz="12" w:space="0" w:color="99AAB6"/>
              <w:left w:val="nil"/>
              <w:bottom w:val="nil"/>
              <w:right w:val="nil"/>
            </w:tcBorders>
            <w:tcMar>
              <w:top w:w="0" w:type="dxa"/>
              <w:left w:w="0" w:type="dxa"/>
              <w:bottom w:w="0" w:type="dxa"/>
              <w:right w:w="0" w:type="dxa"/>
            </w:tcMar>
            <w:vAlign w:val="bottom"/>
          </w:tcPr>
          <w:p w14:paraId="33F54DA8" w14:textId="77777777" w:rsidR="001614AC" w:rsidRDefault="001614AC">
            <w:pPr>
              <w:keepNext/>
            </w:pPr>
          </w:p>
        </w:tc>
        <w:tc>
          <w:tcPr>
            <w:tcW w:w="1095" w:type="dxa"/>
            <w:gridSpan w:val="3"/>
            <w:tcBorders>
              <w:top w:val="single" w:sz="12" w:space="0" w:color="99AAB6"/>
              <w:left w:val="nil"/>
              <w:bottom w:val="nil"/>
              <w:right w:val="nil"/>
            </w:tcBorders>
            <w:tcMar>
              <w:top w:w="0" w:type="dxa"/>
              <w:left w:w="0" w:type="dxa"/>
              <w:bottom w:w="0" w:type="dxa"/>
              <w:right w:w="0" w:type="dxa"/>
            </w:tcMar>
            <w:vAlign w:val="bottom"/>
          </w:tcPr>
          <w:p w14:paraId="64B0E6C4" w14:textId="77777777" w:rsidR="001614AC" w:rsidRDefault="001614AC">
            <w:pPr>
              <w:keepNext/>
            </w:pPr>
          </w:p>
        </w:tc>
        <w:tc>
          <w:tcPr>
            <w:tcW w:w="105" w:type="dxa"/>
            <w:tcBorders>
              <w:top w:val="single" w:sz="12" w:space="0" w:color="99AAB6"/>
              <w:left w:val="nil"/>
              <w:bottom w:val="nil"/>
              <w:right w:val="nil"/>
            </w:tcBorders>
            <w:tcMar>
              <w:top w:w="0" w:type="dxa"/>
              <w:left w:w="0" w:type="dxa"/>
              <w:bottom w:w="0" w:type="dxa"/>
              <w:right w:w="0" w:type="dxa"/>
            </w:tcMar>
            <w:vAlign w:val="bottom"/>
          </w:tcPr>
          <w:p w14:paraId="7191EB01" w14:textId="77777777" w:rsidR="001614AC" w:rsidRDefault="001614AC">
            <w:pPr>
              <w:keepNext/>
            </w:pPr>
          </w:p>
        </w:tc>
        <w:tc>
          <w:tcPr>
            <w:tcW w:w="1095" w:type="dxa"/>
            <w:gridSpan w:val="3"/>
            <w:tcBorders>
              <w:top w:val="single" w:sz="12" w:space="0" w:color="99AAB6"/>
              <w:left w:val="nil"/>
              <w:bottom w:val="nil"/>
              <w:right w:val="nil"/>
            </w:tcBorders>
            <w:tcMar>
              <w:top w:w="0" w:type="dxa"/>
              <w:left w:w="0" w:type="dxa"/>
              <w:bottom w:w="0" w:type="dxa"/>
              <w:right w:w="0" w:type="dxa"/>
            </w:tcMar>
            <w:vAlign w:val="bottom"/>
          </w:tcPr>
          <w:p w14:paraId="05F18498" w14:textId="77777777" w:rsidR="001614AC" w:rsidRDefault="001614AC">
            <w:pPr>
              <w:keepNext/>
            </w:pPr>
          </w:p>
        </w:tc>
      </w:tr>
      <w:tr w:rsidR="001614AC" w14:paraId="06D5999D" w14:textId="77777777">
        <w:trPr>
          <w:cantSplit/>
        </w:trPr>
        <w:tc>
          <w:tcPr>
            <w:tcW w:w="5280" w:type="dxa"/>
            <w:tcBorders>
              <w:top w:val="nil"/>
              <w:left w:val="nil"/>
              <w:bottom w:val="single" w:sz="8" w:space="0" w:color="FFFFFF"/>
              <w:right w:val="nil"/>
            </w:tcBorders>
            <w:tcMar>
              <w:top w:w="0" w:type="dxa"/>
              <w:left w:w="0" w:type="dxa"/>
              <w:bottom w:w="0" w:type="dxa"/>
              <w:right w:w="0" w:type="dxa"/>
            </w:tcMar>
            <w:vAlign w:val="bottom"/>
          </w:tcPr>
          <w:p w14:paraId="32B3D7E3" w14:textId="77777777" w:rsidR="001614AC" w:rsidRDefault="001614AC">
            <w:pPr>
              <w:keepNext/>
            </w:pPr>
          </w:p>
        </w:tc>
        <w:tc>
          <w:tcPr>
            <w:tcW w:w="105" w:type="dxa"/>
            <w:tcBorders>
              <w:top w:val="nil"/>
              <w:left w:val="nil"/>
              <w:bottom w:val="single" w:sz="8" w:space="0" w:color="FFFFFF"/>
              <w:right w:val="nil"/>
            </w:tcBorders>
            <w:tcMar>
              <w:top w:w="0" w:type="dxa"/>
              <w:left w:w="0" w:type="dxa"/>
              <w:bottom w:w="0" w:type="dxa"/>
              <w:right w:w="0" w:type="dxa"/>
            </w:tcMar>
            <w:vAlign w:val="bottom"/>
          </w:tcPr>
          <w:p w14:paraId="386DE094" w14:textId="77777777" w:rsidR="001614AC" w:rsidRDefault="001614AC">
            <w:pPr>
              <w:keepNext/>
            </w:pPr>
          </w:p>
        </w:tc>
        <w:tc>
          <w:tcPr>
            <w:tcW w:w="2295" w:type="dxa"/>
            <w:gridSpan w:val="7"/>
            <w:tcBorders>
              <w:top w:val="nil"/>
              <w:left w:val="nil"/>
              <w:bottom w:val="nil"/>
              <w:right w:val="nil"/>
            </w:tcBorders>
            <w:shd w:val="clear" w:color="auto" w:fill="E6F8F8"/>
            <w:tcMar>
              <w:top w:w="0" w:type="dxa"/>
              <w:left w:w="53" w:type="dxa"/>
              <w:bottom w:w="0" w:type="dxa"/>
              <w:right w:w="53" w:type="dxa"/>
            </w:tcMar>
            <w:vAlign w:val="bottom"/>
          </w:tcPr>
          <w:p w14:paraId="6A4D61AF" w14:textId="77777777" w:rsidR="001614AC" w:rsidRDefault="004468F9">
            <w:pPr>
              <w:keepNext/>
              <w:spacing w:before="75" w:after="30" w:line="288" w:lineRule="auto"/>
              <w:jc w:val="center"/>
            </w:pPr>
            <w:r>
              <w:rPr>
                <w:rFonts w:ascii="Arial" w:eastAsia="Arial" w:hAnsi="Arial" w:cs="Arial"/>
                <w:b/>
                <w:color w:val="00BAB3"/>
                <w:sz w:val="18"/>
              </w:rPr>
              <w:t>June 30, 2021</w:t>
            </w:r>
          </w:p>
        </w:tc>
        <w:tc>
          <w:tcPr>
            <w:tcW w:w="105" w:type="dxa"/>
            <w:tcBorders>
              <w:top w:val="nil"/>
              <w:left w:val="nil"/>
              <w:bottom w:val="single" w:sz="8" w:space="0" w:color="FFFFFF"/>
              <w:right w:val="nil"/>
            </w:tcBorders>
            <w:tcMar>
              <w:top w:w="0" w:type="dxa"/>
              <w:left w:w="0" w:type="dxa"/>
              <w:bottom w:w="0" w:type="dxa"/>
              <w:right w:w="0" w:type="dxa"/>
            </w:tcMar>
            <w:vAlign w:val="bottom"/>
          </w:tcPr>
          <w:p w14:paraId="35A96133" w14:textId="77777777" w:rsidR="001614AC" w:rsidRDefault="001614AC">
            <w:pPr>
              <w:keepNext/>
            </w:pPr>
          </w:p>
        </w:tc>
        <w:tc>
          <w:tcPr>
            <w:tcW w:w="2295" w:type="dxa"/>
            <w:gridSpan w:val="7"/>
            <w:tcBorders>
              <w:top w:val="nil"/>
              <w:left w:val="nil"/>
              <w:bottom w:val="nil"/>
              <w:right w:val="nil"/>
            </w:tcBorders>
            <w:tcMar>
              <w:top w:w="0" w:type="dxa"/>
              <w:left w:w="53" w:type="dxa"/>
              <w:bottom w:w="0" w:type="dxa"/>
              <w:right w:w="53" w:type="dxa"/>
            </w:tcMar>
            <w:vAlign w:val="bottom"/>
          </w:tcPr>
          <w:p w14:paraId="3E02A736" w14:textId="77777777" w:rsidR="001614AC" w:rsidRDefault="004468F9">
            <w:pPr>
              <w:keepNext/>
              <w:spacing w:before="75" w:after="30" w:line="288" w:lineRule="auto"/>
              <w:jc w:val="center"/>
            </w:pPr>
            <w:r>
              <w:rPr>
                <w:rFonts w:ascii="Arial" w:eastAsia="Arial" w:hAnsi="Arial" w:cs="Arial"/>
                <w:b/>
                <w:color w:val="00BAB3"/>
                <w:sz w:val="18"/>
              </w:rPr>
              <w:t>December 31, 2020</w:t>
            </w:r>
          </w:p>
        </w:tc>
      </w:tr>
      <w:tr w:rsidR="001614AC" w14:paraId="608A0A0C" w14:textId="77777777">
        <w:trPr>
          <w:cantSplit/>
        </w:trPr>
        <w:tc>
          <w:tcPr>
            <w:tcW w:w="5280" w:type="dxa"/>
            <w:tcBorders>
              <w:top w:val="single" w:sz="8" w:space="0" w:color="FFFFFF"/>
              <w:left w:val="nil"/>
              <w:bottom w:val="single" w:sz="8" w:space="0" w:color="C7C9C7"/>
              <w:right w:val="nil"/>
            </w:tcBorders>
            <w:tcMar>
              <w:top w:w="0" w:type="dxa"/>
              <w:left w:w="53" w:type="dxa"/>
              <w:bottom w:w="0" w:type="dxa"/>
              <w:right w:w="53" w:type="dxa"/>
            </w:tcMar>
            <w:vAlign w:val="bottom"/>
          </w:tcPr>
          <w:p w14:paraId="4B72CB17" w14:textId="77777777" w:rsidR="001614AC" w:rsidRDefault="004468F9">
            <w:pPr>
              <w:keepNext/>
              <w:spacing w:before="55" w:after="30" w:line="288" w:lineRule="auto"/>
            </w:pPr>
            <w:r>
              <w:rPr>
                <w:rFonts w:ascii="Arial" w:eastAsia="Arial" w:hAnsi="Arial" w:cs="Arial"/>
                <w:color w:val="8B8886"/>
                <w:sz w:val="16"/>
              </w:rPr>
              <w:t>(In thousands)</w:t>
            </w:r>
          </w:p>
        </w:tc>
        <w:tc>
          <w:tcPr>
            <w:tcW w:w="105" w:type="dxa"/>
            <w:tcBorders>
              <w:top w:val="single" w:sz="8" w:space="0" w:color="FFFFFF"/>
              <w:left w:val="nil"/>
              <w:bottom w:val="single" w:sz="8" w:space="0" w:color="C7C9C7"/>
              <w:right w:val="nil"/>
            </w:tcBorders>
            <w:tcMar>
              <w:top w:w="0" w:type="dxa"/>
              <w:left w:w="0" w:type="dxa"/>
              <w:bottom w:w="0" w:type="dxa"/>
              <w:right w:w="0" w:type="dxa"/>
            </w:tcMar>
            <w:vAlign w:val="bottom"/>
          </w:tcPr>
          <w:p w14:paraId="0DE60DE5" w14:textId="77777777" w:rsidR="001614AC" w:rsidRDefault="001614AC">
            <w:pPr>
              <w:keepNext/>
            </w:pPr>
          </w:p>
        </w:tc>
        <w:tc>
          <w:tcPr>
            <w:tcW w:w="1095" w:type="dxa"/>
            <w:gridSpan w:val="3"/>
            <w:tcBorders>
              <w:top w:val="single" w:sz="8" w:space="0" w:color="FFFFFF"/>
              <w:left w:val="nil"/>
              <w:bottom w:val="single" w:sz="8" w:space="0" w:color="C7C9C7"/>
              <w:right w:val="nil"/>
            </w:tcBorders>
            <w:shd w:val="clear" w:color="auto" w:fill="F4F4F4"/>
            <w:tcMar>
              <w:top w:w="0" w:type="dxa"/>
              <w:left w:w="53" w:type="dxa"/>
              <w:bottom w:w="0" w:type="dxa"/>
              <w:right w:w="53" w:type="dxa"/>
            </w:tcMar>
            <w:vAlign w:val="bottom"/>
          </w:tcPr>
          <w:p w14:paraId="4DAFCA2E" w14:textId="77777777" w:rsidR="001614AC" w:rsidRDefault="004468F9">
            <w:pPr>
              <w:keepNext/>
              <w:spacing w:before="55" w:line="288" w:lineRule="auto"/>
              <w:jc w:val="center"/>
            </w:pPr>
            <w:r>
              <w:rPr>
                <w:rFonts w:ascii="Arial" w:eastAsia="Arial" w:hAnsi="Arial" w:cs="Arial"/>
                <w:b/>
                <w:color w:val="000000"/>
                <w:sz w:val="18"/>
              </w:rPr>
              <w:t>Carrying</w:t>
            </w:r>
          </w:p>
          <w:p w14:paraId="6BEC2531" w14:textId="77777777" w:rsidR="001614AC" w:rsidRDefault="004468F9">
            <w:pPr>
              <w:spacing w:after="30" w:line="288" w:lineRule="auto"/>
              <w:jc w:val="center"/>
            </w:pPr>
            <w:r>
              <w:rPr>
                <w:rFonts w:ascii="Arial" w:eastAsia="Arial" w:hAnsi="Arial" w:cs="Arial"/>
                <w:b/>
                <w:color w:val="000000"/>
                <w:sz w:val="18"/>
              </w:rPr>
              <w:t>Amount</w:t>
            </w:r>
          </w:p>
        </w:tc>
        <w:tc>
          <w:tcPr>
            <w:tcW w:w="105" w:type="dxa"/>
            <w:tcBorders>
              <w:top w:val="single" w:sz="8" w:space="0" w:color="FFFFFF"/>
              <w:left w:val="nil"/>
              <w:bottom w:val="single" w:sz="8" w:space="0" w:color="C7C9C7"/>
              <w:right w:val="nil"/>
            </w:tcBorders>
            <w:tcMar>
              <w:top w:w="0" w:type="dxa"/>
              <w:left w:w="0" w:type="dxa"/>
              <w:bottom w:w="0" w:type="dxa"/>
              <w:right w:w="0" w:type="dxa"/>
            </w:tcMar>
            <w:vAlign w:val="bottom"/>
          </w:tcPr>
          <w:p w14:paraId="5D5BCAE0" w14:textId="77777777" w:rsidR="001614AC" w:rsidRDefault="001614AC">
            <w:pPr>
              <w:keepNext/>
            </w:pPr>
          </w:p>
        </w:tc>
        <w:tc>
          <w:tcPr>
            <w:tcW w:w="1095" w:type="dxa"/>
            <w:gridSpan w:val="3"/>
            <w:tcBorders>
              <w:top w:val="single" w:sz="8" w:space="0" w:color="FFFFFF"/>
              <w:left w:val="nil"/>
              <w:bottom w:val="single" w:sz="8" w:space="0" w:color="C7C9C7"/>
              <w:right w:val="nil"/>
            </w:tcBorders>
            <w:shd w:val="clear" w:color="auto" w:fill="F4F4F4"/>
            <w:tcMar>
              <w:top w:w="0" w:type="dxa"/>
              <w:left w:w="53" w:type="dxa"/>
              <w:bottom w:w="0" w:type="dxa"/>
              <w:right w:w="53" w:type="dxa"/>
            </w:tcMar>
            <w:vAlign w:val="bottom"/>
          </w:tcPr>
          <w:p w14:paraId="2582D9CE" w14:textId="77777777" w:rsidR="001614AC" w:rsidRDefault="004468F9">
            <w:pPr>
              <w:keepNext/>
              <w:spacing w:before="55" w:line="288" w:lineRule="auto"/>
              <w:jc w:val="center"/>
            </w:pPr>
            <w:r>
              <w:rPr>
                <w:rFonts w:ascii="Arial" w:eastAsia="Arial" w:hAnsi="Arial" w:cs="Arial"/>
                <w:b/>
                <w:color w:val="000000"/>
                <w:sz w:val="18"/>
              </w:rPr>
              <w:t>Estimated</w:t>
            </w:r>
          </w:p>
          <w:p w14:paraId="27EA72ED" w14:textId="77777777" w:rsidR="001614AC" w:rsidRDefault="004468F9">
            <w:pPr>
              <w:spacing w:after="30" w:line="288" w:lineRule="auto"/>
              <w:jc w:val="center"/>
            </w:pPr>
            <w:r>
              <w:rPr>
                <w:rFonts w:ascii="Arial" w:eastAsia="Arial" w:hAnsi="Arial" w:cs="Arial"/>
                <w:b/>
                <w:color w:val="000000"/>
                <w:sz w:val="18"/>
              </w:rPr>
              <w:t>Fair Value</w:t>
            </w:r>
          </w:p>
        </w:tc>
        <w:tc>
          <w:tcPr>
            <w:tcW w:w="105" w:type="dxa"/>
            <w:tcBorders>
              <w:top w:val="single" w:sz="8" w:space="0" w:color="FFFFFF"/>
              <w:left w:val="nil"/>
              <w:bottom w:val="single" w:sz="8" w:space="0" w:color="C7C9C7"/>
              <w:right w:val="nil"/>
            </w:tcBorders>
            <w:tcMar>
              <w:top w:w="0" w:type="dxa"/>
              <w:left w:w="0" w:type="dxa"/>
              <w:bottom w:w="0" w:type="dxa"/>
              <w:right w:w="0" w:type="dxa"/>
            </w:tcMar>
            <w:vAlign w:val="bottom"/>
          </w:tcPr>
          <w:p w14:paraId="6847C5B0" w14:textId="77777777" w:rsidR="001614AC" w:rsidRDefault="001614AC">
            <w:pPr>
              <w:keepNext/>
            </w:pPr>
          </w:p>
        </w:tc>
        <w:tc>
          <w:tcPr>
            <w:tcW w:w="1095" w:type="dxa"/>
            <w:gridSpan w:val="3"/>
            <w:tcBorders>
              <w:top w:val="single" w:sz="8" w:space="0" w:color="FFFFFF"/>
              <w:left w:val="nil"/>
              <w:bottom w:val="single" w:sz="8" w:space="0" w:color="C7C9C7"/>
              <w:right w:val="nil"/>
            </w:tcBorders>
            <w:shd w:val="clear" w:color="auto" w:fill="F4F4F4"/>
            <w:tcMar>
              <w:top w:w="0" w:type="dxa"/>
              <w:left w:w="53" w:type="dxa"/>
              <w:bottom w:w="0" w:type="dxa"/>
              <w:right w:w="53" w:type="dxa"/>
            </w:tcMar>
            <w:vAlign w:val="bottom"/>
          </w:tcPr>
          <w:p w14:paraId="2477D7BE" w14:textId="77777777" w:rsidR="001614AC" w:rsidRDefault="004468F9">
            <w:pPr>
              <w:keepNext/>
              <w:spacing w:before="55" w:line="288" w:lineRule="auto"/>
              <w:jc w:val="center"/>
            </w:pPr>
            <w:r>
              <w:rPr>
                <w:rFonts w:ascii="Arial" w:eastAsia="Arial" w:hAnsi="Arial" w:cs="Arial"/>
                <w:b/>
                <w:color w:val="000000"/>
                <w:sz w:val="18"/>
              </w:rPr>
              <w:t>Carrying</w:t>
            </w:r>
          </w:p>
          <w:p w14:paraId="249C4F98" w14:textId="77777777" w:rsidR="001614AC" w:rsidRDefault="004468F9">
            <w:pPr>
              <w:spacing w:after="30" w:line="288" w:lineRule="auto"/>
              <w:jc w:val="center"/>
            </w:pPr>
            <w:r>
              <w:rPr>
                <w:rFonts w:ascii="Arial" w:eastAsia="Arial" w:hAnsi="Arial" w:cs="Arial"/>
                <w:b/>
                <w:color w:val="000000"/>
                <w:sz w:val="18"/>
              </w:rPr>
              <w:t>Amount</w:t>
            </w:r>
          </w:p>
        </w:tc>
        <w:tc>
          <w:tcPr>
            <w:tcW w:w="105" w:type="dxa"/>
            <w:tcBorders>
              <w:top w:val="single" w:sz="8" w:space="0" w:color="FFFFFF"/>
              <w:left w:val="nil"/>
              <w:bottom w:val="single" w:sz="8" w:space="0" w:color="C7C9C7"/>
              <w:right w:val="nil"/>
            </w:tcBorders>
            <w:tcMar>
              <w:top w:w="0" w:type="dxa"/>
              <w:left w:w="0" w:type="dxa"/>
              <w:bottom w:w="0" w:type="dxa"/>
              <w:right w:w="0" w:type="dxa"/>
            </w:tcMar>
            <w:vAlign w:val="bottom"/>
          </w:tcPr>
          <w:p w14:paraId="1BA63D35" w14:textId="77777777" w:rsidR="001614AC" w:rsidRDefault="001614AC">
            <w:pPr>
              <w:keepNext/>
            </w:pPr>
          </w:p>
        </w:tc>
        <w:tc>
          <w:tcPr>
            <w:tcW w:w="1095" w:type="dxa"/>
            <w:gridSpan w:val="3"/>
            <w:tcBorders>
              <w:top w:val="single" w:sz="8" w:space="0" w:color="FFFFFF"/>
              <w:left w:val="nil"/>
              <w:bottom w:val="single" w:sz="8" w:space="0" w:color="C7C9C7"/>
              <w:right w:val="nil"/>
            </w:tcBorders>
            <w:shd w:val="clear" w:color="auto" w:fill="F4F4F4"/>
            <w:tcMar>
              <w:top w:w="0" w:type="dxa"/>
              <w:left w:w="53" w:type="dxa"/>
              <w:bottom w:w="0" w:type="dxa"/>
              <w:right w:w="53" w:type="dxa"/>
            </w:tcMar>
            <w:vAlign w:val="bottom"/>
          </w:tcPr>
          <w:p w14:paraId="5386DC91" w14:textId="77777777" w:rsidR="001614AC" w:rsidRDefault="004468F9">
            <w:pPr>
              <w:keepNext/>
              <w:spacing w:before="55" w:line="288" w:lineRule="auto"/>
              <w:jc w:val="center"/>
            </w:pPr>
            <w:r>
              <w:rPr>
                <w:rFonts w:ascii="Arial" w:eastAsia="Arial" w:hAnsi="Arial" w:cs="Arial"/>
                <w:b/>
                <w:color w:val="000000"/>
                <w:sz w:val="18"/>
              </w:rPr>
              <w:t>Estimated</w:t>
            </w:r>
          </w:p>
          <w:p w14:paraId="77C876FF" w14:textId="77777777" w:rsidR="001614AC" w:rsidRDefault="004468F9">
            <w:pPr>
              <w:spacing w:after="30" w:line="288" w:lineRule="auto"/>
              <w:jc w:val="center"/>
            </w:pPr>
            <w:r>
              <w:rPr>
                <w:rFonts w:ascii="Arial" w:eastAsia="Arial" w:hAnsi="Arial" w:cs="Arial"/>
                <w:b/>
                <w:color w:val="000000"/>
                <w:sz w:val="18"/>
              </w:rPr>
              <w:t>Fair Value</w:t>
            </w:r>
          </w:p>
        </w:tc>
      </w:tr>
      <w:tr w:rsidR="001614AC" w14:paraId="399C07A5" w14:textId="77777777">
        <w:trPr>
          <w:cantSplit/>
        </w:trPr>
        <w:tc>
          <w:tcPr>
            <w:tcW w:w="5280" w:type="dxa"/>
            <w:tcBorders>
              <w:top w:val="single" w:sz="8" w:space="0" w:color="C7C9C7"/>
              <w:left w:val="nil"/>
              <w:bottom w:val="single" w:sz="8" w:space="0" w:color="E9E9E9"/>
              <w:right w:val="nil"/>
            </w:tcBorders>
            <w:tcMar>
              <w:top w:w="0" w:type="dxa"/>
              <w:left w:w="53" w:type="dxa"/>
              <w:bottom w:w="0" w:type="dxa"/>
              <w:right w:w="53" w:type="dxa"/>
            </w:tcMar>
            <w:vAlign w:val="bottom"/>
          </w:tcPr>
          <w:p w14:paraId="2AB0607A" w14:textId="77777777" w:rsidR="001614AC" w:rsidRDefault="004468F9">
            <w:pPr>
              <w:keepNext/>
              <w:spacing w:before="55" w:after="30" w:line="288" w:lineRule="auto"/>
            </w:pPr>
            <w:r>
              <w:rPr>
                <w:rFonts w:ascii="Arial" w:eastAsia="Arial" w:hAnsi="Arial" w:cs="Arial"/>
                <w:color w:val="000000"/>
                <w:sz w:val="18"/>
              </w:rPr>
              <w:t xml:space="preserve">Senior </w:t>
            </w:r>
            <w:r>
              <w:rPr>
                <w:rFonts w:ascii="Arial" w:eastAsia="Arial" w:hAnsi="Arial" w:cs="Arial"/>
                <w:color w:val="000000"/>
                <w:sz w:val="18"/>
              </w:rPr>
              <w:t>notes</w:t>
            </w:r>
          </w:p>
        </w:tc>
        <w:tc>
          <w:tcPr>
            <w:tcW w:w="105" w:type="dxa"/>
            <w:tcBorders>
              <w:top w:val="single" w:sz="8" w:space="0" w:color="C7C9C7"/>
              <w:left w:val="nil"/>
              <w:bottom w:val="nil"/>
              <w:right w:val="nil"/>
            </w:tcBorders>
            <w:tcMar>
              <w:top w:w="0" w:type="dxa"/>
              <w:left w:w="0" w:type="dxa"/>
              <w:bottom w:w="0" w:type="dxa"/>
              <w:right w:w="0" w:type="dxa"/>
            </w:tcMar>
            <w:vAlign w:val="bottom"/>
          </w:tcPr>
          <w:p w14:paraId="4B71F44C" w14:textId="77777777" w:rsidR="001614AC" w:rsidRDefault="001614AC">
            <w:pPr>
              <w:keepNext/>
            </w:pPr>
          </w:p>
        </w:tc>
        <w:tc>
          <w:tcPr>
            <w:tcW w:w="160" w:type="dxa"/>
            <w:tcBorders>
              <w:top w:val="single" w:sz="8" w:space="0" w:color="C7C9C7"/>
              <w:left w:val="nil"/>
              <w:bottom w:val="single" w:sz="8" w:space="0" w:color="E9E9E9"/>
              <w:right w:val="nil"/>
            </w:tcBorders>
            <w:tcMar>
              <w:top w:w="0" w:type="dxa"/>
              <w:left w:w="53" w:type="dxa"/>
              <w:bottom w:w="0" w:type="dxa"/>
              <w:right w:w="0" w:type="dxa"/>
            </w:tcMar>
            <w:vAlign w:val="bottom"/>
          </w:tcPr>
          <w:p w14:paraId="6DB5E87D" w14:textId="77777777" w:rsidR="001614AC" w:rsidRDefault="004468F9">
            <w:pPr>
              <w:keepNext/>
              <w:spacing w:before="55" w:after="30" w:line="288" w:lineRule="auto"/>
            </w:pPr>
            <w:r>
              <w:rPr>
                <w:rFonts w:ascii="Arial" w:eastAsia="Arial" w:hAnsi="Arial" w:cs="Arial"/>
                <w:color w:val="000000"/>
                <w:sz w:val="18"/>
              </w:rPr>
              <w:t>$</w:t>
            </w:r>
          </w:p>
        </w:tc>
        <w:tc>
          <w:tcPr>
            <w:tcW w:w="835" w:type="dxa"/>
            <w:tcBorders>
              <w:top w:val="single" w:sz="8" w:space="0" w:color="C7C9C7"/>
              <w:left w:val="nil"/>
              <w:bottom w:val="single" w:sz="8" w:space="0" w:color="E9E9E9"/>
              <w:right w:val="nil"/>
            </w:tcBorders>
            <w:tcMar>
              <w:top w:w="0" w:type="dxa"/>
              <w:left w:w="0" w:type="dxa"/>
              <w:bottom w:w="0" w:type="dxa"/>
              <w:right w:w="0" w:type="dxa"/>
            </w:tcMar>
            <w:vAlign w:val="bottom"/>
          </w:tcPr>
          <w:p w14:paraId="76A4FE4A" w14:textId="77777777" w:rsidR="001614AC" w:rsidRDefault="004468F9">
            <w:pPr>
              <w:keepNext/>
              <w:spacing w:before="55" w:after="30" w:line="288" w:lineRule="auto"/>
              <w:jc w:val="right"/>
            </w:pPr>
            <w:r>
              <w:rPr>
                <w:rFonts w:ascii="Arial" w:eastAsia="Arial" w:hAnsi="Arial" w:cs="Arial"/>
                <w:color w:val="000000"/>
                <w:sz w:val="18"/>
              </w:rPr>
              <w:t>1,407,545 </w:t>
            </w:r>
          </w:p>
        </w:tc>
        <w:tc>
          <w:tcPr>
            <w:tcW w:w="100" w:type="dxa"/>
            <w:tcBorders>
              <w:top w:val="single" w:sz="8" w:space="0" w:color="C7C9C7"/>
              <w:left w:val="nil"/>
              <w:bottom w:val="single" w:sz="8" w:space="0" w:color="E9E9E9"/>
              <w:right w:val="nil"/>
            </w:tcBorders>
            <w:tcMar>
              <w:top w:w="0" w:type="dxa"/>
              <w:left w:w="0" w:type="dxa"/>
              <w:bottom w:w="0" w:type="dxa"/>
              <w:right w:w="15" w:type="dxa"/>
            </w:tcMar>
            <w:vAlign w:val="bottom"/>
          </w:tcPr>
          <w:p w14:paraId="32BC58E4" w14:textId="77777777" w:rsidR="001614AC" w:rsidRDefault="001614AC">
            <w:pPr>
              <w:keepNext/>
              <w:spacing w:before="55" w:after="30" w:line="288" w:lineRule="auto"/>
              <w:jc w:val="right"/>
            </w:pPr>
          </w:p>
        </w:tc>
        <w:tc>
          <w:tcPr>
            <w:tcW w:w="105" w:type="dxa"/>
            <w:tcBorders>
              <w:top w:val="single" w:sz="8" w:space="0" w:color="C7C9C7"/>
              <w:left w:val="nil"/>
              <w:bottom w:val="nil"/>
              <w:right w:val="nil"/>
            </w:tcBorders>
            <w:tcMar>
              <w:top w:w="0" w:type="dxa"/>
              <w:left w:w="0" w:type="dxa"/>
              <w:bottom w:w="0" w:type="dxa"/>
              <w:right w:w="0" w:type="dxa"/>
            </w:tcMar>
            <w:vAlign w:val="bottom"/>
          </w:tcPr>
          <w:p w14:paraId="7EAAEDFA" w14:textId="77777777" w:rsidR="001614AC" w:rsidRDefault="001614AC">
            <w:pPr>
              <w:keepNext/>
            </w:pPr>
          </w:p>
        </w:tc>
        <w:tc>
          <w:tcPr>
            <w:tcW w:w="160" w:type="dxa"/>
            <w:tcBorders>
              <w:top w:val="single" w:sz="8" w:space="0" w:color="C7C9C7"/>
              <w:left w:val="nil"/>
              <w:bottom w:val="single" w:sz="8" w:space="0" w:color="E9E9E9"/>
              <w:right w:val="nil"/>
            </w:tcBorders>
            <w:shd w:val="clear" w:color="auto" w:fill="FFFFFF"/>
            <w:tcMar>
              <w:top w:w="0" w:type="dxa"/>
              <w:left w:w="53" w:type="dxa"/>
              <w:bottom w:w="0" w:type="dxa"/>
              <w:right w:w="0" w:type="dxa"/>
            </w:tcMar>
            <w:vAlign w:val="bottom"/>
          </w:tcPr>
          <w:p w14:paraId="7E789723" w14:textId="77777777" w:rsidR="001614AC" w:rsidRDefault="004468F9">
            <w:pPr>
              <w:keepNext/>
              <w:spacing w:before="55" w:after="30" w:line="288" w:lineRule="auto"/>
            </w:pPr>
            <w:r>
              <w:rPr>
                <w:rFonts w:ascii="Arial" w:eastAsia="Arial" w:hAnsi="Arial" w:cs="Arial"/>
                <w:color w:val="000000"/>
                <w:sz w:val="18"/>
              </w:rPr>
              <w:t>$</w:t>
            </w:r>
          </w:p>
        </w:tc>
        <w:tc>
          <w:tcPr>
            <w:tcW w:w="835" w:type="dxa"/>
            <w:tcBorders>
              <w:top w:val="single" w:sz="8" w:space="0" w:color="C7C9C7"/>
              <w:left w:val="nil"/>
              <w:bottom w:val="single" w:sz="8" w:space="0" w:color="E9E9E9"/>
              <w:right w:val="nil"/>
            </w:tcBorders>
            <w:shd w:val="clear" w:color="auto" w:fill="FFFFFF"/>
            <w:tcMar>
              <w:top w:w="0" w:type="dxa"/>
              <w:left w:w="0" w:type="dxa"/>
              <w:bottom w:w="0" w:type="dxa"/>
              <w:right w:w="0" w:type="dxa"/>
            </w:tcMar>
            <w:vAlign w:val="bottom"/>
          </w:tcPr>
          <w:p w14:paraId="734B1BB6" w14:textId="77777777" w:rsidR="001614AC" w:rsidRDefault="004468F9">
            <w:pPr>
              <w:keepNext/>
              <w:spacing w:before="55" w:after="30" w:line="288" w:lineRule="auto"/>
              <w:jc w:val="right"/>
            </w:pPr>
            <w:r>
              <w:rPr>
                <w:rFonts w:ascii="Arial" w:eastAsia="Arial" w:hAnsi="Arial" w:cs="Arial"/>
                <w:color w:val="000000"/>
                <w:sz w:val="18"/>
              </w:rPr>
              <w:t>1,563,796 </w:t>
            </w:r>
          </w:p>
        </w:tc>
        <w:tc>
          <w:tcPr>
            <w:tcW w:w="100" w:type="dxa"/>
            <w:tcBorders>
              <w:top w:val="single" w:sz="8" w:space="0" w:color="C7C9C7"/>
              <w:left w:val="nil"/>
              <w:bottom w:val="single" w:sz="8" w:space="0" w:color="E9E9E9"/>
              <w:right w:val="nil"/>
            </w:tcBorders>
            <w:shd w:val="clear" w:color="auto" w:fill="FFFFFF"/>
            <w:tcMar>
              <w:top w:w="0" w:type="dxa"/>
              <w:left w:w="0" w:type="dxa"/>
              <w:bottom w:w="0" w:type="dxa"/>
              <w:right w:w="15" w:type="dxa"/>
            </w:tcMar>
            <w:vAlign w:val="bottom"/>
          </w:tcPr>
          <w:p w14:paraId="23731B04" w14:textId="77777777" w:rsidR="001614AC" w:rsidRDefault="001614AC">
            <w:pPr>
              <w:keepNext/>
              <w:spacing w:before="55" w:after="30" w:line="288" w:lineRule="auto"/>
              <w:jc w:val="right"/>
            </w:pPr>
          </w:p>
        </w:tc>
        <w:tc>
          <w:tcPr>
            <w:tcW w:w="105" w:type="dxa"/>
            <w:tcBorders>
              <w:top w:val="single" w:sz="8" w:space="0" w:color="C7C9C7"/>
              <w:left w:val="nil"/>
              <w:bottom w:val="nil"/>
              <w:right w:val="nil"/>
            </w:tcBorders>
            <w:tcMar>
              <w:top w:w="0" w:type="dxa"/>
              <w:left w:w="0" w:type="dxa"/>
              <w:bottom w:w="0" w:type="dxa"/>
              <w:right w:w="0" w:type="dxa"/>
            </w:tcMar>
            <w:vAlign w:val="bottom"/>
          </w:tcPr>
          <w:p w14:paraId="11E032B6" w14:textId="77777777" w:rsidR="001614AC" w:rsidRDefault="001614AC">
            <w:pPr>
              <w:keepNext/>
            </w:pPr>
          </w:p>
        </w:tc>
        <w:tc>
          <w:tcPr>
            <w:tcW w:w="160" w:type="dxa"/>
            <w:tcBorders>
              <w:top w:val="single" w:sz="8" w:space="0" w:color="C7C9C7"/>
              <w:left w:val="nil"/>
              <w:bottom w:val="single" w:sz="8" w:space="0" w:color="E9E9E9"/>
              <w:right w:val="nil"/>
            </w:tcBorders>
            <w:tcMar>
              <w:top w:w="0" w:type="dxa"/>
              <w:left w:w="53" w:type="dxa"/>
              <w:bottom w:w="0" w:type="dxa"/>
              <w:right w:w="0" w:type="dxa"/>
            </w:tcMar>
            <w:vAlign w:val="bottom"/>
          </w:tcPr>
          <w:p w14:paraId="610623D1" w14:textId="77777777" w:rsidR="001614AC" w:rsidRDefault="004468F9">
            <w:pPr>
              <w:keepNext/>
              <w:spacing w:before="55" w:after="30" w:line="288" w:lineRule="auto"/>
            </w:pPr>
            <w:r>
              <w:rPr>
                <w:rFonts w:ascii="Arial" w:eastAsia="Arial" w:hAnsi="Arial" w:cs="Arial"/>
                <w:color w:val="000000"/>
                <w:sz w:val="18"/>
              </w:rPr>
              <w:t>$</w:t>
            </w:r>
          </w:p>
        </w:tc>
        <w:tc>
          <w:tcPr>
            <w:tcW w:w="835" w:type="dxa"/>
            <w:tcBorders>
              <w:top w:val="single" w:sz="8" w:space="0" w:color="C7C9C7"/>
              <w:left w:val="nil"/>
              <w:bottom w:val="single" w:sz="8" w:space="0" w:color="E9E9E9"/>
              <w:right w:val="nil"/>
            </w:tcBorders>
            <w:tcMar>
              <w:top w:w="0" w:type="dxa"/>
              <w:left w:w="0" w:type="dxa"/>
              <w:bottom w:w="0" w:type="dxa"/>
              <w:right w:w="0" w:type="dxa"/>
            </w:tcMar>
            <w:vAlign w:val="bottom"/>
          </w:tcPr>
          <w:p w14:paraId="4398EF81" w14:textId="77777777" w:rsidR="001614AC" w:rsidRDefault="004468F9">
            <w:pPr>
              <w:keepNext/>
              <w:spacing w:before="55" w:after="30" w:line="288" w:lineRule="auto"/>
              <w:jc w:val="right"/>
            </w:pPr>
            <w:r>
              <w:rPr>
                <w:rFonts w:ascii="Arial" w:eastAsia="Arial" w:hAnsi="Arial" w:cs="Arial"/>
                <w:color w:val="000000"/>
                <w:sz w:val="18"/>
              </w:rPr>
              <w:t>1,405,674 </w:t>
            </w:r>
          </w:p>
        </w:tc>
        <w:tc>
          <w:tcPr>
            <w:tcW w:w="100" w:type="dxa"/>
            <w:tcBorders>
              <w:top w:val="single" w:sz="8" w:space="0" w:color="C7C9C7"/>
              <w:left w:val="nil"/>
              <w:bottom w:val="single" w:sz="8" w:space="0" w:color="E9E9E9"/>
              <w:right w:val="nil"/>
            </w:tcBorders>
            <w:tcMar>
              <w:top w:w="0" w:type="dxa"/>
              <w:left w:w="0" w:type="dxa"/>
              <w:bottom w:w="0" w:type="dxa"/>
              <w:right w:w="15" w:type="dxa"/>
            </w:tcMar>
            <w:vAlign w:val="bottom"/>
          </w:tcPr>
          <w:p w14:paraId="5D28F4E3" w14:textId="77777777" w:rsidR="001614AC" w:rsidRDefault="001614AC">
            <w:pPr>
              <w:keepNext/>
              <w:spacing w:before="55" w:after="30" w:line="288" w:lineRule="auto"/>
              <w:jc w:val="right"/>
            </w:pPr>
          </w:p>
        </w:tc>
        <w:tc>
          <w:tcPr>
            <w:tcW w:w="105" w:type="dxa"/>
            <w:tcBorders>
              <w:top w:val="single" w:sz="8" w:space="0" w:color="C7C9C7"/>
              <w:left w:val="nil"/>
              <w:bottom w:val="nil"/>
              <w:right w:val="nil"/>
            </w:tcBorders>
            <w:tcMar>
              <w:top w:w="0" w:type="dxa"/>
              <w:left w:w="0" w:type="dxa"/>
              <w:bottom w:w="0" w:type="dxa"/>
              <w:right w:w="0" w:type="dxa"/>
            </w:tcMar>
            <w:vAlign w:val="bottom"/>
          </w:tcPr>
          <w:p w14:paraId="07479E2E" w14:textId="77777777" w:rsidR="001614AC" w:rsidRDefault="001614AC">
            <w:pPr>
              <w:keepNext/>
            </w:pPr>
          </w:p>
        </w:tc>
        <w:tc>
          <w:tcPr>
            <w:tcW w:w="160" w:type="dxa"/>
            <w:tcBorders>
              <w:top w:val="single" w:sz="8" w:space="0" w:color="C7C9C7"/>
              <w:left w:val="nil"/>
              <w:bottom w:val="single" w:sz="8" w:space="0" w:color="E9E9E9"/>
              <w:right w:val="nil"/>
            </w:tcBorders>
            <w:tcMar>
              <w:top w:w="0" w:type="dxa"/>
              <w:left w:w="53" w:type="dxa"/>
              <w:bottom w:w="0" w:type="dxa"/>
              <w:right w:w="0" w:type="dxa"/>
            </w:tcMar>
            <w:vAlign w:val="bottom"/>
          </w:tcPr>
          <w:p w14:paraId="618C0BE6" w14:textId="77777777" w:rsidR="001614AC" w:rsidRDefault="004468F9">
            <w:pPr>
              <w:keepNext/>
              <w:spacing w:before="55" w:after="30" w:line="288" w:lineRule="auto"/>
            </w:pPr>
            <w:r>
              <w:rPr>
                <w:rFonts w:ascii="Arial" w:eastAsia="Arial" w:hAnsi="Arial" w:cs="Arial"/>
                <w:color w:val="000000"/>
                <w:sz w:val="18"/>
              </w:rPr>
              <w:t>$</w:t>
            </w:r>
          </w:p>
        </w:tc>
        <w:tc>
          <w:tcPr>
            <w:tcW w:w="835" w:type="dxa"/>
            <w:tcBorders>
              <w:top w:val="single" w:sz="8" w:space="0" w:color="C7C9C7"/>
              <w:left w:val="nil"/>
              <w:bottom w:val="single" w:sz="8" w:space="0" w:color="E9E9E9"/>
              <w:right w:val="nil"/>
            </w:tcBorders>
            <w:tcMar>
              <w:top w:w="0" w:type="dxa"/>
              <w:left w:w="0" w:type="dxa"/>
              <w:bottom w:w="0" w:type="dxa"/>
              <w:right w:w="0" w:type="dxa"/>
            </w:tcMar>
            <w:vAlign w:val="bottom"/>
          </w:tcPr>
          <w:p w14:paraId="54B15171" w14:textId="77777777" w:rsidR="001614AC" w:rsidRDefault="004468F9">
            <w:pPr>
              <w:keepNext/>
              <w:spacing w:before="55" w:after="30" w:line="288" w:lineRule="auto"/>
              <w:jc w:val="right"/>
            </w:pPr>
            <w:r>
              <w:rPr>
                <w:rFonts w:ascii="Arial" w:eastAsia="Arial" w:hAnsi="Arial" w:cs="Arial"/>
                <w:color w:val="000000"/>
                <w:sz w:val="18"/>
              </w:rPr>
              <w:t>1,563,503 </w:t>
            </w:r>
          </w:p>
        </w:tc>
        <w:tc>
          <w:tcPr>
            <w:tcW w:w="100" w:type="dxa"/>
            <w:tcBorders>
              <w:top w:val="single" w:sz="8" w:space="0" w:color="C7C9C7"/>
              <w:left w:val="nil"/>
              <w:bottom w:val="single" w:sz="8" w:space="0" w:color="E9E9E9"/>
              <w:right w:val="nil"/>
            </w:tcBorders>
            <w:tcMar>
              <w:top w:w="0" w:type="dxa"/>
              <w:left w:w="0" w:type="dxa"/>
              <w:bottom w:w="0" w:type="dxa"/>
              <w:right w:w="15" w:type="dxa"/>
            </w:tcMar>
            <w:vAlign w:val="bottom"/>
          </w:tcPr>
          <w:p w14:paraId="318E428E" w14:textId="77777777" w:rsidR="001614AC" w:rsidRDefault="001614AC">
            <w:pPr>
              <w:keepNext/>
              <w:spacing w:before="55" w:after="30" w:line="288" w:lineRule="auto"/>
              <w:jc w:val="right"/>
            </w:pPr>
          </w:p>
        </w:tc>
      </w:tr>
      <w:tr w:rsidR="001614AC" w14:paraId="7F6D78A8" w14:textId="77777777">
        <w:trPr>
          <w:cantSplit/>
        </w:trPr>
        <w:tc>
          <w:tcPr>
            <w:tcW w:w="5280" w:type="dxa"/>
            <w:tcBorders>
              <w:top w:val="single" w:sz="8" w:space="0" w:color="E9E9E9"/>
              <w:left w:val="nil"/>
              <w:bottom w:val="single" w:sz="8" w:space="0" w:color="E9E9E9"/>
              <w:right w:val="nil"/>
            </w:tcBorders>
            <w:tcMar>
              <w:top w:w="0" w:type="dxa"/>
              <w:left w:w="53" w:type="dxa"/>
              <w:bottom w:w="0" w:type="dxa"/>
              <w:right w:w="53" w:type="dxa"/>
            </w:tcMar>
            <w:vAlign w:val="bottom"/>
          </w:tcPr>
          <w:p w14:paraId="31DE186A" w14:textId="77777777" w:rsidR="001614AC" w:rsidRDefault="004468F9">
            <w:pPr>
              <w:spacing w:before="55" w:after="30" w:line="288" w:lineRule="auto"/>
            </w:pPr>
            <w:r>
              <w:rPr>
                <w:rFonts w:ascii="Arial" w:eastAsia="Arial" w:hAnsi="Arial" w:cs="Arial"/>
                <w:color w:val="000000"/>
                <w:sz w:val="18"/>
              </w:rPr>
              <w:t>FHLB advances</w:t>
            </w:r>
          </w:p>
        </w:tc>
        <w:tc>
          <w:tcPr>
            <w:tcW w:w="105" w:type="dxa"/>
            <w:tcBorders>
              <w:top w:val="nil"/>
              <w:left w:val="nil"/>
              <w:bottom w:val="nil"/>
              <w:right w:val="nil"/>
            </w:tcBorders>
            <w:tcMar>
              <w:top w:w="0" w:type="dxa"/>
              <w:left w:w="0" w:type="dxa"/>
              <w:bottom w:w="0" w:type="dxa"/>
              <w:right w:w="0" w:type="dxa"/>
            </w:tcMar>
            <w:vAlign w:val="bottom"/>
          </w:tcPr>
          <w:p w14:paraId="305B5B52" w14:textId="77777777" w:rsidR="001614AC" w:rsidRDefault="001614AC"/>
        </w:tc>
        <w:tc>
          <w:tcPr>
            <w:tcW w:w="99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3BCB3733" w14:textId="77777777" w:rsidR="001614AC" w:rsidRDefault="004468F9">
            <w:pPr>
              <w:spacing w:before="55" w:after="30" w:line="288" w:lineRule="auto"/>
              <w:jc w:val="right"/>
            </w:pPr>
            <w:r>
              <w:rPr>
                <w:rFonts w:ascii="Arial" w:eastAsia="Arial" w:hAnsi="Arial" w:cs="Arial"/>
                <w:color w:val="000000"/>
                <w:sz w:val="18"/>
              </w:rPr>
              <w:t>153,983 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7E117445" w14:textId="77777777" w:rsidR="001614AC" w:rsidRDefault="001614AC">
            <w:pPr>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7EA6659C" w14:textId="77777777" w:rsidR="001614AC" w:rsidRDefault="001614AC"/>
        </w:tc>
        <w:tc>
          <w:tcPr>
            <w:tcW w:w="995" w:type="dxa"/>
            <w:gridSpan w:val="2"/>
            <w:tcBorders>
              <w:top w:val="single" w:sz="8" w:space="0" w:color="E9E9E9"/>
              <w:left w:val="nil"/>
              <w:bottom w:val="single" w:sz="8" w:space="0" w:color="E9E9E9"/>
              <w:right w:val="nil"/>
            </w:tcBorders>
            <w:shd w:val="clear" w:color="auto" w:fill="FFFFFF"/>
            <w:tcMar>
              <w:top w:w="0" w:type="dxa"/>
              <w:left w:w="53" w:type="dxa"/>
              <w:bottom w:w="0" w:type="dxa"/>
              <w:right w:w="0" w:type="dxa"/>
            </w:tcMar>
            <w:vAlign w:val="bottom"/>
          </w:tcPr>
          <w:p w14:paraId="50951D43" w14:textId="77777777" w:rsidR="001614AC" w:rsidRDefault="004468F9">
            <w:pPr>
              <w:spacing w:before="55" w:after="30" w:line="288" w:lineRule="auto"/>
              <w:jc w:val="right"/>
            </w:pPr>
            <w:r>
              <w:rPr>
                <w:rFonts w:ascii="Arial" w:eastAsia="Arial" w:hAnsi="Arial" w:cs="Arial"/>
                <w:color w:val="000000"/>
                <w:sz w:val="18"/>
              </w:rPr>
              <w:t>156,116 </w:t>
            </w:r>
          </w:p>
        </w:tc>
        <w:tc>
          <w:tcPr>
            <w:tcW w:w="100" w:type="dxa"/>
            <w:tcBorders>
              <w:top w:val="single" w:sz="8" w:space="0" w:color="E9E9E9"/>
              <w:left w:val="nil"/>
              <w:bottom w:val="single" w:sz="8" w:space="0" w:color="E9E9E9"/>
              <w:right w:val="nil"/>
            </w:tcBorders>
            <w:shd w:val="clear" w:color="auto" w:fill="FFFFFF"/>
            <w:tcMar>
              <w:top w:w="0" w:type="dxa"/>
              <w:left w:w="0" w:type="dxa"/>
              <w:bottom w:w="0" w:type="dxa"/>
              <w:right w:w="15" w:type="dxa"/>
            </w:tcMar>
            <w:vAlign w:val="bottom"/>
          </w:tcPr>
          <w:p w14:paraId="03907C78" w14:textId="77777777" w:rsidR="001614AC" w:rsidRDefault="001614AC">
            <w:pPr>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5903B500" w14:textId="77777777" w:rsidR="001614AC" w:rsidRDefault="001614AC"/>
        </w:tc>
        <w:tc>
          <w:tcPr>
            <w:tcW w:w="99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7E439DAF" w14:textId="77777777" w:rsidR="001614AC" w:rsidRDefault="004468F9">
            <w:pPr>
              <w:spacing w:before="55" w:after="30" w:line="288" w:lineRule="auto"/>
              <w:jc w:val="right"/>
            </w:pPr>
            <w:r>
              <w:rPr>
                <w:rFonts w:ascii="Arial" w:eastAsia="Arial" w:hAnsi="Arial" w:cs="Arial"/>
                <w:color w:val="000000"/>
                <w:sz w:val="18"/>
              </w:rPr>
              <w:t>176,483 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030536DE" w14:textId="77777777" w:rsidR="001614AC" w:rsidRDefault="001614AC">
            <w:pPr>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7A169286" w14:textId="77777777" w:rsidR="001614AC" w:rsidRDefault="001614AC"/>
        </w:tc>
        <w:tc>
          <w:tcPr>
            <w:tcW w:w="99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4F002182" w14:textId="77777777" w:rsidR="001614AC" w:rsidRDefault="004468F9">
            <w:pPr>
              <w:spacing w:before="55" w:after="30" w:line="288" w:lineRule="auto"/>
              <w:jc w:val="right"/>
            </w:pPr>
            <w:r>
              <w:rPr>
                <w:rFonts w:ascii="Arial" w:eastAsia="Arial" w:hAnsi="Arial" w:cs="Arial"/>
                <w:color w:val="000000"/>
                <w:sz w:val="18"/>
              </w:rPr>
              <w:t>179,578 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53124853" w14:textId="77777777" w:rsidR="001614AC" w:rsidRDefault="001614AC">
            <w:pPr>
              <w:spacing w:before="55" w:after="30" w:line="288" w:lineRule="auto"/>
              <w:jc w:val="right"/>
            </w:pPr>
          </w:p>
        </w:tc>
      </w:tr>
    </w:tbl>
    <w:p w14:paraId="25BAC370" w14:textId="77777777" w:rsidR="001614AC" w:rsidRDefault="004468F9">
      <w:pPr>
        <w:spacing w:before="200" w:line="288" w:lineRule="auto"/>
        <w:ind w:firstLine="450"/>
        <w:rPr>
          <w:rFonts w:ascii="Arial" w:eastAsia="Arial" w:hAnsi="Arial" w:cs="Arial"/>
          <w:b/>
          <w:color w:val="64615D"/>
          <w:sz w:val="18"/>
        </w:rPr>
      </w:pPr>
      <w:r>
        <w:rPr>
          <w:rFonts w:ascii="Arial" w:eastAsia="Arial" w:hAnsi="Arial" w:cs="Arial"/>
          <w:sz w:val="18"/>
        </w:rPr>
        <w:t>The fair value of our senior notes is estimated based on quoted market p</w:t>
      </w:r>
      <w:r>
        <w:rPr>
          <w:rFonts w:ascii="Arial" w:eastAsia="Arial" w:hAnsi="Arial" w:cs="Arial"/>
          <w:sz w:val="18"/>
        </w:rPr>
        <w:t>rices. The fair value of our FHLB advances is estimated based on expected cash flows for similar borrowings. These liabilities are categorized in Level II of the fair value hierarchy. See Note 12 for further information about these borrowings.</w:t>
      </w:r>
    </w:p>
    <w:p w14:paraId="08E863A7" w14:textId="77777777" w:rsidR="001614AC" w:rsidRDefault="001614AC">
      <w:pPr>
        <w:spacing w:before="200" w:line="288" w:lineRule="auto"/>
        <w:ind w:firstLine="450"/>
        <w:rPr>
          <w:rFonts w:ascii="Arial" w:eastAsia="Arial" w:hAnsi="Arial" w:cs="Arial"/>
          <w:b/>
          <w:color w:val="64615D"/>
          <w:sz w:val="18"/>
        </w:rPr>
        <w:sectPr w:rsidR="001614AC">
          <w:headerReference w:type="default" r:id="rId28"/>
          <w:type w:val="continuous"/>
          <w:pgSz w:w="12240" w:h="15840"/>
          <w:pgMar w:top="1260" w:right="1080" w:bottom="1080" w:left="1080" w:header="270" w:footer="270" w:gutter="0"/>
          <w:cols w:space="708"/>
        </w:sectPr>
      </w:pPr>
    </w:p>
    <w:p w14:paraId="5643A77A" w14:textId="77777777" w:rsidR="001614AC" w:rsidRDefault="004468F9">
      <w:pPr>
        <w:keepNext/>
        <w:tabs>
          <w:tab w:val="left" w:pos="360"/>
        </w:tabs>
        <w:spacing w:before="200" w:after="160" w:line="288" w:lineRule="auto"/>
        <w:ind w:left="360" w:hanging="360"/>
        <w:outlineLvl w:val="3"/>
        <w:rPr>
          <w:rFonts w:ascii="Arial" w:eastAsia="Arial" w:hAnsi="Arial" w:cs="Arial"/>
          <w:b/>
          <w:color w:val="4D6B80"/>
          <w:sz w:val="30"/>
        </w:rPr>
      </w:pPr>
      <w:bookmarkStart w:id="17" w:name="Section18"/>
      <w:bookmarkEnd w:id="17"/>
      <w:r>
        <w:rPr>
          <w:rFonts w:ascii="Arial" w:eastAsia="Arial" w:hAnsi="Arial" w:cs="Arial"/>
          <w:b/>
          <w:color w:val="4D6B80"/>
          <w:sz w:val="30"/>
        </w:rPr>
        <w:lastRenderedPageBreak/>
        <w:t xml:space="preserve">6. Investments </w:t>
      </w:r>
    </w:p>
    <w:p w14:paraId="7C7CDACB" w14:textId="77777777" w:rsidR="001614AC" w:rsidRDefault="004468F9">
      <w:pPr>
        <w:keepNext/>
        <w:spacing w:before="180" w:after="140" w:line="288" w:lineRule="auto"/>
        <w:rPr>
          <w:rFonts w:ascii="Arial" w:eastAsia="Arial" w:hAnsi="Arial" w:cs="Arial"/>
          <w:b/>
          <w:color w:val="002B49"/>
          <w:sz w:val="26"/>
        </w:rPr>
      </w:pPr>
      <w:r>
        <w:rPr>
          <w:rFonts w:ascii="Arial" w:eastAsia="Arial" w:hAnsi="Arial" w:cs="Arial"/>
          <w:b/>
          <w:color w:val="002B49"/>
          <w:sz w:val="26"/>
        </w:rPr>
        <w:t>Available for Sale Securities</w:t>
      </w:r>
    </w:p>
    <w:p w14:paraId="5CE29807" w14:textId="77777777" w:rsidR="001614AC" w:rsidRDefault="004468F9">
      <w:pPr>
        <w:keepNext/>
        <w:spacing w:before="100" w:after="100" w:line="288" w:lineRule="auto"/>
        <w:ind w:firstLine="450"/>
        <w:rPr>
          <w:rFonts w:ascii="Arial" w:eastAsia="Arial" w:hAnsi="Arial" w:cs="Arial"/>
          <w:b/>
          <w:color w:val="4D6B80"/>
          <w:sz w:val="18"/>
        </w:rPr>
      </w:pPr>
      <w:r>
        <w:rPr>
          <w:rFonts w:ascii="Arial" w:eastAsia="Arial" w:hAnsi="Arial" w:cs="Arial"/>
          <w:sz w:val="18"/>
        </w:rPr>
        <w:t xml:space="preserve">Our available for sale </w:t>
      </w:r>
      <w:r>
        <w:rPr>
          <w:rFonts w:ascii="Arial" w:eastAsia="Arial" w:hAnsi="Arial" w:cs="Arial"/>
          <w:sz w:val="18"/>
        </w:rPr>
        <w:t xml:space="preserve">securities within our investment portfolio consisted of the following as of the dates indicated. </w:t>
      </w:r>
    </w:p>
    <w:tbl>
      <w:tblPr>
        <w:tblW w:w="102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8"/>
        <w:gridCol w:w="106"/>
        <w:gridCol w:w="162"/>
        <w:gridCol w:w="864"/>
        <w:gridCol w:w="102"/>
        <w:gridCol w:w="107"/>
        <w:gridCol w:w="163"/>
        <w:gridCol w:w="849"/>
        <w:gridCol w:w="102"/>
        <w:gridCol w:w="107"/>
        <w:gridCol w:w="163"/>
        <w:gridCol w:w="849"/>
        <w:gridCol w:w="102"/>
        <w:gridCol w:w="107"/>
        <w:gridCol w:w="163"/>
        <w:gridCol w:w="849"/>
        <w:gridCol w:w="102"/>
        <w:gridCol w:w="107"/>
        <w:gridCol w:w="163"/>
        <w:gridCol w:w="865"/>
        <w:gridCol w:w="102"/>
      </w:tblGrid>
      <w:tr w:rsidR="001614AC" w14:paraId="21F14A4E" w14:textId="77777777">
        <w:trPr>
          <w:cantSplit/>
        </w:trPr>
        <w:tc>
          <w:tcPr>
            <w:tcW w:w="10080" w:type="dxa"/>
            <w:gridSpan w:val="21"/>
            <w:tcBorders>
              <w:top w:val="nil"/>
              <w:left w:val="nil"/>
              <w:bottom w:val="single" w:sz="12" w:space="0" w:color="99AAB6"/>
              <w:right w:val="nil"/>
            </w:tcBorders>
            <w:tcMar>
              <w:top w:w="0" w:type="dxa"/>
              <w:left w:w="53" w:type="dxa"/>
              <w:bottom w:w="0" w:type="dxa"/>
              <w:right w:w="53" w:type="dxa"/>
            </w:tcMar>
            <w:vAlign w:val="bottom"/>
          </w:tcPr>
          <w:p w14:paraId="7BEF2F2A" w14:textId="77777777" w:rsidR="001614AC" w:rsidRDefault="004468F9">
            <w:pPr>
              <w:keepNext/>
              <w:spacing w:before="75" w:after="30" w:line="288" w:lineRule="auto"/>
              <w:rPr>
                <w:rFonts w:ascii="Arial" w:eastAsia="Arial" w:hAnsi="Arial" w:cs="Arial"/>
                <w:b/>
                <w:sz w:val="20"/>
              </w:rPr>
            </w:pPr>
            <w:r>
              <w:rPr>
                <w:rFonts w:ascii="Arial" w:eastAsia="Arial" w:hAnsi="Arial" w:cs="Arial"/>
                <w:b/>
                <w:sz w:val="20"/>
              </w:rPr>
              <w:t>Available for sale securities</w:t>
            </w:r>
          </w:p>
        </w:tc>
      </w:tr>
      <w:tr w:rsidR="001614AC" w14:paraId="2CBD64CE" w14:textId="77777777">
        <w:trPr>
          <w:cantSplit/>
          <w:trHeight w:hRule="exact" w:val="135"/>
        </w:trPr>
        <w:tc>
          <w:tcPr>
            <w:tcW w:w="4080" w:type="dxa"/>
            <w:tcBorders>
              <w:top w:val="nil"/>
              <w:left w:val="nil"/>
              <w:bottom w:val="nil"/>
              <w:right w:val="nil"/>
            </w:tcBorders>
            <w:tcMar>
              <w:top w:w="0" w:type="dxa"/>
              <w:left w:w="0" w:type="dxa"/>
              <w:bottom w:w="0" w:type="dxa"/>
              <w:right w:w="0" w:type="dxa"/>
            </w:tcMar>
            <w:vAlign w:val="bottom"/>
          </w:tcPr>
          <w:p w14:paraId="40BC697A" w14:textId="77777777" w:rsidR="001614AC" w:rsidRDefault="001614AC">
            <w:pPr>
              <w:keepNext/>
            </w:pPr>
          </w:p>
        </w:tc>
        <w:tc>
          <w:tcPr>
            <w:tcW w:w="105" w:type="dxa"/>
            <w:tcBorders>
              <w:top w:val="single" w:sz="12" w:space="0" w:color="99AAB6"/>
              <w:left w:val="nil"/>
              <w:bottom w:val="nil"/>
              <w:right w:val="nil"/>
            </w:tcBorders>
            <w:tcMar>
              <w:top w:w="0" w:type="dxa"/>
              <w:left w:w="0" w:type="dxa"/>
              <w:bottom w:w="0" w:type="dxa"/>
              <w:right w:w="0" w:type="dxa"/>
            </w:tcMar>
            <w:vAlign w:val="bottom"/>
          </w:tcPr>
          <w:p w14:paraId="172750AE" w14:textId="77777777" w:rsidR="001614AC" w:rsidRDefault="001614AC">
            <w:pPr>
              <w:keepNext/>
            </w:pPr>
          </w:p>
        </w:tc>
        <w:tc>
          <w:tcPr>
            <w:tcW w:w="1095" w:type="dxa"/>
            <w:gridSpan w:val="3"/>
            <w:tcBorders>
              <w:top w:val="single" w:sz="12" w:space="0" w:color="99AAB6"/>
              <w:left w:val="nil"/>
              <w:bottom w:val="nil"/>
              <w:right w:val="nil"/>
            </w:tcBorders>
            <w:tcMar>
              <w:top w:w="0" w:type="dxa"/>
              <w:left w:w="0" w:type="dxa"/>
              <w:bottom w:w="0" w:type="dxa"/>
              <w:right w:w="0" w:type="dxa"/>
            </w:tcMar>
            <w:vAlign w:val="bottom"/>
          </w:tcPr>
          <w:p w14:paraId="5A4ED124" w14:textId="77777777" w:rsidR="001614AC" w:rsidRDefault="001614AC">
            <w:pPr>
              <w:keepNext/>
            </w:pPr>
          </w:p>
        </w:tc>
        <w:tc>
          <w:tcPr>
            <w:tcW w:w="105" w:type="dxa"/>
            <w:tcBorders>
              <w:top w:val="single" w:sz="12" w:space="0" w:color="99AAB6"/>
              <w:left w:val="nil"/>
              <w:bottom w:val="nil"/>
              <w:right w:val="nil"/>
            </w:tcBorders>
            <w:tcMar>
              <w:top w:w="0" w:type="dxa"/>
              <w:left w:w="0" w:type="dxa"/>
              <w:bottom w:w="0" w:type="dxa"/>
              <w:right w:w="0" w:type="dxa"/>
            </w:tcMar>
            <w:vAlign w:val="bottom"/>
          </w:tcPr>
          <w:p w14:paraId="1CBA392F" w14:textId="77777777" w:rsidR="001614AC" w:rsidRDefault="001614AC">
            <w:pPr>
              <w:keepNext/>
            </w:pPr>
          </w:p>
        </w:tc>
        <w:tc>
          <w:tcPr>
            <w:tcW w:w="1095" w:type="dxa"/>
            <w:gridSpan w:val="3"/>
            <w:tcBorders>
              <w:top w:val="single" w:sz="12" w:space="0" w:color="99AAB6"/>
              <w:left w:val="nil"/>
              <w:bottom w:val="nil"/>
              <w:right w:val="nil"/>
            </w:tcBorders>
            <w:tcMar>
              <w:top w:w="0" w:type="dxa"/>
              <w:left w:w="0" w:type="dxa"/>
              <w:bottom w:w="0" w:type="dxa"/>
              <w:right w:w="0" w:type="dxa"/>
            </w:tcMar>
            <w:vAlign w:val="bottom"/>
          </w:tcPr>
          <w:p w14:paraId="2F307127" w14:textId="77777777" w:rsidR="001614AC" w:rsidRDefault="001614AC">
            <w:pPr>
              <w:keepNext/>
            </w:pPr>
          </w:p>
        </w:tc>
        <w:tc>
          <w:tcPr>
            <w:tcW w:w="105" w:type="dxa"/>
            <w:tcBorders>
              <w:top w:val="single" w:sz="12" w:space="0" w:color="99AAB6"/>
              <w:left w:val="nil"/>
              <w:bottom w:val="nil"/>
              <w:right w:val="nil"/>
            </w:tcBorders>
            <w:tcMar>
              <w:top w:w="0" w:type="dxa"/>
              <w:left w:w="0" w:type="dxa"/>
              <w:bottom w:w="0" w:type="dxa"/>
              <w:right w:w="0" w:type="dxa"/>
            </w:tcMar>
            <w:vAlign w:val="bottom"/>
          </w:tcPr>
          <w:p w14:paraId="7071BE08" w14:textId="77777777" w:rsidR="001614AC" w:rsidRDefault="001614AC">
            <w:pPr>
              <w:keepNext/>
            </w:pPr>
          </w:p>
        </w:tc>
        <w:tc>
          <w:tcPr>
            <w:tcW w:w="1095" w:type="dxa"/>
            <w:gridSpan w:val="3"/>
            <w:tcBorders>
              <w:top w:val="single" w:sz="12" w:space="0" w:color="99AAB6"/>
              <w:left w:val="nil"/>
              <w:bottom w:val="nil"/>
              <w:right w:val="nil"/>
            </w:tcBorders>
            <w:tcMar>
              <w:top w:w="0" w:type="dxa"/>
              <w:left w:w="0" w:type="dxa"/>
              <w:bottom w:w="0" w:type="dxa"/>
              <w:right w:w="0" w:type="dxa"/>
            </w:tcMar>
            <w:vAlign w:val="bottom"/>
          </w:tcPr>
          <w:p w14:paraId="56942314" w14:textId="77777777" w:rsidR="001614AC" w:rsidRDefault="001614AC">
            <w:pPr>
              <w:keepNext/>
            </w:pPr>
          </w:p>
        </w:tc>
        <w:tc>
          <w:tcPr>
            <w:tcW w:w="105" w:type="dxa"/>
            <w:tcBorders>
              <w:top w:val="single" w:sz="12" w:space="0" w:color="99AAB6"/>
              <w:left w:val="nil"/>
              <w:bottom w:val="nil"/>
              <w:right w:val="nil"/>
            </w:tcBorders>
            <w:tcMar>
              <w:top w:w="0" w:type="dxa"/>
              <w:left w:w="0" w:type="dxa"/>
              <w:bottom w:w="0" w:type="dxa"/>
              <w:right w:w="0" w:type="dxa"/>
            </w:tcMar>
            <w:vAlign w:val="bottom"/>
          </w:tcPr>
          <w:p w14:paraId="0C129EF2" w14:textId="77777777" w:rsidR="001614AC" w:rsidRDefault="001614AC">
            <w:pPr>
              <w:keepNext/>
            </w:pPr>
          </w:p>
        </w:tc>
        <w:tc>
          <w:tcPr>
            <w:tcW w:w="1095" w:type="dxa"/>
            <w:gridSpan w:val="3"/>
            <w:tcBorders>
              <w:top w:val="single" w:sz="12" w:space="0" w:color="99AAB6"/>
              <w:left w:val="nil"/>
              <w:bottom w:val="nil"/>
              <w:right w:val="nil"/>
            </w:tcBorders>
            <w:tcMar>
              <w:top w:w="0" w:type="dxa"/>
              <w:left w:w="0" w:type="dxa"/>
              <w:bottom w:w="0" w:type="dxa"/>
              <w:right w:w="0" w:type="dxa"/>
            </w:tcMar>
            <w:vAlign w:val="bottom"/>
          </w:tcPr>
          <w:p w14:paraId="416853E0" w14:textId="77777777" w:rsidR="001614AC" w:rsidRDefault="001614AC">
            <w:pPr>
              <w:keepNext/>
            </w:pPr>
          </w:p>
        </w:tc>
        <w:tc>
          <w:tcPr>
            <w:tcW w:w="105" w:type="dxa"/>
            <w:tcBorders>
              <w:top w:val="single" w:sz="12" w:space="0" w:color="99AAB6"/>
              <w:left w:val="nil"/>
              <w:bottom w:val="nil"/>
              <w:right w:val="nil"/>
            </w:tcBorders>
            <w:tcMar>
              <w:top w:w="0" w:type="dxa"/>
              <w:left w:w="0" w:type="dxa"/>
              <w:bottom w:w="0" w:type="dxa"/>
              <w:right w:w="0" w:type="dxa"/>
            </w:tcMar>
            <w:vAlign w:val="bottom"/>
          </w:tcPr>
          <w:p w14:paraId="5A66876C" w14:textId="77777777" w:rsidR="001614AC" w:rsidRDefault="001614AC">
            <w:pPr>
              <w:keepNext/>
            </w:pPr>
          </w:p>
        </w:tc>
        <w:tc>
          <w:tcPr>
            <w:tcW w:w="1095" w:type="dxa"/>
            <w:gridSpan w:val="3"/>
            <w:tcBorders>
              <w:top w:val="single" w:sz="12" w:space="0" w:color="99AAB6"/>
              <w:left w:val="nil"/>
              <w:bottom w:val="nil"/>
              <w:right w:val="nil"/>
            </w:tcBorders>
            <w:tcMar>
              <w:top w:w="0" w:type="dxa"/>
              <w:left w:w="0" w:type="dxa"/>
              <w:bottom w:w="0" w:type="dxa"/>
              <w:right w:w="0" w:type="dxa"/>
            </w:tcMar>
            <w:vAlign w:val="bottom"/>
          </w:tcPr>
          <w:p w14:paraId="2A662C47" w14:textId="77777777" w:rsidR="001614AC" w:rsidRDefault="001614AC">
            <w:pPr>
              <w:keepNext/>
            </w:pPr>
          </w:p>
        </w:tc>
      </w:tr>
      <w:tr w:rsidR="001614AC" w14:paraId="658DC93F" w14:textId="77777777">
        <w:trPr>
          <w:cantSplit/>
        </w:trPr>
        <w:tc>
          <w:tcPr>
            <w:tcW w:w="4080" w:type="dxa"/>
            <w:tcBorders>
              <w:top w:val="nil"/>
              <w:left w:val="nil"/>
              <w:bottom w:val="single" w:sz="8" w:space="0" w:color="FFFFFF"/>
              <w:right w:val="nil"/>
            </w:tcBorders>
            <w:tcMar>
              <w:top w:w="0" w:type="dxa"/>
              <w:left w:w="0" w:type="dxa"/>
              <w:bottom w:w="0" w:type="dxa"/>
              <w:right w:w="0" w:type="dxa"/>
            </w:tcMar>
            <w:vAlign w:val="bottom"/>
          </w:tcPr>
          <w:p w14:paraId="78D0F179" w14:textId="77777777" w:rsidR="001614AC" w:rsidRDefault="001614AC">
            <w:pPr>
              <w:keepNext/>
            </w:pPr>
          </w:p>
        </w:tc>
        <w:tc>
          <w:tcPr>
            <w:tcW w:w="105" w:type="dxa"/>
            <w:tcBorders>
              <w:top w:val="nil"/>
              <w:left w:val="nil"/>
              <w:bottom w:val="single" w:sz="8" w:space="0" w:color="FFFFFF"/>
              <w:right w:val="nil"/>
            </w:tcBorders>
            <w:tcMar>
              <w:top w:w="0" w:type="dxa"/>
              <w:left w:w="0" w:type="dxa"/>
              <w:bottom w:w="0" w:type="dxa"/>
              <w:right w:w="0" w:type="dxa"/>
            </w:tcMar>
            <w:vAlign w:val="bottom"/>
          </w:tcPr>
          <w:p w14:paraId="02CCA978" w14:textId="77777777" w:rsidR="001614AC" w:rsidRDefault="001614AC">
            <w:pPr>
              <w:keepNext/>
            </w:pPr>
          </w:p>
        </w:tc>
        <w:tc>
          <w:tcPr>
            <w:tcW w:w="5895" w:type="dxa"/>
            <w:gridSpan w:val="19"/>
            <w:tcBorders>
              <w:top w:val="nil"/>
              <w:left w:val="nil"/>
              <w:bottom w:val="nil"/>
              <w:right w:val="nil"/>
            </w:tcBorders>
            <w:shd w:val="clear" w:color="auto" w:fill="E6F8F8"/>
            <w:tcMar>
              <w:top w:w="0" w:type="dxa"/>
              <w:left w:w="53" w:type="dxa"/>
              <w:bottom w:w="0" w:type="dxa"/>
              <w:right w:w="53" w:type="dxa"/>
            </w:tcMar>
            <w:vAlign w:val="bottom"/>
          </w:tcPr>
          <w:p w14:paraId="008E1379" w14:textId="77777777" w:rsidR="001614AC" w:rsidRDefault="004468F9">
            <w:pPr>
              <w:keepNext/>
              <w:spacing w:before="75" w:after="30" w:line="288" w:lineRule="auto"/>
              <w:jc w:val="center"/>
            </w:pPr>
            <w:r>
              <w:rPr>
                <w:rFonts w:ascii="Arial" w:eastAsia="Arial" w:hAnsi="Arial" w:cs="Arial"/>
                <w:b/>
                <w:color w:val="00BAB3"/>
                <w:sz w:val="18"/>
              </w:rPr>
              <w:t>June 30, 2021</w:t>
            </w:r>
          </w:p>
        </w:tc>
      </w:tr>
      <w:tr w:rsidR="001614AC" w14:paraId="077C07BC" w14:textId="77777777">
        <w:trPr>
          <w:cantSplit/>
        </w:trPr>
        <w:tc>
          <w:tcPr>
            <w:tcW w:w="4080" w:type="dxa"/>
            <w:tcBorders>
              <w:top w:val="single" w:sz="8" w:space="0" w:color="FFFFFF"/>
              <w:left w:val="nil"/>
              <w:bottom w:val="single" w:sz="8" w:space="0" w:color="C7C9C7"/>
              <w:right w:val="nil"/>
            </w:tcBorders>
            <w:tcMar>
              <w:top w:w="0" w:type="dxa"/>
              <w:left w:w="53" w:type="dxa"/>
              <w:bottom w:w="0" w:type="dxa"/>
              <w:right w:w="53" w:type="dxa"/>
            </w:tcMar>
            <w:vAlign w:val="bottom"/>
          </w:tcPr>
          <w:p w14:paraId="0B6E60E2" w14:textId="77777777" w:rsidR="001614AC" w:rsidRDefault="004468F9">
            <w:pPr>
              <w:keepNext/>
              <w:spacing w:before="55" w:after="30" w:line="288" w:lineRule="auto"/>
            </w:pPr>
            <w:r>
              <w:rPr>
                <w:rFonts w:ascii="Arial" w:eastAsia="Arial" w:hAnsi="Arial" w:cs="Arial"/>
                <w:color w:val="8B8886"/>
                <w:sz w:val="16"/>
              </w:rPr>
              <w:t>(In thousands)</w:t>
            </w:r>
          </w:p>
        </w:tc>
        <w:tc>
          <w:tcPr>
            <w:tcW w:w="105" w:type="dxa"/>
            <w:tcBorders>
              <w:top w:val="single" w:sz="8" w:space="0" w:color="FFFFFF"/>
              <w:left w:val="nil"/>
              <w:bottom w:val="single" w:sz="8" w:space="0" w:color="C7C9C7"/>
              <w:right w:val="nil"/>
            </w:tcBorders>
            <w:tcMar>
              <w:top w:w="0" w:type="dxa"/>
              <w:left w:w="0" w:type="dxa"/>
              <w:bottom w:w="0" w:type="dxa"/>
              <w:right w:w="0" w:type="dxa"/>
            </w:tcMar>
            <w:vAlign w:val="bottom"/>
          </w:tcPr>
          <w:p w14:paraId="24876D29" w14:textId="77777777" w:rsidR="001614AC" w:rsidRDefault="001614AC">
            <w:pPr>
              <w:keepNext/>
            </w:pPr>
          </w:p>
        </w:tc>
        <w:tc>
          <w:tcPr>
            <w:tcW w:w="1095" w:type="dxa"/>
            <w:gridSpan w:val="3"/>
            <w:tcBorders>
              <w:top w:val="single" w:sz="8" w:space="0" w:color="FFFFFF"/>
              <w:left w:val="nil"/>
              <w:bottom w:val="single" w:sz="8" w:space="0" w:color="C7C9C7"/>
              <w:right w:val="nil"/>
            </w:tcBorders>
            <w:shd w:val="clear" w:color="auto" w:fill="F4F4F4"/>
            <w:tcMar>
              <w:top w:w="0" w:type="dxa"/>
              <w:left w:w="53" w:type="dxa"/>
              <w:bottom w:w="0" w:type="dxa"/>
              <w:right w:w="53" w:type="dxa"/>
            </w:tcMar>
            <w:vAlign w:val="bottom"/>
          </w:tcPr>
          <w:p w14:paraId="7A737410" w14:textId="77777777" w:rsidR="001614AC" w:rsidRDefault="004468F9">
            <w:pPr>
              <w:keepNext/>
              <w:spacing w:before="55" w:line="288" w:lineRule="auto"/>
              <w:jc w:val="center"/>
            </w:pPr>
            <w:r>
              <w:rPr>
                <w:rFonts w:ascii="Arial" w:eastAsia="Arial" w:hAnsi="Arial" w:cs="Arial"/>
                <w:b/>
                <w:color w:val="000000"/>
                <w:sz w:val="18"/>
              </w:rPr>
              <w:t>Amortized</w:t>
            </w:r>
          </w:p>
          <w:p w14:paraId="3A389687" w14:textId="77777777" w:rsidR="001614AC" w:rsidRDefault="004468F9">
            <w:pPr>
              <w:spacing w:after="30" w:line="288" w:lineRule="auto"/>
              <w:jc w:val="center"/>
            </w:pPr>
            <w:r>
              <w:rPr>
                <w:rFonts w:ascii="Arial" w:eastAsia="Arial" w:hAnsi="Arial" w:cs="Arial"/>
                <w:b/>
                <w:color w:val="000000"/>
                <w:sz w:val="18"/>
              </w:rPr>
              <w:t>Cost</w:t>
            </w:r>
          </w:p>
        </w:tc>
        <w:tc>
          <w:tcPr>
            <w:tcW w:w="105" w:type="dxa"/>
            <w:tcBorders>
              <w:top w:val="single" w:sz="8" w:space="0" w:color="FFFFFF"/>
              <w:left w:val="nil"/>
              <w:bottom w:val="single" w:sz="8" w:space="0" w:color="C7C9C7"/>
              <w:right w:val="nil"/>
            </w:tcBorders>
            <w:tcMar>
              <w:top w:w="0" w:type="dxa"/>
              <w:left w:w="0" w:type="dxa"/>
              <w:bottom w:w="0" w:type="dxa"/>
              <w:right w:w="0" w:type="dxa"/>
            </w:tcMar>
            <w:vAlign w:val="bottom"/>
          </w:tcPr>
          <w:p w14:paraId="27F397AE" w14:textId="77777777" w:rsidR="001614AC" w:rsidRDefault="001614AC">
            <w:pPr>
              <w:keepNext/>
            </w:pPr>
          </w:p>
        </w:tc>
        <w:tc>
          <w:tcPr>
            <w:tcW w:w="1095" w:type="dxa"/>
            <w:gridSpan w:val="3"/>
            <w:tcBorders>
              <w:top w:val="single" w:sz="8" w:space="0" w:color="FFFFFF"/>
              <w:left w:val="nil"/>
              <w:bottom w:val="single" w:sz="8" w:space="0" w:color="C7C9C7"/>
              <w:right w:val="nil"/>
            </w:tcBorders>
            <w:shd w:val="clear" w:color="auto" w:fill="F4F4F4"/>
            <w:tcMar>
              <w:top w:w="0" w:type="dxa"/>
              <w:left w:w="53" w:type="dxa"/>
              <w:bottom w:w="0" w:type="dxa"/>
              <w:right w:w="53" w:type="dxa"/>
            </w:tcMar>
            <w:vAlign w:val="bottom"/>
          </w:tcPr>
          <w:p w14:paraId="470EB17F" w14:textId="77777777" w:rsidR="001614AC" w:rsidRDefault="004468F9">
            <w:pPr>
              <w:keepNext/>
              <w:spacing w:before="55" w:after="30" w:line="288" w:lineRule="auto"/>
              <w:jc w:val="center"/>
            </w:pPr>
            <w:r>
              <w:rPr>
                <w:rFonts w:ascii="Arial" w:eastAsia="Arial" w:hAnsi="Arial" w:cs="Arial"/>
                <w:b/>
                <w:color w:val="000000"/>
                <w:sz w:val="18"/>
              </w:rPr>
              <w:t>Allowance for Credit Losses</w:t>
            </w:r>
          </w:p>
        </w:tc>
        <w:tc>
          <w:tcPr>
            <w:tcW w:w="105" w:type="dxa"/>
            <w:tcBorders>
              <w:top w:val="single" w:sz="8" w:space="0" w:color="FFFFFF"/>
              <w:left w:val="nil"/>
              <w:bottom w:val="single" w:sz="8" w:space="0" w:color="C7C9C7"/>
              <w:right w:val="nil"/>
            </w:tcBorders>
            <w:tcMar>
              <w:top w:w="0" w:type="dxa"/>
              <w:left w:w="0" w:type="dxa"/>
              <w:bottom w:w="0" w:type="dxa"/>
              <w:right w:w="0" w:type="dxa"/>
            </w:tcMar>
            <w:vAlign w:val="bottom"/>
          </w:tcPr>
          <w:p w14:paraId="19BC3353" w14:textId="77777777" w:rsidR="001614AC" w:rsidRDefault="001614AC">
            <w:pPr>
              <w:keepNext/>
            </w:pPr>
          </w:p>
        </w:tc>
        <w:tc>
          <w:tcPr>
            <w:tcW w:w="1095" w:type="dxa"/>
            <w:gridSpan w:val="3"/>
            <w:tcBorders>
              <w:top w:val="single" w:sz="8" w:space="0" w:color="FFFFFF"/>
              <w:left w:val="nil"/>
              <w:bottom w:val="single" w:sz="8" w:space="0" w:color="C7C9C7"/>
              <w:right w:val="nil"/>
            </w:tcBorders>
            <w:shd w:val="clear" w:color="auto" w:fill="F4F4F4"/>
            <w:tcMar>
              <w:top w:w="0" w:type="dxa"/>
              <w:left w:w="53" w:type="dxa"/>
              <w:bottom w:w="0" w:type="dxa"/>
              <w:right w:w="53" w:type="dxa"/>
            </w:tcMar>
            <w:vAlign w:val="bottom"/>
          </w:tcPr>
          <w:p w14:paraId="6409B6FD" w14:textId="77777777" w:rsidR="001614AC" w:rsidRDefault="004468F9">
            <w:pPr>
              <w:keepNext/>
              <w:spacing w:before="55" w:line="288" w:lineRule="auto"/>
              <w:jc w:val="center"/>
            </w:pPr>
            <w:r>
              <w:rPr>
                <w:rFonts w:ascii="Arial" w:eastAsia="Arial" w:hAnsi="Arial" w:cs="Arial"/>
                <w:b/>
                <w:color w:val="000000"/>
                <w:sz w:val="18"/>
              </w:rPr>
              <w:t>Gross</w:t>
            </w:r>
          </w:p>
          <w:p w14:paraId="63BDFED2" w14:textId="77777777" w:rsidR="001614AC" w:rsidRDefault="004468F9">
            <w:pPr>
              <w:spacing w:line="288" w:lineRule="auto"/>
              <w:jc w:val="center"/>
            </w:pPr>
            <w:r>
              <w:rPr>
                <w:rFonts w:ascii="Arial" w:eastAsia="Arial" w:hAnsi="Arial" w:cs="Arial"/>
                <w:b/>
                <w:color w:val="000000"/>
                <w:sz w:val="18"/>
              </w:rPr>
              <w:t>Unrealized</w:t>
            </w:r>
          </w:p>
          <w:p w14:paraId="0AE5A23F" w14:textId="77777777" w:rsidR="001614AC" w:rsidRDefault="004468F9">
            <w:pPr>
              <w:spacing w:after="30" w:line="288" w:lineRule="auto"/>
              <w:jc w:val="center"/>
            </w:pPr>
            <w:r>
              <w:rPr>
                <w:rFonts w:ascii="Arial" w:eastAsia="Arial" w:hAnsi="Arial" w:cs="Arial"/>
                <w:b/>
                <w:color w:val="000000"/>
                <w:sz w:val="18"/>
              </w:rPr>
              <w:t>Gains</w:t>
            </w:r>
          </w:p>
        </w:tc>
        <w:tc>
          <w:tcPr>
            <w:tcW w:w="105" w:type="dxa"/>
            <w:tcBorders>
              <w:top w:val="single" w:sz="8" w:space="0" w:color="FFFFFF"/>
              <w:left w:val="nil"/>
              <w:bottom w:val="single" w:sz="8" w:space="0" w:color="C7C9C7"/>
              <w:right w:val="nil"/>
            </w:tcBorders>
            <w:tcMar>
              <w:top w:w="0" w:type="dxa"/>
              <w:left w:w="0" w:type="dxa"/>
              <w:bottom w:w="0" w:type="dxa"/>
              <w:right w:w="0" w:type="dxa"/>
            </w:tcMar>
            <w:vAlign w:val="bottom"/>
          </w:tcPr>
          <w:p w14:paraId="268E0A34" w14:textId="77777777" w:rsidR="001614AC" w:rsidRDefault="001614AC">
            <w:pPr>
              <w:keepNext/>
            </w:pPr>
          </w:p>
        </w:tc>
        <w:tc>
          <w:tcPr>
            <w:tcW w:w="1095" w:type="dxa"/>
            <w:gridSpan w:val="3"/>
            <w:tcBorders>
              <w:top w:val="single" w:sz="8" w:space="0" w:color="FFFFFF"/>
              <w:left w:val="nil"/>
              <w:bottom w:val="single" w:sz="8" w:space="0" w:color="C7C9C7"/>
              <w:right w:val="nil"/>
            </w:tcBorders>
            <w:shd w:val="clear" w:color="auto" w:fill="F4F4F4"/>
            <w:tcMar>
              <w:top w:w="0" w:type="dxa"/>
              <w:left w:w="53" w:type="dxa"/>
              <w:bottom w:w="0" w:type="dxa"/>
              <w:right w:w="53" w:type="dxa"/>
            </w:tcMar>
            <w:vAlign w:val="bottom"/>
          </w:tcPr>
          <w:p w14:paraId="322A3306" w14:textId="77777777" w:rsidR="001614AC" w:rsidRDefault="004468F9">
            <w:pPr>
              <w:keepNext/>
              <w:spacing w:before="55" w:line="288" w:lineRule="auto"/>
              <w:jc w:val="center"/>
            </w:pPr>
            <w:r>
              <w:rPr>
                <w:rFonts w:ascii="Arial" w:eastAsia="Arial" w:hAnsi="Arial" w:cs="Arial"/>
                <w:b/>
                <w:color w:val="000000"/>
                <w:sz w:val="18"/>
              </w:rPr>
              <w:t>Gross</w:t>
            </w:r>
          </w:p>
          <w:p w14:paraId="17F4479F" w14:textId="77777777" w:rsidR="001614AC" w:rsidRDefault="004468F9">
            <w:pPr>
              <w:spacing w:line="288" w:lineRule="auto"/>
              <w:jc w:val="center"/>
            </w:pPr>
            <w:r>
              <w:rPr>
                <w:rFonts w:ascii="Arial" w:eastAsia="Arial" w:hAnsi="Arial" w:cs="Arial"/>
                <w:b/>
                <w:color w:val="000000"/>
                <w:sz w:val="18"/>
              </w:rPr>
              <w:t>Unrealized</w:t>
            </w:r>
          </w:p>
          <w:p w14:paraId="116C5B75" w14:textId="77777777" w:rsidR="001614AC" w:rsidRDefault="004468F9">
            <w:pPr>
              <w:spacing w:after="30" w:line="288" w:lineRule="auto"/>
              <w:jc w:val="center"/>
            </w:pPr>
            <w:r>
              <w:rPr>
                <w:rFonts w:ascii="Arial" w:eastAsia="Arial" w:hAnsi="Arial" w:cs="Arial"/>
                <w:b/>
                <w:color w:val="000000"/>
                <w:sz w:val="18"/>
              </w:rPr>
              <w:t>Losses</w:t>
            </w:r>
          </w:p>
        </w:tc>
        <w:tc>
          <w:tcPr>
            <w:tcW w:w="105" w:type="dxa"/>
            <w:tcBorders>
              <w:top w:val="single" w:sz="8" w:space="0" w:color="FFFFFF"/>
              <w:left w:val="nil"/>
              <w:bottom w:val="single" w:sz="8" w:space="0" w:color="C7C9C7"/>
              <w:right w:val="nil"/>
            </w:tcBorders>
            <w:tcMar>
              <w:top w:w="0" w:type="dxa"/>
              <w:left w:w="0" w:type="dxa"/>
              <w:bottom w:w="0" w:type="dxa"/>
              <w:right w:w="0" w:type="dxa"/>
            </w:tcMar>
            <w:vAlign w:val="bottom"/>
          </w:tcPr>
          <w:p w14:paraId="04FD4FEE" w14:textId="77777777" w:rsidR="001614AC" w:rsidRDefault="001614AC">
            <w:pPr>
              <w:keepNext/>
            </w:pPr>
          </w:p>
        </w:tc>
        <w:tc>
          <w:tcPr>
            <w:tcW w:w="1095" w:type="dxa"/>
            <w:gridSpan w:val="3"/>
            <w:tcBorders>
              <w:top w:val="single" w:sz="8" w:space="0" w:color="FFFFFF"/>
              <w:left w:val="nil"/>
              <w:bottom w:val="single" w:sz="8" w:space="0" w:color="C7C9C7"/>
              <w:right w:val="nil"/>
            </w:tcBorders>
            <w:shd w:val="clear" w:color="auto" w:fill="F4F4F4"/>
            <w:tcMar>
              <w:top w:w="0" w:type="dxa"/>
              <w:left w:w="53" w:type="dxa"/>
              <w:bottom w:w="0" w:type="dxa"/>
              <w:right w:w="53" w:type="dxa"/>
            </w:tcMar>
            <w:vAlign w:val="bottom"/>
          </w:tcPr>
          <w:p w14:paraId="04F00853" w14:textId="77777777" w:rsidR="001614AC" w:rsidRDefault="004468F9">
            <w:pPr>
              <w:keepNext/>
              <w:spacing w:before="55" w:after="30" w:line="288" w:lineRule="auto"/>
              <w:jc w:val="center"/>
            </w:pPr>
            <w:r>
              <w:rPr>
                <w:rFonts w:ascii="Arial" w:eastAsia="Arial" w:hAnsi="Arial" w:cs="Arial"/>
                <w:b/>
                <w:color w:val="000000"/>
                <w:sz w:val="18"/>
              </w:rPr>
              <w:t>Fair Value</w:t>
            </w:r>
          </w:p>
        </w:tc>
      </w:tr>
      <w:tr w:rsidR="001614AC" w14:paraId="5EB82D65" w14:textId="77777777">
        <w:trPr>
          <w:cantSplit/>
        </w:trPr>
        <w:tc>
          <w:tcPr>
            <w:tcW w:w="4080" w:type="dxa"/>
            <w:tcBorders>
              <w:top w:val="single" w:sz="8" w:space="0" w:color="C7C9C7"/>
              <w:left w:val="nil"/>
              <w:bottom w:val="single" w:sz="8" w:space="0" w:color="E9E9E9"/>
              <w:right w:val="nil"/>
            </w:tcBorders>
            <w:tcMar>
              <w:top w:w="0" w:type="dxa"/>
              <w:left w:w="53" w:type="dxa"/>
              <w:bottom w:w="0" w:type="dxa"/>
              <w:right w:w="53" w:type="dxa"/>
            </w:tcMar>
            <w:vAlign w:val="bottom"/>
          </w:tcPr>
          <w:p w14:paraId="3C4177E3" w14:textId="77777777" w:rsidR="001614AC" w:rsidRDefault="004468F9">
            <w:pPr>
              <w:keepNext/>
              <w:spacing w:before="55" w:after="30" w:line="288" w:lineRule="auto"/>
            </w:pPr>
            <w:r>
              <w:rPr>
                <w:rFonts w:ascii="Arial" w:eastAsia="Arial" w:hAnsi="Arial" w:cs="Arial"/>
                <w:color w:val="000000"/>
                <w:sz w:val="18"/>
              </w:rPr>
              <w:t>Fixed-maturities available for sale</w:t>
            </w:r>
          </w:p>
        </w:tc>
        <w:tc>
          <w:tcPr>
            <w:tcW w:w="105" w:type="dxa"/>
            <w:tcBorders>
              <w:top w:val="single" w:sz="8" w:space="0" w:color="C7C9C7"/>
              <w:left w:val="nil"/>
              <w:bottom w:val="nil"/>
              <w:right w:val="nil"/>
            </w:tcBorders>
            <w:tcMar>
              <w:top w:w="0" w:type="dxa"/>
              <w:left w:w="0" w:type="dxa"/>
              <w:bottom w:w="0" w:type="dxa"/>
              <w:right w:w="0" w:type="dxa"/>
            </w:tcMar>
            <w:vAlign w:val="bottom"/>
          </w:tcPr>
          <w:p w14:paraId="36A108F8" w14:textId="77777777" w:rsidR="001614AC" w:rsidRDefault="001614AC">
            <w:pPr>
              <w:keepNext/>
            </w:pPr>
          </w:p>
        </w:tc>
        <w:tc>
          <w:tcPr>
            <w:tcW w:w="1095" w:type="dxa"/>
            <w:gridSpan w:val="3"/>
            <w:tcBorders>
              <w:top w:val="single" w:sz="8" w:space="0" w:color="C7C9C7"/>
              <w:left w:val="nil"/>
              <w:bottom w:val="single" w:sz="8" w:space="0" w:color="E9E9E9"/>
              <w:right w:val="nil"/>
            </w:tcBorders>
            <w:tcMar>
              <w:top w:w="0" w:type="dxa"/>
              <w:left w:w="0" w:type="dxa"/>
              <w:bottom w:w="0" w:type="dxa"/>
              <w:right w:w="0" w:type="dxa"/>
            </w:tcMar>
            <w:vAlign w:val="bottom"/>
          </w:tcPr>
          <w:p w14:paraId="5AE1F333" w14:textId="77777777" w:rsidR="001614AC" w:rsidRDefault="001614AC">
            <w:pPr>
              <w:keepNext/>
            </w:pPr>
          </w:p>
        </w:tc>
        <w:tc>
          <w:tcPr>
            <w:tcW w:w="105" w:type="dxa"/>
            <w:tcBorders>
              <w:top w:val="single" w:sz="8" w:space="0" w:color="C7C9C7"/>
              <w:left w:val="nil"/>
              <w:bottom w:val="nil"/>
              <w:right w:val="nil"/>
            </w:tcBorders>
            <w:tcMar>
              <w:top w:w="0" w:type="dxa"/>
              <w:left w:w="0" w:type="dxa"/>
              <w:bottom w:w="0" w:type="dxa"/>
              <w:right w:w="0" w:type="dxa"/>
            </w:tcMar>
            <w:vAlign w:val="bottom"/>
          </w:tcPr>
          <w:p w14:paraId="293BD4F4" w14:textId="77777777" w:rsidR="001614AC" w:rsidRDefault="001614AC">
            <w:pPr>
              <w:keepNext/>
            </w:pPr>
          </w:p>
        </w:tc>
        <w:tc>
          <w:tcPr>
            <w:tcW w:w="1095" w:type="dxa"/>
            <w:gridSpan w:val="3"/>
            <w:tcBorders>
              <w:top w:val="single" w:sz="8" w:space="0" w:color="C7C9C7"/>
              <w:left w:val="nil"/>
              <w:bottom w:val="single" w:sz="8" w:space="0" w:color="E9E9E9"/>
              <w:right w:val="nil"/>
            </w:tcBorders>
            <w:tcMar>
              <w:top w:w="0" w:type="dxa"/>
              <w:left w:w="0" w:type="dxa"/>
              <w:bottom w:w="0" w:type="dxa"/>
              <w:right w:w="0" w:type="dxa"/>
            </w:tcMar>
            <w:vAlign w:val="bottom"/>
          </w:tcPr>
          <w:p w14:paraId="77655DEB" w14:textId="77777777" w:rsidR="001614AC" w:rsidRDefault="001614AC">
            <w:pPr>
              <w:keepNext/>
            </w:pPr>
          </w:p>
        </w:tc>
        <w:tc>
          <w:tcPr>
            <w:tcW w:w="105" w:type="dxa"/>
            <w:tcBorders>
              <w:top w:val="single" w:sz="8" w:space="0" w:color="C7C9C7"/>
              <w:left w:val="nil"/>
              <w:bottom w:val="nil"/>
              <w:right w:val="nil"/>
            </w:tcBorders>
            <w:tcMar>
              <w:top w:w="0" w:type="dxa"/>
              <w:left w:w="0" w:type="dxa"/>
              <w:bottom w:w="0" w:type="dxa"/>
              <w:right w:w="0" w:type="dxa"/>
            </w:tcMar>
            <w:vAlign w:val="bottom"/>
          </w:tcPr>
          <w:p w14:paraId="06D0F2F1" w14:textId="77777777" w:rsidR="001614AC" w:rsidRDefault="001614AC">
            <w:pPr>
              <w:keepNext/>
            </w:pPr>
          </w:p>
        </w:tc>
        <w:tc>
          <w:tcPr>
            <w:tcW w:w="1095" w:type="dxa"/>
            <w:gridSpan w:val="3"/>
            <w:tcBorders>
              <w:top w:val="single" w:sz="8" w:space="0" w:color="C7C9C7"/>
              <w:left w:val="nil"/>
              <w:bottom w:val="single" w:sz="8" w:space="0" w:color="E9E9E9"/>
              <w:right w:val="nil"/>
            </w:tcBorders>
            <w:tcMar>
              <w:top w:w="0" w:type="dxa"/>
              <w:left w:w="0" w:type="dxa"/>
              <w:bottom w:w="0" w:type="dxa"/>
              <w:right w:w="0" w:type="dxa"/>
            </w:tcMar>
            <w:vAlign w:val="bottom"/>
          </w:tcPr>
          <w:p w14:paraId="1904B0B0" w14:textId="77777777" w:rsidR="001614AC" w:rsidRDefault="001614AC">
            <w:pPr>
              <w:keepNext/>
            </w:pPr>
          </w:p>
        </w:tc>
        <w:tc>
          <w:tcPr>
            <w:tcW w:w="105" w:type="dxa"/>
            <w:tcBorders>
              <w:top w:val="single" w:sz="8" w:space="0" w:color="C7C9C7"/>
              <w:left w:val="nil"/>
              <w:bottom w:val="nil"/>
              <w:right w:val="nil"/>
            </w:tcBorders>
            <w:tcMar>
              <w:top w:w="0" w:type="dxa"/>
              <w:left w:w="0" w:type="dxa"/>
              <w:bottom w:w="0" w:type="dxa"/>
              <w:right w:w="0" w:type="dxa"/>
            </w:tcMar>
            <w:vAlign w:val="bottom"/>
          </w:tcPr>
          <w:p w14:paraId="63FB1F0F" w14:textId="77777777" w:rsidR="001614AC" w:rsidRDefault="001614AC">
            <w:pPr>
              <w:keepNext/>
            </w:pPr>
          </w:p>
        </w:tc>
        <w:tc>
          <w:tcPr>
            <w:tcW w:w="1095" w:type="dxa"/>
            <w:gridSpan w:val="3"/>
            <w:tcBorders>
              <w:top w:val="single" w:sz="8" w:space="0" w:color="C7C9C7"/>
              <w:left w:val="nil"/>
              <w:bottom w:val="single" w:sz="8" w:space="0" w:color="E9E9E9"/>
              <w:right w:val="nil"/>
            </w:tcBorders>
            <w:tcMar>
              <w:top w:w="0" w:type="dxa"/>
              <w:left w:w="0" w:type="dxa"/>
              <w:bottom w:w="0" w:type="dxa"/>
              <w:right w:w="0" w:type="dxa"/>
            </w:tcMar>
            <w:vAlign w:val="bottom"/>
          </w:tcPr>
          <w:p w14:paraId="33E37B76" w14:textId="77777777" w:rsidR="001614AC" w:rsidRDefault="001614AC">
            <w:pPr>
              <w:keepNext/>
            </w:pPr>
          </w:p>
        </w:tc>
        <w:tc>
          <w:tcPr>
            <w:tcW w:w="105" w:type="dxa"/>
            <w:tcBorders>
              <w:top w:val="single" w:sz="8" w:space="0" w:color="C7C9C7"/>
              <w:left w:val="nil"/>
              <w:bottom w:val="nil"/>
              <w:right w:val="nil"/>
            </w:tcBorders>
            <w:tcMar>
              <w:top w:w="0" w:type="dxa"/>
              <w:left w:w="0" w:type="dxa"/>
              <w:bottom w:w="0" w:type="dxa"/>
              <w:right w:w="0" w:type="dxa"/>
            </w:tcMar>
            <w:vAlign w:val="bottom"/>
          </w:tcPr>
          <w:p w14:paraId="39041EC1" w14:textId="77777777" w:rsidR="001614AC" w:rsidRDefault="001614AC">
            <w:pPr>
              <w:keepNext/>
            </w:pPr>
          </w:p>
        </w:tc>
        <w:tc>
          <w:tcPr>
            <w:tcW w:w="1095" w:type="dxa"/>
            <w:gridSpan w:val="3"/>
            <w:tcBorders>
              <w:top w:val="single" w:sz="8" w:space="0" w:color="C7C9C7"/>
              <w:left w:val="nil"/>
              <w:bottom w:val="single" w:sz="8" w:space="0" w:color="E9E9E9"/>
              <w:right w:val="nil"/>
            </w:tcBorders>
            <w:tcMar>
              <w:top w:w="0" w:type="dxa"/>
              <w:left w:w="0" w:type="dxa"/>
              <w:bottom w:w="0" w:type="dxa"/>
              <w:right w:w="0" w:type="dxa"/>
            </w:tcMar>
            <w:vAlign w:val="bottom"/>
          </w:tcPr>
          <w:p w14:paraId="6E1CB77D" w14:textId="77777777" w:rsidR="001614AC" w:rsidRDefault="001614AC">
            <w:pPr>
              <w:keepNext/>
            </w:pPr>
          </w:p>
        </w:tc>
      </w:tr>
      <w:tr w:rsidR="001614AC" w14:paraId="0CD33A99" w14:textId="77777777">
        <w:trPr>
          <w:cantSplit/>
        </w:trPr>
        <w:tc>
          <w:tcPr>
            <w:tcW w:w="4080" w:type="dxa"/>
            <w:tcBorders>
              <w:top w:val="single" w:sz="8" w:space="0" w:color="E9E9E9"/>
              <w:left w:val="nil"/>
              <w:bottom w:val="single" w:sz="8" w:space="0" w:color="E9E9E9"/>
              <w:right w:val="nil"/>
            </w:tcBorders>
            <w:tcMar>
              <w:top w:w="0" w:type="dxa"/>
              <w:left w:w="53" w:type="dxa"/>
              <w:bottom w:w="0" w:type="dxa"/>
              <w:right w:w="53" w:type="dxa"/>
            </w:tcMar>
            <w:vAlign w:val="bottom"/>
          </w:tcPr>
          <w:p w14:paraId="5AB2669D" w14:textId="77777777" w:rsidR="001614AC" w:rsidRDefault="004468F9">
            <w:pPr>
              <w:keepNext/>
              <w:spacing w:before="55" w:after="30" w:line="288" w:lineRule="auto"/>
              <w:ind w:left="240"/>
            </w:pPr>
            <w:r>
              <w:rPr>
                <w:rFonts w:ascii="Arial" w:eastAsia="Arial" w:hAnsi="Arial" w:cs="Arial"/>
                <w:color w:val="000000"/>
                <w:sz w:val="18"/>
              </w:rPr>
              <w:t>U.S. government and agency securities</w:t>
            </w:r>
          </w:p>
        </w:tc>
        <w:tc>
          <w:tcPr>
            <w:tcW w:w="105" w:type="dxa"/>
            <w:tcBorders>
              <w:top w:val="nil"/>
              <w:left w:val="nil"/>
              <w:bottom w:val="nil"/>
              <w:right w:val="nil"/>
            </w:tcBorders>
            <w:tcMar>
              <w:top w:w="0" w:type="dxa"/>
              <w:left w:w="0" w:type="dxa"/>
              <w:bottom w:w="0" w:type="dxa"/>
              <w:right w:w="0" w:type="dxa"/>
            </w:tcMar>
            <w:vAlign w:val="bottom"/>
          </w:tcPr>
          <w:p w14:paraId="09177698" w14:textId="77777777" w:rsidR="001614AC" w:rsidRDefault="001614AC">
            <w:pPr>
              <w:keepNext/>
            </w:pPr>
          </w:p>
        </w:tc>
        <w:tc>
          <w:tcPr>
            <w:tcW w:w="160" w:type="dxa"/>
            <w:tcBorders>
              <w:top w:val="single" w:sz="8" w:space="0" w:color="E9E9E9"/>
              <w:left w:val="nil"/>
              <w:bottom w:val="single" w:sz="8" w:space="0" w:color="E9E9E9"/>
              <w:right w:val="nil"/>
            </w:tcBorders>
            <w:tcMar>
              <w:top w:w="0" w:type="dxa"/>
              <w:left w:w="53" w:type="dxa"/>
              <w:bottom w:w="0" w:type="dxa"/>
              <w:right w:w="0" w:type="dxa"/>
            </w:tcMar>
            <w:vAlign w:val="bottom"/>
          </w:tcPr>
          <w:p w14:paraId="642D6BB9" w14:textId="77777777" w:rsidR="001614AC" w:rsidRDefault="004468F9">
            <w:pPr>
              <w:keepNext/>
              <w:spacing w:before="55" w:after="30" w:line="288" w:lineRule="auto"/>
            </w:pPr>
            <w:r>
              <w:rPr>
                <w:rFonts w:ascii="Arial" w:eastAsia="Arial" w:hAnsi="Arial" w:cs="Arial"/>
                <w:color w:val="000000"/>
                <w:sz w:val="18"/>
              </w:rPr>
              <w:t>$</w:t>
            </w:r>
          </w:p>
        </w:tc>
        <w:tc>
          <w:tcPr>
            <w:tcW w:w="835" w:type="dxa"/>
            <w:tcBorders>
              <w:top w:val="single" w:sz="8" w:space="0" w:color="E9E9E9"/>
              <w:left w:val="nil"/>
              <w:bottom w:val="single" w:sz="8" w:space="0" w:color="E9E9E9"/>
              <w:right w:val="nil"/>
            </w:tcBorders>
            <w:tcMar>
              <w:top w:w="0" w:type="dxa"/>
              <w:left w:w="0" w:type="dxa"/>
              <w:bottom w:w="0" w:type="dxa"/>
              <w:right w:w="0" w:type="dxa"/>
            </w:tcMar>
            <w:vAlign w:val="bottom"/>
          </w:tcPr>
          <w:p w14:paraId="3D8A957D" w14:textId="77777777" w:rsidR="001614AC" w:rsidRDefault="004468F9">
            <w:pPr>
              <w:keepNext/>
              <w:spacing w:before="55" w:after="30" w:line="288" w:lineRule="auto"/>
              <w:jc w:val="right"/>
            </w:pPr>
            <w:r>
              <w:rPr>
                <w:rFonts w:ascii="Arial" w:eastAsia="Arial" w:hAnsi="Arial" w:cs="Arial"/>
                <w:color w:val="000000"/>
                <w:sz w:val="18"/>
              </w:rPr>
              <w:t>213,954 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0895AADD" w14:textId="77777777" w:rsidR="001614AC" w:rsidRDefault="001614AC">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70C89A94" w14:textId="77777777" w:rsidR="001614AC" w:rsidRDefault="001614AC">
            <w:pPr>
              <w:keepNext/>
            </w:pPr>
          </w:p>
        </w:tc>
        <w:tc>
          <w:tcPr>
            <w:tcW w:w="160" w:type="dxa"/>
            <w:tcBorders>
              <w:top w:val="single" w:sz="8" w:space="0" w:color="E9E9E9"/>
              <w:left w:val="nil"/>
              <w:bottom w:val="single" w:sz="8" w:space="0" w:color="E9E9E9"/>
              <w:right w:val="nil"/>
            </w:tcBorders>
            <w:tcMar>
              <w:top w:w="0" w:type="dxa"/>
              <w:left w:w="53" w:type="dxa"/>
              <w:bottom w:w="0" w:type="dxa"/>
              <w:right w:w="0" w:type="dxa"/>
            </w:tcMar>
            <w:vAlign w:val="bottom"/>
          </w:tcPr>
          <w:p w14:paraId="5ADF05BE" w14:textId="77777777" w:rsidR="001614AC" w:rsidRDefault="004468F9">
            <w:pPr>
              <w:keepNext/>
              <w:spacing w:before="55" w:after="30" w:line="288" w:lineRule="auto"/>
            </w:pPr>
            <w:r>
              <w:rPr>
                <w:rFonts w:ascii="Arial" w:eastAsia="Arial" w:hAnsi="Arial" w:cs="Arial"/>
                <w:color w:val="000000"/>
                <w:sz w:val="18"/>
              </w:rPr>
              <w:t>$</w:t>
            </w:r>
          </w:p>
        </w:tc>
        <w:tc>
          <w:tcPr>
            <w:tcW w:w="835" w:type="dxa"/>
            <w:tcBorders>
              <w:top w:val="single" w:sz="8" w:space="0" w:color="E9E9E9"/>
              <w:left w:val="nil"/>
              <w:bottom w:val="single" w:sz="8" w:space="0" w:color="E9E9E9"/>
              <w:right w:val="nil"/>
            </w:tcBorders>
            <w:tcMar>
              <w:top w:w="0" w:type="dxa"/>
              <w:left w:w="0" w:type="dxa"/>
              <w:bottom w:w="0" w:type="dxa"/>
              <w:right w:w="0" w:type="dxa"/>
            </w:tcMar>
            <w:vAlign w:val="bottom"/>
          </w:tcPr>
          <w:p w14:paraId="38EC2C1B" w14:textId="77777777" w:rsidR="001614AC" w:rsidRDefault="004468F9">
            <w:pPr>
              <w:keepNext/>
              <w:spacing w:before="55" w:after="30" w:line="288" w:lineRule="auto"/>
              <w:jc w:val="right"/>
            </w:pPr>
            <w:r>
              <w:rPr>
                <w:rFonts w:ascii="Arial" w:eastAsia="Arial" w:hAnsi="Arial" w:cs="Arial"/>
                <w:color w:val="000000"/>
                <w:sz w:val="18"/>
              </w:rPr>
              <w:t>—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5764D8BB" w14:textId="77777777" w:rsidR="001614AC" w:rsidRDefault="001614AC">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52DB5E5E" w14:textId="77777777" w:rsidR="001614AC" w:rsidRDefault="001614AC">
            <w:pPr>
              <w:keepNext/>
            </w:pPr>
          </w:p>
        </w:tc>
        <w:tc>
          <w:tcPr>
            <w:tcW w:w="160" w:type="dxa"/>
            <w:tcBorders>
              <w:top w:val="single" w:sz="8" w:space="0" w:color="E9E9E9"/>
              <w:left w:val="nil"/>
              <w:bottom w:val="single" w:sz="8" w:space="0" w:color="E9E9E9"/>
              <w:right w:val="nil"/>
            </w:tcBorders>
            <w:tcMar>
              <w:top w:w="0" w:type="dxa"/>
              <w:left w:w="53" w:type="dxa"/>
              <w:bottom w:w="0" w:type="dxa"/>
              <w:right w:w="0" w:type="dxa"/>
            </w:tcMar>
            <w:vAlign w:val="bottom"/>
          </w:tcPr>
          <w:p w14:paraId="44C00D39" w14:textId="77777777" w:rsidR="001614AC" w:rsidRDefault="004468F9">
            <w:pPr>
              <w:keepNext/>
              <w:spacing w:before="55" w:after="30" w:line="288" w:lineRule="auto"/>
            </w:pPr>
            <w:r>
              <w:rPr>
                <w:rFonts w:ascii="Arial" w:eastAsia="Arial" w:hAnsi="Arial" w:cs="Arial"/>
                <w:color w:val="000000"/>
                <w:sz w:val="18"/>
              </w:rPr>
              <w:t>$</w:t>
            </w:r>
          </w:p>
        </w:tc>
        <w:tc>
          <w:tcPr>
            <w:tcW w:w="835" w:type="dxa"/>
            <w:tcBorders>
              <w:top w:val="single" w:sz="8" w:space="0" w:color="E9E9E9"/>
              <w:left w:val="nil"/>
              <w:bottom w:val="single" w:sz="8" w:space="0" w:color="E9E9E9"/>
              <w:right w:val="nil"/>
            </w:tcBorders>
            <w:tcMar>
              <w:top w:w="0" w:type="dxa"/>
              <w:left w:w="0" w:type="dxa"/>
              <w:bottom w:w="0" w:type="dxa"/>
              <w:right w:w="0" w:type="dxa"/>
            </w:tcMar>
            <w:vAlign w:val="bottom"/>
          </w:tcPr>
          <w:p w14:paraId="16C80BB7" w14:textId="77777777" w:rsidR="001614AC" w:rsidRDefault="004468F9">
            <w:pPr>
              <w:keepNext/>
              <w:spacing w:before="55" w:after="30" w:line="288" w:lineRule="auto"/>
              <w:jc w:val="right"/>
            </w:pPr>
            <w:r>
              <w:rPr>
                <w:rFonts w:ascii="Arial" w:eastAsia="Arial" w:hAnsi="Arial" w:cs="Arial"/>
                <w:color w:val="000000"/>
                <w:sz w:val="18"/>
              </w:rPr>
              <w:t>1,161 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13763450" w14:textId="77777777" w:rsidR="001614AC" w:rsidRDefault="001614AC">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38C1A9D2" w14:textId="77777777" w:rsidR="001614AC" w:rsidRDefault="001614AC">
            <w:pPr>
              <w:keepNext/>
            </w:pPr>
          </w:p>
        </w:tc>
        <w:tc>
          <w:tcPr>
            <w:tcW w:w="160" w:type="dxa"/>
            <w:tcBorders>
              <w:top w:val="single" w:sz="8" w:space="0" w:color="E9E9E9"/>
              <w:left w:val="nil"/>
              <w:bottom w:val="single" w:sz="8" w:space="0" w:color="E9E9E9"/>
              <w:right w:val="nil"/>
            </w:tcBorders>
            <w:tcMar>
              <w:top w:w="0" w:type="dxa"/>
              <w:left w:w="53" w:type="dxa"/>
              <w:bottom w:w="0" w:type="dxa"/>
              <w:right w:w="0" w:type="dxa"/>
            </w:tcMar>
            <w:vAlign w:val="bottom"/>
          </w:tcPr>
          <w:p w14:paraId="789C9F13" w14:textId="77777777" w:rsidR="001614AC" w:rsidRDefault="004468F9">
            <w:pPr>
              <w:keepNext/>
              <w:spacing w:before="55" w:after="30" w:line="288" w:lineRule="auto"/>
            </w:pPr>
            <w:r>
              <w:rPr>
                <w:rFonts w:ascii="Arial" w:eastAsia="Arial" w:hAnsi="Arial" w:cs="Arial"/>
                <w:color w:val="000000"/>
                <w:sz w:val="18"/>
              </w:rPr>
              <w:t>$</w:t>
            </w:r>
          </w:p>
        </w:tc>
        <w:tc>
          <w:tcPr>
            <w:tcW w:w="835" w:type="dxa"/>
            <w:tcBorders>
              <w:top w:val="single" w:sz="8" w:space="0" w:color="E9E9E9"/>
              <w:left w:val="nil"/>
              <w:bottom w:val="single" w:sz="8" w:space="0" w:color="E9E9E9"/>
              <w:right w:val="nil"/>
            </w:tcBorders>
            <w:tcMar>
              <w:top w:w="0" w:type="dxa"/>
              <w:left w:w="0" w:type="dxa"/>
              <w:bottom w:w="0" w:type="dxa"/>
              <w:right w:w="0" w:type="dxa"/>
            </w:tcMar>
            <w:vAlign w:val="bottom"/>
          </w:tcPr>
          <w:p w14:paraId="2B8F882D" w14:textId="77777777" w:rsidR="001614AC" w:rsidRDefault="004468F9">
            <w:pPr>
              <w:keepNext/>
              <w:spacing w:before="55" w:after="30" w:line="288" w:lineRule="auto"/>
              <w:jc w:val="right"/>
            </w:pPr>
            <w:r>
              <w:rPr>
                <w:rFonts w:ascii="Arial" w:eastAsia="Arial" w:hAnsi="Arial" w:cs="Arial"/>
                <w:color w:val="000000"/>
                <w:sz w:val="18"/>
              </w:rPr>
              <w:t>(902)</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3C67EBF5" w14:textId="77777777" w:rsidR="001614AC" w:rsidRDefault="001614AC">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79D3E606" w14:textId="77777777" w:rsidR="001614AC" w:rsidRDefault="001614AC">
            <w:pPr>
              <w:keepNext/>
            </w:pPr>
          </w:p>
        </w:tc>
        <w:tc>
          <w:tcPr>
            <w:tcW w:w="160" w:type="dxa"/>
            <w:tcBorders>
              <w:top w:val="single" w:sz="8" w:space="0" w:color="E9E9E9"/>
              <w:left w:val="nil"/>
              <w:bottom w:val="single" w:sz="8" w:space="0" w:color="E9E9E9"/>
              <w:right w:val="nil"/>
            </w:tcBorders>
            <w:tcMar>
              <w:top w:w="0" w:type="dxa"/>
              <w:left w:w="53" w:type="dxa"/>
              <w:bottom w:w="0" w:type="dxa"/>
              <w:right w:w="0" w:type="dxa"/>
            </w:tcMar>
            <w:vAlign w:val="bottom"/>
          </w:tcPr>
          <w:p w14:paraId="512C7415" w14:textId="77777777" w:rsidR="001614AC" w:rsidRDefault="004468F9">
            <w:pPr>
              <w:keepNext/>
              <w:spacing w:before="55" w:after="30" w:line="288" w:lineRule="auto"/>
            </w:pPr>
            <w:r>
              <w:rPr>
                <w:rFonts w:ascii="Arial" w:eastAsia="Arial" w:hAnsi="Arial" w:cs="Arial"/>
                <w:color w:val="000000"/>
                <w:sz w:val="18"/>
              </w:rPr>
              <w:t>$</w:t>
            </w:r>
          </w:p>
        </w:tc>
        <w:tc>
          <w:tcPr>
            <w:tcW w:w="835" w:type="dxa"/>
            <w:tcBorders>
              <w:top w:val="single" w:sz="8" w:space="0" w:color="E9E9E9"/>
              <w:left w:val="nil"/>
              <w:bottom w:val="single" w:sz="8" w:space="0" w:color="E9E9E9"/>
              <w:right w:val="nil"/>
            </w:tcBorders>
            <w:tcMar>
              <w:top w:w="0" w:type="dxa"/>
              <w:left w:w="0" w:type="dxa"/>
              <w:bottom w:w="0" w:type="dxa"/>
              <w:right w:w="0" w:type="dxa"/>
            </w:tcMar>
            <w:vAlign w:val="bottom"/>
          </w:tcPr>
          <w:p w14:paraId="316E25DE" w14:textId="77777777" w:rsidR="001614AC" w:rsidRDefault="004468F9">
            <w:pPr>
              <w:keepNext/>
              <w:spacing w:before="55" w:after="30" w:line="288" w:lineRule="auto"/>
              <w:jc w:val="right"/>
            </w:pPr>
            <w:r>
              <w:rPr>
                <w:rFonts w:ascii="Arial" w:eastAsia="Arial" w:hAnsi="Arial" w:cs="Arial"/>
                <w:color w:val="000000"/>
                <w:sz w:val="18"/>
              </w:rPr>
              <w:t>214,213 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69AF8020" w14:textId="77777777" w:rsidR="001614AC" w:rsidRDefault="001614AC">
            <w:pPr>
              <w:keepNext/>
              <w:spacing w:before="55" w:after="30" w:line="288" w:lineRule="auto"/>
              <w:jc w:val="right"/>
            </w:pPr>
          </w:p>
        </w:tc>
      </w:tr>
      <w:tr w:rsidR="001614AC" w14:paraId="2E78ECFA" w14:textId="77777777">
        <w:trPr>
          <w:cantSplit/>
        </w:trPr>
        <w:tc>
          <w:tcPr>
            <w:tcW w:w="4080" w:type="dxa"/>
            <w:tcBorders>
              <w:top w:val="single" w:sz="8" w:space="0" w:color="E9E9E9"/>
              <w:left w:val="nil"/>
              <w:bottom w:val="single" w:sz="8" w:space="0" w:color="E9E9E9"/>
              <w:right w:val="nil"/>
            </w:tcBorders>
            <w:tcMar>
              <w:top w:w="0" w:type="dxa"/>
              <w:left w:w="53" w:type="dxa"/>
              <w:bottom w:w="0" w:type="dxa"/>
              <w:right w:w="53" w:type="dxa"/>
            </w:tcMar>
            <w:vAlign w:val="bottom"/>
          </w:tcPr>
          <w:p w14:paraId="1E7BB36F" w14:textId="77777777" w:rsidR="001614AC" w:rsidRDefault="004468F9">
            <w:pPr>
              <w:keepNext/>
              <w:spacing w:before="55" w:after="30" w:line="288" w:lineRule="auto"/>
              <w:ind w:left="240"/>
            </w:pPr>
            <w:r>
              <w:rPr>
                <w:rFonts w:ascii="Arial" w:eastAsia="Arial" w:hAnsi="Arial" w:cs="Arial"/>
                <w:color w:val="000000"/>
                <w:sz w:val="18"/>
              </w:rPr>
              <w:t>State and m</w:t>
            </w:r>
            <w:r>
              <w:rPr>
                <w:rFonts w:ascii="Arial" w:eastAsia="Arial" w:hAnsi="Arial" w:cs="Arial"/>
                <w:color w:val="000000"/>
                <w:sz w:val="18"/>
              </w:rPr>
              <w:t>unicipal obligations</w:t>
            </w:r>
          </w:p>
        </w:tc>
        <w:tc>
          <w:tcPr>
            <w:tcW w:w="105" w:type="dxa"/>
            <w:tcBorders>
              <w:top w:val="nil"/>
              <w:left w:val="nil"/>
              <w:bottom w:val="nil"/>
              <w:right w:val="nil"/>
            </w:tcBorders>
            <w:tcMar>
              <w:top w:w="0" w:type="dxa"/>
              <w:left w:w="0" w:type="dxa"/>
              <w:bottom w:w="0" w:type="dxa"/>
              <w:right w:w="0" w:type="dxa"/>
            </w:tcMar>
            <w:vAlign w:val="bottom"/>
          </w:tcPr>
          <w:p w14:paraId="0A9F777A" w14:textId="77777777" w:rsidR="001614AC" w:rsidRDefault="001614AC">
            <w:pPr>
              <w:keepNext/>
            </w:pPr>
          </w:p>
        </w:tc>
        <w:tc>
          <w:tcPr>
            <w:tcW w:w="99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22B7481B" w14:textId="77777777" w:rsidR="001614AC" w:rsidRDefault="004468F9">
            <w:pPr>
              <w:keepNext/>
              <w:spacing w:before="55" w:after="30" w:line="288" w:lineRule="auto"/>
              <w:jc w:val="right"/>
            </w:pPr>
            <w:r>
              <w:rPr>
                <w:rFonts w:ascii="Arial" w:eastAsia="Arial" w:hAnsi="Arial" w:cs="Arial"/>
                <w:color w:val="000000"/>
                <w:sz w:val="18"/>
              </w:rPr>
              <w:t>141,431 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6C5603E8" w14:textId="77777777" w:rsidR="001614AC" w:rsidRDefault="001614AC">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3AE0BBCA" w14:textId="77777777" w:rsidR="001614AC" w:rsidRDefault="001614AC">
            <w:pPr>
              <w:keepNext/>
            </w:pPr>
          </w:p>
        </w:tc>
        <w:tc>
          <w:tcPr>
            <w:tcW w:w="99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5A910C6C" w14:textId="77777777" w:rsidR="001614AC" w:rsidRDefault="004468F9">
            <w:pPr>
              <w:keepNext/>
              <w:spacing w:before="55" w:after="30" w:line="288" w:lineRule="auto"/>
              <w:jc w:val="right"/>
            </w:pPr>
            <w:r>
              <w:rPr>
                <w:rFonts w:ascii="Arial" w:eastAsia="Arial" w:hAnsi="Arial" w:cs="Arial"/>
                <w:color w:val="000000"/>
                <w:sz w:val="18"/>
              </w:rPr>
              <w:t>—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0996757D" w14:textId="77777777" w:rsidR="001614AC" w:rsidRDefault="001614AC">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6C25DF40" w14:textId="77777777" w:rsidR="001614AC" w:rsidRDefault="001614AC">
            <w:pPr>
              <w:keepNext/>
            </w:pPr>
          </w:p>
        </w:tc>
        <w:tc>
          <w:tcPr>
            <w:tcW w:w="99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03F285DA" w14:textId="77777777" w:rsidR="001614AC" w:rsidRDefault="004468F9">
            <w:pPr>
              <w:keepNext/>
              <w:spacing w:before="55" w:after="30" w:line="288" w:lineRule="auto"/>
              <w:jc w:val="right"/>
            </w:pPr>
            <w:r>
              <w:rPr>
                <w:rFonts w:ascii="Arial" w:eastAsia="Arial" w:hAnsi="Arial" w:cs="Arial"/>
                <w:color w:val="000000"/>
                <w:sz w:val="18"/>
              </w:rPr>
              <w:t>16,635 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0A05A961" w14:textId="77777777" w:rsidR="001614AC" w:rsidRDefault="001614AC">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163FB606" w14:textId="77777777" w:rsidR="001614AC" w:rsidRDefault="001614AC">
            <w:pPr>
              <w:keepNext/>
            </w:pPr>
          </w:p>
        </w:tc>
        <w:tc>
          <w:tcPr>
            <w:tcW w:w="99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2536B81B" w14:textId="77777777" w:rsidR="001614AC" w:rsidRDefault="004468F9">
            <w:pPr>
              <w:keepNext/>
              <w:spacing w:before="55" w:after="30" w:line="288" w:lineRule="auto"/>
              <w:jc w:val="right"/>
            </w:pPr>
            <w:r>
              <w:rPr>
                <w:rFonts w:ascii="Arial" w:eastAsia="Arial" w:hAnsi="Arial" w:cs="Arial"/>
                <w:color w:val="000000"/>
                <w:sz w:val="18"/>
              </w:rPr>
              <w:t>(122)</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3F41B8ED" w14:textId="77777777" w:rsidR="001614AC" w:rsidRDefault="001614AC">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5760431F" w14:textId="77777777" w:rsidR="001614AC" w:rsidRDefault="001614AC">
            <w:pPr>
              <w:keepNext/>
            </w:pPr>
          </w:p>
        </w:tc>
        <w:tc>
          <w:tcPr>
            <w:tcW w:w="99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22FBF31A" w14:textId="77777777" w:rsidR="001614AC" w:rsidRDefault="004468F9">
            <w:pPr>
              <w:keepNext/>
              <w:spacing w:before="55" w:after="30" w:line="288" w:lineRule="auto"/>
              <w:jc w:val="right"/>
            </w:pPr>
            <w:r>
              <w:rPr>
                <w:rFonts w:ascii="Arial" w:eastAsia="Arial" w:hAnsi="Arial" w:cs="Arial"/>
                <w:color w:val="000000"/>
                <w:sz w:val="18"/>
              </w:rPr>
              <w:t>157,944 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36A9E312" w14:textId="77777777" w:rsidR="001614AC" w:rsidRDefault="001614AC">
            <w:pPr>
              <w:keepNext/>
              <w:spacing w:before="55" w:after="30" w:line="288" w:lineRule="auto"/>
              <w:jc w:val="right"/>
            </w:pPr>
          </w:p>
        </w:tc>
      </w:tr>
      <w:tr w:rsidR="001614AC" w14:paraId="5EDB3B90" w14:textId="77777777">
        <w:trPr>
          <w:cantSplit/>
        </w:trPr>
        <w:tc>
          <w:tcPr>
            <w:tcW w:w="4080" w:type="dxa"/>
            <w:tcBorders>
              <w:top w:val="single" w:sz="8" w:space="0" w:color="E9E9E9"/>
              <w:left w:val="nil"/>
              <w:bottom w:val="single" w:sz="8" w:space="0" w:color="E9E9E9"/>
              <w:right w:val="nil"/>
            </w:tcBorders>
            <w:tcMar>
              <w:top w:w="0" w:type="dxa"/>
              <w:left w:w="53" w:type="dxa"/>
              <w:bottom w:w="0" w:type="dxa"/>
              <w:right w:w="53" w:type="dxa"/>
            </w:tcMar>
            <w:vAlign w:val="bottom"/>
          </w:tcPr>
          <w:p w14:paraId="7027F893" w14:textId="77777777" w:rsidR="001614AC" w:rsidRDefault="004468F9">
            <w:pPr>
              <w:keepNext/>
              <w:spacing w:before="55" w:after="30" w:line="288" w:lineRule="auto"/>
              <w:ind w:left="240"/>
            </w:pPr>
            <w:r>
              <w:rPr>
                <w:rFonts w:ascii="Arial" w:eastAsia="Arial" w:hAnsi="Arial" w:cs="Arial"/>
                <w:color w:val="000000"/>
                <w:sz w:val="18"/>
              </w:rPr>
              <w:t>Corporate bonds and notes</w:t>
            </w:r>
          </w:p>
        </w:tc>
        <w:tc>
          <w:tcPr>
            <w:tcW w:w="105" w:type="dxa"/>
            <w:tcBorders>
              <w:top w:val="nil"/>
              <w:left w:val="nil"/>
              <w:bottom w:val="nil"/>
              <w:right w:val="nil"/>
            </w:tcBorders>
            <w:tcMar>
              <w:top w:w="0" w:type="dxa"/>
              <w:left w:w="0" w:type="dxa"/>
              <w:bottom w:w="0" w:type="dxa"/>
              <w:right w:w="0" w:type="dxa"/>
            </w:tcMar>
            <w:vAlign w:val="bottom"/>
          </w:tcPr>
          <w:p w14:paraId="487823BA" w14:textId="77777777" w:rsidR="001614AC" w:rsidRDefault="001614AC">
            <w:pPr>
              <w:keepNext/>
            </w:pPr>
          </w:p>
        </w:tc>
        <w:tc>
          <w:tcPr>
            <w:tcW w:w="99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43FF6804" w14:textId="77777777" w:rsidR="001614AC" w:rsidRDefault="004468F9">
            <w:pPr>
              <w:keepNext/>
              <w:spacing w:before="55" w:after="30" w:line="288" w:lineRule="auto"/>
              <w:jc w:val="right"/>
            </w:pPr>
            <w:r>
              <w:rPr>
                <w:rFonts w:ascii="Arial" w:eastAsia="Arial" w:hAnsi="Arial" w:cs="Arial"/>
                <w:color w:val="000000"/>
                <w:sz w:val="18"/>
              </w:rPr>
              <w:t>2,909,453 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38464C4D" w14:textId="77777777" w:rsidR="001614AC" w:rsidRDefault="001614AC">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7BEA008F" w14:textId="77777777" w:rsidR="001614AC" w:rsidRDefault="001614AC">
            <w:pPr>
              <w:keepNext/>
            </w:pPr>
          </w:p>
        </w:tc>
        <w:tc>
          <w:tcPr>
            <w:tcW w:w="99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5B245EF1" w14:textId="77777777" w:rsidR="001614AC" w:rsidRDefault="004468F9">
            <w:pPr>
              <w:keepNext/>
              <w:spacing w:before="55" w:after="30" w:line="288" w:lineRule="auto"/>
              <w:jc w:val="right"/>
            </w:pPr>
            <w:r>
              <w:rPr>
                <w:rFonts w:ascii="Arial" w:eastAsia="Arial" w:hAnsi="Arial" w:cs="Arial"/>
                <w:color w:val="000000"/>
                <w:sz w:val="18"/>
              </w:rPr>
              <w:t>—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1D5B1A18" w14:textId="77777777" w:rsidR="001614AC" w:rsidRDefault="001614AC">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4B04DCB1" w14:textId="77777777" w:rsidR="001614AC" w:rsidRDefault="001614AC">
            <w:pPr>
              <w:keepNext/>
            </w:pPr>
          </w:p>
        </w:tc>
        <w:tc>
          <w:tcPr>
            <w:tcW w:w="99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14934134" w14:textId="77777777" w:rsidR="001614AC" w:rsidRDefault="004468F9">
            <w:pPr>
              <w:keepNext/>
              <w:spacing w:before="55" w:after="30" w:line="288" w:lineRule="auto"/>
              <w:jc w:val="right"/>
            </w:pPr>
            <w:r>
              <w:rPr>
                <w:rFonts w:ascii="Arial" w:eastAsia="Arial" w:hAnsi="Arial" w:cs="Arial"/>
                <w:color w:val="000000"/>
                <w:sz w:val="18"/>
              </w:rPr>
              <w:t>175,493 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703925A1" w14:textId="77777777" w:rsidR="001614AC" w:rsidRDefault="001614AC">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5B65851A" w14:textId="77777777" w:rsidR="001614AC" w:rsidRDefault="001614AC">
            <w:pPr>
              <w:keepNext/>
            </w:pPr>
          </w:p>
        </w:tc>
        <w:tc>
          <w:tcPr>
            <w:tcW w:w="99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60B01AC6" w14:textId="77777777" w:rsidR="001614AC" w:rsidRDefault="004468F9">
            <w:pPr>
              <w:keepNext/>
              <w:spacing w:before="55" w:after="30" w:line="288" w:lineRule="auto"/>
              <w:jc w:val="right"/>
            </w:pPr>
            <w:r>
              <w:rPr>
                <w:rFonts w:ascii="Arial" w:eastAsia="Arial" w:hAnsi="Arial" w:cs="Arial"/>
                <w:color w:val="000000"/>
                <w:sz w:val="18"/>
              </w:rPr>
              <w:t>(19,486)</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5F000016" w14:textId="77777777" w:rsidR="001614AC" w:rsidRDefault="001614AC">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1E1023E3" w14:textId="77777777" w:rsidR="001614AC" w:rsidRDefault="001614AC">
            <w:pPr>
              <w:keepNext/>
            </w:pPr>
          </w:p>
        </w:tc>
        <w:tc>
          <w:tcPr>
            <w:tcW w:w="99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6C3D7169" w14:textId="77777777" w:rsidR="001614AC" w:rsidRDefault="004468F9">
            <w:pPr>
              <w:keepNext/>
              <w:spacing w:before="55" w:after="30" w:line="288" w:lineRule="auto"/>
              <w:jc w:val="right"/>
            </w:pPr>
            <w:r>
              <w:rPr>
                <w:rFonts w:ascii="Arial" w:eastAsia="Arial" w:hAnsi="Arial" w:cs="Arial"/>
                <w:color w:val="000000"/>
                <w:sz w:val="18"/>
              </w:rPr>
              <w:t>3,065,460 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0C34C0F5" w14:textId="77777777" w:rsidR="001614AC" w:rsidRDefault="001614AC">
            <w:pPr>
              <w:keepNext/>
              <w:spacing w:before="55" w:after="30" w:line="288" w:lineRule="auto"/>
              <w:jc w:val="right"/>
            </w:pPr>
          </w:p>
        </w:tc>
      </w:tr>
      <w:tr w:rsidR="001614AC" w14:paraId="50C4802D" w14:textId="77777777">
        <w:trPr>
          <w:cantSplit/>
        </w:trPr>
        <w:tc>
          <w:tcPr>
            <w:tcW w:w="4080" w:type="dxa"/>
            <w:tcBorders>
              <w:top w:val="single" w:sz="8" w:space="0" w:color="E9E9E9"/>
              <w:left w:val="nil"/>
              <w:bottom w:val="single" w:sz="8" w:space="0" w:color="E9E9E9"/>
              <w:right w:val="nil"/>
            </w:tcBorders>
            <w:tcMar>
              <w:top w:w="0" w:type="dxa"/>
              <w:left w:w="53" w:type="dxa"/>
              <w:bottom w:w="0" w:type="dxa"/>
              <w:right w:w="53" w:type="dxa"/>
            </w:tcMar>
            <w:vAlign w:val="bottom"/>
          </w:tcPr>
          <w:p w14:paraId="1B88E4DF" w14:textId="77777777" w:rsidR="001614AC" w:rsidRDefault="004468F9">
            <w:pPr>
              <w:keepNext/>
              <w:spacing w:before="55" w:after="30" w:line="288" w:lineRule="auto"/>
              <w:ind w:left="240"/>
            </w:pPr>
            <w:r>
              <w:rPr>
                <w:rFonts w:ascii="Arial" w:eastAsia="Arial" w:hAnsi="Arial" w:cs="Arial"/>
                <w:color w:val="000000"/>
                <w:sz w:val="18"/>
              </w:rPr>
              <w:t>RMBS</w:t>
            </w:r>
          </w:p>
        </w:tc>
        <w:tc>
          <w:tcPr>
            <w:tcW w:w="105" w:type="dxa"/>
            <w:tcBorders>
              <w:top w:val="nil"/>
              <w:left w:val="nil"/>
              <w:bottom w:val="nil"/>
              <w:right w:val="nil"/>
            </w:tcBorders>
            <w:tcMar>
              <w:top w:w="0" w:type="dxa"/>
              <w:left w:w="0" w:type="dxa"/>
              <w:bottom w:w="0" w:type="dxa"/>
              <w:right w:w="0" w:type="dxa"/>
            </w:tcMar>
            <w:vAlign w:val="bottom"/>
          </w:tcPr>
          <w:p w14:paraId="6DC10584" w14:textId="77777777" w:rsidR="001614AC" w:rsidRDefault="001614AC">
            <w:pPr>
              <w:keepNext/>
            </w:pPr>
          </w:p>
        </w:tc>
        <w:tc>
          <w:tcPr>
            <w:tcW w:w="99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20FD963C" w14:textId="77777777" w:rsidR="001614AC" w:rsidRDefault="004468F9">
            <w:pPr>
              <w:keepNext/>
              <w:spacing w:before="55" w:after="30" w:line="288" w:lineRule="auto"/>
              <w:jc w:val="right"/>
            </w:pPr>
            <w:r>
              <w:rPr>
                <w:rFonts w:ascii="Arial" w:eastAsia="Arial" w:hAnsi="Arial" w:cs="Arial"/>
                <w:color w:val="000000"/>
                <w:sz w:val="18"/>
              </w:rPr>
              <w:t>701,664 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3B794A3F" w14:textId="77777777" w:rsidR="001614AC" w:rsidRDefault="001614AC">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3722338C" w14:textId="77777777" w:rsidR="001614AC" w:rsidRDefault="001614AC">
            <w:pPr>
              <w:keepNext/>
            </w:pPr>
          </w:p>
        </w:tc>
        <w:tc>
          <w:tcPr>
            <w:tcW w:w="99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36204179" w14:textId="77777777" w:rsidR="001614AC" w:rsidRDefault="004468F9">
            <w:pPr>
              <w:keepNext/>
              <w:spacing w:before="55" w:after="30" w:line="288" w:lineRule="auto"/>
              <w:jc w:val="right"/>
            </w:pPr>
            <w:r>
              <w:rPr>
                <w:rFonts w:ascii="Arial" w:eastAsia="Arial" w:hAnsi="Arial" w:cs="Arial"/>
                <w:color w:val="000000"/>
                <w:sz w:val="18"/>
              </w:rPr>
              <w:t>—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0E7CA0F7" w14:textId="77777777" w:rsidR="001614AC" w:rsidRDefault="001614AC">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5E37EDAF" w14:textId="77777777" w:rsidR="001614AC" w:rsidRDefault="001614AC">
            <w:pPr>
              <w:keepNext/>
            </w:pPr>
          </w:p>
        </w:tc>
        <w:tc>
          <w:tcPr>
            <w:tcW w:w="99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22A63721" w14:textId="77777777" w:rsidR="001614AC" w:rsidRDefault="004468F9">
            <w:pPr>
              <w:keepNext/>
              <w:spacing w:before="55" w:after="30" w:line="288" w:lineRule="auto"/>
              <w:jc w:val="right"/>
            </w:pPr>
            <w:r>
              <w:rPr>
                <w:rFonts w:ascii="Arial" w:eastAsia="Arial" w:hAnsi="Arial" w:cs="Arial"/>
                <w:color w:val="000000"/>
                <w:sz w:val="18"/>
              </w:rPr>
              <w:t>21,478 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5D9DBDAF" w14:textId="77777777" w:rsidR="001614AC" w:rsidRDefault="001614AC">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0782D478" w14:textId="77777777" w:rsidR="001614AC" w:rsidRDefault="001614AC">
            <w:pPr>
              <w:keepNext/>
            </w:pPr>
          </w:p>
        </w:tc>
        <w:tc>
          <w:tcPr>
            <w:tcW w:w="99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411DB6AB" w14:textId="77777777" w:rsidR="001614AC" w:rsidRDefault="004468F9">
            <w:pPr>
              <w:keepNext/>
              <w:spacing w:before="55" w:after="30" w:line="288" w:lineRule="auto"/>
              <w:jc w:val="right"/>
            </w:pPr>
            <w:r>
              <w:rPr>
                <w:rFonts w:ascii="Arial" w:eastAsia="Arial" w:hAnsi="Arial" w:cs="Arial"/>
                <w:color w:val="000000"/>
                <w:sz w:val="18"/>
              </w:rPr>
              <w:t>(3,302)</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2BF58501" w14:textId="77777777" w:rsidR="001614AC" w:rsidRDefault="001614AC">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04FC4AC3" w14:textId="77777777" w:rsidR="001614AC" w:rsidRDefault="001614AC">
            <w:pPr>
              <w:keepNext/>
            </w:pPr>
          </w:p>
        </w:tc>
        <w:tc>
          <w:tcPr>
            <w:tcW w:w="99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5DCCD4AF" w14:textId="77777777" w:rsidR="001614AC" w:rsidRDefault="004468F9">
            <w:pPr>
              <w:keepNext/>
              <w:spacing w:before="55" w:after="30" w:line="288" w:lineRule="auto"/>
              <w:jc w:val="right"/>
            </w:pPr>
            <w:r>
              <w:rPr>
                <w:rFonts w:ascii="Arial" w:eastAsia="Arial" w:hAnsi="Arial" w:cs="Arial"/>
                <w:color w:val="000000"/>
                <w:sz w:val="18"/>
              </w:rPr>
              <w:t>719,</w:t>
            </w:r>
            <w:r>
              <w:rPr>
                <w:rFonts w:ascii="Arial" w:eastAsia="Arial" w:hAnsi="Arial" w:cs="Arial"/>
                <w:color w:val="000000"/>
                <w:sz w:val="18"/>
              </w:rPr>
              <w:t>840 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1608201C" w14:textId="77777777" w:rsidR="001614AC" w:rsidRDefault="001614AC">
            <w:pPr>
              <w:keepNext/>
              <w:spacing w:before="55" w:after="30" w:line="288" w:lineRule="auto"/>
              <w:jc w:val="right"/>
            </w:pPr>
          </w:p>
        </w:tc>
      </w:tr>
      <w:tr w:rsidR="001614AC" w14:paraId="747F6D41" w14:textId="77777777">
        <w:trPr>
          <w:cantSplit/>
        </w:trPr>
        <w:tc>
          <w:tcPr>
            <w:tcW w:w="4080" w:type="dxa"/>
            <w:tcBorders>
              <w:top w:val="single" w:sz="8" w:space="0" w:color="E9E9E9"/>
              <w:left w:val="nil"/>
              <w:bottom w:val="single" w:sz="8" w:space="0" w:color="E9E9E9"/>
              <w:right w:val="nil"/>
            </w:tcBorders>
            <w:tcMar>
              <w:top w:w="0" w:type="dxa"/>
              <w:left w:w="53" w:type="dxa"/>
              <w:bottom w:w="0" w:type="dxa"/>
              <w:right w:w="53" w:type="dxa"/>
            </w:tcMar>
            <w:vAlign w:val="bottom"/>
          </w:tcPr>
          <w:p w14:paraId="1D762C6B" w14:textId="77777777" w:rsidR="001614AC" w:rsidRDefault="004468F9">
            <w:pPr>
              <w:keepNext/>
              <w:spacing w:before="55" w:after="30" w:line="288" w:lineRule="auto"/>
              <w:ind w:left="240"/>
            </w:pPr>
            <w:r>
              <w:rPr>
                <w:rFonts w:ascii="Arial" w:eastAsia="Arial" w:hAnsi="Arial" w:cs="Arial"/>
                <w:color w:val="000000"/>
                <w:sz w:val="18"/>
              </w:rPr>
              <w:t>CMBS</w:t>
            </w:r>
          </w:p>
        </w:tc>
        <w:tc>
          <w:tcPr>
            <w:tcW w:w="105" w:type="dxa"/>
            <w:tcBorders>
              <w:top w:val="nil"/>
              <w:left w:val="nil"/>
              <w:bottom w:val="nil"/>
              <w:right w:val="nil"/>
            </w:tcBorders>
            <w:tcMar>
              <w:top w:w="0" w:type="dxa"/>
              <w:left w:w="0" w:type="dxa"/>
              <w:bottom w:w="0" w:type="dxa"/>
              <w:right w:w="0" w:type="dxa"/>
            </w:tcMar>
            <w:vAlign w:val="bottom"/>
          </w:tcPr>
          <w:p w14:paraId="5992D831" w14:textId="77777777" w:rsidR="001614AC" w:rsidRDefault="001614AC">
            <w:pPr>
              <w:keepNext/>
            </w:pPr>
          </w:p>
        </w:tc>
        <w:tc>
          <w:tcPr>
            <w:tcW w:w="99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717CA90A" w14:textId="77777777" w:rsidR="001614AC" w:rsidRDefault="004468F9">
            <w:pPr>
              <w:keepNext/>
              <w:spacing w:before="55" w:after="30" w:line="288" w:lineRule="auto"/>
              <w:jc w:val="right"/>
            </w:pPr>
            <w:r>
              <w:rPr>
                <w:rFonts w:ascii="Arial" w:eastAsia="Arial" w:hAnsi="Arial" w:cs="Arial"/>
                <w:color w:val="000000"/>
                <w:sz w:val="18"/>
              </w:rPr>
              <w:t>685,595 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566DCB49" w14:textId="77777777" w:rsidR="001614AC" w:rsidRDefault="001614AC">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4D1C83AA" w14:textId="77777777" w:rsidR="001614AC" w:rsidRDefault="001614AC">
            <w:pPr>
              <w:keepNext/>
            </w:pPr>
          </w:p>
        </w:tc>
        <w:tc>
          <w:tcPr>
            <w:tcW w:w="99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59F3E9EC" w14:textId="77777777" w:rsidR="001614AC" w:rsidRDefault="004468F9">
            <w:pPr>
              <w:keepNext/>
              <w:spacing w:before="55" w:after="30" w:line="288" w:lineRule="auto"/>
              <w:jc w:val="right"/>
            </w:pPr>
            <w:r>
              <w:rPr>
                <w:rFonts w:ascii="Arial" w:eastAsia="Arial" w:hAnsi="Arial" w:cs="Arial"/>
                <w:color w:val="000000"/>
                <w:sz w:val="18"/>
              </w:rPr>
              <w:t>—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7D61E26A" w14:textId="77777777" w:rsidR="001614AC" w:rsidRDefault="001614AC">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2F37FAFD" w14:textId="77777777" w:rsidR="001614AC" w:rsidRDefault="001614AC">
            <w:pPr>
              <w:keepNext/>
            </w:pPr>
          </w:p>
        </w:tc>
        <w:tc>
          <w:tcPr>
            <w:tcW w:w="99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11A486C4" w14:textId="77777777" w:rsidR="001614AC" w:rsidRDefault="004468F9">
            <w:pPr>
              <w:keepNext/>
              <w:spacing w:before="55" w:after="30" w:line="288" w:lineRule="auto"/>
              <w:jc w:val="right"/>
            </w:pPr>
            <w:r>
              <w:rPr>
                <w:rFonts w:ascii="Arial" w:eastAsia="Arial" w:hAnsi="Arial" w:cs="Arial"/>
                <w:color w:val="000000"/>
                <w:sz w:val="18"/>
              </w:rPr>
              <w:t>31,437 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6FD2D249" w14:textId="77777777" w:rsidR="001614AC" w:rsidRDefault="001614AC">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05DA267F" w14:textId="77777777" w:rsidR="001614AC" w:rsidRDefault="001614AC">
            <w:pPr>
              <w:keepNext/>
            </w:pPr>
          </w:p>
        </w:tc>
        <w:tc>
          <w:tcPr>
            <w:tcW w:w="99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1D037FE0" w14:textId="77777777" w:rsidR="001614AC" w:rsidRDefault="004468F9">
            <w:pPr>
              <w:keepNext/>
              <w:spacing w:before="55" w:after="30" w:line="288" w:lineRule="auto"/>
              <w:jc w:val="right"/>
            </w:pPr>
            <w:r>
              <w:rPr>
                <w:rFonts w:ascii="Arial" w:eastAsia="Arial" w:hAnsi="Arial" w:cs="Arial"/>
                <w:color w:val="000000"/>
                <w:sz w:val="18"/>
              </w:rPr>
              <w:t>(2,361)</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2A4D6E85" w14:textId="77777777" w:rsidR="001614AC" w:rsidRDefault="001614AC">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7795BC5B" w14:textId="77777777" w:rsidR="001614AC" w:rsidRDefault="001614AC">
            <w:pPr>
              <w:keepNext/>
            </w:pPr>
          </w:p>
        </w:tc>
        <w:tc>
          <w:tcPr>
            <w:tcW w:w="99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4667D94F" w14:textId="77777777" w:rsidR="001614AC" w:rsidRDefault="004468F9">
            <w:pPr>
              <w:keepNext/>
              <w:spacing w:before="55" w:after="30" w:line="288" w:lineRule="auto"/>
              <w:jc w:val="right"/>
            </w:pPr>
            <w:r>
              <w:rPr>
                <w:rFonts w:ascii="Arial" w:eastAsia="Arial" w:hAnsi="Arial" w:cs="Arial"/>
                <w:color w:val="000000"/>
                <w:sz w:val="18"/>
              </w:rPr>
              <w:t>714,671 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1908750F" w14:textId="77777777" w:rsidR="001614AC" w:rsidRDefault="001614AC">
            <w:pPr>
              <w:keepNext/>
              <w:spacing w:before="55" w:after="30" w:line="288" w:lineRule="auto"/>
              <w:jc w:val="right"/>
            </w:pPr>
          </w:p>
        </w:tc>
      </w:tr>
      <w:tr w:rsidR="001614AC" w14:paraId="7146F813" w14:textId="77777777">
        <w:trPr>
          <w:cantSplit/>
        </w:trPr>
        <w:tc>
          <w:tcPr>
            <w:tcW w:w="4080" w:type="dxa"/>
            <w:tcBorders>
              <w:top w:val="single" w:sz="8" w:space="0" w:color="E9E9E9"/>
              <w:left w:val="nil"/>
              <w:bottom w:val="single" w:sz="8" w:space="0" w:color="E9E9E9"/>
              <w:right w:val="nil"/>
            </w:tcBorders>
            <w:tcMar>
              <w:top w:w="0" w:type="dxa"/>
              <w:left w:w="53" w:type="dxa"/>
              <w:bottom w:w="0" w:type="dxa"/>
              <w:right w:w="53" w:type="dxa"/>
            </w:tcMar>
            <w:vAlign w:val="bottom"/>
          </w:tcPr>
          <w:p w14:paraId="578F4847" w14:textId="77777777" w:rsidR="001614AC" w:rsidRDefault="004468F9">
            <w:pPr>
              <w:keepNext/>
              <w:spacing w:before="55" w:after="30" w:line="288" w:lineRule="auto"/>
              <w:ind w:left="240"/>
            </w:pPr>
            <w:r>
              <w:rPr>
                <w:rFonts w:ascii="Arial" w:eastAsia="Arial" w:hAnsi="Arial" w:cs="Arial"/>
                <w:color w:val="000000"/>
                <w:sz w:val="18"/>
              </w:rPr>
              <w:t>CLO</w:t>
            </w:r>
          </w:p>
        </w:tc>
        <w:tc>
          <w:tcPr>
            <w:tcW w:w="105" w:type="dxa"/>
            <w:tcBorders>
              <w:top w:val="nil"/>
              <w:left w:val="nil"/>
              <w:bottom w:val="nil"/>
              <w:right w:val="nil"/>
            </w:tcBorders>
            <w:tcMar>
              <w:top w:w="0" w:type="dxa"/>
              <w:left w:w="0" w:type="dxa"/>
              <w:bottom w:w="0" w:type="dxa"/>
              <w:right w:w="0" w:type="dxa"/>
            </w:tcMar>
            <w:vAlign w:val="bottom"/>
          </w:tcPr>
          <w:p w14:paraId="2ED4BAC3" w14:textId="77777777" w:rsidR="001614AC" w:rsidRDefault="001614AC">
            <w:pPr>
              <w:keepNext/>
            </w:pPr>
          </w:p>
        </w:tc>
        <w:tc>
          <w:tcPr>
            <w:tcW w:w="99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320DA50E" w14:textId="77777777" w:rsidR="001614AC" w:rsidRDefault="004468F9">
            <w:pPr>
              <w:keepNext/>
              <w:spacing w:before="55" w:after="30" w:line="288" w:lineRule="auto"/>
              <w:jc w:val="right"/>
            </w:pPr>
            <w:r>
              <w:rPr>
                <w:rFonts w:ascii="Arial" w:eastAsia="Arial" w:hAnsi="Arial" w:cs="Arial"/>
                <w:color w:val="000000"/>
                <w:sz w:val="18"/>
              </w:rPr>
              <w:t>519,909 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5081D83C" w14:textId="77777777" w:rsidR="001614AC" w:rsidRDefault="001614AC">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205160F2" w14:textId="77777777" w:rsidR="001614AC" w:rsidRDefault="001614AC">
            <w:pPr>
              <w:keepNext/>
            </w:pPr>
          </w:p>
        </w:tc>
        <w:tc>
          <w:tcPr>
            <w:tcW w:w="99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6D00F403" w14:textId="77777777" w:rsidR="001614AC" w:rsidRDefault="004468F9">
            <w:pPr>
              <w:keepNext/>
              <w:spacing w:before="55" w:after="30" w:line="288" w:lineRule="auto"/>
              <w:jc w:val="right"/>
            </w:pPr>
            <w:r>
              <w:rPr>
                <w:rFonts w:ascii="Arial" w:eastAsia="Arial" w:hAnsi="Arial" w:cs="Arial"/>
                <w:color w:val="000000"/>
                <w:sz w:val="18"/>
              </w:rPr>
              <w:t>—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589DF799" w14:textId="77777777" w:rsidR="001614AC" w:rsidRDefault="001614AC">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3F3080A0" w14:textId="77777777" w:rsidR="001614AC" w:rsidRDefault="001614AC">
            <w:pPr>
              <w:keepNext/>
            </w:pPr>
          </w:p>
        </w:tc>
        <w:tc>
          <w:tcPr>
            <w:tcW w:w="99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42C33E03" w14:textId="77777777" w:rsidR="001614AC" w:rsidRDefault="004468F9">
            <w:pPr>
              <w:keepNext/>
              <w:spacing w:before="55" w:after="30" w:line="288" w:lineRule="auto"/>
              <w:jc w:val="right"/>
            </w:pPr>
            <w:r>
              <w:rPr>
                <w:rFonts w:ascii="Arial" w:eastAsia="Arial" w:hAnsi="Arial" w:cs="Arial"/>
                <w:color w:val="000000"/>
                <w:sz w:val="18"/>
              </w:rPr>
              <w:t>1,851 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572EC24B" w14:textId="77777777" w:rsidR="001614AC" w:rsidRDefault="001614AC">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37E0A2D8" w14:textId="77777777" w:rsidR="001614AC" w:rsidRDefault="001614AC">
            <w:pPr>
              <w:keepNext/>
            </w:pPr>
          </w:p>
        </w:tc>
        <w:tc>
          <w:tcPr>
            <w:tcW w:w="99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3FD40C04" w14:textId="77777777" w:rsidR="001614AC" w:rsidRDefault="004468F9">
            <w:pPr>
              <w:keepNext/>
              <w:spacing w:before="55" w:after="30" w:line="288" w:lineRule="auto"/>
              <w:jc w:val="right"/>
            </w:pPr>
            <w:r>
              <w:rPr>
                <w:rFonts w:ascii="Arial" w:eastAsia="Arial" w:hAnsi="Arial" w:cs="Arial"/>
                <w:color w:val="000000"/>
                <w:sz w:val="18"/>
              </w:rPr>
              <w:t>(607)</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44DDBD3C" w14:textId="77777777" w:rsidR="001614AC" w:rsidRDefault="001614AC">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09B18117" w14:textId="77777777" w:rsidR="001614AC" w:rsidRDefault="001614AC">
            <w:pPr>
              <w:keepNext/>
            </w:pPr>
          </w:p>
        </w:tc>
        <w:tc>
          <w:tcPr>
            <w:tcW w:w="99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79B1FE1C" w14:textId="77777777" w:rsidR="001614AC" w:rsidRDefault="004468F9">
            <w:pPr>
              <w:keepNext/>
              <w:spacing w:before="55" w:after="30" w:line="288" w:lineRule="auto"/>
              <w:jc w:val="right"/>
            </w:pPr>
            <w:r>
              <w:rPr>
                <w:rFonts w:ascii="Arial" w:eastAsia="Arial" w:hAnsi="Arial" w:cs="Arial"/>
                <w:color w:val="000000"/>
                <w:sz w:val="18"/>
              </w:rPr>
              <w:t>521,153 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3C6E5F33" w14:textId="77777777" w:rsidR="001614AC" w:rsidRDefault="001614AC">
            <w:pPr>
              <w:keepNext/>
              <w:spacing w:before="55" w:after="30" w:line="288" w:lineRule="auto"/>
              <w:jc w:val="right"/>
            </w:pPr>
          </w:p>
        </w:tc>
      </w:tr>
      <w:tr w:rsidR="001614AC" w14:paraId="4BA22F08" w14:textId="77777777">
        <w:trPr>
          <w:cantSplit/>
        </w:trPr>
        <w:tc>
          <w:tcPr>
            <w:tcW w:w="4080" w:type="dxa"/>
            <w:tcBorders>
              <w:top w:val="single" w:sz="8" w:space="0" w:color="E9E9E9"/>
              <w:left w:val="nil"/>
              <w:bottom w:val="single" w:sz="8" w:space="0" w:color="E9E9E9"/>
              <w:right w:val="nil"/>
            </w:tcBorders>
            <w:tcMar>
              <w:top w:w="0" w:type="dxa"/>
              <w:left w:w="53" w:type="dxa"/>
              <w:bottom w:w="0" w:type="dxa"/>
              <w:right w:w="53" w:type="dxa"/>
            </w:tcMar>
            <w:vAlign w:val="bottom"/>
          </w:tcPr>
          <w:p w14:paraId="4AA7D4DB" w14:textId="77777777" w:rsidR="001614AC" w:rsidRDefault="004468F9">
            <w:pPr>
              <w:keepNext/>
              <w:spacing w:before="55" w:after="30" w:line="288" w:lineRule="auto"/>
              <w:ind w:left="240"/>
            </w:pPr>
            <w:r>
              <w:rPr>
                <w:rFonts w:ascii="Arial" w:eastAsia="Arial" w:hAnsi="Arial" w:cs="Arial"/>
                <w:color w:val="000000"/>
                <w:sz w:val="18"/>
              </w:rPr>
              <w:t>Other ABS</w:t>
            </w:r>
          </w:p>
        </w:tc>
        <w:tc>
          <w:tcPr>
            <w:tcW w:w="105" w:type="dxa"/>
            <w:tcBorders>
              <w:top w:val="nil"/>
              <w:left w:val="nil"/>
              <w:bottom w:val="nil"/>
              <w:right w:val="nil"/>
            </w:tcBorders>
            <w:tcMar>
              <w:top w:w="0" w:type="dxa"/>
              <w:left w:w="0" w:type="dxa"/>
              <w:bottom w:w="0" w:type="dxa"/>
              <w:right w:w="0" w:type="dxa"/>
            </w:tcMar>
            <w:vAlign w:val="bottom"/>
          </w:tcPr>
          <w:p w14:paraId="239DBB63" w14:textId="77777777" w:rsidR="001614AC" w:rsidRDefault="001614AC">
            <w:pPr>
              <w:keepNext/>
            </w:pPr>
          </w:p>
        </w:tc>
        <w:tc>
          <w:tcPr>
            <w:tcW w:w="99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752A9908" w14:textId="77777777" w:rsidR="001614AC" w:rsidRDefault="004468F9">
            <w:pPr>
              <w:keepNext/>
              <w:spacing w:before="55" w:after="30" w:line="288" w:lineRule="auto"/>
              <w:jc w:val="right"/>
            </w:pPr>
            <w:r>
              <w:rPr>
                <w:rFonts w:ascii="Arial" w:eastAsia="Arial" w:hAnsi="Arial" w:cs="Arial"/>
                <w:color w:val="000000"/>
                <w:sz w:val="18"/>
              </w:rPr>
              <w:t>225,012 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7E3DC076" w14:textId="77777777" w:rsidR="001614AC" w:rsidRDefault="001614AC">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220D791D" w14:textId="77777777" w:rsidR="001614AC" w:rsidRDefault="001614AC">
            <w:pPr>
              <w:keepNext/>
            </w:pPr>
          </w:p>
        </w:tc>
        <w:tc>
          <w:tcPr>
            <w:tcW w:w="99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79EC05F4" w14:textId="77777777" w:rsidR="001614AC" w:rsidRDefault="004468F9">
            <w:pPr>
              <w:keepNext/>
              <w:spacing w:before="55" w:after="30" w:line="288" w:lineRule="auto"/>
              <w:jc w:val="right"/>
            </w:pPr>
            <w:r>
              <w:rPr>
                <w:rFonts w:ascii="Arial" w:eastAsia="Arial" w:hAnsi="Arial" w:cs="Arial"/>
                <w:color w:val="000000"/>
                <w:sz w:val="18"/>
              </w:rPr>
              <w:t>—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6EAD5939" w14:textId="77777777" w:rsidR="001614AC" w:rsidRDefault="001614AC">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0B44DC04" w14:textId="77777777" w:rsidR="001614AC" w:rsidRDefault="001614AC">
            <w:pPr>
              <w:keepNext/>
            </w:pPr>
          </w:p>
        </w:tc>
        <w:tc>
          <w:tcPr>
            <w:tcW w:w="99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6BB9461D" w14:textId="77777777" w:rsidR="001614AC" w:rsidRDefault="004468F9">
            <w:pPr>
              <w:keepNext/>
              <w:spacing w:before="55" w:after="30" w:line="288" w:lineRule="auto"/>
              <w:jc w:val="right"/>
            </w:pPr>
            <w:r>
              <w:rPr>
                <w:rFonts w:ascii="Arial" w:eastAsia="Arial" w:hAnsi="Arial" w:cs="Arial"/>
                <w:color w:val="000000"/>
                <w:sz w:val="18"/>
              </w:rPr>
              <w:t>2,190 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3DC3BD5F" w14:textId="77777777" w:rsidR="001614AC" w:rsidRDefault="001614AC">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1944C2A6" w14:textId="77777777" w:rsidR="001614AC" w:rsidRDefault="001614AC">
            <w:pPr>
              <w:keepNext/>
            </w:pPr>
          </w:p>
        </w:tc>
        <w:tc>
          <w:tcPr>
            <w:tcW w:w="99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7DEC2BAC" w14:textId="77777777" w:rsidR="001614AC" w:rsidRDefault="004468F9">
            <w:pPr>
              <w:keepNext/>
              <w:spacing w:before="55" w:after="30" w:line="288" w:lineRule="auto"/>
              <w:jc w:val="right"/>
            </w:pPr>
            <w:r>
              <w:rPr>
                <w:rFonts w:ascii="Arial" w:eastAsia="Arial" w:hAnsi="Arial" w:cs="Arial"/>
                <w:color w:val="000000"/>
                <w:sz w:val="18"/>
              </w:rPr>
              <w:t>(234)</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68546FBA" w14:textId="77777777" w:rsidR="001614AC" w:rsidRDefault="001614AC">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0A4F115C" w14:textId="77777777" w:rsidR="001614AC" w:rsidRDefault="001614AC">
            <w:pPr>
              <w:keepNext/>
            </w:pPr>
          </w:p>
        </w:tc>
        <w:tc>
          <w:tcPr>
            <w:tcW w:w="99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1659A149" w14:textId="77777777" w:rsidR="001614AC" w:rsidRDefault="004468F9">
            <w:pPr>
              <w:keepNext/>
              <w:spacing w:before="55" w:after="30" w:line="288" w:lineRule="auto"/>
              <w:jc w:val="right"/>
            </w:pPr>
            <w:r>
              <w:rPr>
                <w:rFonts w:ascii="Arial" w:eastAsia="Arial" w:hAnsi="Arial" w:cs="Arial"/>
                <w:color w:val="000000"/>
                <w:sz w:val="18"/>
              </w:rPr>
              <w:t>226,968 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078D1D1A" w14:textId="77777777" w:rsidR="001614AC" w:rsidRDefault="001614AC">
            <w:pPr>
              <w:keepNext/>
              <w:spacing w:before="55" w:after="30" w:line="288" w:lineRule="auto"/>
              <w:jc w:val="right"/>
            </w:pPr>
          </w:p>
        </w:tc>
      </w:tr>
      <w:tr w:rsidR="001614AC" w14:paraId="454EE6D6" w14:textId="77777777">
        <w:trPr>
          <w:cantSplit/>
        </w:trPr>
        <w:tc>
          <w:tcPr>
            <w:tcW w:w="4080" w:type="dxa"/>
            <w:tcBorders>
              <w:top w:val="single" w:sz="8" w:space="0" w:color="E9E9E9"/>
              <w:left w:val="nil"/>
              <w:bottom w:val="single" w:sz="8" w:space="0" w:color="E9E9E9"/>
              <w:right w:val="nil"/>
            </w:tcBorders>
            <w:tcMar>
              <w:top w:w="0" w:type="dxa"/>
              <w:left w:w="53" w:type="dxa"/>
              <w:bottom w:w="0" w:type="dxa"/>
              <w:right w:w="53" w:type="dxa"/>
            </w:tcMar>
            <w:vAlign w:val="bottom"/>
          </w:tcPr>
          <w:p w14:paraId="27F335C7" w14:textId="77777777" w:rsidR="001614AC" w:rsidRDefault="004468F9">
            <w:pPr>
              <w:keepNext/>
              <w:spacing w:before="55" w:after="30" w:line="288" w:lineRule="auto"/>
              <w:ind w:left="240"/>
            </w:pPr>
            <w:r>
              <w:rPr>
                <w:rFonts w:ascii="Arial" w:eastAsia="Arial" w:hAnsi="Arial" w:cs="Arial"/>
                <w:color w:val="000000"/>
                <w:sz w:val="18"/>
              </w:rPr>
              <w:t>Foreign government and agency securities</w:t>
            </w:r>
          </w:p>
        </w:tc>
        <w:tc>
          <w:tcPr>
            <w:tcW w:w="105" w:type="dxa"/>
            <w:tcBorders>
              <w:top w:val="nil"/>
              <w:left w:val="nil"/>
              <w:bottom w:val="nil"/>
              <w:right w:val="nil"/>
            </w:tcBorders>
            <w:tcMar>
              <w:top w:w="0" w:type="dxa"/>
              <w:left w:w="0" w:type="dxa"/>
              <w:bottom w:w="0" w:type="dxa"/>
              <w:right w:w="0" w:type="dxa"/>
            </w:tcMar>
            <w:vAlign w:val="bottom"/>
          </w:tcPr>
          <w:p w14:paraId="3862CE0A" w14:textId="77777777" w:rsidR="001614AC" w:rsidRDefault="001614AC">
            <w:pPr>
              <w:keepNext/>
            </w:pPr>
          </w:p>
        </w:tc>
        <w:tc>
          <w:tcPr>
            <w:tcW w:w="99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418718B2" w14:textId="77777777" w:rsidR="001614AC" w:rsidRDefault="004468F9">
            <w:pPr>
              <w:keepNext/>
              <w:spacing w:before="55" w:after="30" w:line="288" w:lineRule="auto"/>
              <w:jc w:val="right"/>
            </w:pPr>
            <w:r>
              <w:rPr>
                <w:rFonts w:ascii="Arial" w:eastAsia="Arial" w:hAnsi="Arial" w:cs="Arial"/>
                <w:color w:val="000000"/>
                <w:sz w:val="18"/>
              </w:rPr>
              <w:t>5,105 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76CB2DF1" w14:textId="77777777" w:rsidR="001614AC" w:rsidRDefault="001614AC">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6BAE691D" w14:textId="77777777" w:rsidR="001614AC" w:rsidRDefault="001614AC">
            <w:pPr>
              <w:keepNext/>
            </w:pPr>
          </w:p>
        </w:tc>
        <w:tc>
          <w:tcPr>
            <w:tcW w:w="99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1D037366" w14:textId="77777777" w:rsidR="001614AC" w:rsidRDefault="004468F9">
            <w:pPr>
              <w:keepNext/>
              <w:spacing w:before="55" w:after="30" w:line="288" w:lineRule="auto"/>
              <w:jc w:val="right"/>
            </w:pPr>
            <w:r>
              <w:rPr>
                <w:rFonts w:ascii="Arial" w:eastAsia="Arial" w:hAnsi="Arial" w:cs="Arial"/>
                <w:color w:val="000000"/>
                <w:sz w:val="18"/>
              </w:rPr>
              <w:t>—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286EDF41" w14:textId="77777777" w:rsidR="001614AC" w:rsidRDefault="001614AC">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40779A3A" w14:textId="77777777" w:rsidR="001614AC" w:rsidRDefault="001614AC">
            <w:pPr>
              <w:keepNext/>
            </w:pPr>
          </w:p>
        </w:tc>
        <w:tc>
          <w:tcPr>
            <w:tcW w:w="99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47648633" w14:textId="77777777" w:rsidR="001614AC" w:rsidRDefault="004468F9">
            <w:pPr>
              <w:keepNext/>
              <w:spacing w:before="55" w:after="30" w:line="288" w:lineRule="auto"/>
              <w:jc w:val="right"/>
            </w:pPr>
            <w:r>
              <w:rPr>
                <w:rFonts w:ascii="Arial" w:eastAsia="Arial" w:hAnsi="Arial" w:cs="Arial"/>
                <w:color w:val="000000"/>
                <w:sz w:val="18"/>
              </w:rPr>
              <w:t>294 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767D3847" w14:textId="77777777" w:rsidR="001614AC" w:rsidRDefault="001614AC">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3CE4EF42" w14:textId="77777777" w:rsidR="001614AC" w:rsidRDefault="001614AC">
            <w:pPr>
              <w:keepNext/>
            </w:pPr>
          </w:p>
        </w:tc>
        <w:tc>
          <w:tcPr>
            <w:tcW w:w="99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35BB8D5F" w14:textId="77777777" w:rsidR="001614AC" w:rsidRDefault="004468F9">
            <w:pPr>
              <w:keepNext/>
              <w:spacing w:before="55" w:after="30" w:line="288" w:lineRule="auto"/>
              <w:jc w:val="right"/>
            </w:pPr>
            <w:r>
              <w:rPr>
                <w:rFonts w:ascii="Arial" w:eastAsia="Arial" w:hAnsi="Arial" w:cs="Arial"/>
                <w:color w:val="000000"/>
                <w:sz w:val="18"/>
              </w:rPr>
              <w:t>—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772B398B" w14:textId="77777777" w:rsidR="001614AC" w:rsidRDefault="001614AC">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504B8700" w14:textId="77777777" w:rsidR="001614AC" w:rsidRDefault="001614AC">
            <w:pPr>
              <w:keepNext/>
            </w:pPr>
          </w:p>
        </w:tc>
        <w:tc>
          <w:tcPr>
            <w:tcW w:w="99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7C86EE6D" w14:textId="77777777" w:rsidR="001614AC" w:rsidRDefault="004468F9">
            <w:pPr>
              <w:keepNext/>
              <w:spacing w:before="55" w:after="30" w:line="288" w:lineRule="auto"/>
              <w:jc w:val="right"/>
            </w:pPr>
            <w:r>
              <w:rPr>
                <w:rFonts w:ascii="Arial" w:eastAsia="Arial" w:hAnsi="Arial" w:cs="Arial"/>
                <w:color w:val="000000"/>
                <w:sz w:val="18"/>
              </w:rPr>
              <w:t>5,399 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5F75CD39" w14:textId="77777777" w:rsidR="001614AC" w:rsidRDefault="001614AC">
            <w:pPr>
              <w:keepNext/>
              <w:spacing w:before="55" w:after="30" w:line="288" w:lineRule="auto"/>
              <w:jc w:val="right"/>
            </w:pPr>
          </w:p>
        </w:tc>
      </w:tr>
      <w:tr w:rsidR="001614AC" w14:paraId="1FB63D77" w14:textId="77777777">
        <w:trPr>
          <w:cantSplit/>
        </w:trPr>
        <w:tc>
          <w:tcPr>
            <w:tcW w:w="4080" w:type="dxa"/>
            <w:tcBorders>
              <w:top w:val="single" w:sz="8" w:space="0" w:color="E9E9E9"/>
              <w:left w:val="nil"/>
              <w:bottom w:val="nil"/>
              <w:right w:val="nil"/>
            </w:tcBorders>
            <w:tcMar>
              <w:top w:w="0" w:type="dxa"/>
              <w:left w:w="53" w:type="dxa"/>
              <w:bottom w:w="0" w:type="dxa"/>
              <w:right w:w="53" w:type="dxa"/>
            </w:tcMar>
            <w:vAlign w:val="bottom"/>
          </w:tcPr>
          <w:p w14:paraId="7EFA857E" w14:textId="77777777" w:rsidR="001614AC" w:rsidRDefault="004468F9">
            <w:pPr>
              <w:keepNext/>
              <w:spacing w:before="55" w:after="30" w:line="288" w:lineRule="auto"/>
              <w:ind w:left="240"/>
              <w:rPr>
                <w:rFonts w:ascii="Arial" w:eastAsia="Arial" w:hAnsi="Arial" w:cs="Arial"/>
                <w:sz w:val="18"/>
              </w:rPr>
            </w:pPr>
            <w:r>
              <w:rPr>
                <w:rFonts w:ascii="Arial" w:eastAsia="Arial" w:hAnsi="Arial" w:cs="Arial"/>
                <w:sz w:val="18"/>
              </w:rPr>
              <w:t xml:space="preserve">Mortgage insurance-linked notes </w:t>
            </w:r>
            <w:r>
              <w:rPr>
                <w:rFonts w:ascii="Arial" w:eastAsia="Arial" w:hAnsi="Arial" w:cs="Arial"/>
                <w:sz w:val="18"/>
                <w:vertAlign w:val="superscript"/>
              </w:rPr>
              <w:t>(1)</w:t>
            </w:r>
          </w:p>
        </w:tc>
        <w:tc>
          <w:tcPr>
            <w:tcW w:w="105" w:type="dxa"/>
            <w:tcBorders>
              <w:top w:val="nil"/>
              <w:left w:val="nil"/>
              <w:bottom w:val="nil"/>
              <w:right w:val="nil"/>
            </w:tcBorders>
            <w:tcMar>
              <w:top w:w="0" w:type="dxa"/>
              <w:left w:w="0" w:type="dxa"/>
              <w:bottom w:w="0" w:type="dxa"/>
              <w:right w:w="0" w:type="dxa"/>
            </w:tcMar>
            <w:vAlign w:val="bottom"/>
          </w:tcPr>
          <w:p w14:paraId="6BE0263C" w14:textId="77777777" w:rsidR="001614AC" w:rsidRDefault="001614AC">
            <w:pPr>
              <w:keepNext/>
            </w:pPr>
          </w:p>
        </w:tc>
        <w:tc>
          <w:tcPr>
            <w:tcW w:w="995" w:type="dxa"/>
            <w:gridSpan w:val="2"/>
            <w:tcBorders>
              <w:top w:val="single" w:sz="8" w:space="0" w:color="E9E9E9"/>
              <w:left w:val="nil"/>
              <w:bottom w:val="single" w:sz="8" w:space="0" w:color="C7C9C7"/>
              <w:right w:val="nil"/>
            </w:tcBorders>
            <w:tcMar>
              <w:top w:w="0" w:type="dxa"/>
              <w:left w:w="53" w:type="dxa"/>
              <w:bottom w:w="0" w:type="dxa"/>
              <w:right w:w="0" w:type="dxa"/>
            </w:tcMar>
            <w:vAlign w:val="bottom"/>
          </w:tcPr>
          <w:p w14:paraId="1127C88E" w14:textId="77777777" w:rsidR="001614AC" w:rsidRDefault="004468F9">
            <w:pPr>
              <w:keepNext/>
              <w:spacing w:before="55" w:after="30" w:line="288" w:lineRule="auto"/>
              <w:jc w:val="right"/>
            </w:pPr>
            <w:r>
              <w:rPr>
                <w:rFonts w:ascii="Arial" w:eastAsia="Arial" w:hAnsi="Arial" w:cs="Arial"/>
                <w:color w:val="000000"/>
                <w:sz w:val="18"/>
              </w:rPr>
              <w:t>45,384 </w:t>
            </w:r>
          </w:p>
        </w:tc>
        <w:tc>
          <w:tcPr>
            <w:tcW w:w="100" w:type="dxa"/>
            <w:tcBorders>
              <w:top w:val="single" w:sz="8" w:space="0" w:color="E9E9E9"/>
              <w:left w:val="nil"/>
              <w:bottom w:val="single" w:sz="8" w:space="0" w:color="C7C9C7"/>
              <w:right w:val="nil"/>
            </w:tcBorders>
            <w:tcMar>
              <w:top w:w="0" w:type="dxa"/>
              <w:left w:w="0" w:type="dxa"/>
              <w:bottom w:w="0" w:type="dxa"/>
              <w:right w:w="15" w:type="dxa"/>
            </w:tcMar>
            <w:vAlign w:val="bottom"/>
          </w:tcPr>
          <w:p w14:paraId="3E45B3B2" w14:textId="77777777" w:rsidR="001614AC" w:rsidRDefault="001614AC">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130B91C7" w14:textId="77777777" w:rsidR="001614AC" w:rsidRDefault="001614AC">
            <w:pPr>
              <w:keepNext/>
            </w:pPr>
          </w:p>
        </w:tc>
        <w:tc>
          <w:tcPr>
            <w:tcW w:w="995" w:type="dxa"/>
            <w:gridSpan w:val="2"/>
            <w:tcBorders>
              <w:top w:val="single" w:sz="8" w:space="0" w:color="E9E9E9"/>
              <w:left w:val="nil"/>
              <w:bottom w:val="single" w:sz="8" w:space="0" w:color="C7C9C7"/>
              <w:right w:val="nil"/>
            </w:tcBorders>
            <w:tcMar>
              <w:top w:w="0" w:type="dxa"/>
              <w:left w:w="53" w:type="dxa"/>
              <w:bottom w:w="0" w:type="dxa"/>
              <w:right w:w="0" w:type="dxa"/>
            </w:tcMar>
            <w:vAlign w:val="bottom"/>
          </w:tcPr>
          <w:p w14:paraId="3DE4382A" w14:textId="77777777" w:rsidR="001614AC" w:rsidRDefault="004468F9">
            <w:pPr>
              <w:keepNext/>
              <w:spacing w:before="55" w:after="30" w:line="288" w:lineRule="auto"/>
              <w:jc w:val="right"/>
            </w:pPr>
            <w:r>
              <w:rPr>
                <w:rFonts w:ascii="Arial" w:eastAsia="Arial" w:hAnsi="Arial" w:cs="Arial"/>
                <w:color w:val="000000"/>
                <w:sz w:val="18"/>
              </w:rPr>
              <w:t>— </w:t>
            </w:r>
          </w:p>
        </w:tc>
        <w:tc>
          <w:tcPr>
            <w:tcW w:w="100" w:type="dxa"/>
            <w:tcBorders>
              <w:top w:val="single" w:sz="8" w:space="0" w:color="E9E9E9"/>
              <w:left w:val="nil"/>
              <w:bottom w:val="single" w:sz="8" w:space="0" w:color="C7C9C7"/>
              <w:right w:val="nil"/>
            </w:tcBorders>
            <w:tcMar>
              <w:top w:w="0" w:type="dxa"/>
              <w:left w:w="0" w:type="dxa"/>
              <w:bottom w:w="0" w:type="dxa"/>
              <w:right w:w="15" w:type="dxa"/>
            </w:tcMar>
            <w:vAlign w:val="bottom"/>
          </w:tcPr>
          <w:p w14:paraId="774B77EC" w14:textId="77777777" w:rsidR="001614AC" w:rsidRDefault="001614AC">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2544A2AE" w14:textId="77777777" w:rsidR="001614AC" w:rsidRDefault="001614AC">
            <w:pPr>
              <w:keepNext/>
            </w:pPr>
          </w:p>
        </w:tc>
        <w:tc>
          <w:tcPr>
            <w:tcW w:w="995" w:type="dxa"/>
            <w:gridSpan w:val="2"/>
            <w:tcBorders>
              <w:top w:val="single" w:sz="8" w:space="0" w:color="E9E9E9"/>
              <w:left w:val="nil"/>
              <w:bottom w:val="single" w:sz="8" w:space="0" w:color="C7C9C7"/>
              <w:right w:val="nil"/>
            </w:tcBorders>
            <w:tcMar>
              <w:top w:w="0" w:type="dxa"/>
              <w:left w:w="53" w:type="dxa"/>
              <w:bottom w:w="0" w:type="dxa"/>
              <w:right w:w="0" w:type="dxa"/>
            </w:tcMar>
            <w:vAlign w:val="bottom"/>
          </w:tcPr>
          <w:p w14:paraId="5521B01F" w14:textId="77777777" w:rsidR="001614AC" w:rsidRDefault="004468F9">
            <w:pPr>
              <w:keepNext/>
              <w:spacing w:before="55" w:after="30" w:line="288" w:lineRule="auto"/>
              <w:jc w:val="right"/>
            </w:pPr>
            <w:r>
              <w:rPr>
                <w:rFonts w:ascii="Arial" w:eastAsia="Arial" w:hAnsi="Arial" w:cs="Arial"/>
                <w:color w:val="000000"/>
                <w:sz w:val="18"/>
              </w:rPr>
              <w:t>2,649 </w:t>
            </w:r>
          </w:p>
        </w:tc>
        <w:tc>
          <w:tcPr>
            <w:tcW w:w="100" w:type="dxa"/>
            <w:tcBorders>
              <w:top w:val="single" w:sz="8" w:space="0" w:color="E9E9E9"/>
              <w:left w:val="nil"/>
              <w:bottom w:val="single" w:sz="8" w:space="0" w:color="C7C9C7"/>
              <w:right w:val="nil"/>
            </w:tcBorders>
            <w:tcMar>
              <w:top w:w="0" w:type="dxa"/>
              <w:left w:w="0" w:type="dxa"/>
              <w:bottom w:w="0" w:type="dxa"/>
              <w:right w:w="15" w:type="dxa"/>
            </w:tcMar>
            <w:vAlign w:val="bottom"/>
          </w:tcPr>
          <w:p w14:paraId="086E76F9" w14:textId="77777777" w:rsidR="001614AC" w:rsidRDefault="001614AC">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10D6DC8B" w14:textId="77777777" w:rsidR="001614AC" w:rsidRDefault="001614AC">
            <w:pPr>
              <w:keepNext/>
            </w:pPr>
          </w:p>
        </w:tc>
        <w:tc>
          <w:tcPr>
            <w:tcW w:w="995" w:type="dxa"/>
            <w:gridSpan w:val="2"/>
            <w:tcBorders>
              <w:top w:val="single" w:sz="8" w:space="0" w:color="E9E9E9"/>
              <w:left w:val="nil"/>
              <w:bottom w:val="single" w:sz="8" w:space="0" w:color="C7C9C7"/>
              <w:right w:val="nil"/>
            </w:tcBorders>
            <w:tcMar>
              <w:top w:w="0" w:type="dxa"/>
              <w:left w:w="53" w:type="dxa"/>
              <w:bottom w:w="0" w:type="dxa"/>
              <w:right w:w="0" w:type="dxa"/>
            </w:tcMar>
            <w:vAlign w:val="bottom"/>
          </w:tcPr>
          <w:p w14:paraId="1DD768CF" w14:textId="77777777" w:rsidR="001614AC" w:rsidRDefault="004468F9">
            <w:pPr>
              <w:keepNext/>
              <w:spacing w:before="55" w:after="30" w:line="288" w:lineRule="auto"/>
              <w:jc w:val="right"/>
            </w:pPr>
            <w:r>
              <w:rPr>
                <w:rFonts w:ascii="Arial" w:eastAsia="Arial" w:hAnsi="Arial" w:cs="Arial"/>
                <w:color w:val="000000"/>
                <w:sz w:val="18"/>
              </w:rPr>
              <w:t>— </w:t>
            </w:r>
          </w:p>
        </w:tc>
        <w:tc>
          <w:tcPr>
            <w:tcW w:w="100" w:type="dxa"/>
            <w:tcBorders>
              <w:top w:val="single" w:sz="8" w:space="0" w:color="E9E9E9"/>
              <w:left w:val="nil"/>
              <w:bottom w:val="single" w:sz="8" w:space="0" w:color="C7C9C7"/>
              <w:right w:val="nil"/>
            </w:tcBorders>
            <w:tcMar>
              <w:top w:w="0" w:type="dxa"/>
              <w:left w:w="0" w:type="dxa"/>
              <w:bottom w:w="0" w:type="dxa"/>
              <w:right w:w="15" w:type="dxa"/>
            </w:tcMar>
            <w:vAlign w:val="bottom"/>
          </w:tcPr>
          <w:p w14:paraId="6BDC9C65" w14:textId="77777777" w:rsidR="001614AC" w:rsidRDefault="001614AC">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0968CEAC" w14:textId="77777777" w:rsidR="001614AC" w:rsidRDefault="001614AC">
            <w:pPr>
              <w:keepNext/>
            </w:pPr>
          </w:p>
        </w:tc>
        <w:tc>
          <w:tcPr>
            <w:tcW w:w="995" w:type="dxa"/>
            <w:gridSpan w:val="2"/>
            <w:tcBorders>
              <w:top w:val="single" w:sz="8" w:space="0" w:color="E9E9E9"/>
              <w:left w:val="nil"/>
              <w:bottom w:val="single" w:sz="8" w:space="0" w:color="C7C9C7"/>
              <w:right w:val="nil"/>
            </w:tcBorders>
            <w:tcMar>
              <w:top w:w="0" w:type="dxa"/>
              <w:left w:w="53" w:type="dxa"/>
              <w:bottom w:w="0" w:type="dxa"/>
              <w:right w:w="0" w:type="dxa"/>
            </w:tcMar>
            <w:vAlign w:val="bottom"/>
          </w:tcPr>
          <w:p w14:paraId="14CD5941" w14:textId="77777777" w:rsidR="001614AC" w:rsidRDefault="004468F9">
            <w:pPr>
              <w:keepNext/>
              <w:spacing w:before="55" w:after="30" w:line="288" w:lineRule="auto"/>
              <w:jc w:val="right"/>
            </w:pPr>
            <w:r>
              <w:rPr>
                <w:rFonts w:ascii="Arial" w:eastAsia="Arial" w:hAnsi="Arial" w:cs="Arial"/>
                <w:color w:val="000000"/>
                <w:sz w:val="18"/>
              </w:rPr>
              <w:t>48,033 </w:t>
            </w:r>
          </w:p>
        </w:tc>
        <w:tc>
          <w:tcPr>
            <w:tcW w:w="100" w:type="dxa"/>
            <w:tcBorders>
              <w:top w:val="single" w:sz="8" w:space="0" w:color="E9E9E9"/>
              <w:left w:val="nil"/>
              <w:bottom w:val="single" w:sz="8" w:space="0" w:color="C7C9C7"/>
              <w:right w:val="nil"/>
            </w:tcBorders>
            <w:tcMar>
              <w:top w:w="0" w:type="dxa"/>
              <w:left w:w="0" w:type="dxa"/>
              <w:bottom w:w="0" w:type="dxa"/>
              <w:right w:w="15" w:type="dxa"/>
            </w:tcMar>
            <w:vAlign w:val="bottom"/>
          </w:tcPr>
          <w:p w14:paraId="24E5D201" w14:textId="77777777" w:rsidR="001614AC" w:rsidRDefault="001614AC">
            <w:pPr>
              <w:keepNext/>
              <w:spacing w:before="55" w:after="30" w:line="288" w:lineRule="auto"/>
              <w:jc w:val="right"/>
            </w:pPr>
          </w:p>
        </w:tc>
      </w:tr>
      <w:tr w:rsidR="001614AC" w14:paraId="626B409A" w14:textId="77777777">
        <w:trPr>
          <w:cantSplit/>
        </w:trPr>
        <w:tc>
          <w:tcPr>
            <w:tcW w:w="4080" w:type="dxa"/>
            <w:tcBorders>
              <w:top w:val="nil"/>
              <w:left w:val="nil"/>
              <w:bottom w:val="nil"/>
              <w:right w:val="nil"/>
            </w:tcBorders>
            <w:shd w:val="clear" w:color="auto" w:fill="F4F4F4"/>
            <w:tcMar>
              <w:top w:w="0" w:type="dxa"/>
              <w:left w:w="53" w:type="dxa"/>
              <w:bottom w:w="0" w:type="dxa"/>
              <w:right w:w="53" w:type="dxa"/>
            </w:tcMar>
            <w:vAlign w:val="bottom"/>
          </w:tcPr>
          <w:p w14:paraId="2D60D48D" w14:textId="77777777" w:rsidR="001614AC" w:rsidRDefault="004468F9">
            <w:pPr>
              <w:keepNext/>
              <w:spacing w:before="75" w:after="30" w:line="288" w:lineRule="auto"/>
              <w:ind w:left="240"/>
            </w:pPr>
            <w:r>
              <w:rPr>
                <w:rFonts w:ascii="Arial" w:eastAsia="Arial" w:hAnsi="Arial" w:cs="Arial"/>
                <w:color w:val="000000"/>
                <w:sz w:val="18"/>
              </w:rPr>
              <w:t xml:space="preserve">Total </w:t>
            </w:r>
            <w:r>
              <w:rPr>
                <w:rFonts w:ascii="Arial" w:eastAsia="Arial" w:hAnsi="Arial" w:cs="Arial"/>
                <w:color w:val="000000"/>
                <w:sz w:val="18"/>
              </w:rPr>
              <w:t>securities available for sale, including loaned securities</w:t>
            </w:r>
          </w:p>
        </w:tc>
        <w:tc>
          <w:tcPr>
            <w:tcW w:w="105" w:type="dxa"/>
            <w:tcBorders>
              <w:top w:val="nil"/>
              <w:left w:val="nil"/>
              <w:bottom w:val="nil"/>
              <w:right w:val="nil"/>
            </w:tcBorders>
            <w:shd w:val="clear" w:color="auto" w:fill="F4F4F4"/>
            <w:tcMar>
              <w:top w:w="0" w:type="dxa"/>
              <w:left w:w="0" w:type="dxa"/>
              <w:bottom w:w="0" w:type="dxa"/>
              <w:right w:w="0" w:type="dxa"/>
            </w:tcMar>
            <w:vAlign w:val="bottom"/>
          </w:tcPr>
          <w:p w14:paraId="76C6E249" w14:textId="77777777" w:rsidR="001614AC" w:rsidRDefault="001614AC">
            <w:pPr>
              <w:keepNext/>
            </w:pPr>
          </w:p>
        </w:tc>
        <w:tc>
          <w:tcPr>
            <w:tcW w:w="995" w:type="dxa"/>
            <w:gridSpan w:val="2"/>
            <w:tcBorders>
              <w:top w:val="single" w:sz="8" w:space="0" w:color="C7C9C7"/>
              <w:left w:val="nil"/>
              <w:bottom w:val="nil"/>
              <w:right w:val="nil"/>
            </w:tcBorders>
            <w:shd w:val="clear" w:color="auto" w:fill="F4F4F4"/>
            <w:tcMar>
              <w:top w:w="0" w:type="dxa"/>
              <w:left w:w="53" w:type="dxa"/>
              <w:bottom w:w="0" w:type="dxa"/>
              <w:right w:w="0" w:type="dxa"/>
            </w:tcMar>
            <w:vAlign w:val="bottom"/>
          </w:tcPr>
          <w:p w14:paraId="46E40C25" w14:textId="77777777" w:rsidR="001614AC" w:rsidRDefault="004468F9">
            <w:pPr>
              <w:keepNext/>
              <w:spacing w:before="55" w:after="30" w:line="288" w:lineRule="auto"/>
              <w:jc w:val="right"/>
            </w:pPr>
            <w:r>
              <w:rPr>
                <w:rFonts w:ascii="Arial" w:eastAsia="Arial" w:hAnsi="Arial" w:cs="Arial"/>
                <w:color w:val="000000"/>
                <w:sz w:val="18"/>
              </w:rPr>
              <w:t>5,447,507 </w:t>
            </w:r>
          </w:p>
        </w:tc>
        <w:tc>
          <w:tcPr>
            <w:tcW w:w="100" w:type="dxa"/>
            <w:tcBorders>
              <w:top w:val="single" w:sz="8" w:space="0" w:color="C7C9C7"/>
              <w:left w:val="nil"/>
              <w:bottom w:val="nil"/>
              <w:right w:val="nil"/>
            </w:tcBorders>
            <w:shd w:val="clear" w:color="auto" w:fill="F4F4F4"/>
            <w:tcMar>
              <w:top w:w="0" w:type="dxa"/>
              <w:left w:w="0" w:type="dxa"/>
              <w:bottom w:w="0" w:type="dxa"/>
              <w:right w:w="15" w:type="dxa"/>
            </w:tcMar>
            <w:vAlign w:val="bottom"/>
          </w:tcPr>
          <w:p w14:paraId="35B2CA93" w14:textId="77777777" w:rsidR="001614AC" w:rsidRDefault="001614AC">
            <w:pPr>
              <w:keepNext/>
              <w:spacing w:before="55" w:after="30" w:line="288" w:lineRule="auto"/>
              <w:jc w:val="right"/>
            </w:pPr>
          </w:p>
        </w:tc>
        <w:tc>
          <w:tcPr>
            <w:tcW w:w="105" w:type="dxa"/>
            <w:tcBorders>
              <w:top w:val="nil"/>
              <w:left w:val="nil"/>
              <w:bottom w:val="nil"/>
              <w:right w:val="nil"/>
            </w:tcBorders>
            <w:shd w:val="clear" w:color="auto" w:fill="F4F4F4"/>
            <w:tcMar>
              <w:top w:w="0" w:type="dxa"/>
              <w:left w:w="0" w:type="dxa"/>
              <w:bottom w:w="0" w:type="dxa"/>
              <w:right w:w="0" w:type="dxa"/>
            </w:tcMar>
            <w:vAlign w:val="bottom"/>
          </w:tcPr>
          <w:p w14:paraId="271228CB" w14:textId="77777777" w:rsidR="001614AC" w:rsidRDefault="001614AC">
            <w:pPr>
              <w:keepNext/>
            </w:pPr>
          </w:p>
        </w:tc>
        <w:tc>
          <w:tcPr>
            <w:tcW w:w="160" w:type="dxa"/>
            <w:tcBorders>
              <w:top w:val="single" w:sz="8" w:space="0" w:color="C7C9C7"/>
              <w:left w:val="nil"/>
              <w:bottom w:val="double" w:sz="8" w:space="0" w:color="C7C9C7"/>
              <w:right w:val="nil"/>
            </w:tcBorders>
            <w:shd w:val="clear" w:color="auto" w:fill="F4F4F4"/>
            <w:tcMar>
              <w:top w:w="0" w:type="dxa"/>
              <w:left w:w="53" w:type="dxa"/>
              <w:bottom w:w="0" w:type="dxa"/>
              <w:right w:w="0" w:type="dxa"/>
            </w:tcMar>
            <w:vAlign w:val="bottom"/>
          </w:tcPr>
          <w:p w14:paraId="7EB3C0D8" w14:textId="77777777" w:rsidR="001614AC" w:rsidRDefault="004468F9">
            <w:pPr>
              <w:keepNext/>
              <w:spacing w:before="55" w:after="30" w:line="288" w:lineRule="auto"/>
            </w:pPr>
            <w:r>
              <w:rPr>
                <w:rFonts w:ascii="Arial" w:eastAsia="Arial" w:hAnsi="Arial" w:cs="Arial"/>
                <w:color w:val="000000"/>
                <w:sz w:val="18"/>
              </w:rPr>
              <w:t>$</w:t>
            </w:r>
          </w:p>
        </w:tc>
        <w:tc>
          <w:tcPr>
            <w:tcW w:w="835" w:type="dxa"/>
            <w:tcBorders>
              <w:top w:val="single" w:sz="8" w:space="0" w:color="C7C9C7"/>
              <w:left w:val="nil"/>
              <w:bottom w:val="double" w:sz="8" w:space="0" w:color="C7C9C7"/>
              <w:right w:val="nil"/>
            </w:tcBorders>
            <w:shd w:val="clear" w:color="auto" w:fill="F4F4F4"/>
            <w:tcMar>
              <w:top w:w="0" w:type="dxa"/>
              <w:left w:w="0" w:type="dxa"/>
              <w:bottom w:w="0" w:type="dxa"/>
              <w:right w:w="0" w:type="dxa"/>
            </w:tcMar>
            <w:vAlign w:val="bottom"/>
          </w:tcPr>
          <w:p w14:paraId="50FA1B26" w14:textId="77777777" w:rsidR="001614AC" w:rsidRDefault="004468F9">
            <w:pPr>
              <w:keepNext/>
              <w:spacing w:before="55" w:after="30" w:line="288" w:lineRule="auto"/>
              <w:jc w:val="right"/>
            </w:pPr>
            <w:r>
              <w:rPr>
                <w:rFonts w:ascii="Arial" w:eastAsia="Arial" w:hAnsi="Arial" w:cs="Arial"/>
                <w:color w:val="000000"/>
                <w:sz w:val="18"/>
              </w:rPr>
              <w:t>— </w:t>
            </w:r>
          </w:p>
        </w:tc>
        <w:tc>
          <w:tcPr>
            <w:tcW w:w="100" w:type="dxa"/>
            <w:tcBorders>
              <w:top w:val="single" w:sz="8" w:space="0" w:color="C7C9C7"/>
              <w:left w:val="nil"/>
              <w:bottom w:val="double" w:sz="8" w:space="0" w:color="C7C9C7"/>
              <w:right w:val="nil"/>
            </w:tcBorders>
            <w:shd w:val="clear" w:color="auto" w:fill="F4F4F4"/>
            <w:tcMar>
              <w:top w:w="0" w:type="dxa"/>
              <w:left w:w="0" w:type="dxa"/>
              <w:bottom w:w="0" w:type="dxa"/>
              <w:right w:w="15" w:type="dxa"/>
            </w:tcMar>
            <w:vAlign w:val="bottom"/>
          </w:tcPr>
          <w:p w14:paraId="25F0643D" w14:textId="77777777" w:rsidR="001614AC" w:rsidRDefault="001614AC">
            <w:pPr>
              <w:keepNext/>
              <w:spacing w:before="55" w:after="30" w:line="288" w:lineRule="auto"/>
              <w:jc w:val="right"/>
            </w:pPr>
          </w:p>
        </w:tc>
        <w:tc>
          <w:tcPr>
            <w:tcW w:w="105" w:type="dxa"/>
            <w:tcBorders>
              <w:top w:val="nil"/>
              <w:left w:val="nil"/>
              <w:bottom w:val="nil"/>
              <w:right w:val="nil"/>
            </w:tcBorders>
            <w:shd w:val="clear" w:color="auto" w:fill="F4F4F4"/>
            <w:tcMar>
              <w:top w:w="0" w:type="dxa"/>
              <w:left w:w="0" w:type="dxa"/>
              <w:bottom w:w="0" w:type="dxa"/>
              <w:right w:w="0" w:type="dxa"/>
            </w:tcMar>
            <w:vAlign w:val="bottom"/>
          </w:tcPr>
          <w:p w14:paraId="12422D10" w14:textId="77777777" w:rsidR="001614AC" w:rsidRDefault="001614AC">
            <w:pPr>
              <w:keepNext/>
            </w:pPr>
          </w:p>
        </w:tc>
        <w:tc>
          <w:tcPr>
            <w:tcW w:w="160" w:type="dxa"/>
            <w:tcBorders>
              <w:top w:val="single" w:sz="8" w:space="0" w:color="C7C9C7"/>
              <w:left w:val="nil"/>
              <w:bottom w:val="double" w:sz="8" w:space="0" w:color="C7C9C7"/>
              <w:right w:val="nil"/>
            </w:tcBorders>
            <w:shd w:val="clear" w:color="auto" w:fill="F4F4F4"/>
            <w:tcMar>
              <w:top w:w="0" w:type="dxa"/>
              <w:left w:w="53" w:type="dxa"/>
              <w:bottom w:w="0" w:type="dxa"/>
              <w:right w:w="0" w:type="dxa"/>
            </w:tcMar>
            <w:vAlign w:val="bottom"/>
          </w:tcPr>
          <w:p w14:paraId="0FC77B6F" w14:textId="77777777" w:rsidR="001614AC" w:rsidRDefault="004468F9">
            <w:pPr>
              <w:keepNext/>
              <w:spacing w:before="55" w:after="30" w:line="288" w:lineRule="auto"/>
            </w:pPr>
            <w:r>
              <w:rPr>
                <w:rFonts w:ascii="Arial" w:eastAsia="Arial" w:hAnsi="Arial" w:cs="Arial"/>
                <w:color w:val="000000"/>
                <w:sz w:val="18"/>
              </w:rPr>
              <w:t>$</w:t>
            </w:r>
          </w:p>
        </w:tc>
        <w:tc>
          <w:tcPr>
            <w:tcW w:w="835" w:type="dxa"/>
            <w:tcBorders>
              <w:top w:val="single" w:sz="8" w:space="0" w:color="C7C9C7"/>
              <w:left w:val="nil"/>
              <w:bottom w:val="double" w:sz="8" w:space="0" w:color="C7C9C7"/>
              <w:right w:val="nil"/>
            </w:tcBorders>
            <w:shd w:val="clear" w:color="auto" w:fill="F4F4F4"/>
            <w:tcMar>
              <w:top w:w="0" w:type="dxa"/>
              <w:left w:w="0" w:type="dxa"/>
              <w:bottom w:w="0" w:type="dxa"/>
              <w:right w:w="0" w:type="dxa"/>
            </w:tcMar>
            <w:vAlign w:val="bottom"/>
          </w:tcPr>
          <w:p w14:paraId="72D702C6" w14:textId="77777777" w:rsidR="001614AC" w:rsidRDefault="004468F9">
            <w:pPr>
              <w:keepNext/>
              <w:spacing w:before="55" w:after="30" w:line="288" w:lineRule="auto"/>
              <w:jc w:val="right"/>
            </w:pPr>
            <w:r>
              <w:rPr>
                <w:rFonts w:ascii="Arial" w:eastAsia="Arial" w:hAnsi="Arial" w:cs="Arial"/>
                <w:color w:val="000000"/>
                <w:sz w:val="18"/>
              </w:rPr>
              <w:t>253,188 </w:t>
            </w:r>
          </w:p>
        </w:tc>
        <w:tc>
          <w:tcPr>
            <w:tcW w:w="100" w:type="dxa"/>
            <w:tcBorders>
              <w:top w:val="single" w:sz="8" w:space="0" w:color="C7C9C7"/>
              <w:left w:val="nil"/>
              <w:bottom w:val="double" w:sz="8" w:space="0" w:color="C7C9C7"/>
              <w:right w:val="nil"/>
            </w:tcBorders>
            <w:shd w:val="clear" w:color="auto" w:fill="F4F4F4"/>
            <w:tcMar>
              <w:top w:w="0" w:type="dxa"/>
              <w:left w:w="0" w:type="dxa"/>
              <w:bottom w:w="0" w:type="dxa"/>
              <w:right w:w="15" w:type="dxa"/>
            </w:tcMar>
            <w:vAlign w:val="bottom"/>
          </w:tcPr>
          <w:p w14:paraId="3D9261A3" w14:textId="77777777" w:rsidR="001614AC" w:rsidRDefault="001614AC">
            <w:pPr>
              <w:keepNext/>
              <w:spacing w:before="55" w:after="30" w:line="288" w:lineRule="auto"/>
              <w:jc w:val="right"/>
            </w:pPr>
          </w:p>
        </w:tc>
        <w:tc>
          <w:tcPr>
            <w:tcW w:w="105" w:type="dxa"/>
            <w:tcBorders>
              <w:top w:val="nil"/>
              <w:left w:val="nil"/>
              <w:bottom w:val="nil"/>
              <w:right w:val="nil"/>
            </w:tcBorders>
            <w:shd w:val="clear" w:color="auto" w:fill="F4F4F4"/>
            <w:tcMar>
              <w:top w:w="0" w:type="dxa"/>
              <w:left w:w="0" w:type="dxa"/>
              <w:bottom w:w="0" w:type="dxa"/>
              <w:right w:w="0" w:type="dxa"/>
            </w:tcMar>
            <w:vAlign w:val="bottom"/>
          </w:tcPr>
          <w:p w14:paraId="33B87FDC" w14:textId="77777777" w:rsidR="001614AC" w:rsidRDefault="001614AC">
            <w:pPr>
              <w:keepNext/>
            </w:pPr>
          </w:p>
        </w:tc>
        <w:tc>
          <w:tcPr>
            <w:tcW w:w="160" w:type="dxa"/>
            <w:tcBorders>
              <w:top w:val="single" w:sz="8" w:space="0" w:color="C7C9C7"/>
              <w:left w:val="nil"/>
              <w:bottom w:val="double" w:sz="8" w:space="0" w:color="C7C9C7"/>
              <w:right w:val="nil"/>
            </w:tcBorders>
            <w:shd w:val="clear" w:color="auto" w:fill="F4F4F4"/>
            <w:tcMar>
              <w:top w:w="0" w:type="dxa"/>
              <w:left w:w="53" w:type="dxa"/>
              <w:bottom w:w="0" w:type="dxa"/>
              <w:right w:w="0" w:type="dxa"/>
            </w:tcMar>
            <w:vAlign w:val="bottom"/>
          </w:tcPr>
          <w:p w14:paraId="480DE600" w14:textId="77777777" w:rsidR="001614AC" w:rsidRDefault="004468F9">
            <w:pPr>
              <w:keepNext/>
              <w:spacing w:before="55" w:after="30" w:line="288" w:lineRule="auto"/>
            </w:pPr>
            <w:r>
              <w:rPr>
                <w:rFonts w:ascii="Arial" w:eastAsia="Arial" w:hAnsi="Arial" w:cs="Arial"/>
                <w:color w:val="000000"/>
                <w:sz w:val="18"/>
              </w:rPr>
              <w:t>$</w:t>
            </w:r>
          </w:p>
        </w:tc>
        <w:tc>
          <w:tcPr>
            <w:tcW w:w="835" w:type="dxa"/>
            <w:tcBorders>
              <w:top w:val="single" w:sz="8" w:space="0" w:color="C7C9C7"/>
              <w:left w:val="nil"/>
              <w:bottom w:val="double" w:sz="8" w:space="0" w:color="C7C9C7"/>
              <w:right w:val="nil"/>
            </w:tcBorders>
            <w:shd w:val="clear" w:color="auto" w:fill="F4F4F4"/>
            <w:tcMar>
              <w:top w:w="0" w:type="dxa"/>
              <w:left w:w="0" w:type="dxa"/>
              <w:bottom w:w="0" w:type="dxa"/>
              <w:right w:w="0" w:type="dxa"/>
            </w:tcMar>
            <w:vAlign w:val="bottom"/>
          </w:tcPr>
          <w:p w14:paraId="583D67FD" w14:textId="77777777" w:rsidR="001614AC" w:rsidRDefault="004468F9">
            <w:pPr>
              <w:keepNext/>
              <w:spacing w:before="55" w:after="30" w:line="288" w:lineRule="auto"/>
              <w:jc w:val="right"/>
            </w:pPr>
            <w:r>
              <w:rPr>
                <w:rFonts w:ascii="Arial" w:eastAsia="Arial" w:hAnsi="Arial" w:cs="Arial"/>
                <w:color w:val="000000"/>
                <w:sz w:val="18"/>
              </w:rPr>
              <w:t>(27,014)</w:t>
            </w:r>
          </w:p>
        </w:tc>
        <w:tc>
          <w:tcPr>
            <w:tcW w:w="100" w:type="dxa"/>
            <w:tcBorders>
              <w:top w:val="single" w:sz="8" w:space="0" w:color="C7C9C7"/>
              <w:left w:val="nil"/>
              <w:bottom w:val="double" w:sz="8" w:space="0" w:color="C7C9C7"/>
              <w:right w:val="nil"/>
            </w:tcBorders>
            <w:shd w:val="clear" w:color="auto" w:fill="F4F4F4"/>
            <w:tcMar>
              <w:top w:w="0" w:type="dxa"/>
              <w:left w:w="0" w:type="dxa"/>
              <w:bottom w:w="0" w:type="dxa"/>
              <w:right w:w="15" w:type="dxa"/>
            </w:tcMar>
            <w:vAlign w:val="bottom"/>
          </w:tcPr>
          <w:p w14:paraId="46CB3485" w14:textId="77777777" w:rsidR="001614AC" w:rsidRDefault="001614AC">
            <w:pPr>
              <w:keepNext/>
              <w:spacing w:before="55" w:after="30" w:line="288" w:lineRule="auto"/>
              <w:jc w:val="right"/>
            </w:pPr>
          </w:p>
        </w:tc>
        <w:tc>
          <w:tcPr>
            <w:tcW w:w="105" w:type="dxa"/>
            <w:tcBorders>
              <w:top w:val="nil"/>
              <w:left w:val="nil"/>
              <w:bottom w:val="nil"/>
              <w:right w:val="nil"/>
            </w:tcBorders>
            <w:shd w:val="clear" w:color="auto" w:fill="F4F4F4"/>
            <w:tcMar>
              <w:top w:w="0" w:type="dxa"/>
              <w:left w:w="0" w:type="dxa"/>
              <w:bottom w:w="0" w:type="dxa"/>
              <w:right w:w="0" w:type="dxa"/>
            </w:tcMar>
            <w:vAlign w:val="bottom"/>
          </w:tcPr>
          <w:p w14:paraId="7CAAA376" w14:textId="77777777" w:rsidR="001614AC" w:rsidRDefault="001614AC">
            <w:pPr>
              <w:keepNext/>
            </w:pPr>
          </w:p>
        </w:tc>
        <w:tc>
          <w:tcPr>
            <w:tcW w:w="995" w:type="dxa"/>
            <w:gridSpan w:val="2"/>
            <w:tcBorders>
              <w:top w:val="single" w:sz="8" w:space="0" w:color="C7C9C7"/>
              <w:left w:val="nil"/>
              <w:bottom w:val="nil"/>
              <w:right w:val="nil"/>
            </w:tcBorders>
            <w:shd w:val="clear" w:color="auto" w:fill="F4F4F4"/>
            <w:tcMar>
              <w:top w:w="0" w:type="dxa"/>
              <w:left w:w="53" w:type="dxa"/>
              <w:bottom w:w="0" w:type="dxa"/>
              <w:right w:w="0" w:type="dxa"/>
            </w:tcMar>
            <w:vAlign w:val="bottom"/>
          </w:tcPr>
          <w:p w14:paraId="394DDB35" w14:textId="77777777" w:rsidR="001614AC" w:rsidRDefault="004468F9">
            <w:pPr>
              <w:keepNext/>
              <w:spacing w:before="55" w:after="30" w:line="288" w:lineRule="auto"/>
              <w:jc w:val="right"/>
            </w:pPr>
            <w:r>
              <w:rPr>
                <w:rFonts w:ascii="Arial" w:eastAsia="Arial" w:hAnsi="Arial" w:cs="Arial"/>
                <w:color w:val="000000"/>
                <w:sz w:val="18"/>
              </w:rPr>
              <w:t>5,673,681 </w:t>
            </w:r>
          </w:p>
        </w:tc>
        <w:tc>
          <w:tcPr>
            <w:tcW w:w="100" w:type="dxa"/>
            <w:tcBorders>
              <w:top w:val="single" w:sz="8" w:space="0" w:color="C7C9C7"/>
              <w:left w:val="nil"/>
              <w:bottom w:val="nil"/>
              <w:right w:val="nil"/>
            </w:tcBorders>
            <w:shd w:val="clear" w:color="auto" w:fill="F4F4F4"/>
            <w:tcMar>
              <w:top w:w="0" w:type="dxa"/>
              <w:left w:w="0" w:type="dxa"/>
              <w:bottom w:w="0" w:type="dxa"/>
              <w:right w:w="15" w:type="dxa"/>
            </w:tcMar>
            <w:vAlign w:val="bottom"/>
          </w:tcPr>
          <w:p w14:paraId="7ADF451C" w14:textId="77777777" w:rsidR="001614AC" w:rsidRDefault="001614AC">
            <w:pPr>
              <w:keepNext/>
              <w:spacing w:before="55" w:after="30" w:line="288" w:lineRule="auto"/>
              <w:jc w:val="right"/>
            </w:pPr>
          </w:p>
        </w:tc>
      </w:tr>
      <w:tr w:rsidR="001614AC" w14:paraId="67840191" w14:textId="77777777">
        <w:trPr>
          <w:cantSplit/>
        </w:trPr>
        <w:tc>
          <w:tcPr>
            <w:tcW w:w="4080" w:type="dxa"/>
            <w:tcBorders>
              <w:top w:val="nil"/>
              <w:left w:val="nil"/>
              <w:bottom w:val="nil"/>
              <w:right w:val="nil"/>
            </w:tcBorders>
            <w:tcMar>
              <w:top w:w="0" w:type="dxa"/>
              <w:left w:w="53" w:type="dxa"/>
              <w:bottom w:w="0" w:type="dxa"/>
              <w:right w:w="53" w:type="dxa"/>
            </w:tcMar>
            <w:vAlign w:val="bottom"/>
          </w:tcPr>
          <w:p w14:paraId="479A307B" w14:textId="77777777" w:rsidR="001614AC" w:rsidRDefault="004468F9">
            <w:pPr>
              <w:keepNext/>
              <w:spacing w:before="75" w:after="30" w:line="288" w:lineRule="auto"/>
              <w:rPr>
                <w:rFonts w:ascii="Arial" w:eastAsia="Arial" w:hAnsi="Arial" w:cs="Arial"/>
                <w:sz w:val="18"/>
              </w:rPr>
            </w:pPr>
            <w:r>
              <w:rPr>
                <w:rFonts w:ascii="Arial" w:eastAsia="Arial" w:hAnsi="Arial" w:cs="Arial"/>
                <w:sz w:val="18"/>
              </w:rPr>
              <w:t xml:space="preserve">Less: loaned securities </w:t>
            </w:r>
            <w:r>
              <w:rPr>
                <w:rFonts w:ascii="Arial" w:eastAsia="Arial" w:hAnsi="Arial" w:cs="Arial"/>
                <w:sz w:val="18"/>
                <w:vertAlign w:val="superscript"/>
              </w:rPr>
              <w:t>(2)</w:t>
            </w:r>
          </w:p>
        </w:tc>
        <w:tc>
          <w:tcPr>
            <w:tcW w:w="105" w:type="dxa"/>
            <w:tcBorders>
              <w:top w:val="nil"/>
              <w:left w:val="nil"/>
              <w:bottom w:val="nil"/>
              <w:right w:val="nil"/>
            </w:tcBorders>
            <w:tcMar>
              <w:top w:w="0" w:type="dxa"/>
              <w:left w:w="0" w:type="dxa"/>
              <w:bottom w:w="0" w:type="dxa"/>
              <w:right w:w="0" w:type="dxa"/>
            </w:tcMar>
            <w:vAlign w:val="bottom"/>
          </w:tcPr>
          <w:p w14:paraId="0142C50A" w14:textId="77777777" w:rsidR="001614AC" w:rsidRDefault="001614AC">
            <w:pPr>
              <w:keepNext/>
            </w:pPr>
          </w:p>
        </w:tc>
        <w:tc>
          <w:tcPr>
            <w:tcW w:w="995" w:type="dxa"/>
            <w:gridSpan w:val="2"/>
            <w:tcBorders>
              <w:top w:val="nil"/>
              <w:left w:val="nil"/>
              <w:bottom w:val="single" w:sz="8" w:space="0" w:color="C7C9C7"/>
              <w:right w:val="nil"/>
            </w:tcBorders>
            <w:tcMar>
              <w:top w:w="0" w:type="dxa"/>
              <w:left w:w="53" w:type="dxa"/>
              <w:bottom w:w="0" w:type="dxa"/>
              <w:right w:w="0" w:type="dxa"/>
            </w:tcMar>
            <w:vAlign w:val="bottom"/>
          </w:tcPr>
          <w:p w14:paraId="798DC8C0" w14:textId="77777777" w:rsidR="001614AC" w:rsidRDefault="004468F9">
            <w:pPr>
              <w:keepNext/>
              <w:spacing w:before="75" w:after="30" w:line="288" w:lineRule="auto"/>
              <w:jc w:val="right"/>
            </w:pPr>
            <w:r>
              <w:rPr>
                <w:rFonts w:ascii="Arial" w:eastAsia="Arial" w:hAnsi="Arial" w:cs="Arial"/>
                <w:color w:val="000000"/>
                <w:sz w:val="18"/>
              </w:rPr>
              <w:t>98,102 </w:t>
            </w:r>
          </w:p>
        </w:tc>
        <w:tc>
          <w:tcPr>
            <w:tcW w:w="100" w:type="dxa"/>
            <w:tcBorders>
              <w:top w:val="nil"/>
              <w:left w:val="nil"/>
              <w:bottom w:val="single" w:sz="8" w:space="0" w:color="C7C9C7"/>
              <w:right w:val="nil"/>
            </w:tcBorders>
            <w:tcMar>
              <w:top w:w="0" w:type="dxa"/>
              <w:left w:w="0" w:type="dxa"/>
              <w:bottom w:w="0" w:type="dxa"/>
              <w:right w:w="15" w:type="dxa"/>
            </w:tcMar>
            <w:vAlign w:val="bottom"/>
          </w:tcPr>
          <w:p w14:paraId="4F5B6FD3" w14:textId="77777777" w:rsidR="001614AC" w:rsidRDefault="001614AC">
            <w:pPr>
              <w:keepNext/>
              <w:spacing w:before="7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01DDE39F" w14:textId="77777777" w:rsidR="001614AC" w:rsidRDefault="001614AC">
            <w:pPr>
              <w:keepNext/>
            </w:pPr>
          </w:p>
        </w:tc>
        <w:tc>
          <w:tcPr>
            <w:tcW w:w="1095" w:type="dxa"/>
            <w:gridSpan w:val="3"/>
            <w:tcBorders>
              <w:top w:val="double" w:sz="8" w:space="0" w:color="C7C9C7"/>
              <w:left w:val="nil"/>
              <w:bottom w:val="nil"/>
              <w:right w:val="nil"/>
            </w:tcBorders>
            <w:tcMar>
              <w:top w:w="0" w:type="dxa"/>
              <w:left w:w="0" w:type="dxa"/>
              <w:bottom w:w="0" w:type="dxa"/>
              <w:right w:w="0" w:type="dxa"/>
            </w:tcMar>
            <w:vAlign w:val="bottom"/>
          </w:tcPr>
          <w:p w14:paraId="387208CE" w14:textId="77777777" w:rsidR="001614AC" w:rsidRDefault="001614AC">
            <w:pPr>
              <w:keepNext/>
            </w:pPr>
          </w:p>
        </w:tc>
        <w:tc>
          <w:tcPr>
            <w:tcW w:w="105" w:type="dxa"/>
            <w:tcBorders>
              <w:top w:val="nil"/>
              <w:left w:val="nil"/>
              <w:bottom w:val="nil"/>
              <w:right w:val="nil"/>
            </w:tcBorders>
            <w:tcMar>
              <w:top w:w="0" w:type="dxa"/>
              <w:left w:w="0" w:type="dxa"/>
              <w:bottom w:w="0" w:type="dxa"/>
              <w:right w:w="0" w:type="dxa"/>
            </w:tcMar>
            <w:vAlign w:val="bottom"/>
          </w:tcPr>
          <w:p w14:paraId="09C8899A" w14:textId="77777777" w:rsidR="001614AC" w:rsidRDefault="001614AC">
            <w:pPr>
              <w:keepNext/>
            </w:pPr>
          </w:p>
        </w:tc>
        <w:tc>
          <w:tcPr>
            <w:tcW w:w="1095" w:type="dxa"/>
            <w:gridSpan w:val="3"/>
            <w:tcBorders>
              <w:top w:val="double" w:sz="8" w:space="0" w:color="C7C9C7"/>
              <w:left w:val="nil"/>
              <w:bottom w:val="nil"/>
              <w:right w:val="nil"/>
            </w:tcBorders>
            <w:tcMar>
              <w:top w:w="0" w:type="dxa"/>
              <w:left w:w="0" w:type="dxa"/>
              <w:bottom w:w="0" w:type="dxa"/>
              <w:right w:w="0" w:type="dxa"/>
            </w:tcMar>
            <w:vAlign w:val="bottom"/>
          </w:tcPr>
          <w:p w14:paraId="6D539D5A" w14:textId="77777777" w:rsidR="001614AC" w:rsidRDefault="001614AC">
            <w:pPr>
              <w:keepNext/>
            </w:pPr>
          </w:p>
        </w:tc>
        <w:tc>
          <w:tcPr>
            <w:tcW w:w="105" w:type="dxa"/>
            <w:tcBorders>
              <w:top w:val="nil"/>
              <w:left w:val="nil"/>
              <w:bottom w:val="nil"/>
              <w:right w:val="nil"/>
            </w:tcBorders>
            <w:tcMar>
              <w:top w:w="0" w:type="dxa"/>
              <w:left w:w="0" w:type="dxa"/>
              <w:bottom w:w="0" w:type="dxa"/>
              <w:right w:w="0" w:type="dxa"/>
            </w:tcMar>
            <w:vAlign w:val="bottom"/>
          </w:tcPr>
          <w:p w14:paraId="3BC87FAE" w14:textId="77777777" w:rsidR="001614AC" w:rsidRDefault="001614AC">
            <w:pPr>
              <w:keepNext/>
            </w:pPr>
          </w:p>
        </w:tc>
        <w:tc>
          <w:tcPr>
            <w:tcW w:w="1095" w:type="dxa"/>
            <w:gridSpan w:val="3"/>
            <w:tcBorders>
              <w:top w:val="double" w:sz="8" w:space="0" w:color="C7C9C7"/>
              <w:left w:val="nil"/>
              <w:bottom w:val="nil"/>
              <w:right w:val="nil"/>
            </w:tcBorders>
            <w:tcMar>
              <w:top w:w="0" w:type="dxa"/>
              <w:left w:w="0" w:type="dxa"/>
              <w:bottom w:w="0" w:type="dxa"/>
              <w:right w:w="0" w:type="dxa"/>
            </w:tcMar>
            <w:vAlign w:val="bottom"/>
          </w:tcPr>
          <w:p w14:paraId="15D704F7" w14:textId="77777777" w:rsidR="001614AC" w:rsidRDefault="001614AC">
            <w:pPr>
              <w:keepNext/>
            </w:pPr>
          </w:p>
        </w:tc>
        <w:tc>
          <w:tcPr>
            <w:tcW w:w="105" w:type="dxa"/>
            <w:tcBorders>
              <w:top w:val="nil"/>
              <w:left w:val="nil"/>
              <w:bottom w:val="nil"/>
              <w:right w:val="nil"/>
            </w:tcBorders>
            <w:tcMar>
              <w:top w:w="0" w:type="dxa"/>
              <w:left w:w="0" w:type="dxa"/>
              <w:bottom w:w="0" w:type="dxa"/>
              <w:right w:w="0" w:type="dxa"/>
            </w:tcMar>
            <w:vAlign w:val="bottom"/>
          </w:tcPr>
          <w:p w14:paraId="74E62788" w14:textId="77777777" w:rsidR="001614AC" w:rsidRDefault="001614AC">
            <w:pPr>
              <w:keepNext/>
            </w:pPr>
          </w:p>
        </w:tc>
        <w:tc>
          <w:tcPr>
            <w:tcW w:w="995" w:type="dxa"/>
            <w:gridSpan w:val="2"/>
            <w:tcBorders>
              <w:top w:val="nil"/>
              <w:left w:val="nil"/>
              <w:bottom w:val="single" w:sz="8" w:space="0" w:color="C7C9C7"/>
              <w:right w:val="nil"/>
            </w:tcBorders>
            <w:tcMar>
              <w:top w:w="0" w:type="dxa"/>
              <w:left w:w="53" w:type="dxa"/>
              <w:bottom w:w="0" w:type="dxa"/>
              <w:right w:w="0" w:type="dxa"/>
            </w:tcMar>
            <w:vAlign w:val="bottom"/>
          </w:tcPr>
          <w:p w14:paraId="3C878843" w14:textId="77777777" w:rsidR="001614AC" w:rsidRDefault="004468F9">
            <w:pPr>
              <w:keepNext/>
              <w:spacing w:before="75" w:after="30" w:line="288" w:lineRule="auto"/>
              <w:jc w:val="right"/>
            </w:pPr>
            <w:r>
              <w:rPr>
                <w:rFonts w:ascii="Arial" w:eastAsia="Arial" w:hAnsi="Arial" w:cs="Arial"/>
                <w:color w:val="000000"/>
                <w:sz w:val="18"/>
              </w:rPr>
              <w:t>100,868 </w:t>
            </w:r>
          </w:p>
        </w:tc>
        <w:tc>
          <w:tcPr>
            <w:tcW w:w="100" w:type="dxa"/>
            <w:tcBorders>
              <w:top w:val="nil"/>
              <w:left w:val="nil"/>
              <w:bottom w:val="single" w:sz="8" w:space="0" w:color="C7C9C7"/>
              <w:right w:val="nil"/>
            </w:tcBorders>
            <w:tcMar>
              <w:top w:w="0" w:type="dxa"/>
              <w:left w:w="0" w:type="dxa"/>
              <w:bottom w:w="0" w:type="dxa"/>
              <w:right w:w="15" w:type="dxa"/>
            </w:tcMar>
            <w:vAlign w:val="bottom"/>
          </w:tcPr>
          <w:p w14:paraId="368355EC" w14:textId="77777777" w:rsidR="001614AC" w:rsidRDefault="001614AC">
            <w:pPr>
              <w:keepNext/>
              <w:spacing w:before="75" w:after="30" w:line="288" w:lineRule="auto"/>
              <w:jc w:val="right"/>
            </w:pPr>
          </w:p>
        </w:tc>
      </w:tr>
      <w:tr w:rsidR="001614AC" w14:paraId="14B15433" w14:textId="77777777">
        <w:trPr>
          <w:cantSplit/>
        </w:trPr>
        <w:tc>
          <w:tcPr>
            <w:tcW w:w="4080" w:type="dxa"/>
            <w:tcBorders>
              <w:top w:val="nil"/>
              <w:left w:val="nil"/>
              <w:bottom w:val="nil"/>
              <w:right w:val="nil"/>
            </w:tcBorders>
            <w:shd w:val="clear" w:color="auto" w:fill="F4F4F4"/>
            <w:tcMar>
              <w:top w:w="0" w:type="dxa"/>
              <w:left w:w="53" w:type="dxa"/>
              <w:bottom w:w="0" w:type="dxa"/>
              <w:right w:w="53" w:type="dxa"/>
            </w:tcMar>
            <w:vAlign w:val="bottom"/>
          </w:tcPr>
          <w:p w14:paraId="4E3D18C7" w14:textId="77777777" w:rsidR="001614AC" w:rsidRDefault="004468F9">
            <w:pPr>
              <w:spacing w:before="75" w:after="30" w:line="288" w:lineRule="auto"/>
            </w:pPr>
            <w:r>
              <w:rPr>
                <w:rFonts w:ascii="Arial" w:eastAsia="Arial" w:hAnsi="Arial" w:cs="Arial"/>
                <w:color w:val="000000"/>
                <w:sz w:val="18"/>
              </w:rPr>
              <w:t>Total fixed-maturities ava</w:t>
            </w:r>
            <w:r>
              <w:rPr>
                <w:rFonts w:ascii="Arial" w:eastAsia="Arial" w:hAnsi="Arial" w:cs="Arial"/>
                <w:color w:val="000000"/>
                <w:sz w:val="18"/>
              </w:rPr>
              <w:t>ilable for sale</w:t>
            </w:r>
          </w:p>
        </w:tc>
        <w:tc>
          <w:tcPr>
            <w:tcW w:w="105" w:type="dxa"/>
            <w:tcBorders>
              <w:top w:val="nil"/>
              <w:left w:val="nil"/>
              <w:bottom w:val="nil"/>
              <w:right w:val="nil"/>
            </w:tcBorders>
            <w:shd w:val="clear" w:color="auto" w:fill="F4F4F4"/>
            <w:tcMar>
              <w:top w:w="0" w:type="dxa"/>
              <w:left w:w="0" w:type="dxa"/>
              <w:bottom w:w="0" w:type="dxa"/>
              <w:right w:w="0" w:type="dxa"/>
            </w:tcMar>
            <w:vAlign w:val="bottom"/>
          </w:tcPr>
          <w:p w14:paraId="18EC62DC" w14:textId="77777777" w:rsidR="001614AC" w:rsidRDefault="001614AC"/>
        </w:tc>
        <w:tc>
          <w:tcPr>
            <w:tcW w:w="160" w:type="dxa"/>
            <w:tcBorders>
              <w:top w:val="single" w:sz="8" w:space="0" w:color="C7C9C7"/>
              <w:left w:val="nil"/>
              <w:bottom w:val="double" w:sz="8" w:space="0" w:color="C7C9C7"/>
              <w:right w:val="nil"/>
            </w:tcBorders>
            <w:shd w:val="clear" w:color="auto" w:fill="F4F4F4"/>
            <w:tcMar>
              <w:top w:w="0" w:type="dxa"/>
              <w:left w:w="53" w:type="dxa"/>
              <w:bottom w:w="0" w:type="dxa"/>
              <w:right w:w="0" w:type="dxa"/>
            </w:tcMar>
            <w:vAlign w:val="bottom"/>
          </w:tcPr>
          <w:p w14:paraId="3F996039" w14:textId="77777777" w:rsidR="001614AC" w:rsidRDefault="004468F9">
            <w:pPr>
              <w:spacing w:before="55" w:after="30" w:line="288" w:lineRule="auto"/>
            </w:pPr>
            <w:r>
              <w:rPr>
                <w:rFonts w:ascii="Arial" w:eastAsia="Arial" w:hAnsi="Arial" w:cs="Arial"/>
                <w:color w:val="000000"/>
                <w:sz w:val="18"/>
              </w:rPr>
              <w:t>$</w:t>
            </w:r>
          </w:p>
        </w:tc>
        <w:tc>
          <w:tcPr>
            <w:tcW w:w="835" w:type="dxa"/>
            <w:tcBorders>
              <w:top w:val="single" w:sz="8" w:space="0" w:color="C7C9C7"/>
              <w:left w:val="nil"/>
              <w:bottom w:val="double" w:sz="8" w:space="0" w:color="C7C9C7"/>
              <w:right w:val="nil"/>
            </w:tcBorders>
            <w:shd w:val="clear" w:color="auto" w:fill="F4F4F4"/>
            <w:tcMar>
              <w:top w:w="0" w:type="dxa"/>
              <w:left w:w="0" w:type="dxa"/>
              <w:bottom w:w="0" w:type="dxa"/>
              <w:right w:w="0" w:type="dxa"/>
            </w:tcMar>
            <w:vAlign w:val="bottom"/>
          </w:tcPr>
          <w:p w14:paraId="7A0D3D6D" w14:textId="77777777" w:rsidR="001614AC" w:rsidRDefault="004468F9">
            <w:pPr>
              <w:spacing w:before="55" w:after="30" w:line="288" w:lineRule="auto"/>
              <w:jc w:val="right"/>
            </w:pPr>
            <w:r>
              <w:rPr>
                <w:rFonts w:ascii="Arial" w:eastAsia="Arial" w:hAnsi="Arial" w:cs="Arial"/>
                <w:color w:val="000000"/>
                <w:sz w:val="18"/>
              </w:rPr>
              <w:t>5,349,405 </w:t>
            </w:r>
          </w:p>
        </w:tc>
        <w:tc>
          <w:tcPr>
            <w:tcW w:w="100" w:type="dxa"/>
            <w:tcBorders>
              <w:top w:val="single" w:sz="8" w:space="0" w:color="C7C9C7"/>
              <w:left w:val="nil"/>
              <w:bottom w:val="double" w:sz="8" w:space="0" w:color="C7C9C7"/>
              <w:right w:val="nil"/>
            </w:tcBorders>
            <w:shd w:val="clear" w:color="auto" w:fill="F4F4F4"/>
            <w:tcMar>
              <w:top w:w="0" w:type="dxa"/>
              <w:left w:w="0" w:type="dxa"/>
              <w:bottom w:w="0" w:type="dxa"/>
              <w:right w:w="15" w:type="dxa"/>
            </w:tcMar>
            <w:vAlign w:val="bottom"/>
          </w:tcPr>
          <w:p w14:paraId="68FA6CD1" w14:textId="77777777" w:rsidR="001614AC" w:rsidRDefault="001614AC">
            <w:pPr>
              <w:spacing w:before="55" w:after="30" w:line="288" w:lineRule="auto"/>
              <w:jc w:val="right"/>
            </w:pPr>
          </w:p>
        </w:tc>
        <w:tc>
          <w:tcPr>
            <w:tcW w:w="105" w:type="dxa"/>
            <w:tcBorders>
              <w:top w:val="nil"/>
              <w:left w:val="nil"/>
              <w:bottom w:val="nil"/>
              <w:right w:val="nil"/>
            </w:tcBorders>
            <w:shd w:val="clear" w:color="auto" w:fill="F4F4F4"/>
            <w:tcMar>
              <w:top w:w="0" w:type="dxa"/>
              <w:left w:w="0" w:type="dxa"/>
              <w:bottom w:w="0" w:type="dxa"/>
              <w:right w:w="0" w:type="dxa"/>
            </w:tcMar>
            <w:vAlign w:val="bottom"/>
          </w:tcPr>
          <w:p w14:paraId="6A2D6F41" w14:textId="77777777" w:rsidR="001614AC" w:rsidRDefault="001614AC"/>
        </w:tc>
        <w:tc>
          <w:tcPr>
            <w:tcW w:w="1095" w:type="dxa"/>
            <w:gridSpan w:val="3"/>
            <w:tcBorders>
              <w:top w:val="nil"/>
              <w:left w:val="nil"/>
              <w:bottom w:val="nil"/>
              <w:right w:val="nil"/>
            </w:tcBorders>
            <w:shd w:val="clear" w:color="auto" w:fill="F4F4F4"/>
            <w:tcMar>
              <w:top w:w="0" w:type="dxa"/>
              <w:left w:w="0" w:type="dxa"/>
              <w:bottom w:w="0" w:type="dxa"/>
              <w:right w:w="0" w:type="dxa"/>
            </w:tcMar>
            <w:vAlign w:val="bottom"/>
          </w:tcPr>
          <w:p w14:paraId="6C120EF1" w14:textId="77777777" w:rsidR="001614AC" w:rsidRDefault="001614AC"/>
        </w:tc>
        <w:tc>
          <w:tcPr>
            <w:tcW w:w="105" w:type="dxa"/>
            <w:tcBorders>
              <w:top w:val="nil"/>
              <w:left w:val="nil"/>
              <w:bottom w:val="nil"/>
              <w:right w:val="nil"/>
            </w:tcBorders>
            <w:shd w:val="clear" w:color="auto" w:fill="F4F4F4"/>
            <w:tcMar>
              <w:top w:w="0" w:type="dxa"/>
              <w:left w:w="0" w:type="dxa"/>
              <w:bottom w:w="0" w:type="dxa"/>
              <w:right w:w="0" w:type="dxa"/>
            </w:tcMar>
            <w:vAlign w:val="bottom"/>
          </w:tcPr>
          <w:p w14:paraId="0BD416D6" w14:textId="77777777" w:rsidR="001614AC" w:rsidRDefault="001614AC"/>
        </w:tc>
        <w:tc>
          <w:tcPr>
            <w:tcW w:w="1095" w:type="dxa"/>
            <w:gridSpan w:val="3"/>
            <w:tcBorders>
              <w:top w:val="nil"/>
              <w:left w:val="nil"/>
              <w:bottom w:val="nil"/>
              <w:right w:val="nil"/>
            </w:tcBorders>
            <w:shd w:val="clear" w:color="auto" w:fill="F4F4F4"/>
            <w:tcMar>
              <w:top w:w="0" w:type="dxa"/>
              <w:left w:w="0" w:type="dxa"/>
              <w:bottom w:w="0" w:type="dxa"/>
              <w:right w:w="0" w:type="dxa"/>
            </w:tcMar>
            <w:vAlign w:val="bottom"/>
          </w:tcPr>
          <w:p w14:paraId="627CB6C7" w14:textId="77777777" w:rsidR="001614AC" w:rsidRDefault="001614AC"/>
        </w:tc>
        <w:tc>
          <w:tcPr>
            <w:tcW w:w="105" w:type="dxa"/>
            <w:tcBorders>
              <w:top w:val="nil"/>
              <w:left w:val="nil"/>
              <w:bottom w:val="nil"/>
              <w:right w:val="nil"/>
            </w:tcBorders>
            <w:shd w:val="clear" w:color="auto" w:fill="F4F4F4"/>
            <w:tcMar>
              <w:top w:w="0" w:type="dxa"/>
              <w:left w:w="0" w:type="dxa"/>
              <w:bottom w:w="0" w:type="dxa"/>
              <w:right w:w="0" w:type="dxa"/>
            </w:tcMar>
            <w:vAlign w:val="bottom"/>
          </w:tcPr>
          <w:p w14:paraId="657CE27B" w14:textId="77777777" w:rsidR="001614AC" w:rsidRDefault="001614AC"/>
        </w:tc>
        <w:tc>
          <w:tcPr>
            <w:tcW w:w="1095" w:type="dxa"/>
            <w:gridSpan w:val="3"/>
            <w:tcBorders>
              <w:top w:val="nil"/>
              <w:left w:val="nil"/>
              <w:bottom w:val="nil"/>
              <w:right w:val="nil"/>
            </w:tcBorders>
            <w:shd w:val="clear" w:color="auto" w:fill="F4F4F4"/>
            <w:tcMar>
              <w:top w:w="0" w:type="dxa"/>
              <w:left w:w="0" w:type="dxa"/>
              <w:bottom w:w="0" w:type="dxa"/>
              <w:right w:w="0" w:type="dxa"/>
            </w:tcMar>
            <w:vAlign w:val="bottom"/>
          </w:tcPr>
          <w:p w14:paraId="030981FF" w14:textId="77777777" w:rsidR="001614AC" w:rsidRDefault="001614AC"/>
        </w:tc>
        <w:tc>
          <w:tcPr>
            <w:tcW w:w="105" w:type="dxa"/>
            <w:tcBorders>
              <w:top w:val="nil"/>
              <w:left w:val="nil"/>
              <w:bottom w:val="nil"/>
              <w:right w:val="nil"/>
            </w:tcBorders>
            <w:shd w:val="clear" w:color="auto" w:fill="F4F4F4"/>
            <w:tcMar>
              <w:top w:w="0" w:type="dxa"/>
              <w:left w:w="0" w:type="dxa"/>
              <w:bottom w:w="0" w:type="dxa"/>
              <w:right w:w="0" w:type="dxa"/>
            </w:tcMar>
            <w:vAlign w:val="bottom"/>
          </w:tcPr>
          <w:p w14:paraId="1ECCCA09" w14:textId="77777777" w:rsidR="001614AC" w:rsidRDefault="001614AC"/>
        </w:tc>
        <w:tc>
          <w:tcPr>
            <w:tcW w:w="160" w:type="dxa"/>
            <w:tcBorders>
              <w:top w:val="single" w:sz="8" w:space="0" w:color="C7C9C7"/>
              <w:left w:val="nil"/>
              <w:bottom w:val="double" w:sz="8" w:space="0" w:color="C7C9C7"/>
              <w:right w:val="nil"/>
            </w:tcBorders>
            <w:shd w:val="clear" w:color="auto" w:fill="F4F4F4"/>
            <w:tcMar>
              <w:top w:w="0" w:type="dxa"/>
              <w:left w:w="53" w:type="dxa"/>
              <w:bottom w:w="0" w:type="dxa"/>
              <w:right w:w="0" w:type="dxa"/>
            </w:tcMar>
            <w:vAlign w:val="bottom"/>
          </w:tcPr>
          <w:p w14:paraId="316F902B" w14:textId="77777777" w:rsidR="001614AC" w:rsidRDefault="004468F9">
            <w:pPr>
              <w:spacing w:before="55" w:after="30" w:line="288" w:lineRule="auto"/>
            </w:pPr>
            <w:r>
              <w:rPr>
                <w:rFonts w:ascii="Arial" w:eastAsia="Arial" w:hAnsi="Arial" w:cs="Arial"/>
                <w:color w:val="000000"/>
                <w:sz w:val="18"/>
              </w:rPr>
              <w:t>$</w:t>
            </w:r>
          </w:p>
        </w:tc>
        <w:tc>
          <w:tcPr>
            <w:tcW w:w="835" w:type="dxa"/>
            <w:tcBorders>
              <w:top w:val="single" w:sz="8" w:space="0" w:color="C7C9C7"/>
              <w:left w:val="nil"/>
              <w:bottom w:val="double" w:sz="8" w:space="0" w:color="C7C9C7"/>
              <w:right w:val="nil"/>
            </w:tcBorders>
            <w:shd w:val="clear" w:color="auto" w:fill="F4F4F4"/>
            <w:tcMar>
              <w:top w:w="0" w:type="dxa"/>
              <w:left w:w="0" w:type="dxa"/>
              <w:bottom w:w="0" w:type="dxa"/>
              <w:right w:w="0" w:type="dxa"/>
            </w:tcMar>
            <w:vAlign w:val="bottom"/>
          </w:tcPr>
          <w:p w14:paraId="1FFA8462" w14:textId="77777777" w:rsidR="001614AC" w:rsidRDefault="004468F9">
            <w:pPr>
              <w:spacing w:before="55" w:after="30" w:line="288" w:lineRule="auto"/>
              <w:jc w:val="right"/>
            </w:pPr>
            <w:r>
              <w:rPr>
                <w:rFonts w:ascii="Arial" w:eastAsia="Arial" w:hAnsi="Arial" w:cs="Arial"/>
                <w:color w:val="000000"/>
                <w:sz w:val="18"/>
              </w:rPr>
              <w:t>5,572,813 </w:t>
            </w:r>
          </w:p>
        </w:tc>
        <w:tc>
          <w:tcPr>
            <w:tcW w:w="100" w:type="dxa"/>
            <w:tcBorders>
              <w:top w:val="single" w:sz="8" w:space="0" w:color="C7C9C7"/>
              <w:left w:val="nil"/>
              <w:bottom w:val="double" w:sz="8" w:space="0" w:color="C7C9C7"/>
              <w:right w:val="nil"/>
            </w:tcBorders>
            <w:shd w:val="clear" w:color="auto" w:fill="F4F4F4"/>
            <w:tcMar>
              <w:top w:w="0" w:type="dxa"/>
              <w:left w:w="0" w:type="dxa"/>
              <w:bottom w:w="0" w:type="dxa"/>
              <w:right w:w="15" w:type="dxa"/>
            </w:tcMar>
            <w:vAlign w:val="bottom"/>
          </w:tcPr>
          <w:p w14:paraId="68B5775F" w14:textId="77777777" w:rsidR="001614AC" w:rsidRDefault="001614AC">
            <w:pPr>
              <w:spacing w:before="55" w:after="30" w:line="288" w:lineRule="auto"/>
              <w:jc w:val="right"/>
            </w:pPr>
          </w:p>
        </w:tc>
      </w:tr>
    </w:tbl>
    <w:p w14:paraId="71F7F673" w14:textId="77777777" w:rsidR="001614AC" w:rsidRDefault="004468F9" w:rsidP="004468F9">
      <w:pPr>
        <w:numPr>
          <w:ilvl w:val="0"/>
          <w:numId w:val="14"/>
        </w:numPr>
        <w:spacing w:line="288" w:lineRule="auto"/>
        <w:ind w:left="360"/>
        <w:rPr>
          <w:rFonts w:ascii="Arial" w:eastAsia="Arial" w:hAnsi="Arial" w:cs="Arial"/>
          <w:b/>
          <w:color w:val="64615D"/>
          <w:sz w:val="16"/>
        </w:rPr>
      </w:pPr>
      <w:r>
        <w:rPr>
          <w:rFonts w:ascii="Arial" w:eastAsia="Arial" w:hAnsi="Arial" w:cs="Arial"/>
          <w:color w:val="64615D"/>
          <w:sz w:val="16"/>
        </w:rPr>
        <w:t>Comprises the notes purchased by Radian Group in connection with the Excess-of-Loss Program. See Note 8</w:t>
      </w:r>
      <w:r>
        <w:rPr>
          <w:rFonts w:ascii="Arial" w:eastAsia="Arial" w:hAnsi="Arial" w:cs="Arial"/>
          <w:color w:val="64615D"/>
          <w:sz w:val="16"/>
        </w:rPr>
        <w:t xml:space="preserve"> for more information about our reinsurance programs.</w:t>
      </w:r>
    </w:p>
    <w:p w14:paraId="50B69662" w14:textId="77777777" w:rsidR="001614AC" w:rsidRDefault="004468F9" w:rsidP="004468F9">
      <w:pPr>
        <w:numPr>
          <w:ilvl w:val="0"/>
          <w:numId w:val="14"/>
        </w:numPr>
        <w:spacing w:line="288" w:lineRule="auto"/>
        <w:ind w:left="360"/>
        <w:rPr>
          <w:rFonts w:ascii="Arial" w:eastAsia="Arial" w:hAnsi="Arial" w:cs="Arial"/>
          <w:b/>
          <w:color w:val="64615D"/>
          <w:sz w:val="16"/>
        </w:rPr>
      </w:pPr>
      <w:r>
        <w:rPr>
          <w:rFonts w:ascii="Arial" w:eastAsia="Arial" w:hAnsi="Arial" w:cs="Arial"/>
          <w:color w:val="64615D"/>
          <w:sz w:val="16"/>
        </w:rPr>
        <w:t>Included in other assets in our consolidated balance sheet as further described below. See below for a discussion of our securities lending agreements.</w:t>
      </w:r>
    </w:p>
    <w:tbl>
      <w:tblPr>
        <w:tblW w:w="102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8"/>
        <w:gridCol w:w="106"/>
        <w:gridCol w:w="162"/>
        <w:gridCol w:w="864"/>
        <w:gridCol w:w="102"/>
        <w:gridCol w:w="107"/>
        <w:gridCol w:w="163"/>
        <w:gridCol w:w="849"/>
        <w:gridCol w:w="102"/>
        <w:gridCol w:w="107"/>
        <w:gridCol w:w="163"/>
        <w:gridCol w:w="849"/>
        <w:gridCol w:w="102"/>
        <w:gridCol w:w="107"/>
        <w:gridCol w:w="163"/>
        <w:gridCol w:w="849"/>
        <w:gridCol w:w="102"/>
        <w:gridCol w:w="107"/>
        <w:gridCol w:w="163"/>
        <w:gridCol w:w="865"/>
        <w:gridCol w:w="102"/>
      </w:tblGrid>
      <w:tr w:rsidR="001614AC" w14:paraId="20F5C712" w14:textId="77777777">
        <w:trPr>
          <w:cantSplit/>
        </w:trPr>
        <w:tc>
          <w:tcPr>
            <w:tcW w:w="10080" w:type="dxa"/>
            <w:gridSpan w:val="21"/>
            <w:tcBorders>
              <w:top w:val="nil"/>
              <w:left w:val="nil"/>
              <w:bottom w:val="single" w:sz="12" w:space="0" w:color="99AAB6"/>
              <w:right w:val="nil"/>
            </w:tcBorders>
            <w:tcMar>
              <w:top w:w="0" w:type="dxa"/>
              <w:left w:w="53" w:type="dxa"/>
              <w:bottom w:w="0" w:type="dxa"/>
              <w:right w:w="53" w:type="dxa"/>
            </w:tcMar>
            <w:vAlign w:val="bottom"/>
          </w:tcPr>
          <w:p w14:paraId="07B40A24" w14:textId="77777777" w:rsidR="001614AC" w:rsidRDefault="004468F9">
            <w:pPr>
              <w:keepNext/>
              <w:spacing w:before="75" w:after="30" w:line="288" w:lineRule="auto"/>
            </w:pPr>
            <w:r>
              <w:rPr>
                <w:rFonts w:ascii="Arial" w:eastAsia="Arial" w:hAnsi="Arial" w:cs="Arial"/>
                <w:b/>
                <w:color w:val="000000"/>
                <w:sz w:val="20"/>
              </w:rPr>
              <w:lastRenderedPageBreak/>
              <w:t>Available for sale securities</w:t>
            </w:r>
          </w:p>
        </w:tc>
      </w:tr>
      <w:tr w:rsidR="001614AC" w14:paraId="0C09107E" w14:textId="77777777">
        <w:trPr>
          <w:cantSplit/>
          <w:trHeight w:hRule="exact" w:val="135"/>
        </w:trPr>
        <w:tc>
          <w:tcPr>
            <w:tcW w:w="4080" w:type="dxa"/>
            <w:tcBorders>
              <w:top w:val="nil"/>
              <w:left w:val="nil"/>
              <w:bottom w:val="nil"/>
              <w:right w:val="nil"/>
            </w:tcBorders>
            <w:tcMar>
              <w:top w:w="0" w:type="dxa"/>
              <w:left w:w="0" w:type="dxa"/>
              <w:bottom w:w="0" w:type="dxa"/>
              <w:right w:w="0" w:type="dxa"/>
            </w:tcMar>
            <w:vAlign w:val="bottom"/>
          </w:tcPr>
          <w:p w14:paraId="0FE2B5AA" w14:textId="77777777" w:rsidR="001614AC" w:rsidRDefault="001614AC">
            <w:pPr>
              <w:keepNext/>
            </w:pPr>
          </w:p>
        </w:tc>
        <w:tc>
          <w:tcPr>
            <w:tcW w:w="105" w:type="dxa"/>
            <w:tcBorders>
              <w:top w:val="single" w:sz="12" w:space="0" w:color="99AAB6"/>
              <w:left w:val="nil"/>
              <w:bottom w:val="nil"/>
              <w:right w:val="nil"/>
            </w:tcBorders>
            <w:tcMar>
              <w:top w:w="0" w:type="dxa"/>
              <w:left w:w="0" w:type="dxa"/>
              <w:bottom w:w="0" w:type="dxa"/>
              <w:right w:w="0" w:type="dxa"/>
            </w:tcMar>
            <w:vAlign w:val="bottom"/>
          </w:tcPr>
          <w:p w14:paraId="075FF01C" w14:textId="77777777" w:rsidR="001614AC" w:rsidRDefault="001614AC">
            <w:pPr>
              <w:keepNext/>
            </w:pPr>
          </w:p>
        </w:tc>
        <w:tc>
          <w:tcPr>
            <w:tcW w:w="1095" w:type="dxa"/>
            <w:gridSpan w:val="3"/>
            <w:tcBorders>
              <w:top w:val="single" w:sz="12" w:space="0" w:color="99AAB6"/>
              <w:left w:val="nil"/>
              <w:bottom w:val="nil"/>
              <w:right w:val="nil"/>
            </w:tcBorders>
            <w:tcMar>
              <w:top w:w="0" w:type="dxa"/>
              <w:left w:w="0" w:type="dxa"/>
              <w:bottom w:w="0" w:type="dxa"/>
              <w:right w:w="0" w:type="dxa"/>
            </w:tcMar>
            <w:vAlign w:val="bottom"/>
          </w:tcPr>
          <w:p w14:paraId="068B223D" w14:textId="77777777" w:rsidR="001614AC" w:rsidRDefault="001614AC">
            <w:pPr>
              <w:keepNext/>
            </w:pPr>
          </w:p>
        </w:tc>
        <w:tc>
          <w:tcPr>
            <w:tcW w:w="105" w:type="dxa"/>
            <w:tcBorders>
              <w:top w:val="single" w:sz="12" w:space="0" w:color="99AAB6"/>
              <w:left w:val="nil"/>
              <w:bottom w:val="nil"/>
              <w:right w:val="nil"/>
            </w:tcBorders>
            <w:tcMar>
              <w:top w:w="0" w:type="dxa"/>
              <w:left w:w="0" w:type="dxa"/>
              <w:bottom w:w="0" w:type="dxa"/>
              <w:right w:w="0" w:type="dxa"/>
            </w:tcMar>
            <w:vAlign w:val="bottom"/>
          </w:tcPr>
          <w:p w14:paraId="22AD3D40" w14:textId="77777777" w:rsidR="001614AC" w:rsidRDefault="001614AC">
            <w:pPr>
              <w:keepNext/>
            </w:pPr>
          </w:p>
        </w:tc>
        <w:tc>
          <w:tcPr>
            <w:tcW w:w="1095" w:type="dxa"/>
            <w:gridSpan w:val="3"/>
            <w:tcBorders>
              <w:top w:val="single" w:sz="12" w:space="0" w:color="99AAB6"/>
              <w:left w:val="nil"/>
              <w:bottom w:val="nil"/>
              <w:right w:val="nil"/>
            </w:tcBorders>
            <w:tcMar>
              <w:top w:w="0" w:type="dxa"/>
              <w:left w:w="0" w:type="dxa"/>
              <w:bottom w:w="0" w:type="dxa"/>
              <w:right w:w="0" w:type="dxa"/>
            </w:tcMar>
            <w:vAlign w:val="bottom"/>
          </w:tcPr>
          <w:p w14:paraId="6B1397D7" w14:textId="77777777" w:rsidR="001614AC" w:rsidRDefault="001614AC">
            <w:pPr>
              <w:keepNext/>
            </w:pPr>
          </w:p>
        </w:tc>
        <w:tc>
          <w:tcPr>
            <w:tcW w:w="105" w:type="dxa"/>
            <w:tcBorders>
              <w:top w:val="single" w:sz="12" w:space="0" w:color="99AAB6"/>
              <w:left w:val="nil"/>
              <w:bottom w:val="nil"/>
              <w:right w:val="nil"/>
            </w:tcBorders>
            <w:tcMar>
              <w:top w:w="0" w:type="dxa"/>
              <w:left w:w="0" w:type="dxa"/>
              <w:bottom w:w="0" w:type="dxa"/>
              <w:right w:w="0" w:type="dxa"/>
            </w:tcMar>
            <w:vAlign w:val="bottom"/>
          </w:tcPr>
          <w:p w14:paraId="69B4F9E8" w14:textId="77777777" w:rsidR="001614AC" w:rsidRDefault="001614AC">
            <w:pPr>
              <w:keepNext/>
            </w:pPr>
          </w:p>
        </w:tc>
        <w:tc>
          <w:tcPr>
            <w:tcW w:w="1095" w:type="dxa"/>
            <w:gridSpan w:val="3"/>
            <w:tcBorders>
              <w:top w:val="single" w:sz="12" w:space="0" w:color="99AAB6"/>
              <w:left w:val="nil"/>
              <w:bottom w:val="nil"/>
              <w:right w:val="nil"/>
            </w:tcBorders>
            <w:tcMar>
              <w:top w:w="0" w:type="dxa"/>
              <w:left w:w="0" w:type="dxa"/>
              <w:bottom w:w="0" w:type="dxa"/>
              <w:right w:w="0" w:type="dxa"/>
            </w:tcMar>
            <w:vAlign w:val="bottom"/>
          </w:tcPr>
          <w:p w14:paraId="5EE41B36" w14:textId="77777777" w:rsidR="001614AC" w:rsidRDefault="001614AC">
            <w:pPr>
              <w:keepNext/>
            </w:pPr>
          </w:p>
        </w:tc>
        <w:tc>
          <w:tcPr>
            <w:tcW w:w="105" w:type="dxa"/>
            <w:tcBorders>
              <w:top w:val="single" w:sz="12" w:space="0" w:color="99AAB6"/>
              <w:left w:val="nil"/>
              <w:bottom w:val="nil"/>
              <w:right w:val="nil"/>
            </w:tcBorders>
            <w:tcMar>
              <w:top w:w="0" w:type="dxa"/>
              <w:left w:w="0" w:type="dxa"/>
              <w:bottom w:w="0" w:type="dxa"/>
              <w:right w:w="0" w:type="dxa"/>
            </w:tcMar>
            <w:vAlign w:val="bottom"/>
          </w:tcPr>
          <w:p w14:paraId="6FF4CFF7" w14:textId="77777777" w:rsidR="001614AC" w:rsidRDefault="001614AC">
            <w:pPr>
              <w:keepNext/>
            </w:pPr>
          </w:p>
        </w:tc>
        <w:tc>
          <w:tcPr>
            <w:tcW w:w="1095" w:type="dxa"/>
            <w:gridSpan w:val="3"/>
            <w:tcBorders>
              <w:top w:val="single" w:sz="12" w:space="0" w:color="99AAB6"/>
              <w:left w:val="nil"/>
              <w:bottom w:val="nil"/>
              <w:right w:val="nil"/>
            </w:tcBorders>
            <w:tcMar>
              <w:top w:w="0" w:type="dxa"/>
              <w:left w:w="0" w:type="dxa"/>
              <w:bottom w:w="0" w:type="dxa"/>
              <w:right w:w="0" w:type="dxa"/>
            </w:tcMar>
            <w:vAlign w:val="bottom"/>
          </w:tcPr>
          <w:p w14:paraId="1DDB1F68" w14:textId="77777777" w:rsidR="001614AC" w:rsidRDefault="001614AC">
            <w:pPr>
              <w:keepNext/>
            </w:pPr>
          </w:p>
        </w:tc>
        <w:tc>
          <w:tcPr>
            <w:tcW w:w="105" w:type="dxa"/>
            <w:tcBorders>
              <w:top w:val="single" w:sz="12" w:space="0" w:color="99AAB6"/>
              <w:left w:val="nil"/>
              <w:bottom w:val="nil"/>
              <w:right w:val="nil"/>
            </w:tcBorders>
            <w:tcMar>
              <w:top w:w="0" w:type="dxa"/>
              <w:left w:w="0" w:type="dxa"/>
              <w:bottom w:w="0" w:type="dxa"/>
              <w:right w:w="0" w:type="dxa"/>
            </w:tcMar>
            <w:vAlign w:val="bottom"/>
          </w:tcPr>
          <w:p w14:paraId="7A50A92D" w14:textId="77777777" w:rsidR="001614AC" w:rsidRDefault="001614AC">
            <w:pPr>
              <w:keepNext/>
            </w:pPr>
          </w:p>
        </w:tc>
        <w:tc>
          <w:tcPr>
            <w:tcW w:w="1095" w:type="dxa"/>
            <w:gridSpan w:val="3"/>
            <w:tcBorders>
              <w:top w:val="single" w:sz="12" w:space="0" w:color="99AAB6"/>
              <w:left w:val="nil"/>
              <w:bottom w:val="nil"/>
              <w:right w:val="nil"/>
            </w:tcBorders>
            <w:tcMar>
              <w:top w:w="0" w:type="dxa"/>
              <w:left w:w="0" w:type="dxa"/>
              <w:bottom w:w="0" w:type="dxa"/>
              <w:right w:w="0" w:type="dxa"/>
            </w:tcMar>
            <w:vAlign w:val="bottom"/>
          </w:tcPr>
          <w:p w14:paraId="03771FBC" w14:textId="77777777" w:rsidR="001614AC" w:rsidRDefault="001614AC">
            <w:pPr>
              <w:keepNext/>
            </w:pPr>
          </w:p>
        </w:tc>
      </w:tr>
      <w:tr w:rsidR="001614AC" w14:paraId="1B3A1650" w14:textId="77777777">
        <w:trPr>
          <w:cantSplit/>
        </w:trPr>
        <w:tc>
          <w:tcPr>
            <w:tcW w:w="4080" w:type="dxa"/>
            <w:tcBorders>
              <w:top w:val="nil"/>
              <w:left w:val="nil"/>
              <w:bottom w:val="single" w:sz="8" w:space="0" w:color="FFFFFF"/>
              <w:right w:val="nil"/>
            </w:tcBorders>
            <w:tcMar>
              <w:top w:w="0" w:type="dxa"/>
              <w:left w:w="0" w:type="dxa"/>
              <w:bottom w:w="0" w:type="dxa"/>
              <w:right w:w="0" w:type="dxa"/>
            </w:tcMar>
            <w:vAlign w:val="bottom"/>
          </w:tcPr>
          <w:p w14:paraId="52CA7728" w14:textId="77777777" w:rsidR="001614AC" w:rsidRDefault="001614AC">
            <w:pPr>
              <w:keepNext/>
            </w:pPr>
          </w:p>
        </w:tc>
        <w:tc>
          <w:tcPr>
            <w:tcW w:w="105" w:type="dxa"/>
            <w:tcBorders>
              <w:top w:val="nil"/>
              <w:left w:val="nil"/>
              <w:bottom w:val="single" w:sz="8" w:space="0" w:color="FFFFFF"/>
              <w:right w:val="nil"/>
            </w:tcBorders>
            <w:tcMar>
              <w:top w:w="0" w:type="dxa"/>
              <w:left w:w="0" w:type="dxa"/>
              <w:bottom w:w="0" w:type="dxa"/>
              <w:right w:w="0" w:type="dxa"/>
            </w:tcMar>
            <w:vAlign w:val="bottom"/>
          </w:tcPr>
          <w:p w14:paraId="3C4A1B03" w14:textId="77777777" w:rsidR="001614AC" w:rsidRDefault="001614AC">
            <w:pPr>
              <w:keepNext/>
            </w:pPr>
          </w:p>
        </w:tc>
        <w:tc>
          <w:tcPr>
            <w:tcW w:w="5895" w:type="dxa"/>
            <w:gridSpan w:val="19"/>
            <w:tcBorders>
              <w:top w:val="nil"/>
              <w:left w:val="nil"/>
              <w:bottom w:val="nil"/>
              <w:right w:val="nil"/>
            </w:tcBorders>
            <w:tcMar>
              <w:top w:w="0" w:type="dxa"/>
              <w:left w:w="53" w:type="dxa"/>
              <w:bottom w:w="0" w:type="dxa"/>
              <w:right w:w="53" w:type="dxa"/>
            </w:tcMar>
            <w:vAlign w:val="bottom"/>
          </w:tcPr>
          <w:p w14:paraId="01FB27FF" w14:textId="77777777" w:rsidR="001614AC" w:rsidRDefault="004468F9">
            <w:pPr>
              <w:keepNext/>
              <w:spacing w:before="75" w:after="30" w:line="288" w:lineRule="auto"/>
              <w:jc w:val="center"/>
            </w:pPr>
            <w:r>
              <w:rPr>
                <w:rFonts w:ascii="Arial" w:eastAsia="Arial" w:hAnsi="Arial" w:cs="Arial"/>
                <w:b/>
                <w:color w:val="00BAB3"/>
                <w:sz w:val="18"/>
              </w:rPr>
              <w:t>December 31, 2020</w:t>
            </w:r>
          </w:p>
        </w:tc>
      </w:tr>
      <w:tr w:rsidR="001614AC" w14:paraId="46BC0E47" w14:textId="77777777">
        <w:trPr>
          <w:cantSplit/>
        </w:trPr>
        <w:tc>
          <w:tcPr>
            <w:tcW w:w="4080" w:type="dxa"/>
            <w:tcBorders>
              <w:top w:val="single" w:sz="8" w:space="0" w:color="FFFFFF"/>
              <w:left w:val="nil"/>
              <w:bottom w:val="single" w:sz="8" w:space="0" w:color="C7C9C7"/>
              <w:right w:val="nil"/>
            </w:tcBorders>
            <w:tcMar>
              <w:top w:w="0" w:type="dxa"/>
              <w:left w:w="53" w:type="dxa"/>
              <w:bottom w:w="0" w:type="dxa"/>
              <w:right w:w="53" w:type="dxa"/>
            </w:tcMar>
            <w:vAlign w:val="bottom"/>
          </w:tcPr>
          <w:p w14:paraId="1E76C924" w14:textId="77777777" w:rsidR="001614AC" w:rsidRDefault="004468F9">
            <w:pPr>
              <w:keepNext/>
              <w:spacing w:before="55" w:after="30" w:line="288" w:lineRule="auto"/>
            </w:pPr>
            <w:r>
              <w:rPr>
                <w:rFonts w:ascii="Arial" w:eastAsia="Arial" w:hAnsi="Arial" w:cs="Arial"/>
                <w:color w:val="8B8886"/>
                <w:sz w:val="16"/>
              </w:rPr>
              <w:t>(In thousands)</w:t>
            </w:r>
          </w:p>
        </w:tc>
        <w:tc>
          <w:tcPr>
            <w:tcW w:w="105" w:type="dxa"/>
            <w:tcBorders>
              <w:top w:val="single" w:sz="8" w:space="0" w:color="FFFFFF"/>
              <w:left w:val="nil"/>
              <w:bottom w:val="single" w:sz="8" w:space="0" w:color="C7C9C7"/>
              <w:right w:val="nil"/>
            </w:tcBorders>
            <w:tcMar>
              <w:top w:w="0" w:type="dxa"/>
              <w:left w:w="0" w:type="dxa"/>
              <w:bottom w:w="0" w:type="dxa"/>
              <w:right w:w="0" w:type="dxa"/>
            </w:tcMar>
            <w:vAlign w:val="bottom"/>
          </w:tcPr>
          <w:p w14:paraId="4E0F3EE5" w14:textId="77777777" w:rsidR="001614AC" w:rsidRDefault="001614AC">
            <w:pPr>
              <w:keepNext/>
            </w:pPr>
          </w:p>
        </w:tc>
        <w:tc>
          <w:tcPr>
            <w:tcW w:w="1095" w:type="dxa"/>
            <w:gridSpan w:val="3"/>
            <w:tcBorders>
              <w:top w:val="single" w:sz="8" w:space="0" w:color="FFFFFF"/>
              <w:left w:val="nil"/>
              <w:bottom w:val="single" w:sz="8" w:space="0" w:color="C7C9C7"/>
              <w:right w:val="nil"/>
            </w:tcBorders>
            <w:shd w:val="clear" w:color="auto" w:fill="F4F4F4"/>
            <w:tcMar>
              <w:top w:w="0" w:type="dxa"/>
              <w:left w:w="53" w:type="dxa"/>
              <w:bottom w:w="0" w:type="dxa"/>
              <w:right w:w="53" w:type="dxa"/>
            </w:tcMar>
            <w:vAlign w:val="bottom"/>
          </w:tcPr>
          <w:p w14:paraId="39ECC8B5" w14:textId="77777777" w:rsidR="001614AC" w:rsidRDefault="004468F9">
            <w:pPr>
              <w:keepNext/>
              <w:spacing w:before="55" w:line="288" w:lineRule="auto"/>
              <w:jc w:val="center"/>
            </w:pPr>
            <w:r>
              <w:rPr>
                <w:rFonts w:ascii="Arial" w:eastAsia="Arial" w:hAnsi="Arial" w:cs="Arial"/>
                <w:b/>
                <w:color w:val="000000"/>
                <w:sz w:val="18"/>
              </w:rPr>
              <w:t>Amortized</w:t>
            </w:r>
          </w:p>
          <w:p w14:paraId="4BDCA8B6" w14:textId="77777777" w:rsidR="001614AC" w:rsidRDefault="004468F9">
            <w:pPr>
              <w:spacing w:after="30" w:line="288" w:lineRule="auto"/>
              <w:jc w:val="center"/>
            </w:pPr>
            <w:r>
              <w:rPr>
                <w:rFonts w:ascii="Arial" w:eastAsia="Arial" w:hAnsi="Arial" w:cs="Arial"/>
                <w:b/>
                <w:color w:val="000000"/>
                <w:sz w:val="18"/>
              </w:rPr>
              <w:t>Cost</w:t>
            </w:r>
          </w:p>
        </w:tc>
        <w:tc>
          <w:tcPr>
            <w:tcW w:w="105" w:type="dxa"/>
            <w:tcBorders>
              <w:top w:val="single" w:sz="8" w:space="0" w:color="FFFFFF"/>
              <w:left w:val="nil"/>
              <w:bottom w:val="single" w:sz="8" w:space="0" w:color="C7C9C7"/>
              <w:right w:val="nil"/>
            </w:tcBorders>
            <w:tcMar>
              <w:top w:w="0" w:type="dxa"/>
              <w:left w:w="0" w:type="dxa"/>
              <w:bottom w:w="0" w:type="dxa"/>
              <w:right w:w="0" w:type="dxa"/>
            </w:tcMar>
            <w:vAlign w:val="bottom"/>
          </w:tcPr>
          <w:p w14:paraId="6B41299A" w14:textId="77777777" w:rsidR="001614AC" w:rsidRDefault="001614AC">
            <w:pPr>
              <w:keepNext/>
            </w:pPr>
          </w:p>
        </w:tc>
        <w:tc>
          <w:tcPr>
            <w:tcW w:w="1095" w:type="dxa"/>
            <w:gridSpan w:val="3"/>
            <w:tcBorders>
              <w:top w:val="single" w:sz="8" w:space="0" w:color="FFFFFF"/>
              <w:left w:val="nil"/>
              <w:bottom w:val="single" w:sz="8" w:space="0" w:color="C7C9C7"/>
              <w:right w:val="nil"/>
            </w:tcBorders>
            <w:shd w:val="clear" w:color="auto" w:fill="F4F4F4"/>
            <w:tcMar>
              <w:top w:w="0" w:type="dxa"/>
              <w:left w:w="53" w:type="dxa"/>
              <w:bottom w:w="0" w:type="dxa"/>
              <w:right w:w="53" w:type="dxa"/>
            </w:tcMar>
            <w:vAlign w:val="bottom"/>
          </w:tcPr>
          <w:p w14:paraId="3DE5F0D5" w14:textId="77777777" w:rsidR="001614AC" w:rsidRDefault="004468F9">
            <w:pPr>
              <w:keepNext/>
              <w:spacing w:before="55" w:after="30" w:line="288" w:lineRule="auto"/>
              <w:jc w:val="center"/>
            </w:pPr>
            <w:r>
              <w:rPr>
                <w:rFonts w:ascii="Arial" w:eastAsia="Arial" w:hAnsi="Arial" w:cs="Arial"/>
                <w:b/>
                <w:color w:val="000000"/>
                <w:sz w:val="18"/>
              </w:rPr>
              <w:t>Allowance for Credit Losses</w:t>
            </w:r>
          </w:p>
        </w:tc>
        <w:tc>
          <w:tcPr>
            <w:tcW w:w="105" w:type="dxa"/>
            <w:tcBorders>
              <w:top w:val="single" w:sz="8" w:space="0" w:color="FFFFFF"/>
              <w:left w:val="nil"/>
              <w:bottom w:val="single" w:sz="8" w:space="0" w:color="C7C9C7"/>
              <w:right w:val="nil"/>
            </w:tcBorders>
            <w:tcMar>
              <w:top w:w="0" w:type="dxa"/>
              <w:left w:w="0" w:type="dxa"/>
              <w:bottom w:w="0" w:type="dxa"/>
              <w:right w:w="0" w:type="dxa"/>
            </w:tcMar>
            <w:vAlign w:val="bottom"/>
          </w:tcPr>
          <w:p w14:paraId="3954E6D5" w14:textId="77777777" w:rsidR="001614AC" w:rsidRDefault="001614AC">
            <w:pPr>
              <w:keepNext/>
            </w:pPr>
          </w:p>
        </w:tc>
        <w:tc>
          <w:tcPr>
            <w:tcW w:w="1095" w:type="dxa"/>
            <w:gridSpan w:val="3"/>
            <w:tcBorders>
              <w:top w:val="single" w:sz="8" w:space="0" w:color="FFFFFF"/>
              <w:left w:val="nil"/>
              <w:bottom w:val="single" w:sz="8" w:space="0" w:color="C7C9C7"/>
              <w:right w:val="nil"/>
            </w:tcBorders>
            <w:shd w:val="clear" w:color="auto" w:fill="F4F4F4"/>
            <w:tcMar>
              <w:top w:w="0" w:type="dxa"/>
              <w:left w:w="53" w:type="dxa"/>
              <w:bottom w:w="0" w:type="dxa"/>
              <w:right w:w="53" w:type="dxa"/>
            </w:tcMar>
            <w:vAlign w:val="bottom"/>
          </w:tcPr>
          <w:p w14:paraId="09284FDA" w14:textId="77777777" w:rsidR="001614AC" w:rsidRDefault="004468F9">
            <w:pPr>
              <w:keepNext/>
              <w:spacing w:before="55" w:line="288" w:lineRule="auto"/>
              <w:jc w:val="center"/>
            </w:pPr>
            <w:r>
              <w:rPr>
                <w:rFonts w:ascii="Arial" w:eastAsia="Arial" w:hAnsi="Arial" w:cs="Arial"/>
                <w:b/>
                <w:color w:val="000000"/>
                <w:sz w:val="18"/>
              </w:rPr>
              <w:t>Gross</w:t>
            </w:r>
          </w:p>
          <w:p w14:paraId="6A8C02D5" w14:textId="77777777" w:rsidR="001614AC" w:rsidRDefault="004468F9">
            <w:pPr>
              <w:spacing w:line="288" w:lineRule="auto"/>
              <w:jc w:val="center"/>
            </w:pPr>
            <w:r>
              <w:rPr>
                <w:rFonts w:ascii="Arial" w:eastAsia="Arial" w:hAnsi="Arial" w:cs="Arial"/>
                <w:b/>
                <w:color w:val="000000"/>
                <w:sz w:val="18"/>
              </w:rPr>
              <w:t>Unrealized</w:t>
            </w:r>
          </w:p>
          <w:p w14:paraId="18559EC4" w14:textId="77777777" w:rsidR="001614AC" w:rsidRDefault="004468F9">
            <w:pPr>
              <w:spacing w:after="30" w:line="288" w:lineRule="auto"/>
              <w:jc w:val="center"/>
            </w:pPr>
            <w:r>
              <w:rPr>
                <w:rFonts w:ascii="Arial" w:eastAsia="Arial" w:hAnsi="Arial" w:cs="Arial"/>
                <w:b/>
                <w:color w:val="000000"/>
                <w:sz w:val="18"/>
              </w:rPr>
              <w:t>Gains</w:t>
            </w:r>
          </w:p>
        </w:tc>
        <w:tc>
          <w:tcPr>
            <w:tcW w:w="105" w:type="dxa"/>
            <w:tcBorders>
              <w:top w:val="single" w:sz="8" w:space="0" w:color="FFFFFF"/>
              <w:left w:val="nil"/>
              <w:bottom w:val="single" w:sz="8" w:space="0" w:color="C7C9C7"/>
              <w:right w:val="nil"/>
            </w:tcBorders>
            <w:tcMar>
              <w:top w:w="0" w:type="dxa"/>
              <w:left w:w="0" w:type="dxa"/>
              <w:bottom w:w="0" w:type="dxa"/>
              <w:right w:w="0" w:type="dxa"/>
            </w:tcMar>
            <w:vAlign w:val="bottom"/>
          </w:tcPr>
          <w:p w14:paraId="27B88292" w14:textId="77777777" w:rsidR="001614AC" w:rsidRDefault="001614AC">
            <w:pPr>
              <w:keepNext/>
            </w:pPr>
          </w:p>
        </w:tc>
        <w:tc>
          <w:tcPr>
            <w:tcW w:w="1095" w:type="dxa"/>
            <w:gridSpan w:val="3"/>
            <w:tcBorders>
              <w:top w:val="single" w:sz="8" w:space="0" w:color="FFFFFF"/>
              <w:left w:val="nil"/>
              <w:bottom w:val="single" w:sz="8" w:space="0" w:color="C7C9C7"/>
              <w:right w:val="nil"/>
            </w:tcBorders>
            <w:shd w:val="clear" w:color="auto" w:fill="F4F4F4"/>
            <w:tcMar>
              <w:top w:w="0" w:type="dxa"/>
              <w:left w:w="53" w:type="dxa"/>
              <w:bottom w:w="0" w:type="dxa"/>
              <w:right w:w="53" w:type="dxa"/>
            </w:tcMar>
            <w:vAlign w:val="bottom"/>
          </w:tcPr>
          <w:p w14:paraId="6C75EBCF" w14:textId="77777777" w:rsidR="001614AC" w:rsidRDefault="004468F9">
            <w:pPr>
              <w:keepNext/>
              <w:spacing w:before="55" w:line="288" w:lineRule="auto"/>
              <w:jc w:val="center"/>
            </w:pPr>
            <w:r>
              <w:rPr>
                <w:rFonts w:ascii="Arial" w:eastAsia="Arial" w:hAnsi="Arial" w:cs="Arial"/>
                <w:b/>
                <w:color w:val="000000"/>
                <w:sz w:val="18"/>
              </w:rPr>
              <w:t>Gross</w:t>
            </w:r>
          </w:p>
          <w:p w14:paraId="02E45D10" w14:textId="77777777" w:rsidR="001614AC" w:rsidRDefault="004468F9">
            <w:pPr>
              <w:spacing w:line="288" w:lineRule="auto"/>
              <w:jc w:val="center"/>
            </w:pPr>
            <w:r>
              <w:rPr>
                <w:rFonts w:ascii="Arial" w:eastAsia="Arial" w:hAnsi="Arial" w:cs="Arial"/>
                <w:b/>
                <w:color w:val="000000"/>
                <w:sz w:val="18"/>
              </w:rPr>
              <w:t>Unrealized</w:t>
            </w:r>
          </w:p>
          <w:p w14:paraId="0DD2E1D8" w14:textId="77777777" w:rsidR="001614AC" w:rsidRDefault="004468F9">
            <w:pPr>
              <w:spacing w:after="30" w:line="288" w:lineRule="auto"/>
              <w:jc w:val="center"/>
            </w:pPr>
            <w:r>
              <w:rPr>
                <w:rFonts w:ascii="Arial" w:eastAsia="Arial" w:hAnsi="Arial" w:cs="Arial"/>
                <w:b/>
                <w:color w:val="000000"/>
                <w:sz w:val="18"/>
              </w:rPr>
              <w:t>Losses</w:t>
            </w:r>
          </w:p>
        </w:tc>
        <w:tc>
          <w:tcPr>
            <w:tcW w:w="105" w:type="dxa"/>
            <w:tcBorders>
              <w:top w:val="single" w:sz="8" w:space="0" w:color="FFFFFF"/>
              <w:left w:val="nil"/>
              <w:bottom w:val="single" w:sz="8" w:space="0" w:color="C7C9C7"/>
              <w:right w:val="nil"/>
            </w:tcBorders>
            <w:tcMar>
              <w:top w:w="0" w:type="dxa"/>
              <w:left w:w="0" w:type="dxa"/>
              <w:bottom w:w="0" w:type="dxa"/>
              <w:right w:w="0" w:type="dxa"/>
            </w:tcMar>
            <w:vAlign w:val="bottom"/>
          </w:tcPr>
          <w:p w14:paraId="6E2EC355" w14:textId="77777777" w:rsidR="001614AC" w:rsidRDefault="001614AC">
            <w:pPr>
              <w:keepNext/>
            </w:pPr>
          </w:p>
        </w:tc>
        <w:tc>
          <w:tcPr>
            <w:tcW w:w="1095" w:type="dxa"/>
            <w:gridSpan w:val="3"/>
            <w:tcBorders>
              <w:top w:val="single" w:sz="8" w:space="0" w:color="FFFFFF"/>
              <w:left w:val="nil"/>
              <w:bottom w:val="single" w:sz="8" w:space="0" w:color="C7C9C7"/>
              <w:right w:val="nil"/>
            </w:tcBorders>
            <w:shd w:val="clear" w:color="auto" w:fill="F4F4F4"/>
            <w:tcMar>
              <w:top w:w="0" w:type="dxa"/>
              <w:left w:w="53" w:type="dxa"/>
              <w:bottom w:w="0" w:type="dxa"/>
              <w:right w:w="53" w:type="dxa"/>
            </w:tcMar>
            <w:vAlign w:val="bottom"/>
          </w:tcPr>
          <w:p w14:paraId="130876A3" w14:textId="77777777" w:rsidR="001614AC" w:rsidRDefault="004468F9">
            <w:pPr>
              <w:keepNext/>
              <w:spacing w:before="55" w:after="30" w:line="288" w:lineRule="auto"/>
              <w:jc w:val="center"/>
            </w:pPr>
            <w:r>
              <w:rPr>
                <w:rFonts w:ascii="Arial" w:eastAsia="Arial" w:hAnsi="Arial" w:cs="Arial"/>
                <w:b/>
                <w:color w:val="000000"/>
                <w:sz w:val="18"/>
              </w:rPr>
              <w:t>Fair Value</w:t>
            </w:r>
          </w:p>
        </w:tc>
      </w:tr>
      <w:tr w:rsidR="001614AC" w14:paraId="4CA44992" w14:textId="77777777">
        <w:trPr>
          <w:cantSplit/>
        </w:trPr>
        <w:tc>
          <w:tcPr>
            <w:tcW w:w="4080" w:type="dxa"/>
            <w:tcBorders>
              <w:top w:val="single" w:sz="8" w:space="0" w:color="C7C9C7"/>
              <w:left w:val="nil"/>
              <w:bottom w:val="single" w:sz="8" w:space="0" w:color="E9E9E9"/>
              <w:right w:val="nil"/>
            </w:tcBorders>
            <w:tcMar>
              <w:top w:w="0" w:type="dxa"/>
              <w:left w:w="53" w:type="dxa"/>
              <w:bottom w:w="0" w:type="dxa"/>
              <w:right w:w="53" w:type="dxa"/>
            </w:tcMar>
            <w:vAlign w:val="bottom"/>
          </w:tcPr>
          <w:p w14:paraId="377C8313" w14:textId="77777777" w:rsidR="001614AC" w:rsidRDefault="004468F9">
            <w:pPr>
              <w:keepNext/>
              <w:spacing w:before="55" w:after="30" w:line="288" w:lineRule="auto"/>
            </w:pPr>
            <w:r>
              <w:rPr>
                <w:rFonts w:ascii="Arial" w:eastAsia="Arial" w:hAnsi="Arial" w:cs="Arial"/>
                <w:color w:val="000000"/>
                <w:sz w:val="18"/>
              </w:rPr>
              <w:t>Fixed-maturities available for sale</w:t>
            </w:r>
          </w:p>
        </w:tc>
        <w:tc>
          <w:tcPr>
            <w:tcW w:w="105" w:type="dxa"/>
            <w:tcBorders>
              <w:top w:val="single" w:sz="8" w:space="0" w:color="C7C9C7"/>
              <w:left w:val="nil"/>
              <w:bottom w:val="nil"/>
              <w:right w:val="nil"/>
            </w:tcBorders>
            <w:tcMar>
              <w:top w:w="0" w:type="dxa"/>
              <w:left w:w="0" w:type="dxa"/>
              <w:bottom w:w="0" w:type="dxa"/>
              <w:right w:w="0" w:type="dxa"/>
            </w:tcMar>
            <w:vAlign w:val="bottom"/>
          </w:tcPr>
          <w:p w14:paraId="3EBD3C1B" w14:textId="77777777" w:rsidR="001614AC" w:rsidRDefault="001614AC">
            <w:pPr>
              <w:keepNext/>
            </w:pPr>
          </w:p>
        </w:tc>
        <w:tc>
          <w:tcPr>
            <w:tcW w:w="1095" w:type="dxa"/>
            <w:gridSpan w:val="3"/>
            <w:tcBorders>
              <w:top w:val="single" w:sz="8" w:space="0" w:color="C7C9C7"/>
              <w:left w:val="nil"/>
              <w:bottom w:val="single" w:sz="8" w:space="0" w:color="E9E9E9"/>
              <w:right w:val="nil"/>
            </w:tcBorders>
            <w:tcMar>
              <w:top w:w="0" w:type="dxa"/>
              <w:left w:w="0" w:type="dxa"/>
              <w:bottom w:w="0" w:type="dxa"/>
              <w:right w:w="0" w:type="dxa"/>
            </w:tcMar>
            <w:vAlign w:val="bottom"/>
          </w:tcPr>
          <w:p w14:paraId="7CB7A73B" w14:textId="77777777" w:rsidR="001614AC" w:rsidRDefault="001614AC">
            <w:pPr>
              <w:keepNext/>
            </w:pPr>
          </w:p>
        </w:tc>
        <w:tc>
          <w:tcPr>
            <w:tcW w:w="105" w:type="dxa"/>
            <w:tcBorders>
              <w:top w:val="single" w:sz="8" w:space="0" w:color="C7C9C7"/>
              <w:left w:val="nil"/>
              <w:bottom w:val="nil"/>
              <w:right w:val="nil"/>
            </w:tcBorders>
            <w:tcMar>
              <w:top w:w="0" w:type="dxa"/>
              <w:left w:w="0" w:type="dxa"/>
              <w:bottom w:w="0" w:type="dxa"/>
              <w:right w:w="0" w:type="dxa"/>
            </w:tcMar>
            <w:vAlign w:val="bottom"/>
          </w:tcPr>
          <w:p w14:paraId="2C9770F4" w14:textId="77777777" w:rsidR="001614AC" w:rsidRDefault="001614AC">
            <w:pPr>
              <w:keepNext/>
            </w:pPr>
          </w:p>
        </w:tc>
        <w:tc>
          <w:tcPr>
            <w:tcW w:w="1095" w:type="dxa"/>
            <w:gridSpan w:val="3"/>
            <w:tcBorders>
              <w:top w:val="single" w:sz="8" w:space="0" w:color="C7C9C7"/>
              <w:left w:val="nil"/>
              <w:bottom w:val="single" w:sz="8" w:space="0" w:color="E9E9E9"/>
              <w:right w:val="nil"/>
            </w:tcBorders>
            <w:tcMar>
              <w:top w:w="0" w:type="dxa"/>
              <w:left w:w="0" w:type="dxa"/>
              <w:bottom w:w="0" w:type="dxa"/>
              <w:right w:w="0" w:type="dxa"/>
            </w:tcMar>
            <w:vAlign w:val="bottom"/>
          </w:tcPr>
          <w:p w14:paraId="48D5177B" w14:textId="77777777" w:rsidR="001614AC" w:rsidRDefault="001614AC">
            <w:pPr>
              <w:keepNext/>
            </w:pPr>
          </w:p>
        </w:tc>
        <w:tc>
          <w:tcPr>
            <w:tcW w:w="105" w:type="dxa"/>
            <w:tcBorders>
              <w:top w:val="single" w:sz="8" w:space="0" w:color="C7C9C7"/>
              <w:left w:val="nil"/>
              <w:bottom w:val="nil"/>
              <w:right w:val="nil"/>
            </w:tcBorders>
            <w:tcMar>
              <w:top w:w="0" w:type="dxa"/>
              <w:left w:w="0" w:type="dxa"/>
              <w:bottom w:w="0" w:type="dxa"/>
              <w:right w:w="0" w:type="dxa"/>
            </w:tcMar>
            <w:vAlign w:val="bottom"/>
          </w:tcPr>
          <w:p w14:paraId="31F2B788" w14:textId="77777777" w:rsidR="001614AC" w:rsidRDefault="001614AC">
            <w:pPr>
              <w:keepNext/>
            </w:pPr>
          </w:p>
        </w:tc>
        <w:tc>
          <w:tcPr>
            <w:tcW w:w="1095" w:type="dxa"/>
            <w:gridSpan w:val="3"/>
            <w:tcBorders>
              <w:top w:val="single" w:sz="8" w:space="0" w:color="C7C9C7"/>
              <w:left w:val="nil"/>
              <w:bottom w:val="single" w:sz="8" w:space="0" w:color="E9E9E9"/>
              <w:right w:val="nil"/>
            </w:tcBorders>
            <w:tcMar>
              <w:top w:w="0" w:type="dxa"/>
              <w:left w:w="0" w:type="dxa"/>
              <w:bottom w:w="0" w:type="dxa"/>
              <w:right w:w="0" w:type="dxa"/>
            </w:tcMar>
            <w:vAlign w:val="bottom"/>
          </w:tcPr>
          <w:p w14:paraId="47779AD2" w14:textId="77777777" w:rsidR="001614AC" w:rsidRDefault="001614AC">
            <w:pPr>
              <w:keepNext/>
            </w:pPr>
          </w:p>
        </w:tc>
        <w:tc>
          <w:tcPr>
            <w:tcW w:w="105" w:type="dxa"/>
            <w:tcBorders>
              <w:top w:val="single" w:sz="8" w:space="0" w:color="C7C9C7"/>
              <w:left w:val="nil"/>
              <w:bottom w:val="nil"/>
              <w:right w:val="nil"/>
            </w:tcBorders>
            <w:tcMar>
              <w:top w:w="0" w:type="dxa"/>
              <w:left w:w="0" w:type="dxa"/>
              <w:bottom w:w="0" w:type="dxa"/>
              <w:right w:w="0" w:type="dxa"/>
            </w:tcMar>
            <w:vAlign w:val="bottom"/>
          </w:tcPr>
          <w:p w14:paraId="527B4FE4" w14:textId="77777777" w:rsidR="001614AC" w:rsidRDefault="001614AC">
            <w:pPr>
              <w:keepNext/>
            </w:pPr>
          </w:p>
        </w:tc>
        <w:tc>
          <w:tcPr>
            <w:tcW w:w="1095" w:type="dxa"/>
            <w:gridSpan w:val="3"/>
            <w:tcBorders>
              <w:top w:val="single" w:sz="8" w:space="0" w:color="C7C9C7"/>
              <w:left w:val="nil"/>
              <w:bottom w:val="single" w:sz="8" w:space="0" w:color="E9E9E9"/>
              <w:right w:val="nil"/>
            </w:tcBorders>
            <w:tcMar>
              <w:top w:w="0" w:type="dxa"/>
              <w:left w:w="0" w:type="dxa"/>
              <w:bottom w:w="0" w:type="dxa"/>
              <w:right w:w="0" w:type="dxa"/>
            </w:tcMar>
            <w:vAlign w:val="bottom"/>
          </w:tcPr>
          <w:p w14:paraId="5FB4C35B" w14:textId="77777777" w:rsidR="001614AC" w:rsidRDefault="001614AC">
            <w:pPr>
              <w:keepNext/>
            </w:pPr>
          </w:p>
        </w:tc>
        <w:tc>
          <w:tcPr>
            <w:tcW w:w="105" w:type="dxa"/>
            <w:tcBorders>
              <w:top w:val="single" w:sz="8" w:space="0" w:color="C7C9C7"/>
              <w:left w:val="nil"/>
              <w:bottom w:val="nil"/>
              <w:right w:val="nil"/>
            </w:tcBorders>
            <w:tcMar>
              <w:top w:w="0" w:type="dxa"/>
              <w:left w:w="0" w:type="dxa"/>
              <w:bottom w:w="0" w:type="dxa"/>
              <w:right w:w="0" w:type="dxa"/>
            </w:tcMar>
            <w:vAlign w:val="bottom"/>
          </w:tcPr>
          <w:p w14:paraId="34B7589E" w14:textId="77777777" w:rsidR="001614AC" w:rsidRDefault="001614AC">
            <w:pPr>
              <w:keepNext/>
            </w:pPr>
          </w:p>
        </w:tc>
        <w:tc>
          <w:tcPr>
            <w:tcW w:w="1095" w:type="dxa"/>
            <w:gridSpan w:val="3"/>
            <w:tcBorders>
              <w:top w:val="single" w:sz="8" w:space="0" w:color="C7C9C7"/>
              <w:left w:val="nil"/>
              <w:bottom w:val="single" w:sz="8" w:space="0" w:color="E9E9E9"/>
              <w:right w:val="nil"/>
            </w:tcBorders>
            <w:tcMar>
              <w:top w:w="0" w:type="dxa"/>
              <w:left w:w="0" w:type="dxa"/>
              <w:bottom w:w="0" w:type="dxa"/>
              <w:right w:w="0" w:type="dxa"/>
            </w:tcMar>
            <w:vAlign w:val="bottom"/>
          </w:tcPr>
          <w:p w14:paraId="78CF8813" w14:textId="77777777" w:rsidR="001614AC" w:rsidRDefault="001614AC">
            <w:pPr>
              <w:keepNext/>
            </w:pPr>
          </w:p>
        </w:tc>
      </w:tr>
      <w:tr w:rsidR="001614AC" w14:paraId="5E731691" w14:textId="77777777">
        <w:trPr>
          <w:cantSplit/>
        </w:trPr>
        <w:tc>
          <w:tcPr>
            <w:tcW w:w="4080" w:type="dxa"/>
            <w:tcBorders>
              <w:top w:val="single" w:sz="8" w:space="0" w:color="E9E9E9"/>
              <w:left w:val="nil"/>
              <w:bottom w:val="single" w:sz="8" w:space="0" w:color="E9E9E9"/>
              <w:right w:val="nil"/>
            </w:tcBorders>
            <w:tcMar>
              <w:top w:w="0" w:type="dxa"/>
              <w:left w:w="53" w:type="dxa"/>
              <w:bottom w:w="0" w:type="dxa"/>
              <w:right w:w="53" w:type="dxa"/>
            </w:tcMar>
            <w:vAlign w:val="bottom"/>
          </w:tcPr>
          <w:p w14:paraId="55A74BDE" w14:textId="77777777" w:rsidR="001614AC" w:rsidRDefault="004468F9">
            <w:pPr>
              <w:keepNext/>
              <w:spacing w:before="55" w:after="30" w:line="288" w:lineRule="auto"/>
              <w:ind w:left="240"/>
            </w:pPr>
            <w:r>
              <w:rPr>
                <w:rFonts w:ascii="Arial" w:eastAsia="Arial" w:hAnsi="Arial" w:cs="Arial"/>
                <w:color w:val="000000"/>
                <w:sz w:val="18"/>
              </w:rPr>
              <w:t>U.S. government and agency securities</w:t>
            </w:r>
          </w:p>
        </w:tc>
        <w:tc>
          <w:tcPr>
            <w:tcW w:w="105" w:type="dxa"/>
            <w:tcBorders>
              <w:top w:val="nil"/>
              <w:left w:val="nil"/>
              <w:bottom w:val="nil"/>
              <w:right w:val="nil"/>
            </w:tcBorders>
            <w:tcMar>
              <w:top w:w="0" w:type="dxa"/>
              <w:left w:w="0" w:type="dxa"/>
              <w:bottom w:w="0" w:type="dxa"/>
              <w:right w:w="0" w:type="dxa"/>
            </w:tcMar>
            <w:vAlign w:val="bottom"/>
          </w:tcPr>
          <w:p w14:paraId="0E1657B9" w14:textId="77777777" w:rsidR="001614AC" w:rsidRDefault="001614AC">
            <w:pPr>
              <w:keepNext/>
            </w:pPr>
          </w:p>
        </w:tc>
        <w:tc>
          <w:tcPr>
            <w:tcW w:w="160" w:type="dxa"/>
            <w:tcBorders>
              <w:top w:val="single" w:sz="8" w:space="0" w:color="E9E9E9"/>
              <w:left w:val="nil"/>
              <w:bottom w:val="single" w:sz="8" w:space="0" w:color="E9E9E9"/>
              <w:right w:val="nil"/>
            </w:tcBorders>
            <w:tcMar>
              <w:top w:w="0" w:type="dxa"/>
              <w:left w:w="53" w:type="dxa"/>
              <w:bottom w:w="0" w:type="dxa"/>
              <w:right w:w="0" w:type="dxa"/>
            </w:tcMar>
            <w:vAlign w:val="bottom"/>
          </w:tcPr>
          <w:p w14:paraId="0A30000B" w14:textId="77777777" w:rsidR="001614AC" w:rsidRDefault="004468F9">
            <w:pPr>
              <w:keepNext/>
              <w:spacing w:before="55" w:after="30" w:line="288" w:lineRule="auto"/>
            </w:pPr>
            <w:r>
              <w:rPr>
                <w:rFonts w:ascii="Arial" w:eastAsia="Arial" w:hAnsi="Arial" w:cs="Arial"/>
                <w:color w:val="000000"/>
                <w:sz w:val="18"/>
              </w:rPr>
              <w:t>$</w:t>
            </w:r>
          </w:p>
        </w:tc>
        <w:tc>
          <w:tcPr>
            <w:tcW w:w="835" w:type="dxa"/>
            <w:tcBorders>
              <w:top w:val="single" w:sz="8" w:space="0" w:color="E9E9E9"/>
              <w:left w:val="nil"/>
              <w:bottom w:val="single" w:sz="8" w:space="0" w:color="E9E9E9"/>
              <w:right w:val="nil"/>
            </w:tcBorders>
            <w:tcMar>
              <w:top w:w="0" w:type="dxa"/>
              <w:left w:w="0" w:type="dxa"/>
              <w:bottom w:w="0" w:type="dxa"/>
              <w:right w:w="0" w:type="dxa"/>
            </w:tcMar>
            <w:vAlign w:val="bottom"/>
          </w:tcPr>
          <w:p w14:paraId="6E7E636F" w14:textId="77777777" w:rsidR="001614AC" w:rsidRDefault="004468F9">
            <w:pPr>
              <w:keepNext/>
              <w:spacing w:before="55" w:after="30" w:line="288" w:lineRule="auto"/>
              <w:jc w:val="right"/>
            </w:pPr>
            <w:r>
              <w:rPr>
                <w:rFonts w:ascii="Arial" w:eastAsia="Arial" w:hAnsi="Arial" w:cs="Arial"/>
                <w:color w:val="000000"/>
                <w:sz w:val="18"/>
              </w:rPr>
              <w:t>176,033 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01B9976F" w14:textId="77777777" w:rsidR="001614AC" w:rsidRDefault="001614AC">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47F32569" w14:textId="77777777" w:rsidR="001614AC" w:rsidRDefault="001614AC">
            <w:pPr>
              <w:keepNext/>
            </w:pPr>
          </w:p>
        </w:tc>
        <w:tc>
          <w:tcPr>
            <w:tcW w:w="160" w:type="dxa"/>
            <w:tcBorders>
              <w:top w:val="single" w:sz="8" w:space="0" w:color="E9E9E9"/>
              <w:left w:val="nil"/>
              <w:bottom w:val="single" w:sz="8" w:space="0" w:color="E9E9E9"/>
              <w:right w:val="nil"/>
            </w:tcBorders>
            <w:tcMar>
              <w:top w:w="0" w:type="dxa"/>
              <w:left w:w="53" w:type="dxa"/>
              <w:bottom w:w="0" w:type="dxa"/>
              <w:right w:w="0" w:type="dxa"/>
            </w:tcMar>
            <w:vAlign w:val="bottom"/>
          </w:tcPr>
          <w:p w14:paraId="55EF0DCE" w14:textId="77777777" w:rsidR="001614AC" w:rsidRDefault="004468F9">
            <w:pPr>
              <w:keepNext/>
              <w:spacing w:before="55" w:after="30" w:line="288" w:lineRule="auto"/>
            </w:pPr>
            <w:r>
              <w:rPr>
                <w:rFonts w:ascii="Arial" w:eastAsia="Arial" w:hAnsi="Arial" w:cs="Arial"/>
                <w:color w:val="000000"/>
                <w:sz w:val="18"/>
              </w:rPr>
              <w:t>$</w:t>
            </w:r>
          </w:p>
        </w:tc>
        <w:tc>
          <w:tcPr>
            <w:tcW w:w="835" w:type="dxa"/>
            <w:tcBorders>
              <w:top w:val="single" w:sz="8" w:space="0" w:color="E9E9E9"/>
              <w:left w:val="nil"/>
              <w:bottom w:val="single" w:sz="8" w:space="0" w:color="E9E9E9"/>
              <w:right w:val="nil"/>
            </w:tcBorders>
            <w:tcMar>
              <w:top w:w="0" w:type="dxa"/>
              <w:left w:w="0" w:type="dxa"/>
              <w:bottom w:w="0" w:type="dxa"/>
              <w:right w:w="0" w:type="dxa"/>
            </w:tcMar>
            <w:vAlign w:val="bottom"/>
          </w:tcPr>
          <w:p w14:paraId="4EF16E74" w14:textId="77777777" w:rsidR="001614AC" w:rsidRDefault="004468F9">
            <w:pPr>
              <w:keepNext/>
              <w:spacing w:before="55" w:after="30" w:line="288" w:lineRule="auto"/>
              <w:jc w:val="right"/>
            </w:pPr>
            <w:r>
              <w:rPr>
                <w:rFonts w:ascii="Arial" w:eastAsia="Arial" w:hAnsi="Arial" w:cs="Arial"/>
                <w:color w:val="000000"/>
                <w:sz w:val="18"/>
              </w:rPr>
              <w:t>—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1F273115" w14:textId="77777777" w:rsidR="001614AC" w:rsidRDefault="001614AC">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3D92BD68" w14:textId="77777777" w:rsidR="001614AC" w:rsidRDefault="001614AC">
            <w:pPr>
              <w:keepNext/>
            </w:pPr>
          </w:p>
        </w:tc>
        <w:tc>
          <w:tcPr>
            <w:tcW w:w="160" w:type="dxa"/>
            <w:tcBorders>
              <w:top w:val="single" w:sz="8" w:space="0" w:color="E9E9E9"/>
              <w:left w:val="nil"/>
              <w:bottom w:val="single" w:sz="8" w:space="0" w:color="E9E9E9"/>
              <w:right w:val="nil"/>
            </w:tcBorders>
            <w:tcMar>
              <w:top w:w="0" w:type="dxa"/>
              <w:left w:w="53" w:type="dxa"/>
              <w:bottom w:w="0" w:type="dxa"/>
              <w:right w:w="0" w:type="dxa"/>
            </w:tcMar>
            <w:vAlign w:val="bottom"/>
          </w:tcPr>
          <w:p w14:paraId="41792343" w14:textId="77777777" w:rsidR="001614AC" w:rsidRDefault="004468F9">
            <w:pPr>
              <w:keepNext/>
              <w:spacing w:before="55" w:after="30" w:line="288" w:lineRule="auto"/>
            </w:pPr>
            <w:r>
              <w:rPr>
                <w:rFonts w:ascii="Arial" w:eastAsia="Arial" w:hAnsi="Arial" w:cs="Arial"/>
                <w:color w:val="000000"/>
                <w:sz w:val="18"/>
              </w:rPr>
              <w:t>$</w:t>
            </w:r>
          </w:p>
        </w:tc>
        <w:tc>
          <w:tcPr>
            <w:tcW w:w="835" w:type="dxa"/>
            <w:tcBorders>
              <w:top w:val="single" w:sz="8" w:space="0" w:color="E9E9E9"/>
              <w:left w:val="nil"/>
              <w:bottom w:val="single" w:sz="8" w:space="0" w:color="E9E9E9"/>
              <w:right w:val="nil"/>
            </w:tcBorders>
            <w:tcMar>
              <w:top w:w="0" w:type="dxa"/>
              <w:left w:w="0" w:type="dxa"/>
              <w:bottom w:w="0" w:type="dxa"/>
              <w:right w:w="0" w:type="dxa"/>
            </w:tcMar>
            <w:vAlign w:val="bottom"/>
          </w:tcPr>
          <w:p w14:paraId="5F4A8B11" w14:textId="77777777" w:rsidR="001614AC" w:rsidRDefault="004468F9">
            <w:pPr>
              <w:keepNext/>
              <w:spacing w:before="55" w:after="30" w:line="288" w:lineRule="auto"/>
              <w:jc w:val="right"/>
            </w:pPr>
            <w:r>
              <w:rPr>
                <w:rFonts w:ascii="Arial" w:eastAsia="Arial" w:hAnsi="Arial" w:cs="Arial"/>
                <w:color w:val="000000"/>
                <w:sz w:val="18"/>
              </w:rPr>
              <w:t>1,677 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49C60130" w14:textId="77777777" w:rsidR="001614AC" w:rsidRDefault="001614AC">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4C286B7F" w14:textId="77777777" w:rsidR="001614AC" w:rsidRDefault="001614AC">
            <w:pPr>
              <w:keepNext/>
            </w:pPr>
          </w:p>
        </w:tc>
        <w:tc>
          <w:tcPr>
            <w:tcW w:w="160" w:type="dxa"/>
            <w:tcBorders>
              <w:top w:val="single" w:sz="8" w:space="0" w:color="E9E9E9"/>
              <w:left w:val="nil"/>
              <w:bottom w:val="single" w:sz="8" w:space="0" w:color="E9E9E9"/>
              <w:right w:val="nil"/>
            </w:tcBorders>
            <w:tcMar>
              <w:top w:w="0" w:type="dxa"/>
              <w:left w:w="53" w:type="dxa"/>
              <w:bottom w:w="0" w:type="dxa"/>
              <w:right w:w="0" w:type="dxa"/>
            </w:tcMar>
            <w:vAlign w:val="bottom"/>
          </w:tcPr>
          <w:p w14:paraId="45B0D7E7" w14:textId="77777777" w:rsidR="001614AC" w:rsidRDefault="004468F9">
            <w:pPr>
              <w:keepNext/>
              <w:spacing w:before="55" w:after="30" w:line="288" w:lineRule="auto"/>
            </w:pPr>
            <w:r>
              <w:rPr>
                <w:rFonts w:ascii="Arial" w:eastAsia="Arial" w:hAnsi="Arial" w:cs="Arial"/>
                <w:color w:val="000000"/>
                <w:sz w:val="18"/>
              </w:rPr>
              <w:t>$</w:t>
            </w:r>
          </w:p>
        </w:tc>
        <w:tc>
          <w:tcPr>
            <w:tcW w:w="835" w:type="dxa"/>
            <w:tcBorders>
              <w:top w:val="single" w:sz="8" w:space="0" w:color="E9E9E9"/>
              <w:left w:val="nil"/>
              <w:bottom w:val="single" w:sz="8" w:space="0" w:color="E9E9E9"/>
              <w:right w:val="nil"/>
            </w:tcBorders>
            <w:tcMar>
              <w:top w:w="0" w:type="dxa"/>
              <w:left w:w="0" w:type="dxa"/>
              <w:bottom w:w="0" w:type="dxa"/>
              <w:right w:w="0" w:type="dxa"/>
            </w:tcMar>
            <w:vAlign w:val="bottom"/>
          </w:tcPr>
          <w:p w14:paraId="2C57A0EC" w14:textId="77777777" w:rsidR="001614AC" w:rsidRDefault="004468F9">
            <w:pPr>
              <w:keepNext/>
              <w:spacing w:before="55" w:after="30" w:line="288" w:lineRule="auto"/>
              <w:jc w:val="right"/>
            </w:pPr>
            <w:r>
              <w:rPr>
                <w:rFonts w:ascii="Arial" w:eastAsia="Arial" w:hAnsi="Arial" w:cs="Arial"/>
                <w:color w:val="000000"/>
                <w:sz w:val="18"/>
              </w:rPr>
              <w:t>(3,611)</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38C535B5" w14:textId="77777777" w:rsidR="001614AC" w:rsidRDefault="001614AC">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00AA2E89" w14:textId="77777777" w:rsidR="001614AC" w:rsidRDefault="001614AC">
            <w:pPr>
              <w:keepNext/>
            </w:pPr>
          </w:p>
        </w:tc>
        <w:tc>
          <w:tcPr>
            <w:tcW w:w="160" w:type="dxa"/>
            <w:tcBorders>
              <w:top w:val="single" w:sz="8" w:space="0" w:color="E9E9E9"/>
              <w:left w:val="nil"/>
              <w:bottom w:val="single" w:sz="8" w:space="0" w:color="E9E9E9"/>
              <w:right w:val="nil"/>
            </w:tcBorders>
            <w:tcMar>
              <w:top w:w="0" w:type="dxa"/>
              <w:left w:w="53" w:type="dxa"/>
              <w:bottom w:w="0" w:type="dxa"/>
              <w:right w:w="0" w:type="dxa"/>
            </w:tcMar>
            <w:vAlign w:val="bottom"/>
          </w:tcPr>
          <w:p w14:paraId="1BC7DFB7" w14:textId="77777777" w:rsidR="001614AC" w:rsidRDefault="004468F9">
            <w:pPr>
              <w:keepNext/>
              <w:spacing w:before="55" w:after="30" w:line="288" w:lineRule="auto"/>
            </w:pPr>
            <w:r>
              <w:rPr>
                <w:rFonts w:ascii="Arial" w:eastAsia="Arial" w:hAnsi="Arial" w:cs="Arial"/>
                <w:color w:val="000000"/>
                <w:sz w:val="18"/>
              </w:rPr>
              <w:t>$</w:t>
            </w:r>
          </w:p>
        </w:tc>
        <w:tc>
          <w:tcPr>
            <w:tcW w:w="835" w:type="dxa"/>
            <w:tcBorders>
              <w:top w:val="single" w:sz="8" w:space="0" w:color="E9E9E9"/>
              <w:left w:val="nil"/>
              <w:bottom w:val="single" w:sz="8" w:space="0" w:color="E9E9E9"/>
              <w:right w:val="nil"/>
            </w:tcBorders>
            <w:tcMar>
              <w:top w:w="0" w:type="dxa"/>
              <w:left w:w="0" w:type="dxa"/>
              <w:bottom w:w="0" w:type="dxa"/>
              <w:right w:w="0" w:type="dxa"/>
            </w:tcMar>
            <w:vAlign w:val="bottom"/>
          </w:tcPr>
          <w:p w14:paraId="5DDE2DD2" w14:textId="77777777" w:rsidR="001614AC" w:rsidRDefault="004468F9">
            <w:pPr>
              <w:keepNext/>
              <w:spacing w:before="55" w:after="30" w:line="288" w:lineRule="auto"/>
              <w:jc w:val="right"/>
            </w:pPr>
            <w:r>
              <w:rPr>
                <w:rFonts w:ascii="Arial" w:eastAsia="Arial" w:hAnsi="Arial" w:cs="Arial"/>
                <w:color w:val="000000"/>
                <w:sz w:val="18"/>
              </w:rPr>
              <w:t>174,099 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2F90BB6D" w14:textId="77777777" w:rsidR="001614AC" w:rsidRDefault="001614AC">
            <w:pPr>
              <w:keepNext/>
              <w:spacing w:before="55" w:after="30" w:line="288" w:lineRule="auto"/>
              <w:jc w:val="right"/>
            </w:pPr>
          </w:p>
        </w:tc>
      </w:tr>
      <w:tr w:rsidR="001614AC" w14:paraId="5E4D7662" w14:textId="77777777">
        <w:trPr>
          <w:cantSplit/>
        </w:trPr>
        <w:tc>
          <w:tcPr>
            <w:tcW w:w="4080" w:type="dxa"/>
            <w:tcBorders>
              <w:top w:val="single" w:sz="8" w:space="0" w:color="E9E9E9"/>
              <w:left w:val="nil"/>
              <w:bottom w:val="single" w:sz="8" w:space="0" w:color="E9E9E9"/>
              <w:right w:val="nil"/>
            </w:tcBorders>
            <w:tcMar>
              <w:top w:w="0" w:type="dxa"/>
              <w:left w:w="53" w:type="dxa"/>
              <w:bottom w:w="0" w:type="dxa"/>
              <w:right w:w="53" w:type="dxa"/>
            </w:tcMar>
            <w:vAlign w:val="bottom"/>
          </w:tcPr>
          <w:p w14:paraId="0035ADF1" w14:textId="77777777" w:rsidR="001614AC" w:rsidRDefault="004468F9">
            <w:pPr>
              <w:keepNext/>
              <w:spacing w:before="55" w:after="30" w:line="288" w:lineRule="auto"/>
              <w:ind w:left="240"/>
            </w:pPr>
            <w:r>
              <w:rPr>
                <w:rFonts w:ascii="Arial" w:eastAsia="Arial" w:hAnsi="Arial" w:cs="Arial"/>
                <w:color w:val="000000"/>
                <w:sz w:val="18"/>
              </w:rPr>
              <w:t>State and m</w:t>
            </w:r>
            <w:r>
              <w:rPr>
                <w:rFonts w:ascii="Arial" w:eastAsia="Arial" w:hAnsi="Arial" w:cs="Arial"/>
                <w:color w:val="000000"/>
                <w:sz w:val="18"/>
              </w:rPr>
              <w:t>unicipal obligations</w:t>
            </w:r>
          </w:p>
        </w:tc>
        <w:tc>
          <w:tcPr>
            <w:tcW w:w="105" w:type="dxa"/>
            <w:tcBorders>
              <w:top w:val="nil"/>
              <w:left w:val="nil"/>
              <w:bottom w:val="nil"/>
              <w:right w:val="nil"/>
            </w:tcBorders>
            <w:tcMar>
              <w:top w:w="0" w:type="dxa"/>
              <w:left w:w="0" w:type="dxa"/>
              <w:bottom w:w="0" w:type="dxa"/>
              <w:right w:w="0" w:type="dxa"/>
            </w:tcMar>
            <w:vAlign w:val="bottom"/>
          </w:tcPr>
          <w:p w14:paraId="265EB44B" w14:textId="77777777" w:rsidR="001614AC" w:rsidRDefault="001614AC">
            <w:pPr>
              <w:keepNext/>
            </w:pPr>
          </w:p>
        </w:tc>
        <w:tc>
          <w:tcPr>
            <w:tcW w:w="99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1A376E80" w14:textId="77777777" w:rsidR="001614AC" w:rsidRDefault="004468F9">
            <w:pPr>
              <w:keepNext/>
              <w:spacing w:before="55" w:after="30" w:line="288" w:lineRule="auto"/>
              <w:jc w:val="right"/>
            </w:pPr>
            <w:r>
              <w:rPr>
                <w:rFonts w:ascii="Arial" w:eastAsia="Arial" w:hAnsi="Arial" w:cs="Arial"/>
                <w:color w:val="000000"/>
                <w:sz w:val="18"/>
              </w:rPr>
              <w:t>149,258 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5B96F0C7" w14:textId="77777777" w:rsidR="001614AC" w:rsidRDefault="001614AC">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489FD8AF" w14:textId="77777777" w:rsidR="001614AC" w:rsidRDefault="001614AC">
            <w:pPr>
              <w:keepNext/>
            </w:pPr>
          </w:p>
        </w:tc>
        <w:tc>
          <w:tcPr>
            <w:tcW w:w="99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37489BF9" w14:textId="77777777" w:rsidR="001614AC" w:rsidRDefault="004468F9">
            <w:pPr>
              <w:keepNext/>
              <w:spacing w:before="55" w:after="30" w:line="288" w:lineRule="auto"/>
              <w:jc w:val="right"/>
            </w:pPr>
            <w:r>
              <w:rPr>
                <w:rFonts w:ascii="Arial" w:eastAsia="Arial" w:hAnsi="Arial" w:cs="Arial"/>
                <w:color w:val="000000"/>
                <w:sz w:val="18"/>
              </w:rPr>
              <w:t>—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77947698" w14:textId="77777777" w:rsidR="001614AC" w:rsidRDefault="001614AC">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1596AEF1" w14:textId="77777777" w:rsidR="001614AC" w:rsidRDefault="001614AC">
            <w:pPr>
              <w:keepNext/>
            </w:pPr>
          </w:p>
        </w:tc>
        <w:tc>
          <w:tcPr>
            <w:tcW w:w="99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50C201A2" w14:textId="77777777" w:rsidR="001614AC" w:rsidRDefault="004468F9">
            <w:pPr>
              <w:keepNext/>
              <w:spacing w:before="55" w:after="30" w:line="288" w:lineRule="auto"/>
              <w:jc w:val="right"/>
            </w:pPr>
            <w:r>
              <w:rPr>
                <w:rFonts w:ascii="Arial" w:eastAsia="Arial" w:hAnsi="Arial" w:cs="Arial"/>
                <w:color w:val="000000"/>
                <w:sz w:val="18"/>
              </w:rPr>
              <w:t>16,113 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3DC57287" w14:textId="77777777" w:rsidR="001614AC" w:rsidRDefault="001614AC">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5AC7743E" w14:textId="77777777" w:rsidR="001614AC" w:rsidRDefault="001614AC">
            <w:pPr>
              <w:keepNext/>
            </w:pPr>
          </w:p>
        </w:tc>
        <w:tc>
          <w:tcPr>
            <w:tcW w:w="99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30C34824" w14:textId="77777777" w:rsidR="001614AC" w:rsidRDefault="004468F9">
            <w:pPr>
              <w:keepNext/>
              <w:spacing w:before="55" w:after="30" w:line="288" w:lineRule="auto"/>
              <w:jc w:val="right"/>
            </w:pPr>
            <w:r>
              <w:rPr>
                <w:rFonts w:ascii="Arial" w:eastAsia="Arial" w:hAnsi="Arial" w:cs="Arial"/>
                <w:color w:val="000000"/>
                <w:sz w:val="18"/>
              </w:rPr>
              <w:t>(100)</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4EB349D8" w14:textId="77777777" w:rsidR="001614AC" w:rsidRDefault="001614AC">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4F24C939" w14:textId="77777777" w:rsidR="001614AC" w:rsidRDefault="001614AC">
            <w:pPr>
              <w:keepNext/>
            </w:pPr>
          </w:p>
        </w:tc>
        <w:tc>
          <w:tcPr>
            <w:tcW w:w="99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51485CCF" w14:textId="77777777" w:rsidR="001614AC" w:rsidRDefault="004468F9">
            <w:pPr>
              <w:keepNext/>
              <w:spacing w:before="55" w:after="30" w:line="288" w:lineRule="auto"/>
              <w:jc w:val="right"/>
            </w:pPr>
            <w:r>
              <w:rPr>
                <w:rFonts w:ascii="Arial" w:eastAsia="Arial" w:hAnsi="Arial" w:cs="Arial"/>
                <w:color w:val="000000"/>
                <w:sz w:val="18"/>
              </w:rPr>
              <w:t>165,271 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601D4784" w14:textId="77777777" w:rsidR="001614AC" w:rsidRDefault="001614AC">
            <w:pPr>
              <w:keepNext/>
              <w:spacing w:before="55" w:after="30" w:line="288" w:lineRule="auto"/>
              <w:jc w:val="right"/>
            </w:pPr>
          </w:p>
        </w:tc>
      </w:tr>
      <w:tr w:rsidR="001614AC" w14:paraId="72C3A807" w14:textId="77777777">
        <w:trPr>
          <w:cantSplit/>
        </w:trPr>
        <w:tc>
          <w:tcPr>
            <w:tcW w:w="4080" w:type="dxa"/>
            <w:tcBorders>
              <w:top w:val="single" w:sz="8" w:space="0" w:color="E9E9E9"/>
              <w:left w:val="nil"/>
              <w:bottom w:val="single" w:sz="8" w:space="0" w:color="E9E9E9"/>
              <w:right w:val="nil"/>
            </w:tcBorders>
            <w:tcMar>
              <w:top w:w="0" w:type="dxa"/>
              <w:left w:w="53" w:type="dxa"/>
              <w:bottom w:w="0" w:type="dxa"/>
              <w:right w:w="53" w:type="dxa"/>
            </w:tcMar>
            <w:vAlign w:val="bottom"/>
          </w:tcPr>
          <w:p w14:paraId="5CC368DD" w14:textId="77777777" w:rsidR="001614AC" w:rsidRDefault="004468F9">
            <w:pPr>
              <w:keepNext/>
              <w:spacing w:before="55" w:after="30" w:line="288" w:lineRule="auto"/>
              <w:ind w:left="240"/>
            </w:pPr>
            <w:r>
              <w:rPr>
                <w:rFonts w:ascii="Arial" w:eastAsia="Arial" w:hAnsi="Arial" w:cs="Arial"/>
                <w:color w:val="000000"/>
                <w:sz w:val="18"/>
              </w:rPr>
              <w:t>Corporate bonds and notes</w:t>
            </w:r>
          </w:p>
        </w:tc>
        <w:tc>
          <w:tcPr>
            <w:tcW w:w="105" w:type="dxa"/>
            <w:tcBorders>
              <w:top w:val="nil"/>
              <w:left w:val="nil"/>
              <w:bottom w:val="nil"/>
              <w:right w:val="nil"/>
            </w:tcBorders>
            <w:tcMar>
              <w:top w:w="0" w:type="dxa"/>
              <w:left w:w="0" w:type="dxa"/>
              <w:bottom w:w="0" w:type="dxa"/>
              <w:right w:w="0" w:type="dxa"/>
            </w:tcMar>
            <w:vAlign w:val="bottom"/>
          </w:tcPr>
          <w:p w14:paraId="4F9AC944" w14:textId="77777777" w:rsidR="001614AC" w:rsidRDefault="001614AC">
            <w:pPr>
              <w:keepNext/>
            </w:pPr>
          </w:p>
        </w:tc>
        <w:tc>
          <w:tcPr>
            <w:tcW w:w="99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00280D86" w14:textId="77777777" w:rsidR="001614AC" w:rsidRDefault="004468F9">
            <w:pPr>
              <w:keepNext/>
              <w:spacing w:before="55" w:after="30" w:line="288" w:lineRule="auto"/>
              <w:jc w:val="right"/>
            </w:pPr>
            <w:r>
              <w:rPr>
                <w:rFonts w:ascii="Arial" w:eastAsia="Arial" w:hAnsi="Arial" w:cs="Arial"/>
                <w:color w:val="000000"/>
                <w:sz w:val="18"/>
              </w:rPr>
              <w:t>2,832,350 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1B9B7CAA" w14:textId="77777777" w:rsidR="001614AC" w:rsidRDefault="001614AC">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370A34F7" w14:textId="77777777" w:rsidR="001614AC" w:rsidRDefault="001614AC">
            <w:pPr>
              <w:keepNext/>
            </w:pPr>
          </w:p>
        </w:tc>
        <w:tc>
          <w:tcPr>
            <w:tcW w:w="99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1D9EBA3B" w14:textId="77777777" w:rsidR="001614AC" w:rsidRDefault="004468F9">
            <w:pPr>
              <w:keepNext/>
              <w:spacing w:before="55" w:after="30" w:line="288" w:lineRule="auto"/>
              <w:jc w:val="right"/>
            </w:pPr>
            <w:r>
              <w:rPr>
                <w:rFonts w:ascii="Arial" w:eastAsia="Arial" w:hAnsi="Arial" w:cs="Arial"/>
                <w:color w:val="000000"/>
                <w:sz w:val="18"/>
              </w:rPr>
              <w:t>(948)</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6D5B1C62" w14:textId="77777777" w:rsidR="001614AC" w:rsidRDefault="001614AC">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5B5CC938" w14:textId="77777777" w:rsidR="001614AC" w:rsidRDefault="001614AC">
            <w:pPr>
              <w:keepNext/>
            </w:pPr>
          </w:p>
        </w:tc>
        <w:tc>
          <w:tcPr>
            <w:tcW w:w="99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11A05FA9" w14:textId="77777777" w:rsidR="001614AC" w:rsidRDefault="004468F9">
            <w:pPr>
              <w:keepNext/>
              <w:spacing w:before="55" w:after="30" w:line="288" w:lineRule="auto"/>
              <w:jc w:val="right"/>
            </w:pPr>
            <w:r>
              <w:rPr>
                <w:rFonts w:ascii="Arial" w:eastAsia="Arial" w:hAnsi="Arial" w:cs="Arial"/>
                <w:color w:val="000000"/>
                <w:sz w:val="18"/>
              </w:rPr>
              <w:t>250,771 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5082829A" w14:textId="77777777" w:rsidR="001614AC" w:rsidRDefault="001614AC">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39D92E3B" w14:textId="77777777" w:rsidR="001614AC" w:rsidRDefault="001614AC">
            <w:pPr>
              <w:keepNext/>
            </w:pPr>
          </w:p>
        </w:tc>
        <w:tc>
          <w:tcPr>
            <w:tcW w:w="99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5BCF5091" w14:textId="77777777" w:rsidR="001614AC" w:rsidRDefault="004468F9">
            <w:pPr>
              <w:keepNext/>
              <w:spacing w:before="55" w:after="30" w:line="288" w:lineRule="auto"/>
              <w:jc w:val="right"/>
            </w:pPr>
            <w:r>
              <w:rPr>
                <w:rFonts w:ascii="Arial" w:eastAsia="Arial" w:hAnsi="Arial" w:cs="Arial"/>
                <w:color w:val="000000"/>
                <w:sz w:val="18"/>
              </w:rPr>
              <w:t>(3,758)</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3B52C14A" w14:textId="77777777" w:rsidR="001614AC" w:rsidRDefault="001614AC">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70CDFBF6" w14:textId="77777777" w:rsidR="001614AC" w:rsidRDefault="001614AC">
            <w:pPr>
              <w:keepNext/>
            </w:pPr>
          </w:p>
        </w:tc>
        <w:tc>
          <w:tcPr>
            <w:tcW w:w="99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29480288" w14:textId="77777777" w:rsidR="001614AC" w:rsidRDefault="004468F9">
            <w:pPr>
              <w:keepNext/>
              <w:spacing w:before="55" w:after="30" w:line="288" w:lineRule="auto"/>
              <w:jc w:val="right"/>
            </w:pPr>
            <w:r>
              <w:rPr>
                <w:rFonts w:ascii="Arial" w:eastAsia="Arial" w:hAnsi="Arial" w:cs="Arial"/>
                <w:color w:val="000000"/>
                <w:sz w:val="18"/>
              </w:rPr>
              <w:t>3,078,415 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4A95E01D" w14:textId="77777777" w:rsidR="001614AC" w:rsidRDefault="001614AC">
            <w:pPr>
              <w:keepNext/>
              <w:spacing w:before="55" w:after="30" w:line="288" w:lineRule="auto"/>
              <w:jc w:val="right"/>
            </w:pPr>
          </w:p>
        </w:tc>
      </w:tr>
      <w:tr w:rsidR="001614AC" w14:paraId="08C8CE80" w14:textId="77777777">
        <w:trPr>
          <w:cantSplit/>
        </w:trPr>
        <w:tc>
          <w:tcPr>
            <w:tcW w:w="4080" w:type="dxa"/>
            <w:tcBorders>
              <w:top w:val="single" w:sz="8" w:space="0" w:color="E9E9E9"/>
              <w:left w:val="nil"/>
              <w:bottom w:val="single" w:sz="8" w:space="0" w:color="E9E9E9"/>
              <w:right w:val="nil"/>
            </w:tcBorders>
            <w:tcMar>
              <w:top w:w="0" w:type="dxa"/>
              <w:left w:w="53" w:type="dxa"/>
              <w:bottom w:w="0" w:type="dxa"/>
              <w:right w:w="53" w:type="dxa"/>
            </w:tcMar>
            <w:vAlign w:val="bottom"/>
          </w:tcPr>
          <w:p w14:paraId="5711F92C" w14:textId="77777777" w:rsidR="001614AC" w:rsidRDefault="004468F9">
            <w:pPr>
              <w:keepNext/>
              <w:spacing w:before="55" w:after="30" w:line="288" w:lineRule="auto"/>
              <w:ind w:left="240"/>
            </w:pPr>
            <w:r>
              <w:rPr>
                <w:rFonts w:ascii="Arial" w:eastAsia="Arial" w:hAnsi="Arial" w:cs="Arial"/>
                <w:color w:val="000000"/>
                <w:sz w:val="18"/>
              </w:rPr>
              <w:t>RMBS</w:t>
            </w:r>
          </w:p>
        </w:tc>
        <w:tc>
          <w:tcPr>
            <w:tcW w:w="105" w:type="dxa"/>
            <w:tcBorders>
              <w:top w:val="nil"/>
              <w:left w:val="nil"/>
              <w:bottom w:val="nil"/>
              <w:right w:val="nil"/>
            </w:tcBorders>
            <w:tcMar>
              <w:top w:w="0" w:type="dxa"/>
              <w:left w:w="0" w:type="dxa"/>
              <w:bottom w:w="0" w:type="dxa"/>
              <w:right w:w="0" w:type="dxa"/>
            </w:tcMar>
            <w:vAlign w:val="bottom"/>
          </w:tcPr>
          <w:p w14:paraId="6790E4B9" w14:textId="77777777" w:rsidR="001614AC" w:rsidRDefault="001614AC">
            <w:pPr>
              <w:keepNext/>
            </w:pPr>
          </w:p>
        </w:tc>
        <w:tc>
          <w:tcPr>
            <w:tcW w:w="99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3CA381F2" w14:textId="77777777" w:rsidR="001614AC" w:rsidRDefault="004468F9">
            <w:pPr>
              <w:keepNext/>
              <w:spacing w:before="55" w:after="30" w:line="288" w:lineRule="auto"/>
              <w:jc w:val="right"/>
            </w:pPr>
            <w:r>
              <w:rPr>
                <w:rFonts w:ascii="Arial" w:eastAsia="Arial" w:hAnsi="Arial" w:cs="Arial"/>
                <w:color w:val="000000"/>
                <w:sz w:val="18"/>
              </w:rPr>
              <w:t>799,814 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67BCFA9A" w14:textId="77777777" w:rsidR="001614AC" w:rsidRDefault="001614AC">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57E6D00B" w14:textId="77777777" w:rsidR="001614AC" w:rsidRDefault="001614AC">
            <w:pPr>
              <w:keepNext/>
            </w:pPr>
          </w:p>
        </w:tc>
        <w:tc>
          <w:tcPr>
            <w:tcW w:w="99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4CC817A1" w14:textId="77777777" w:rsidR="001614AC" w:rsidRDefault="004468F9">
            <w:pPr>
              <w:keepNext/>
              <w:spacing w:before="55" w:after="30" w:line="288" w:lineRule="auto"/>
              <w:jc w:val="right"/>
            </w:pPr>
            <w:r>
              <w:rPr>
                <w:rFonts w:ascii="Arial" w:eastAsia="Arial" w:hAnsi="Arial" w:cs="Arial"/>
                <w:color w:val="000000"/>
                <w:sz w:val="18"/>
              </w:rPr>
              <w:t>—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333F48F7" w14:textId="77777777" w:rsidR="001614AC" w:rsidRDefault="001614AC">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1DDEFE87" w14:textId="77777777" w:rsidR="001614AC" w:rsidRDefault="001614AC">
            <w:pPr>
              <w:keepNext/>
            </w:pPr>
          </w:p>
        </w:tc>
        <w:tc>
          <w:tcPr>
            <w:tcW w:w="99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0ED74FDF" w14:textId="77777777" w:rsidR="001614AC" w:rsidRDefault="004468F9">
            <w:pPr>
              <w:keepNext/>
              <w:spacing w:before="55" w:after="30" w:line="288" w:lineRule="auto"/>
              <w:jc w:val="right"/>
            </w:pPr>
            <w:r>
              <w:rPr>
                <w:rFonts w:ascii="Arial" w:eastAsia="Arial" w:hAnsi="Arial" w:cs="Arial"/>
                <w:color w:val="000000"/>
                <w:sz w:val="18"/>
              </w:rPr>
              <w:t>34,439 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751FD4C8" w14:textId="77777777" w:rsidR="001614AC" w:rsidRDefault="001614AC">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6132F464" w14:textId="77777777" w:rsidR="001614AC" w:rsidRDefault="001614AC">
            <w:pPr>
              <w:keepNext/>
            </w:pPr>
          </w:p>
        </w:tc>
        <w:tc>
          <w:tcPr>
            <w:tcW w:w="99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7AD6845B" w14:textId="77777777" w:rsidR="001614AC" w:rsidRDefault="004468F9">
            <w:pPr>
              <w:keepNext/>
              <w:spacing w:before="55" w:after="30" w:line="288" w:lineRule="auto"/>
              <w:jc w:val="right"/>
            </w:pPr>
            <w:r>
              <w:rPr>
                <w:rFonts w:ascii="Arial" w:eastAsia="Arial" w:hAnsi="Arial" w:cs="Arial"/>
                <w:color w:val="000000"/>
                <w:sz w:val="18"/>
              </w:rPr>
              <w:t>(314)</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12A083B5" w14:textId="77777777" w:rsidR="001614AC" w:rsidRDefault="001614AC">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32E978EB" w14:textId="77777777" w:rsidR="001614AC" w:rsidRDefault="001614AC">
            <w:pPr>
              <w:keepNext/>
            </w:pPr>
          </w:p>
        </w:tc>
        <w:tc>
          <w:tcPr>
            <w:tcW w:w="99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41D091C2" w14:textId="77777777" w:rsidR="001614AC" w:rsidRDefault="004468F9">
            <w:pPr>
              <w:keepNext/>
              <w:spacing w:before="55" w:after="30" w:line="288" w:lineRule="auto"/>
              <w:jc w:val="right"/>
            </w:pPr>
            <w:r>
              <w:rPr>
                <w:rFonts w:ascii="Arial" w:eastAsia="Arial" w:hAnsi="Arial" w:cs="Arial"/>
                <w:color w:val="000000"/>
                <w:sz w:val="18"/>
              </w:rPr>
              <w:t>833,939 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797496C4" w14:textId="77777777" w:rsidR="001614AC" w:rsidRDefault="001614AC">
            <w:pPr>
              <w:keepNext/>
              <w:spacing w:before="55" w:after="30" w:line="288" w:lineRule="auto"/>
              <w:jc w:val="right"/>
            </w:pPr>
          </w:p>
        </w:tc>
      </w:tr>
      <w:tr w:rsidR="001614AC" w14:paraId="59DAFAB1" w14:textId="77777777">
        <w:trPr>
          <w:cantSplit/>
        </w:trPr>
        <w:tc>
          <w:tcPr>
            <w:tcW w:w="4080" w:type="dxa"/>
            <w:tcBorders>
              <w:top w:val="single" w:sz="8" w:space="0" w:color="E9E9E9"/>
              <w:left w:val="nil"/>
              <w:bottom w:val="single" w:sz="8" w:space="0" w:color="E9E9E9"/>
              <w:right w:val="nil"/>
            </w:tcBorders>
            <w:tcMar>
              <w:top w:w="0" w:type="dxa"/>
              <w:left w:w="53" w:type="dxa"/>
              <w:bottom w:w="0" w:type="dxa"/>
              <w:right w:w="53" w:type="dxa"/>
            </w:tcMar>
            <w:vAlign w:val="bottom"/>
          </w:tcPr>
          <w:p w14:paraId="1AA6AA31" w14:textId="77777777" w:rsidR="001614AC" w:rsidRDefault="004468F9">
            <w:pPr>
              <w:keepNext/>
              <w:spacing w:before="55" w:after="30" w:line="288" w:lineRule="auto"/>
              <w:ind w:left="240"/>
            </w:pPr>
            <w:r>
              <w:rPr>
                <w:rFonts w:ascii="Arial" w:eastAsia="Arial" w:hAnsi="Arial" w:cs="Arial"/>
                <w:color w:val="000000"/>
                <w:sz w:val="18"/>
              </w:rPr>
              <w:t>CMBS</w:t>
            </w:r>
          </w:p>
        </w:tc>
        <w:tc>
          <w:tcPr>
            <w:tcW w:w="105" w:type="dxa"/>
            <w:tcBorders>
              <w:top w:val="nil"/>
              <w:left w:val="nil"/>
              <w:bottom w:val="nil"/>
              <w:right w:val="nil"/>
            </w:tcBorders>
            <w:tcMar>
              <w:top w:w="0" w:type="dxa"/>
              <w:left w:w="0" w:type="dxa"/>
              <w:bottom w:w="0" w:type="dxa"/>
              <w:right w:w="0" w:type="dxa"/>
            </w:tcMar>
            <w:vAlign w:val="bottom"/>
          </w:tcPr>
          <w:p w14:paraId="06DBDB4B" w14:textId="77777777" w:rsidR="001614AC" w:rsidRDefault="001614AC">
            <w:pPr>
              <w:keepNext/>
            </w:pPr>
          </w:p>
        </w:tc>
        <w:tc>
          <w:tcPr>
            <w:tcW w:w="99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3B787648" w14:textId="77777777" w:rsidR="001614AC" w:rsidRDefault="004468F9">
            <w:pPr>
              <w:keepNext/>
              <w:spacing w:before="55" w:after="30" w:line="288" w:lineRule="auto"/>
              <w:jc w:val="right"/>
            </w:pPr>
            <w:r>
              <w:rPr>
                <w:rFonts w:ascii="Arial" w:eastAsia="Arial" w:hAnsi="Arial" w:cs="Arial"/>
                <w:color w:val="000000"/>
                <w:sz w:val="18"/>
              </w:rPr>
              <w:t>645,071 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175E7E2D" w14:textId="77777777" w:rsidR="001614AC" w:rsidRDefault="001614AC">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1F1B4BE8" w14:textId="77777777" w:rsidR="001614AC" w:rsidRDefault="001614AC">
            <w:pPr>
              <w:keepNext/>
            </w:pPr>
          </w:p>
        </w:tc>
        <w:tc>
          <w:tcPr>
            <w:tcW w:w="99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753BC8A9" w14:textId="77777777" w:rsidR="001614AC" w:rsidRDefault="004468F9">
            <w:pPr>
              <w:keepNext/>
              <w:spacing w:before="55" w:after="30" w:line="288" w:lineRule="auto"/>
              <w:jc w:val="right"/>
            </w:pPr>
            <w:r>
              <w:rPr>
                <w:rFonts w:ascii="Arial" w:eastAsia="Arial" w:hAnsi="Arial" w:cs="Arial"/>
                <w:color w:val="000000"/>
                <w:sz w:val="18"/>
              </w:rPr>
              <w:t>—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118E033E" w14:textId="77777777" w:rsidR="001614AC" w:rsidRDefault="001614AC">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101F2124" w14:textId="77777777" w:rsidR="001614AC" w:rsidRDefault="001614AC">
            <w:pPr>
              <w:keepNext/>
            </w:pPr>
          </w:p>
        </w:tc>
        <w:tc>
          <w:tcPr>
            <w:tcW w:w="99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15471DB9" w14:textId="77777777" w:rsidR="001614AC" w:rsidRDefault="004468F9">
            <w:pPr>
              <w:keepNext/>
              <w:spacing w:before="55" w:after="30" w:line="288" w:lineRule="auto"/>
              <w:jc w:val="right"/>
            </w:pPr>
            <w:r>
              <w:rPr>
                <w:rFonts w:ascii="Arial" w:eastAsia="Arial" w:hAnsi="Arial" w:cs="Arial"/>
                <w:color w:val="000000"/>
                <w:sz w:val="18"/>
              </w:rPr>
              <w:t>39,495 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644C0C29" w14:textId="77777777" w:rsidR="001614AC" w:rsidRDefault="001614AC">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547B6573" w14:textId="77777777" w:rsidR="001614AC" w:rsidRDefault="001614AC">
            <w:pPr>
              <w:keepNext/>
            </w:pPr>
          </w:p>
        </w:tc>
        <w:tc>
          <w:tcPr>
            <w:tcW w:w="99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1CEFBD7A" w14:textId="77777777" w:rsidR="001614AC" w:rsidRDefault="004468F9">
            <w:pPr>
              <w:keepNext/>
              <w:spacing w:before="55" w:after="30" w:line="288" w:lineRule="auto"/>
              <w:jc w:val="right"/>
            </w:pPr>
            <w:r>
              <w:rPr>
                <w:rFonts w:ascii="Arial" w:eastAsia="Arial" w:hAnsi="Arial" w:cs="Arial"/>
                <w:color w:val="000000"/>
                <w:sz w:val="18"/>
              </w:rPr>
              <w:t>(3,301)</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3444BCD9" w14:textId="77777777" w:rsidR="001614AC" w:rsidRDefault="001614AC">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4C0DAE44" w14:textId="77777777" w:rsidR="001614AC" w:rsidRDefault="001614AC">
            <w:pPr>
              <w:keepNext/>
            </w:pPr>
          </w:p>
        </w:tc>
        <w:tc>
          <w:tcPr>
            <w:tcW w:w="99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43E353F3" w14:textId="77777777" w:rsidR="001614AC" w:rsidRDefault="004468F9">
            <w:pPr>
              <w:keepNext/>
              <w:spacing w:before="55" w:after="30" w:line="288" w:lineRule="auto"/>
              <w:jc w:val="right"/>
            </w:pPr>
            <w:r>
              <w:rPr>
                <w:rFonts w:ascii="Arial" w:eastAsia="Arial" w:hAnsi="Arial" w:cs="Arial"/>
                <w:color w:val="000000"/>
                <w:sz w:val="18"/>
              </w:rPr>
              <w:t>681,265 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031864AD" w14:textId="77777777" w:rsidR="001614AC" w:rsidRDefault="001614AC">
            <w:pPr>
              <w:keepNext/>
              <w:spacing w:before="55" w:after="30" w:line="288" w:lineRule="auto"/>
              <w:jc w:val="right"/>
            </w:pPr>
          </w:p>
        </w:tc>
      </w:tr>
      <w:tr w:rsidR="001614AC" w14:paraId="4A0B5B0E" w14:textId="77777777">
        <w:trPr>
          <w:cantSplit/>
        </w:trPr>
        <w:tc>
          <w:tcPr>
            <w:tcW w:w="4080" w:type="dxa"/>
            <w:tcBorders>
              <w:top w:val="single" w:sz="8" w:space="0" w:color="E9E9E9"/>
              <w:left w:val="nil"/>
              <w:bottom w:val="single" w:sz="8" w:space="0" w:color="E9E9E9"/>
              <w:right w:val="nil"/>
            </w:tcBorders>
            <w:tcMar>
              <w:top w:w="0" w:type="dxa"/>
              <w:left w:w="53" w:type="dxa"/>
              <w:bottom w:w="0" w:type="dxa"/>
              <w:right w:w="53" w:type="dxa"/>
            </w:tcMar>
            <w:vAlign w:val="bottom"/>
          </w:tcPr>
          <w:p w14:paraId="40D03AD6" w14:textId="77777777" w:rsidR="001614AC" w:rsidRDefault="004468F9">
            <w:pPr>
              <w:keepNext/>
              <w:spacing w:before="55" w:after="30" w:line="288" w:lineRule="auto"/>
              <w:ind w:left="240"/>
            </w:pPr>
            <w:r>
              <w:rPr>
                <w:rFonts w:ascii="Arial" w:eastAsia="Arial" w:hAnsi="Arial" w:cs="Arial"/>
                <w:color w:val="000000"/>
                <w:sz w:val="18"/>
              </w:rPr>
              <w:t>CLO</w:t>
            </w:r>
          </w:p>
        </w:tc>
        <w:tc>
          <w:tcPr>
            <w:tcW w:w="105" w:type="dxa"/>
            <w:tcBorders>
              <w:top w:val="nil"/>
              <w:left w:val="nil"/>
              <w:bottom w:val="nil"/>
              <w:right w:val="nil"/>
            </w:tcBorders>
            <w:tcMar>
              <w:top w:w="0" w:type="dxa"/>
              <w:left w:w="0" w:type="dxa"/>
              <w:bottom w:w="0" w:type="dxa"/>
              <w:right w:w="0" w:type="dxa"/>
            </w:tcMar>
            <w:vAlign w:val="bottom"/>
          </w:tcPr>
          <w:p w14:paraId="0F6DE8C1" w14:textId="77777777" w:rsidR="001614AC" w:rsidRDefault="001614AC">
            <w:pPr>
              <w:keepNext/>
            </w:pPr>
          </w:p>
        </w:tc>
        <w:tc>
          <w:tcPr>
            <w:tcW w:w="99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0686F2C2" w14:textId="77777777" w:rsidR="001614AC" w:rsidRDefault="004468F9">
            <w:pPr>
              <w:keepNext/>
              <w:spacing w:before="55" w:after="30" w:line="288" w:lineRule="auto"/>
              <w:jc w:val="right"/>
            </w:pPr>
            <w:r>
              <w:rPr>
                <w:rFonts w:ascii="Arial" w:eastAsia="Arial" w:hAnsi="Arial" w:cs="Arial"/>
                <w:color w:val="000000"/>
                <w:sz w:val="18"/>
              </w:rPr>
              <w:t>569,173 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021BAA43" w14:textId="77777777" w:rsidR="001614AC" w:rsidRDefault="001614AC">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7A5F7F23" w14:textId="77777777" w:rsidR="001614AC" w:rsidRDefault="001614AC">
            <w:pPr>
              <w:keepNext/>
            </w:pPr>
          </w:p>
        </w:tc>
        <w:tc>
          <w:tcPr>
            <w:tcW w:w="99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3C9D67C4" w14:textId="77777777" w:rsidR="001614AC" w:rsidRDefault="004468F9">
            <w:pPr>
              <w:keepNext/>
              <w:spacing w:before="55" w:after="30" w:line="288" w:lineRule="auto"/>
              <w:jc w:val="right"/>
            </w:pPr>
            <w:r>
              <w:rPr>
                <w:rFonts w:ascii="Arial" w:eastAsia="Arial" w:hAnsi="Arial" w:cs="Arial"/>
                <w:color w:val="000000"/>
                <w:sz w:val="18"/>
              </w:rPr>
              <w:t>—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7DA292F4" w14:textId="77777777" w:rsidR="001614AC" w:rsidRDefault="001614AC">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60ECA927" w14:textId="77777777" w:rsidR="001614AC" w:rsidRDefault="001614AC">
            <w:pPr>
              <w:keepNext/>
            </w:pPr>
          </w:p>
        </w:tc>
        <w:tc>
          <w:tcPr>
            <w:tcW w:w="99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72222996" w14:textId="77777777" w:rsidR="001614AC" w:rsidRDefault="004468F9">
            <w:pPr>
              <w:keepNext/>
              <w:spacing w:before="55" w:after="30" w:line="288" w:lineRule="auto"/>
              <w:jc w:val="right"/>
            </w:pPr>
            <w:r>
              <w:rPr>
                <w:rFonts w:ascii="Arial" w:eastAsia="Arial" w:hAnsi="Arial" w:cs="Arial"/>
                <w:color w:val="000000"/>
                <w:sz w:val="18"/>
              </w:rPr>
              <w:t>2,026 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23A25954" w14:textId="77777777" w:rsidR="001614AC" w:rsidRDefault="001614AC">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2649AC7B" w14:textId="77777777" w:rsidR="001614AC" w:rsidRDefault="001614AC">
            <w:pPr>
              <w:keepNext/>
            </w:pPr>
          </w:p>
        </w:tc>
        <w:tc>
          <w:tcPr>
            <w:tcW w:w="99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736AB0AA" w14:textId="77777777" w:rsidR="001614AC" w:rsidRDefault="004468F9">
            <w:pPr>
              <w:keepNext/>
              <w:spacing w:before="55" w:after="30" w:line="288" w:lineRule="auto"/>
              <w:jc w:val="right"/>
            </w:pPr>
            <w:r>
              <w:rPr>
                <w:rFonts w:ascii="Arial" w:eastAsia="Arial" w:hAnsi="Arial" w:cs="Arial"/>
                <w:color w:val="000000"/>
                <w:sz w:val="18"/>
              </w:rPr>
              <w:t>(2,641)</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5F085C9F" w14:textId="77777777" w:rsidR="001614AC" w:rsidRDefault="001614AC">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5ED62B22" w14:textId="77777777" w:rsidR="001614AC" w:rsidRDefault="001614AC">
            <w:pPr>
              <w:keepNext/>
            </w:pPr>
          </w:p>
        </w:tc>
        <w:tc>
          <w:tcPr>
            <w:tcW w:w="99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59419C5B" w14:textId="77777777" w:rsidR="001614AC" w:rsidRDefault="004468F9">
            <w:pPr>
              <w:keepNext/>
              <w:spacing w:before="55" w:after="30" w:line="288" w:lineRule="auto"/>
              <w:jc w:val="right"/>
            </w:pPr>
            <w:r>
              <w:rPr>
                <w:rFonts w:ascii="Arial" w:eastAsia="Arial" w:hAnsi="Arial" w:cs="Arial"/>
                <w:color w:val="000000"/>
                <w:sz w:val="18"/>
              </w:rPr>
              <w:t>568,558 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45182334" w14:textId="77777777" w:rsidR="001614AC" w:rsidRDefault="001614AC">
            <w:pPr>
              <w:keepNext/>
              <w:spacing w:before="55" w:after="30" w:line="288" w:lineRule="auto"/>
              <w:jc w:val="right"/>
            </w:pPr>
          </w:p>
        </w:tc>
      </w:tr>
      <w:tr w:rsidR="001614AC" w14:paraId="1F9BE977" w14:textId="77777777">
        <w:trPr>
          <w:cantSplit/>
        </w:trPr>
        <w:tc>
          <w:tcPr>
            <w:tcW w:w="4080" w:type="dxa"/>
            <w:tcBorders>
              <w:top w:val="single" w:sz="8" w:space="0" w:color="E9E9E9"/>
              <w:left w:val="nil"/>
              <w:bottom w:val="single" w:sz="8" w:space="0" w:color="E9E9E9"/>
              <w:right w:val="nil"/>
            </w:tcBorders>
            <w:tcMar>
              <w:top w:w="0" w:type="dxa"/>
              <w:left w:w="53" w:type="dxa"/>
              <w:bottom w:w="0" w:type="dxa"/>
              <w:right w:w="53" w:type="dxa"/>
            </w:tcMar>
            <w:vAlign w:val="bottom"/>
          </w:tcPr>
          <w:p w14:paraId="30B107C5" w14:textId="77777777" w:rsidR="001614AC" w:rsidRDefault="004468F9">
            <w:pPr>
              <w:keepNext/>
              <w:spacing w:before="55" w:after="30" w:line="288" w:lineRule="auto"/>
              <w:ind w:left="240"/>
            </w:pPr>
            <w:r>
              <w:rPr>
                <w:rFonts w:ascii="Arial" w:eastAsia="Arial" w:hAnsi="Arial" w:cs="Arial"/>
                <w:color w:val="000000"/>
                <w:sz w:val="18"/>
              </w:rPr>
              <w:t>Other ABS</w:t>
            </w:r>
          </w:p>
        </w:tc>
        <w:tc>
          <w:tcPr>
            <w:tcW w:w="105" w:type="dxa"/>
            <w:tcBorders>
              <w:top w:val="nil"/>
              <w:left w:val="nil"/>
              <w:bottom w:val="nil"/>
              <w:right w:val="nil"/>
            </w:tcBorders>
            <w:tcMar>
              <w:top w:w="0" w:type="dxa"/>
              <w:left w:w="0" w:type="dxa"/>
              <w:bottom w:w="0" w:type="dxa"/>
              <w:right w:w="0" w:type="dxa"/>
            </w:tcMar>
            <w:vAlign w:val="bottom"/>
          </w:tcPr>
          <w:p w14:paraId="1283E8AF" w14:textId="77777777" w:rsidR="001614AC" w:rsidRDefault="001614AC">
            <w:pPr>
              <w:keepNext/>
            </w:pPr>
          </w:p>
        </w:tc>
        <w:tc>
          <w:tcPr>
            <w:tcW w:w="99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69824C6D" w14:textId="77777777" w:rsidR="001614AC" w:rsidRDefault="004468F9">
            <w:pPr>
              <w:keepNext/>
              <w:spacing w:before="55" w:after="30" w:line="288" w:lineRule="auto"/>
              <w:jc w:val="right"/>
            </w:pPr>
            <w:r>
              <w:rPr>
                <w:rFonts w:ascii="Arial" w:eastAsia="Arial" w:hAnsi="Arial" w:cs="Arial"/>
                <w:color w:val="000000"/>
                <w:sz w:val="18"/>
              </w:rPr>
              <w:t>249,988 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46BADD0B" w14:textId="77777777" w:rsidR="001614AC" w:rsidRDefault="001614AC">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09BEDAF9" w14:textId="77777777" w:rsidR="001614AC" w:rsidRDefault="001614AC">
            <w:pPr>
              <w:keepNext/>
            </w:pPr>
          </w:p>
        </w:tc>
        <w:tc>
          <w:tcPr>
            <w:tcW w:w="99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79E32C1D" w14:textId="77777777" w:rsidR="001614AC" w:rsidRDefault="004468F9">
            <w:pPr>
              <w:keepNext/>
              <w:spacing w:before="55" w:after="30" w:line="288" w:lineRule="auto"/>
              <w:jc w:val="right"/>
            </w:pPr>
            <w:r>
              <w:rPr>
                <w:rFonts w:ascii="Arial" w:eastAsia="Arial" w:hAnsi="Arial" w:cs="Arial"/>
                <w:color w:val="000000"/>
                <w:sz w:val="18"/>
              </w:rPr>
              <w:t>—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1B205471" w14:textId="77777777" w:rsidR="001614AC" w:rsidRDefault="001614AC">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425428ED" w14:textId="77777777" w:rsidR="001614AC" w:rsidRDefault="001614AC">
            <w:pPr>
              <w:keepNext/>
            </w:pPr>
          </w:p>
        </w:tc>
        <w:tc>
          <w:tcPr>
            <w:tcW w:w="99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31B2D694" w14:textId="77777777" w:rsidR="001614AC" w:rsidRDefault="004468F9">
            <w:pPr>
              <w:keepNext/>
              <w:spacing w:before="55" w:after="30" w:line="288" w:lineRule="auto"/>
              <w:jc w:val="right"/>
            </w:pPr>
            <w:r>
              <w:rPr>
                <w:rFonts w:ascii="Arial" w:eastAsia="Arial" w:hAnsi="Arial" w:cs="Arial"/>
                <w:color w:val="000000"/>
                <w:sz w:val="18"/>
              </w:rPr>
              <w:t>2,901 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34DEB45F" w14:textId="77777777" w:rsidR="001614AC" w:rsidRDefault="001614AC">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5EBA7AB9" w14:textId="77777777" w:rsidR="001614AC" w:rsidRDefault="001614AC">
            <w:pPr>
              <w:keepNext/>
            </w:pPr>
          </w:p>
        </w:tc>
        <w:tc>
          <w:tcPr>
            <w:tcW w:w="99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3302FFB9" w14:textId="77777777" w:rsidR="001614AC" w:rsidRDefault="004468F9">
            <w:pPr>
              <w:keepNext/>
              <w:spacing w:before="55" w:after="30" w:line="288" w:lineRule="auto"/>
              <w:jc w:val="right"/>
            </w:pPr>
            <w:r>
              <w:rPr>
                <w:rFonts w:ascii="Arial" w:eastAsia="Arial" w:hAnsi="Arial" w:cs="Arial"/>
                <w:color w:val="000000"/>
                <w:sz w:val="18"/>
              </w:rPr>
              <w:t>(432)</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151920FF" w14:textId="77777777" w:rsidR="001614AC" w:rsidRDefault="001614AC">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00138060" w14:textId="77777777" w:rsidR="001614AC" w:rsidRDefault="001614AC">
            <w:pPr>
              <w:keepNext/>
            </w:pPr>
          </w:p>
        </w:tc>
        <w:tc>
          <w:tcPr>
            <w:tcW w:w="99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07309D06" w14:textId="77777777" w:rsidR="001614AC" w:rsidRDefault="004468F9">
            <w:pPr>
              <w:keepNext/>
              <w:spacing w:before="55" w:after="30" w:line="288" w:lineRule="auto"/>
              <w:jc w:val="right"/>
            </w:pPr>
            <w:r>
              <w:rPr>
                <w:rFonts w:ascii="Arial" w:eastAsia="Arial" w:hAnsi="Arial" w:cs="Arial"/>
                <w:color w:val="000000"/>
                <w:sz w:val="18"/>
              </w:rPr>
              <w:t>252,457 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6F04A0DB" w14:textId="77777777" w:rsidR="001614AC" w:rsidRDefault="001614AC">
            <w:pPr>
              <w:keepNext/>
              <w:spacing w:before="55" w:after="30" w:line="288" w:lineRule="auto"/>
              <w:jc w:val="right"/>
            </w:pPr>
          </w:p>
        </w:tc>
      </w:tr>
      <w:tr w:rsidR="001614AC" w14:paraId="6E2F1487" w14:textId="77777777">
        <w:trPr>
          <w:cantSplit/>
        </w:trPr>
        <w:tc>
          <w:tcPr>
            <w:tcW w:w="4080" w:type="dxa"/>
            <w:tcBorders>
              <w:top w:val="single" w:sz="8" w:space="0" w:color="E9E9E9"/>
              <w:left w:val="nil"/>
              <w:bottom w:val="nil"/>
              <w:right w:val="nil"/>
            </w:tcBorders>
            <w:tcMar>
              <w:top w:w="0" w:type="dxa"/>
              <w:left w:w="53" w:type="dxa"/>
              <w:bottom w:w="0" w:type="dxa"/>
              <w:right w:w="53" w:type="dxa"/>
            </w:tcMar>
            <w:vAlign w:val="bottom"/>
          </w:tcPr>
          <w:p w14:paraId="3B583DE4" w14:textId="77777777" w:rsidR="001614AC" w:rsidRDefault="004468F9">
            <w:pPr>
              <w:keepNext/>
              <w:spacing w:before="55" w:after="30" w:line="288" w:lineRule="auto"/>
              <w:ind w:left="240"/>
            </w:pPr>
            <w:r>
              <w:rPr>
                <w:rFonts w:ascii="Arial" w:eastAsia="Arial" w:hAnsi="Arial" w:cs="Arial"/>
                <w:color w:val="000000"/>
                <w:sz w:val="18"/>
              </w:rPr>
              <w:t>Foreign government and agency securities</w:t>
            </w:r>
          </w:p>
        </w:tc>
        <w:tc>
          <w:tcPr>
            <w:tcW w:w="105" w:type="dxa"/>
            <w:tcBorders>
              <w:top w:val="nil"/>
              <w:left w:val="nil"/>
              <w:bottom w:val="nil"/>
              <w:right w:val="nil"/>
            </w:tcBorders>
            <w:tcMar>
              <w:top w:w="0" w:type="dxa"/>
              <w:left w:w="0" w:type="dxa"/>
              <w:bottom w:w="0" w:type="dxa"/>
              <w:right w:w="0" w:type="dxa"/>
            </w:tcMar>
            <w:vAlign w:val="bottom"/>
          </w:tcPr>
          <w:p w14:paraId="434B2E7E" w14:textId="77777777" w:rsidR="001614AC" w:rsidRDefault="001614AC">
            <w:pPr>
              <w:keepNext/>
            </w:pPr>
          </w:p>
        </w:tc>
        <w:tc>
          <w:tcPr>
            <w:tcW w:w="995" w:type="dxa"/>
            <w:gridSpan w:val="2"/>
            <w:tcBorders>
              <w:top w:val="single" w:sz="8" w:space="0" w:color="E9E9E9"/>
              <w:left w:val="nil"/>
              <w:bottom w:val="nil"/>
              <w:right w:val="nil"/>
            </w:tcBorders>
            <w:tcMar>
              <w:top w:w="0" w:type="dxa"/>
              <w:left w:w="53" w:type="dxa"/>
              <w:bottom w:w="0" w:type="dxa"/>
              <w:right w:w="0" w:type="dxa"/>
            </w:tcMar>
            <w:vAlign w:val="bottom"/>
          </w:tcPr>
          <w:p w14:paraId="3643695F" w14:textId="77777777" w:rsidR="001614AC" w:rsidRDefault="004468F9">
            <w:pPr>
              <w:keepNext/>
              <w:spacing w:before="55" w:after="30" w:line="288" w:lineRule="auto"/>
              <w:jc w:val="right"/>
            </w:pPr>
            <w:r>
              <w:rPr>
                <w:rFonts w:ascii="Arial" w:eastAsia="Arial" w:hAnsi="Arial" w:cs="Arial"/>
                <w:color w:val="000000"/>
                <w:sz w:val="18"/>
              </w:rPr>
              <w:t>5,100 </w:t>
            </w:r>
          </w:p>
        </w:tc>
        <w:tc>
          <w:tcPr>
            <w:tcW w:w="100" w:type="dxa"/>
            <w:tcBorders>
              <w:top w:val="single" w:sz="8" w:space="0" w:color="E9E9E9"/>
              <w:left w:val="nil"/>
              <w:bottom w:val="nil"/>
              <w:right w:val="nil"/>
            </w:tcBorders>
            <w:tcMar>
              <w:top w:w="0" w:type="dxa"/>
              <w:left w:w="0" w:type="dxa"/>
              <w:bottom w:w="0" w:type="dxa"/>
              <w:right w:w="15" w:type="dxa"/>
            </w:tcMar>
            <w:vAlign w:val="bottom"/>
          </w:tcPr>
          <w:p w14:paraId="532E33EF" w14:textId="77777777" w:rsidR="001614AC" w:rsidRDefault="001614AC">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2E8B2A2C" w14:textId="77777777" w:rsidR="001614AC" w:rsidRDefault="001614AC">
            <w:pPr>
              <w:keepNext/>
            </w:pPr>
          </w:p>
        </w:tc>
        <w:tc>
          <w:tcPr>
            <w:tcW w:w="995" w:type="dxa"/>
            <w:gridSpan w:val="2"/>
            <w:tcBorders>
              <w:top w:val="single" w:sz="8" w:space="0" w:color="E9E9E9"/>
              <w:left w:val="nil"/>
              <w:bottom w:val="nil"/>
              <w:right w:val="nil"/>
            </w:tcBorders>
            <w:tcMar>
              <w:top w:w="0" w:type="dxa"/>
              <w:left w:w="53" w:type="dxa"/>
              <w:bottom w:w="0" w:type="dxa"/>
              <w:right w:w="0" w:type="dxa"/>
            </w:tcMar>
            <w:vAlign w:val="bottom"/>
          </w:tcPr>
          <w:p w14:paraId="2BDDA55D" w14:textId="77777777" w:rsidR="001614AC" w:rsidRDefault="004468F9">
            <w:pPr>
              <w:keepNext/>
              <w:spacing w:before="55" w:after="30" w:line="288" w:lineRule="auto"/>
              <w:jc w:val="right"/>
            </w:pPr>
            <w:r>
              <w:rPr>
                <w:rFonts w:ascii="Arial" w:eastAsia="Arial" w:hAnsi="Arial" w:cs="Arial"/>
                <w:color w:val="000000"/>
                <w:sz w:val="18"/>
              </w:rPr>
              <w:t>— </w:t>
            </w:r>
          </w:p>
        </w:tc>
        <w:tc>
          <w:tcPr>
            <w:tcW w:w="100" w:type="dxa"/>
            <w:tcBorders>
              <w:top w:val="single" w:sz="8" w:space="0" w:color="E9E9E9"/>
              <w:left w:val="nil"/>
              <w:bottom w:val="nil"/>
              <w:right w:val="nil"/>
            </w:tcBorders>
            <w:tcMar>
              <w:top w:w="0" w:type="dxa"/>
              <w:left w:w="0" w:type="dxa"/>
              <w:bottom w:w="0" w:type="dxa"/>
              <w:right w:w="15" w:type="dxa"/>
            </w:tcMar>
            <w:vAlign w:val="bottom"/>
          </w:tcPr>
          <w:p w14:paraId="711DB048" w14:textId="77777777" w:rsidR="001614AC" w:rsidRDefault="001614AC">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1B00AFA5" w14:textId="77777777" w:rsidR="001614AC" w:rsidRDefault="001614AC">
            <w:pPr>
              <w:keepNext/>
            </w:pPr>
          </w:p>
        </w:tc>
        <w:tc>
          <w:tcPr>
            <w:tcW w:w="995" w:type="dxa"/>
            <w:gridSpan w:val="2"/>
            <w:tcBorders>
              <w:top w:val="single" w:sz="8" w:space="0" w:color="E9E9E9"/>
              <w:left w:val="nil"/>
              <w:bottom w:val="nil"/>
              <w:right w:val="nil"/>
            </w:tcBorders>
            <w:tcMar>
              <w:top w:w="0" w:type="dxa"/>
              <w:left w:w="53" w:type="dxa"/>
              <w:bottom w:w="0" w:type="dxa"/>
              <w:right w:w="0" w:type="dxa"/>
            </w:tcMar>
            <w:vAlign w:val="bottom"/>
          </w:tcPr>
          <w:p w14:paraId="045F1F97" w14:textId="77777777" w:rsidR="001614AC" w:rsidRDefault="004468F9">
            <w:pPr>
              <w:keepNext/>
              <w:spacing w:before="55" w:after="30" w:line="288" w:lineRule="auto"/>
              <w:jc w:val="right"/>
            </w:pPr>
            <w:r>
              <w:rPr>
                <w:rFonts w:ascii="Arial" w:eastAsia="Arial" w:hAnsi="Arial" w:cs="Arial"/>
                <w:color w:val="000000"/>
                <w:sz w:val="18"/>
              </w:rPr>
              <w:t>338 </w:t>
            </w:r>
          </w:p>
        </w:tc>
        <w:tc>
          <w:tcPr>
            <w:tcW w:w="100" w:type="dxa"/>
            <w:tcBorders>
              <w:top w:val="single" w:sz="8" w:space="0" w:color="E9E9E9"/>
              <w:left w:val="nil"/>
              <w:bottom w:val="nil"/>
              <w:right w:val="nil"/>
            </w:tcBorders>
            <w:tcMar>
              <w:top w:w="0" w:type="dxa"/>
              <w:left w:w="0" w:type="dxa"/>
              <w:bottom w:w="0" w:type="dxa"/>
              <w:right w:w="15" w:type="dxa"/>
            </w:tcMar>
            <w:vAlign w:val="bottom"/>
          </w:tcPr>
          <w:p w14:paraId="504BA4BE" w14:textId="77777777" w:rsidR="001614AC" w:rsidRDefault="001614AC">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00FBF268" w14:textId="77777777" w:rsidR="001614AC" w:rsidRDefault="001614AC">
            <w:pPr>
              <w:keepNext/>
            </w:pPr>
          </w:p>
        </w:tc>
        <w:tc>
          <w:tcPr>
            <w:tcW w:w="995" w:type="dxa"/>
            <w:gridSpan w:val="2"/>
            <w:tcBorders>
              <w:top w:val="single" w:sz="8" w:space="0" w:color="E9E9E9"/>
              <w:left w:val="nil"/>
              <w:bottom w:val="nil"/>
              <w:right w:val="nil"/>
            </w:tcBorders>
            <w:tcMar>
              <w:top w:w="0" w:type="dxa"/>
              <w:left w:w="53" w:type="dxa"/>
              <w:bottom w:w="0" w:type="dxa"/>
              <w:right w:w="0" w:type="dxa"/>
            </w:tcMar>
            <w:vAlign w:val="bottom"/>
          </w:tcPr>
          <w:p w14:paraId="5C8F2A0A" w14:textId="77777777" w:rsidR="001614AC" w:rsidRDefault="004468F9">
            <w:pPr>
              <w:keepNext/>
              <w:spacing w:before="55" w:after="30" w:line="288" w:lineRule="auto"/>
              <w:jc w:val="right"/>
            </w:pPr>
            <w:r>
              <w:rPr>
                <w:rFonts w:ascii="Arial" w:eastAsia="Arial" w:hAnsi="Arial" w:cs="Arial"/>
                <w:color w:val="000000"/>
                <w:sz w:val="18"/>
              </w:rPr>
              <w:t>— </w:t>
            </w:r>
          </w:p>
        </w:tc>
        <w:tc>
          <w:tcPr>
            <w:tcW w:w="100" w:type="dxa"/>
            <w:tcBorders>
              <w:top w:val="single" w:sz="8" w:space="0" w:color="E9E9E9"/>
              <w:left w:val="nil"/>
              <w:bottom w:val="nil"/>
              <w:right w:val="nil"/>
            </w:tcBorders>
            <w:tcMar>
              <w:top w:w="0" w:type="dxa"/>
              <w:left w:w="0" w:type="dxa"/>
              <w:bottom w:w="0" w:type="dxa"/>
              <w:right w:w="15" w:type="dxa"/>
            </w:tcMar>
            <w:vAlign w:val="bottom"/>
          </w:tcPr>
          <w:p w14:paraId="7B4CAC8E" w14:textId="77777777" w:rsidR="001614AC" w:rsidRDefault="001614AC">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4784B09B" w14:textId="77777777" w:rsidR="001614AC" w:rsidRDefault="001614AC">
            <w:pPr>
              <w:keepNext/>
            </w:pPr>
          </w:p>
        </w:tc>
        <w:tc>
          <w:tcPr>
            <w:tcW w:w="995" w:type="dxa"/>
            <w:gridSpan w:val="2"/>
            <w:tcBorders>
              <w:top w:val="single" w:sz="8" w:space="0" w:color="E9E9E9"/>
              <w:left w:val="nil"/>
              <w:bottom w:val="nil"/>
              <w:right w:val="nil"/>
            </w:tcBorders>
            <w:tcMar>
              <w:top w:w="0" w:type="dxa"/>
              <w:left w:w="53" w:type="dxa"/>
              <w:bottom w:w="0" w:type="dxa"/>
              <w:right w:w="0" w:type="dxa"/>
            </w:tcMar>
            <w:vAlign w:val="bottom"/>
          </w:tcPr>
          <w:p w14:paraId="48780F3D" w14:textId="77777777" w:rsidR="001614AC" w:rsidRDefault="004468F9">
            <w:pPr>
              <w:keepNext/>
              <w:spacing w:before="55" w:after="30" w:line="288" w:lineRule="auto"/>
              <w:jc w:val="right"/>
            </w:pPr>
            <w:r>
              <w:rPr>
                <w:rFonts w:ascii="Arial" w:eastAsia="Arial" w:hAnsi="Arial" w:cs="Arial"/>
                <w:color w:val="000000"/>
                <w:sz w:val="18"/>
              </w:rPr>
              <w:t>5,438 </w:t>
            </w:r>
          </w:p>
        </w:tc>
        <w:tc>
          <w:tcPr>
            <w:tcW w:w="100" w:type="dxa"/>
            <w:tcBorders>
              <w:top w:val="single" w:sz="8" w:space="0" w:color="E9E9E9"/>
              <w:left w:val="nil"/>
              <w:bottom w:val="nil"/>
              <w:right w:val="nil"/>
            </w:tcBorders>
            <w:tcMar>
              <w:top w:w="0" w:type="dxa"/>
              <w:left w:w="0" w:type="dxa"/>
              <w:bottom w:w="0" w:type="dxa"/>
              <w:right w:w="15" w:type="dxa"/>
            </w:tcMar>
            <w:vAlign w:val="bottom"/>
          </w:tcPr>
          <w:p w14:paraId="40ED6456" w14:textId="77777777" w:rsidR="001614AC" w:rsidRDefault="001614AC">
            <w:pPr>
              <w:keepNext/>
              <w:spacing w:before="55" w:after="30" w:line="288" w:lineRule="auto"/>
              <w:jc w:val="right"/>
            </w:pPr>
          </w:p>
        </w:tc>
      </w:tr>
      <w:tr w:rsidR="001614AC" w14:paraId="417C2FB1" w14:textId="77777777">
        <w:trPr>
          <w:cantSplit/>
        </w:trPr>
        <w:tc>
          <w:tcPr>
            <w:tcW w:w="4080" w:type="dxa"/>
            <w:tcBorders>
              <w:top w:val="nil"/>
              <w:left w:val="nil"/>
              <w:bottom w:val="nil"/>
              <w:right w:val="nil"/>
            </w:tcBorders>
            <w:shd w:val="clear" w:color="auto" w:fill="F4F4F4"/>
            <w:tcMar>
              <w:top w:w="0" w:type="dxa"/>
              <w:left w:w="53" w:type="dxa"/>
              <w:bottom w:w="0" w:type="dxa"/>
              <w:right w:w="53" w:type="dxa"/>
            </w:tcMar>
            <w:vAlign w:val="bottom"/>
          </w:tcPr>
          <w:p w14:paraId="1F335E5B" w14:textId="77777777" w:rsidR="001614AC" w:rsidRDefault="004468F9">
            <w:pPr>
              <w:keepNext/>
              <w:spacing w:before="75" w:after="30" w:line="288" w:lineRule="auto"/>
              <w:ind w:left="240"/>
            </w:pPr>
            <w:r>
              <w:rPr>
                <w:rFonts w:ascii="Arial" w:eastAsia="Arial" w:hAnsi="Arial" w:cs="Arial"/>
                <w:color w:val="000000"/>
                <w:sz w:val="18"/>
              </w:rPr>
              <w:t>Total securities available</w:t>
            </w:r>
            <w:r>
              <w:rPr>
                <w:rFonts w:ascii="Arial" w:eastAsia="Arial" w:hAnsi="Arial" w:cs="Arial"/>
                <w:color w:val="000000"/>
                <w:sz w:val="18"/>
              </w:rPr>
              <w:t xml:space="preserve"> for sale, including loaned securities</w:t>
            </w:r>
          </w:p>
        </w:tc>
        <w:tc>
          <w:tcPr>
            <w:tcW w:w="105" w:type="dxa"/>
            <w:tcBorders>
              <w:top w:val="nil"/>
              <w:left w:val="nil"/>
              <w:bottom w:val="nil"/>
              <w:right w:val="nil"/>
            </w:tcBorders>
            <w:shd w:val="clear" w:color="auto" w:fill="F4F4F4"/>
            <w:tcMar>
              <w:top w:w="0" w:type="dxa"/>
              <w:left w:w="0" w:type="dxa"/>
              <w:bottom w:w="0" w:type="dxa"/>
              <w:right w:w="0" w:type="dxa"/>
            </w:tcMar>
            <w:vAlign w:val="bottom"/>
          </w:tcPr>
          <w:p w14:paraId="10B77E56" w14:textId="77777777" w:rsidR="001614AC" w:rsidRDefault="001614AC">
            <w:pPr>
              <w:keepNext/>
            </w:pPr>
          </w:p>
        </w:tc>
        <w:tc>
          <w:tcPr>
            <w:tcW w:w="995" w:type="dxa"/>
            <w:gridSpan w:val="2"/>
            <w:tcBorders>
              <w:top w:val="single" w:sz="8" w:space="0" w:color="C7C9C7"/>
              <w:left w:val="nil"/>
              <w:bottom w:val="nil"/>
              <w:right w:val="nil"/>
            </w:tcBorders>
            <w:shd w:val="clear" w:color="auto" w:fill="F4F4F4"/>
            <w:tcMar>
              <w:top w:w="0" w:type="dxa"/>
              <w:left w:w="53" w:type="dxa"/>
              <w:bottom w:w="0" w:type="dxa"/>
              <w:right w:w="0" w:type="dxa"/>
            </w:tcMar>
            <w:vAlign w:val="bottom"/>
          </w:tcPr>
          <w:p w14:paraId="6A766256" w14:textId="77777777" w:rsidR="001614AC" w:rsidRDefault="004468F9">
            <w:pPr>
              <w:keepNext/>
              <w:spacing w:before="55" w:after="30" w:line="288" w:lineRule="auto"/>
              <w:jc w:val="right"/>
            </w:pPr>
            <w:r>
              <w:rPr>
                <w:rFonts w:ascii="Arial" w:eastAsia="Arial" w:hAnsi="Arial" w:cs="Arial"/>
                <w:color w:val="000000"/>
                <w:sz w:val="18"/>
              </w:rPr>
              <w:t>5,426,787 </w:t>
            </w:r>
          </w:p>
        </w:tc>
        <w:tc>
          <w:tcPr>
            <w:tcW w:w="100" w:type="dxa"/>
            <w:tcBorders>
              <w:top w:val="single" w:sz="8" w:space="0" w:color="C7C9C7"/>
              <w:left w:val="nil"/>
              <w:bottom w:val="nil"/>
              <w:right w:val="nil"/>
            </w:tcBorders>
            <w:shd w:val="clear" w:color="auto" w:fill="F4F4F4"/>
            <w:tcMar>
              <w:top w:w="0" w:type="dxa"/>
              <w:left w:w="0" w:type="dxa"/>
              <w:bottom w:w="0" w:type="dxa"/>
              <w:right w:w="15" w:type="dxa"/>
            </w:tcMar>
            <w:vAlign w:val="bottom"/>
          </w:tcPr>
          <w:p w14:paraId="5AA766D1" w14:textId="77777777" w:rsidR="001614AC" w:rsidRDefault="001614AC">
            <w:pPr>
              <w:keepNext/>
              <w:spacing w:before="55" w:after="30" w:line="288" w:lineRule="auto"/>
              <w:jc w:val="right"/>
            </w:pPr>
          </w:p>
        </w:tc>
        <w:tc>
          <w:tcPr>
            <w:tcW w:w="105" w:type="dxa"/>
            <w:tcBorders>
              <w:top w:val="nil"/>
              <w:left w:val="nil"/>
              <w:bottom w:val="nil"/>
              <w:right w:val="nil"/>
            </w:tcBorders>
            <w:shd w:val="clear" w:color="auto" w:fill="F4F4F4"/>
            <w:tcMar>
              <w:top w:w="0" w:type="dxa"/>
              <w:left w:w="0" w:type="dxa"/>
              <w:bottom w:w="0" w:type="dxa"/>
              <w:right w:w="0" w:type="dxa"/>
            </w:tcMar>
            <w:vAlign w:val="bottom"/>
          </w:tcPr>
          <w:p w14:paraId="63203724" w14:textId="77777777" w:rsidR="001614AC" w:rsidRDefault="001614AC">
            <w:pPr>
              <w:keepNext/>
            </w:pPr>
          </w:p>
        </w:tc>
        <w:tc>
          <w:tcPr>
            <w:tcW w:w="160" w:type="dxa"/>
            <w:tcBorders>
              <w:top w:val="single" w:sz="8" w:space="0" w:color="C7C9C7"/>
              <w:left w:val="nil"/>
              <w:bottom w:val="double" w:sz="8" w:space="0" w:color="C7C9C7"/>
              <w:right w:val="nil"/>
            </w:tcBorders>
            <w:shd w:val="clear" w:color="auto" w:fill="F4F4F4"/>
            <w:tcMar>
              <w:top w:w="0" w:type="dxa"/>
              <w:left w:w="53" w:type="dxa"/>
              <w:bottom w:w="0" w:type="dxa"/>
              <w:right w:w="0" w:type="dxa"/>
            </w:tcMar>
            <w:vAlign w:val="bottom"/>
          </w:tcPr>
          <w:p w14:paraId="65F04A66" w14:textId="77777777" w:rsidR="001614AC" w:rsidRDefault="004468F9">
            <w:pPr>
              <w:keepNext/>
              <w:spacing w:before="55" w:after="30" w:line="288" w:lineRule="auto"/>
            </w:pPr>
            <w:r>
              <w:rPr>
                <w:rFonts w:ascii="Arial" w:eastAsia="Arial" w:hAnsi="Arial" w:cs="Arial"/>
                <w:color w:val="000000"/>
                <w:sz w:val="18"/>
              </w:rPr>
              <w:t>$</w:t>
            </w:r>
          </w:p>
        </w:tc>
        <w:tc>
          <w:tcPr>
            <w:tcW w:w="835" w:type="dxa"/>
            <w:tcBorders>
              <w:top w:val="single" w:sz="8" w:space="0" w:color="C7C9C7"/>
              <w:left w:val="nil"/>
              <w:bottom w:val="double" w:sz="8" w:space="0" w:color="C7C9C7"/>
              <w:right w:val="nil"/>
            </w:tcBorders>
            <w:shd w:val="clear" w:color="auto" w:fill="F4F4F4"/>
            <w:tcMar>
              <w:top w:w="0" w:type="dxa"/>
              <w:left w:w="0" w:type="dxa"/>
              <w:bottom w:w="0" w:type="dxa"/>
              <w:right w:w="0" w:type="dxa"/>
            </w:tcMar>
            <w:vAlign w:val="bottom"/>
          </w:tcPr>
          <w:p w14:paraId="4E632197" w14:textId="77777777" w:rsidR="001614AC" w:rsidRDefault="004468F9">
            <w:pPr>
              <w:keepNext/>
              <w:spacing w:before="55" w:after="30" w:line="288" w:lineRule="auto"/>
              <w:jc w:val="right"/>
            </w:pPr>
            <w:r>
              <w:rPr>
                <w:rFonts w:ascii="Arial" w:eastAsia="Arial" w:hAnsi="Arial" w:cs="Arial"/>
                <w:color w:val="000000"/>
                <w:sz w:val="18"/>
              </w:rPr>
              <w:t>(948)</w:t>
            </w:r>
          </w:p>
        </w:tc>
        <w:tc>
          <w:tcPr>
            <w:tcW w:w="100" w:type="dxa"/>
            <w:tcBorders>
              <w:top w:val="single" w:sz="8" w:space="0" w:color="C7C9C7"/>
              <w:left w:val="nil"/>
              <w:bottom w:val="double" w:sz="8" w:space="0" w:color="C7C9C7"/>
              <w:right w:val="nil"/>
            </w:tcBorders>
            <w:shd w:val="clear" w:color="auto" w:fill="F4F4F4"/>
            <w:tcMar>
              <w:top w:w="0" w:type="dxa"/>
              <w:left w:w="0" w:type="dxa"/>
              <w:bottom w:w="0" w:type="dxa"/>
              <w:right w:w="15" w:type="dxa"/>
            </w:tcMar>
            <w:vAlign w:val="bottom"/>
          </w:tcPr>
          <w:p w14:paraId="4C0C8555" w14:textId="77777777" w:rsidR="001614AC" w:rsidRDefault="001614AC">
            <w:pPr>
              <w:keepNext/>
              <w:spacing w:before="55" w:after="30" w:line="288" w:lineRule="auto"/>
              <w:jc w:val="right"/>
            </w:pPr>
          </w:p>
        </w:tc>
        <w:tc>
          <w:tcPr>
            <w:tcW w:w="105" w:type="dxa"/>
            <w:tcBorders>
              <w:top w:val="nil"/>
              <w:left w:val="nil"/>
              <w:bottom w:val="nil"/>
              <w:right w:val="nil"/>
            </w:tcBorders>
            <w:shd w:val="clear" w:color="auto" w:fill="F4F4F4"/>
            <w:tcMar>
              <w:top w:w="0" w:type="dxa"/>
              <w:left w:w="0" w:type="dxa"/>
              <w:bottom w:w="0" w:type="dxa"/>
              <w:right w:w="0" w:type="dxa"/>
            </w:tcMar>
            <w:vAlign w:val="bottom"/>
          </w:tcPr>
          <w:p w14:paraId="1763E1CD" w14:textId="77777777" w:rsidR="001614AC" w:rsidRDefault="001614AC">
            <w:pPr>
              <w:keepNext/>
            </w:pPr>
          </w:p>
        </w:tc>
        <w:tc>
          <w:tcPr>
            <w:tcW w:w="160" w:type="dxa"/>
            <w:tcBorders>
              <w:top w:val="single" w:sz="8" w:space="0" w:color="C7C9C7"/>
              <w:left w:val="nil"/>
              <w:bottom w:val="double" w:sz="8" w:space="0" w:color="C7C9C7"/>
              <w:right w:val="nil"/>
            </w:tcBorders>
            <w:shd w:val="clear" w:color="auto" w:fill="F4F4F4"/>
            <w:tcMar>
              <w:top w:w="0" w:type="dxa"/>
              <w:left w:w="53" w:type="dxa"/>
              <w:bottom w:w="0" w:type="dxa"/>
              <w:right w:w="0" w:type="dxa"/>
            </w:tcMar>
            <w:vAlign w:val="bottom"/>
          </w:tcPr>
          <w:p w14:paraId="6DDA39BB" w14:textId="77777777" w:rsidR="001614AC" w:rsidRDefault="004468F9">
            <w:pPr>
              <w:keepNext/>
              <w:spacing w:before="55" w:after="30" w:line="288" w:lineRule="auto"/>
            </w:pPr>
            <w:r>
              <w:rPr>
                <w:rFonts w:ascii="Arial" w:eastAsia="Arial" w:hAnsi="Arial" w:cs="Arial"/>
                <w:color w:val="000000"/>
                <w:sz w:val="18"/>
              </w:rPr>
              <w:t>$</w:t>
            </w:r>
          </w:p>
        </w:tc>
        <w:tc>
          <w:tcPr>
            <w:tcW w:w="835" w:type="dxa"/>
            <w:tcBorders>
              <w:top w:val="single" w:sz="8" w:space="0" w:color="C7C9C7"/>
              <w:left w:val="nil"/>
              <w:bottom w:val="double" w:sz="8" w:space="0" w:color="C7C9C7"/>
              <w:right w:val="nil"/>
            </w:tcBorders>
            <w:shd w:val="clear" w:color="auto" w:fill="F4F4F4"/>
            <w:tcMar>
              <w:top w:w="0" w:type="dxa"/>
              <w:left w:w="0" w:type="dxa"/>
              <w:bottom w:w="0" w:type="dxa"/>
              <w:right w:w="0" w:type="dxa"/>
            </w:tcMar>
            <w:vAlign w:val="bottom"/>
          </w:tcPr>
          <w:p w14:paraId="67E5A6FA" w14:textId="77777777" w:rsidR="001614AC" w:rsidRDefault="004468F9">
            <w:pPr>
              <w:keepNext/>
              <w:spacing w:before="55" w:after="30" w:line="288" w:lineRule="auto"/>
              <w:jc w:val="right"/>
            </w:pPr>
            <w:r>
              <w:rPr>
                <w:rFonts w:ascii="Arial" w:eastAsia="Arial" w:hAnsi="Arial" w:cs="Arial"/>
                <w:color w:val="000000"/>
                <w:sz w:val="18"/>
              </w:rPr>
              <w:t>347,760 </w:t>
            </w:r>
          </w:p>
        </w:tc>
        <w:tc>
          <w:tcPr>
            <w:tcW w:w="100" w:type="dxa"/>
            <w:tcBorders>
              <w:top w:val="single" w:sz="8" w:space="0" w:color="C7C9C7"/>
              <w:left w:val="nil"/>
              <w:bottom w:val="double" w:sz="8" w:space="0" w:color="C7C9C7"/>
              <w:right w:val="nil"/>
            </w:tcBorders>
            <w:shd w:val="clear" w:color="auto" w:fill="F4F4F4"/>
            <w:tcMar>
              <w:top w:w="0" w:type="dxa"/>
              <w:left w:w="0" w:type="dxa"/>
              <w:bottom w:w="0" w:type="dxa"/>
              <w:right w:w="15" w:type="dxa"/>
            </w:tcMar>
            <w:vAlign w:val="bottom"/>
          </w:tcPr>
          <w:p w14:paraId="7043C253" w14:textId="77777777" w:rsidR="001614AC" w:rsidRDefault="001614AC">
            <w:pPr>
              <w:keepNext/>
              <w:spacing w:before="55" w:after="30" w:line="288" w:lineRule="auto"/>
              <w:jc w:val="right"/>
            </w:pPr>
          </w:p>
        </w:tc>
        <w:tc>
          <w:tcPr>
            <w:tcW w:w="105" w:type="dxa"/>
            <w:tcBorders>
              <w:top w:val="nil"/>
              <w:left w:val="nil"/>
              <w:bottom w:val="nil"/>
              <w:right w:val="nil"/>
            </w:tcBorders>
            <w:shd w:val="clear" w:color="auto" w:fill="F4F4F4"/>
            <w:tcMar>
              <w:top w:w="0" w:type="dxa"/>
              <w:left w:w="0" w:type="dxa"/>
              <w:bottom w:w="0" w:type="dxa"/>
              <w:right w:w="0" w:type="dxa"/>
            </w:tcMar>
            <w:vAlign w:val="bottom"/>
          </w:tcPr>
          <w:p w14:paraId="7282CD81" w14:textId="77777777" w:rsidR="001614AC" w:rsidRDefault="001614AC">
            <w:pPr>
              <w:keepNext/>
            </w:pPr>
          </w:p>
        </w:tc>
        <w:tc>
          <w:tcPr>
            <w:tcW w:w="160" w:type="dxa"/>
            <w:tcBorders>
              <w:top w:val="single" w:sz="8" w:space="0" w:color="C7C9C7"/>
              <w:left w:val="nil"/>
              <w:bottom w:val="double" w:sz="8" w:space="0" w:color="C7C9C7"/>
              <w:right w:val="nil"/>
            </w:tcBorders>
            <w:shd w:val="clear" w:color="auto" w:fill="F4F4F4"/>
            <w:tcMar>
              <w:top w:w="0" w:type="dxa"/>
              <w:left w:w="53" w:type="dxa"/>
              <w:bottom w:w="0" w:type="dxa"/>
              <w:right w:w="0" w:type="dxa"/>
            </w:tcMar>
            <w:vAlign w:val="bottom"/>
          </w:tcPr>
          <w:p w14:paraId="1F12C8AC" w14:textId="77777777" w:rsidR="001614AC" w:rsidRDefault="004468F9">
            <w:pPr>
              <w:keepNext/>
              <w:spacing w:before="55" w:after="30" w:line="288" w:lineRule="auto"/>
            </w:pPr>
            <w:r>
              <w:rPr>
                <w:rFonts w:ascii="Arial" w:eastAsia="Arial" w:hAnsi="Arial" w:cs="Arial"/>
                <w:color w:val="000000"/>
                <w:sz w:val="18"/>
              </w:rPr>
              <w:t>$</w:t>
            </w:r>
          </w:p>
        </w:tc>
        <w:tc>
          <w:tcPr>
            <w:tcW w:w="835" w:type="dxa"/>
            <w:tcBorders>
              <w:top w:val="single" w:sz="8" w:space="0" w:color="C7C9C7"/>
              <w:left w:val="nil"/>
              <w:bottom w:val="double" w:sz="8" w:space="0" w:color="C7C9C7"/>
              <w:right w:val="nil"/>
            </w:tcBorders>
            <w:shd w:val="clear" w:color="auto" w:fill="F4F4F4"/>
            <w:tcMar>
              <w:top w:w="0" w:type="dxa"/>
              <w:left w:w="0" w:type="dxa"/>
              <w:bottom w:w="0" w:type="dxa"/>
              <w:right w:w="0" w:type="dxa"/>
            </w:tcMar>
            <w:vAlign w:val="bottom"/>
          </w:tcPr>
          <w:p w14:paraId="2EA93D3C" w14:textId="77777777" w:rsidR="001614AC" w:rsidRDefault="004468F9">
            <w:pPr>
              <w:keepNext/>
              <w:spacing w:before="55" w:after="30" w:line="288" w:lineRule="auto"/>
              <w:jc w:val="right"/>
            </w:pPr>
            <w:r>
              <w:rPr>
                <w:rFonts w:ascii="Arial" w:eastAsia="Arial" w:hAnsi="Arial" w:cs="Arial"/>
                <w:color w:val="000000"/>
                <w:sz w:val="18"/>
              </w:rPr>
              <w:t>(14,157)</w:t>
            </w:r>
          </w:p>
        </w:tc>
        <w:tc>
          <w:tcPr>
            <w:tcW w:w="100" w:type="dxa"/>
            <w:tcBorders>
              <w:top w:val="single" w:sz="8" w:space="0" w:color="C7C9C7"/>
              <w:left w:val="nil"/>
              <w:bottom w:val="double" w:sz="8" w:space="0" w:color="C7C9C7"/>
              <w:right w:val="nil"/>
            </w:tcBorders>
            <w:shd w:val="clear" w:color="auto" w:fill="F4F4F4"/>
            <w:tcMar>
              <w:top w:w="0" w:type="dxa"/>
              <w:left w:w="0" w:type="dxa"/>
              <w:bottom w:w="0" w:type="dxa"/>
              <w:right w:w="15" w:type="dxa"/>
            </w:tcMar>
            <w:vAlign w:val="bottom"/>
          </w:tcPr>
          <w:p w14:paraId="2D9EFCF7" w14:textId="77777777" w:rsidR="001614AC" w:rsidRDefault="001614AC">
            <w:pPr>
              <w:keepNext/>
              <w:spacing w:before="55" w:after="30" w:line="288" w:lineRule="auto"/>
              <w:jc w:val="right"/>
            </w:pPr>
          </w:p>
        </w:tc>
        <w:tc>
          <w:tcPr>
            <w:tcW w:w="105" w:type="dxa"/>
            <w:tcBorders>
              <w:top w:val="nil"/>
              <w:left w:val="nil"/>
              <w:bottom w:val="nil"/>
              <w:right w:val="nil"/>
            </w:tcBorders>
            <w:shd w:val="clear" w:color="auto" w:fill="F4F4F4"/>
            <w:tcMar>
              <w:top w:w="0" w:type="dxa"/>
              <w:left w:w="0" w:type="dxa"/>
              <w:bottom w:w="0" w:type="dxa"/>
              <w:right w:w="0" w:type="dxa"/>
            </w:tcMar>
            <w:vAlign w:val="bottom"/>
          </w:tcPr>
          <w:p w14:paraId="475B6539" w14:textId="77777777" w:rsidR="001614AC" w:rsidRDefault="001614AC">
            <w:pPr>
              <w:keepNext/>
            </w:pPr>
          </w:p>
        </w:tc>
        <w:tc>
          <w:tcPr>
            <w:tcW w:w="995" w:type="dxa"/>
            <w:gridSpan w:val="2"/>
            <w:tcBorders>
              <w:top w:val="single" w:sz="8" w:space="0" w:color="C7C9C7"/>
              <w:left w:val="nil"/>
              <w:bottom w:val="nil"/>
              <w:right w:val="nil"/>
            </w:tcBorders>
            <w:shd w:val="clear" w:color="auto" w:fill="F4F4F4"/>
            <w:tcMar>
              <w:top w:w="0" w:type="dxa"/>
              <w:left w:w="53" w:type="dxa"/>
              <w:bottom w:w="0" w:type="dxa"/>
              <w:right w:w="0" w:type="dxa"/>
            </w:tcMar>
            <w:vAlign w:val="bottom"/>
          </w:tcPr>
          <w:p w14:paraId="18471F37" w14:textId="77777777" w:rsidR="001614AC" w:rsidRDefault="004468F9">
            <w:pPr>
              <w:keepNext/>
              <w:spacing w:before="55" w:after="30" w:line="288" w:lineRule="auto"/>
              <w:jc w:val="right"/>
            </w:pPr>
            <w:r>
              <w:rPr>
                <w:rFonts w:ascii="Arial" w:eastAsia="Arial" w:hAnsi="Arial" w:cs="Arial"/>
                <w:color w:val="000000"/>
                <w:sz w:val="18"/>
              </w:rPr>
              <w:t>5,759,442 </w:t>
            </w:r>
          </w:p>
        </w:tc>
        <w:tc>
          <w:tcPr>
            <w:tcW w:w="100" w:type="dxa"/>
            <w:tcBorders>
              <w:top w:val="single" w:sz="8" w:space="0" w:color="C7C9C7"/>
              <w:left w:val="nil"/>
              <w:bottom w:val="nil"/>
              <w:right w:val="nil"/>
            </w:tcBorders>
            <w:shd w:val="clear" w:color="auto" w:fill="F4F4F4"/>
            <w:tcMar>
              <w:top w:w="0" w:type="dxa"/>
              <w:left w:w="0" w:type="dxa"/>
              <w:bottom w:w="0" w:type="dxa"/>
              <w:right w:w="15" w:type="dxa"/>
            </w:tcMar>
            <w:vAlign w:val="bottom"/>
          </w:tcPr>
          <w:p w14:paraId="7B853CD8" w14:textId="77777777" w:rsidR="001614AC" w:rsidRDefault="001614AC">
            <w:pPr>
              <w:keepNext/>
              <w:spacing w:before="55" w:after="30" w:line="288" w:lineRule="auto"/>
              <w:jc w:val="right"/>
            </w:pPr>
          </w:p>
        </w:tc>
      </w:tr>
      <w:tr w:rsidR="001614AC" w14:paraId="7CFFFB99" w14:textId="77777777">
        <w:trPr>
          <w:cantSplit/>
        </w:trPr>
        <w:tc>
          <w:tcPr>
            <w:tcW w:w="4080" w:type="dxa"/>
            <w:tcBorders>
              <w:top w:val="nil"/>
              <w:left w:val="nil"/>
              <w:bottom w:val="nil"/>
              <w:right w:val="nil"/>
            </w:tcBorders>
            <w:tcMar>
              <w:top w:w="0" w:type="dxa"/>
              <w:left w:w="53" w:type="dxa"/>
              <w:bottom w:w="0" w:type="dxa"/>
              <w:right w:w="53" w:type="dxa"/>
            </w:tcMar>
            <w:vAlign w:val="bottom"/>
          </w:tcPr>
          <w:p w14:paraId="543E71A4" w14:textId="77777777" w:rsidR="001614AC" w:rsidRDefault="004468F9">
            <w:pPr>
              <w:keepNext/>
              <w:spacing w:before="75" w:after="30" w:line="288" w:lineRule="auto"/>
              <w:rPr>
                <w:rFonts w:ascii="Arial" w:eastAsia="Arial" w:hAnsi="Arial" w:cs="Arial"/>
                <w:sz w:val="18"/>
              </w:rPr>
            </w:pPr>
            <w:r>
              <w:rPr>
                <w:rFonts w:ascii="Arial" w:eastAsia="Arial" w:hAnsi="Arial" w:cs="Arial"/>
                <w:sz w:val="18"/>
              </w:rPr>
              <w:t xml:space="preserve">Less: loaned securities </w:t>
            </w:r>
            <w:r>
              <w:rPr>
                <w:rFonts w:ascii="Arial" w:eastAsia="Arial" w:hAnsi="Arial" w:cs="Arial"/>
                <w:sz w:val="18"/>
                <w:vertAlign w:val="superscript"/>
              </w:rPr>
              <w:t>(1)</w:t>
            </w:r>
          </w:p>
        </w:tc>
        <w:tc>
          <w:tcPr>
            <w:tcW w:w="105" w:type="dxa"/>
            <w:tcBorders>
              <w:top w:val="nil"/>
              <w:left w:val="nil"/>
              <w:bottom w:val="nil"/>
              <w:right w:val="nil"/>
            </w:tcBorders>
            <w:tcMar>
              <w:top w:w="0" w:type="dxa"/>
              <w:left w:w="0" w:type="dxa"/>
              <w:bottom w:w="0" w:type="dxa"/>
              <w:right w:w="0" w:type="dxa"/>
            </w:tcMar>
            <w:vAlign w:val="bottom"/>
          </w:tcPr>
          <w:p w14:paraId="7A9A8055" w14:textId="77777777" w:rsidR="001614AC" w:rsidRDefault="001614AC">
            <w:pPr>
              <w:keepNext/>
            </w:pPr>
          </w:p>
        </w:tc>
        <w:tc>
          <w:tcPr>
            <w:tcW w:w="995" w:type="dxa"/>
            <w:gridSpan w:val="2"/>
            <w:tcBorders>
              <w:top w:val="nil"/>
              <w:left w:val="nil"/>
              <w:bottom w:val="single" w:sz="8" w:space="0" w:color="C7C9C7"/>
              <w:right w:val="nil"/>
            </w:tcBorders>
            <w:tcMar>
              <w:top w:w="0" w:type="dxa"/>
              <w:left w:w="53" w:type="dxa"/>
              <w:bottom w:w="0" w:type="dxa"/>
              <w:right w:w="0" w:type="dxa"/>
            </w:tcMar>
            <w:vAlign w:val="bottom"/>
          </w:tcPr>
          <w:p w14:paraId="143A4254" w14:textId="77777777" w:rsidR="001614AC" w:rsidRDefault="004468F9">
            <w:pPr>
              <w:keepNext/>
              <w:spacing w:before="75" w:after="30" w:line="288" w:lineRule="auto"/>
              <w:jc w:val="right"/>
            </w:pPr>
            <w:r>
              <w:rPr>
                <w:rFonts w:ascii="Arial" w:eastAsia="Arial" w:hAnsi="Arial" w:cs="Arial"/>
                <w:color w:val="000000"/>
                <w:sz w:val="18"/>
              </w:rPr>
              <w:t>33,164 </w:t>
            </w:r>
          </w:p>
        </w:tc>
        <w:tc>
          <w:tcPr>
            <w:tcW w:w="100" w:type="dxa"/>
            <w:tcBorders>
              <w:top w:val="nil"/>
              <w:left w:val="nil"/>
              <w:bottom w:val="single" w:sz="8" w:space="0" w:color="C7C9C7"/>
              <w:right w:val="nil"/>
            </w:tcBorders>
            <w:tcMar>
              <w:top w:w="0" w:type="dxa"/>
              <w:left w:w="0" w:type="dxa"/>
              <w:bottom w:w="0" w:type="dxa"/>
              <w:right w:w="15" w:type="dxa"/>
            </w:tcMar>
            <w:vAlign w:val="bottom"/>
          </w:tcPr>
          <w:p w14:paraId="1A0F5753" w14:textId="77777777" w:rsidR="001614AC" w:rsidRDefault="001614AC">
            <w:pPr>
              <w:keepNext/>
              <w:spacing w:before="7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5995D794" w14:textId="77777777" w:rsidR="001614AC" w:rsidRDefault="001614AC">
            <w:pPr>
              <w:keepNext/>
            </w:pPr>
          </w:p>
        </w:tc>
        <w:tc>
          <w:tcPr>
            <w:tcW w:w="1095" w:type="dxa"/>
            <w:gridSpan w:val="3"/>
            <w:tcBorders>
              <w:top w:val="double" w:sz="8" w:space="0" w:color="C7C9C7"/>
              <w:left w:val="nil"/>
              <w:bottom w:val="nil"/>
              <w:right w:val="nil"/>
            </w:tcBorders>
            <w:tcMar>
              <w:top w:w="0" w:type="dxa"/>
              <w:left w:w="0" w:type="dxa"/>
              <w:bottom w:w="0" w:type="dxa"/>
              <w:right w:w="0" w:type="dxa"/>
            </w:tcMar>
            <w:vAlign w:val="bottom"/>
          </w:tcPr>
          <w:p w14:paraId="647C2D18" w14:textId="77777777" w:rsidR="001614AC" w:rsidRDefault="001614AC">
            <w:pPr>
              <w:keepNext/>
            </w:pPr>
          </w:p>
        </w:tc>
        <w:tc>
          <w:tcPr>
            <w:tcW w:w="105" w:type="dxa"/>
            <w:tcBorders>
              <w:top w:val="nil"/>
              <w:left w:val="nil"/>
              <w:bottom w:val="nil"/>
              <w:right w:val="nil"/>
            </w:tcBorders>
            <w:tcMar>
              <w:top w:w="0" w:type="dxa"/>
              <w:left w:w="0" w:type="dxa"/>
              <w:bottom w:w="0" w:type="dxa"/>
              <w:right w:w="0" w:type="dxa"/>
            </w:tcMar>
            <w:vAlign w:val="bottom"/>
          </w:tcPr>
          <w:p w14:paraId="0ADAD3E1" w14:textId="77777777" w:rsidR="001614AC" w:rsidRDefault="001614AC">
            <w:pPr>
              <w:keepNext/>
            </w:pPr>
          </w:p>
        </w:tc>
        <w:tc>
          <w:tcPr>
            <w:tcW w:w="1095" w:type="dxa"/>
            <w:gridSpan w:val="3"/>
            <w:tcBorders>
              <w:top w:val="double" w:sz="8" w:space="0" w:color="C7C9C7"/>
              <w:left w:val="nil"/>
              <w:bottom w:val="nil"/>
              <w:right w:val="nil"/>
            </w:tcBorders>
            <w:tcMar>
              <w:top w:w="0" w:type="dxa"/>
              <w:left w:w="0" w:type="dxa"/>
              <w:bottom w:w="0" w:type="dxa"/>
              <w:right w:w="0" w:type="dxa"/>
            </w:tcMar>
            <w:vAlign w:val="bottom"/>
          </w:tcPr>
          <w:p w14:paraId="07FF1045" w14:textId="77777777" w:rsidR="001614AC" w:rsidRDefault="001614AC">
            <w:pPr>
              <w:keepNext/>
            </w:pPr>
          </w:p>
        </w:tc>
        <w:tc>
          <w:tcPr>
            <w:tcW w:w="105" w:type="dxa"/>
            <w:tcBorders>
              <w:top w:val="nil"/>
              <w:left w:val="nil"/>
              <w:bottom w:val="nil"/>
              <w:right w:val="nil"/>
            </w:tcBorders>
            <w:tcMar>
              <w:top w:w="0" w:type="dxa"/>
              <w:left w:w="0" w:type="dxa"/>
              <w:bottom w:w="0" w:type="dxa"/>
              <w:right w:w="0" w:type="dxa"/>
            </w:tcMar>
            <w:vAlign w:val="bottom"/>
          </w:tcPr>
          <w:p w14:paraId="5F1FDD03" w14:textId="77777777" w:rsidR="001614AC" w:rsidRDefault="001614AC">
            <w:pPr>
              <w:keepNext/>
            </w:pPr>
          </w:p>
        </w:tc>
        <w:tc>
          <w:tcPr>
            <w:tcW w:w="1095" w:type="dxa"/>
            <w:gridSpan w:val="3"/>
            <w:tcBorders>
              <w:top w:val="double" w:sz="8" w:space="0" w:color="C7C9C7"/>
              <w:left w:val="nil"/>
              <w:bottom w:val="nil"/>
              <w:right w:val="nil"/>
            </w:tcBorders>
            <w:tcMar>
              <w:top w:w="0" w:type="dxa"/>
              <w:left w:w="0" w:type="dxa"/>
              <w:bottom w:w="0" w:type="dxa"/>
              <w:right w:w="0" w:type="dxa"/>
            </w:tcMar>
            <w:vAlign w:val="bottom"/>
          </w:tcPr>
          <w:p w14:paraId="646EB3E6" w14:textId="77777777" w:rsidR="001614AC" w:rsidRDefault="001614AC">
            <w:pPr>
              <w:keepNext/>
            </w:pPr>
          </w:p>
        </w:tc>
        <w:tc>
          <w:tcPr>
            <w:tcW w:w="105" w:type="dxa"/>
            <w:tcBorders>
              <w:top w:val="nil"/>
              <w:left w:val="nil"/>
              <w:bottom w:val="nil"/>
              <w:right w:val="nil"/>
            </w:tcBorders>
            <w:tcMar>
              <w:top w:w="0" w:type="dxa"/>
              <w:left w:w="0" w:type="dxa"/>
              <w:bottom w:w="0" w:type="dxa"/>
              <w:right w:w="0" w:type="dxa"/>
            </w:tcMar>
            <w:vAlign w:val="bottom"/>
          </w:tcPr>
          <w:p w14:paraId="05F86968" w14:textId="77777777" w:rsidR="001614AC" w:rsidRDefault="001614AC">
            <w:pPr>
              <w:keepNext/>
            </w:pPr>
          </w:p>
        </w:tc>
        <w:tc>
          <w:tcPr>
            <w:tcW w:w="995" w:type="dxa"/>
            <w:gridSpan w:val="2"/>
            <w:tcBorders>
              <w:top w:val="nil"/>
              <w:left w:val="nil"/>
              <w:bottom w:val="single" w:sz="8" w:space="0" w:color="C7C9C7"/>
              <w:right w:val="nil"/>
            </w:tcBorders>
            <w:tcMar>
              <w:top w:w="0" w:type="dxa"/>
              <w:left w:w="53" w:type="dxa"/>
              <w:bottom w:w="0" w:type="dxa"/>
              <w:right w:w="0" w:type="dxa"/>
            </w:tcMar>
            <w:vAlign w:val="bottom"/>
          </w:tcPr>
          <w:p w14:paraId="25F06F02" w14:textId="77777777" w:rsidR="001614AC" w:rsidRDefault="004468F9">
            <w:pPr>
              <w:keepNext/>
              <w:spacing w:before="75" w:after="30" w:line="288" w:lineRule="auto"/>
              <w:jc w:val="right"/>
            </w:pPr>
            <w:r>
              <w:rPr>
                <w:rFonts w:ascii="Arial" w:eastAsia="Arial" w:hAnsi="Arial" w:cs="Arial"/>
                <w:color w:val="000000"/>
                <w:sz w:val="18"/>
              </w:rPr>
              <w:t>36,102 </w:t>
            </w:r>
          </w:p>
        </w:tc>
        <w:tc>
          <w:tcPr>
            <w:tcW w:w="100" w:type="dxa"/>
            <w:tcBorders>
              <w:top w:val="nil"/>
              <w:left w:val="nil"/>
              <w:bottom w:val="single" w:sz="8" w:space="0" w:color="C7C9C7"/>
              <w:right w:val="nil"/>
            </w:tcBorders>
            <w:tcMar>
              <w:top w:w="0" w:type="dxa"/>
              <w:left w:w="0" w:type="dxa"/>
              <w:bottom w:w="0" w:type="dxa"/>
              <w:right w:w="15" w:type="dxa"/>
            </w:tcMar>
            <w:vAlign w:val="bottom"/>
          </w:tcPr>
          <w:p w14:paraId="13DF6A5C" w14:textId="77777777" w:rsidR="001614AC" w:rsidRDefault="001614AC">
            <w:pPr>
              <w:keepNext/>
              <w:spacing w:before="75" w:after="30" w:line="288" w:lineRule="auto"/>
              <w:jc w:val="right"/>
            </w:pPr>
          </w:p>
        </w:tc>
      </w:tr>
      <w:tr w:rsidR="001614AC" w14:paraId="4594A2F7" w14:textId="77777777">
        <w:trPr>
          <w:cantSplit/>
        </w:trPr>
        <w:tc>
          <w:tcPr>
            <w:tcW w:w="4080" w:type="dxa"/>
            <w:tcBorders>
              <w:top w:val="nil"/>
              <w:left w:val="nil"/>
              <w:bottom w:val="nil"/>
              <w:right w:val="nil"/>
            </w:tcBorders>
            <w:shd w:val="clear" w:color="auto" w:fill="F4F4F4"/>
            <w:tcMar>
              <w:top w:w="0" w:type="dxa"/>
              <w:left w:w="53" w:type="dxa"/>
              <w:bottom w:w="0" w:type="dxa"/>
              <w:right w:w="53" w:type="dxa"/>
            </w:tcMar>
            <w:vAlign w:val="bottom"/>
          </w:tcPr>
          <w:p w14:paraId="036414EC" w14:textId="77777777" w:rsidR="001614AC" w:rsidRDefault="004468F9">
            <w:pPr>
              <w:spacing w:before="75" w:after="30" w:line="288" w:lineRule="auto"/>
            </w:pPr>
            <w:r>
              <w:rPr>
                <w:rFonts w:ascii="Arial" w:eastAsia="Arial" w:hAnsi="Arial" w:cs="Arial"/>
                <w:color w:val="000000"/>
                <w:sz w:val="18"/>
              </w:rPr>
              <w:t xml:space="preserve">Total </w:t>
            </w:r>
            <w:r>
              <w:rPr>
                <w:rFonts w:ascii="Arial" w:eastAsia="Arial" w:hAnsi="Arial" w:cs="Arial"/>
                <w:color w:val="000000"/>
                <w:sz w:val="18"/>
              </w:rPr>
              <w:t>fixed-maturities available for sale</w:t>
            </w:r>
          </w:p>
        </w:tc>
        <w:tc>
          <w:tcPr>
            <w:tcW w:w="105" w:type="dxa"/>
            <w:tcBorders>
              <w:top w:val="nil"/>
              <w:left w:val="nil"/>
              <w:bottom w:val="nil"/>
              <w:right w:val="nil"/>
            </w:tcBorders>
            <w:shd w:val="clear" w:color="auto" w:fill="F4F4F4"/>
            <w:tcMar>
              <w:top w:w="0" w:type="dxa"/>
              <w:left w:w="0" w:type="dxa"/>
              <w:bottom w:w="0" w:type="dxa"/>
              <w:right w:w="0" w:type="dxa"/>
            </w:tcMar>
            <w:vAlign w:val="bottom"/>
          </w:tcPr>
          <w:p w14:paraId="31834A6C" w14:textId="77777777" w:rsidR="001614AC" w:rsidRDefault="001614AC"/>
        </w:tc>
        <w:tc>
          <w:tcPr>
            <w:tcW w:w="160" w:type="dxa"/>
            <w:tcBorders>
              <w:top w:val="single" w:sz="8" w:space="0" w:color="C7C9C7"/>
              <w:left w:val="nil"/>
              <w:bottom w:val="double" w:sz="8" w:space="0" w:color="C7C9C7"/>
              <w:right w:val="nil"/>
            </w:tcBorders>
            <w:shd w:val="clear" w:color="auto" w:fill="F4F4F4"/>
            <w:tcMar>
              <w:top w:w="0" w:type="dxa"/>
              <w:left w:w="53" w:type="dxa"/>
              <w:bottom w:w="0" w:type="dxa"/>
              <w:right w:w="0" w:type="dxa"/>
            </w:tcMar>
            <w:vAlign w:val="bottom"/>
          </w:tcPr>
          <w:p w14:paraId="14CADCEA" w14:textId="77777777" w:rsidR="001614AC" w:rsidRDefault="004468F9">
            <w:pPr>
              <w:spacing w:before="55" w:after="30" w:line="288" w:lineRule="auto"/>
            </w:pPr>
            <w:r>
              <w:rPr>
                <w:rFonts w:ascii="Arial" w:eastAsia="Arial" w:hAnsi="Arial" w:cs="Arial"/>
                <w:color w:val="000000"/>
                <w:sz w:val="18"/>
              </w:rPr>
              <w:t>$</w:t>
            </w:r>
          </w:p>
        </w:tc>
        <w:tc>
          <w:tcPr>
            <w:tcW w:w="835" w:type="dxa"/>
            <w:tcBorders>
              <w:top w:val="single" w:sz="8" w:space="0" w:color="C7C9C7"/>
              <w:left w:val="nil"/>
              <w:bottom w:val="double" w:sz="8" w:space="0" w:color="C7C9C7"/>
              <w:right w:val="nil"/>
            </w:tcBorders>
            <w:shd w:val="clear" w:color="auto" w:fill="F4F4F4"/>
            <w:tcMar>
              <w:top w:w="0" w:type="dxa"/>
              <w:left w:w="0" w:type="dxa"/>
              <w:bottom w:w="0" w:type="dxa"/>
              <w:right w:w="0" w:type="dxa"/>
            </w:tcMar>
            <w:vAlign w:val="bottom"/>
          </w:tcPr>
          <w:p w14:paraId="4589C204" w14:textId="77777777" w:rsidR="001614AC" w:rsidRDefault="004468F9">
            <w:pPr>
              <w:spacing w:before="55" w:after="30" w:line="288" w:lineRule="auto"/>
              <w:jc w:val="right"/>
            </w:pPr>
            <w:r>
              <w:rPr>
                <w:rFonts w:ascii="Arial" w:eastAsia="Arial" w:hAnsi="Arial" w:cs="Arial"/>
                <w:color w:val="000000"/>
                <w:sz w:val="18"/>
              </w:rPr>
              <w:t>5,393,623 </w:t>
            </w:r>
          </w:p>
        </w:tc>
        <w:tc>
          <w:tcPr>
            <w:tcW w:w="100" w:type="dxa"/>
            <w:tcBorders>
              <w:top w:val="single" w:sz="8" w:space="0" w:color="C7C9C7"/>
              <w:left w:val="nil"/>
              <w:bottom w:val="double" w:sz="8" w:space="0" w:color="C7C9C7"/>
              <w:right w:val="nil"/>
            </w:tcBorders>
            <w:shd w:val="clear" w:color="auto" w:fill="F4F4F4"/>
            <w:tcMar>
              <w:top w:w="0" w:type="dxa"/>
              <w:left w:w="0" w:type="dxa"/>
              <w:bottom w:w="0" w:type="dxa"/>
              <w:right w:w="15" w:type="dxa"/>
            </w:tcMar>
            <w:vAlign w:val="bottom"/>
          </w:tcPr>
          <w:p w14:paraId="50E4F875" w14:textId="77777777" w:rsidR="001614AC" w:rsidRDefault="001614AC">
            <w:pPr>
              <w:spacing w:before="55" w:after="30" w:line="288" w:lineRule="auto"/>
              <w:jc w:val="right"/>
            </w:pPr>
          </w:p>
        </w:tc>
        <w:tc>
          <w:tcPr>
            <w:tcW w:w="105" w:type="dxa"/>
            <w:tcBorders>
              <w:top w:val="nil"/>
              <w:left w:val="nil"/>
              <w:bottom w:val="nil"/>
              <w:right w:val="nil"/>
            </w:tcBorders>
            <w:shd w:val="clear" w:color="auto" w:fill="F4F4F4"/>
            <w:tcMar>
              <w:top w:w="0" w:type="dxa"/>
              <w:left w:w="0" w:type="dxa"/>
              <w:bottom w:w="0" w:type="dxa"/>
              <w:right w:w="0" w:type="dxa"/>
            </w:tcMar>
            <w:vAlign w:val="bottom"/>
          </w:tcPr>
          <w:p w14:paraId="7B1C74A5" w14:textId="77777777" w:rsidR="001614AC" w:rsidRDefault="001614AC"/>
        </w:tc>
        <w:tc>
          <w:tcPr>
            <w:tcW w:w="1095" w:type="dxa"/>
            <w:gridSpan w:val="3"/>
            <w:tcBorders>
              <w:top w:val="nil"/>
              <w:left w:val="nil"/>
              <w:bottom w:val="nil"/>
              <w:right w:val="nil"/>
            </w:tcBorders>
            <w:shd w:val="clear" w:color="auto" w:fill="F4F4F4"/>
            <w:tcMar>
              <w:top w:w="0" w:type="dxa"/>
              <w:left w:w="0" w:type="dxa"/>
              <w:bottom w:w="0" w:type="dxa"/>
              <w:right w:w="0" w:type="dxa"/>
            </w:tcMar>
            <w:vAlign w:val="bottom"/>
          </w:tcPr>
          <w:p w14:paraId="0DB3DD79" w14:textId="77777777" w:rsidR="001614AC" w:rsidRDefault="001614AC"/>
        </w:tc>
        <w:tc>
          <w:tcPr>
            <w:tcW w:w="105" w:type="dxa"/>
            <w:tcBorders>
              <w:top w:val="nil"/>
              <w:left w:val="nil"/>
              <w:bottom w:val="nil"/>
              <w:right w:val="nil"/>
            </w:tcBorders>
            <w:shd w:val="clear" w:color="auto" w:fill="F4F4F4"/>
            <w:tcMar>
              <w:top w:w="0" w:type="dxa"/>
              <w:left w:w="0" w:type="dxa"/>
              <w:bottom w:w="0" w:type="dxa"/>
              <w:right w:w="0" w:type="dxa"/>
            </w:tcMar>
            <w:vAlign w:val="bottom"/>
          </w:tcPr>
          <w:p w14:paraId="4844246D" w14:textId="77777777" w:rsidR="001614AC" w:rsidRDefault="001614AC"/>
        </w:tc>
        <w:tc>
          <w:tcPr>
            <w:tcW w:w="1095" w:type="dxa"/>
            <w:gridSpan w:val="3"/>
            <w:tcBorders>
              <w:top w:val="nil"/>
              <w:left w:val="nil"/>
              <w:bottom w:val="nil"/>
              <w:right w:val="nil"/>
            </w:tcBorders>
            <w:shd w:val="clear" w:color="auto" w:fill="F4F4F4"/>
            <w:tcMar>
              <w:top w:w="0" w:type="dxa"/>
              <w:left w:w="0" w:type="dxa"/>
              <w:bottom w:w="0" w:type="dxa"/>
              <w:right w:w="0" w:type="dxa"/>
            </w:tcMar>
            <w:vAlign w:val="bottom"/>
          </w:tcPr>
          <w:p w14:paraId="79364FA6" w14:textId="77777777" w:rsidR="001614AC" w:rsidRDefault="001614AC"/>
        </w:tc>
        <w:tc>
          <w:tcPr>
            <w:tcW w:w="105" w:type="dxa"/>
            <w:tcBorders>
              <w:top w:val="nil"/>
              <w:left w:val="nil"/>
              <w:bottom w:val="nil"/>
              <w:right w:val="nil"/>
            </w:tcBorders>
            <w:shd w:val="clear" w:color="auto" w:fill="F4F4F4"/>
            <w:tcMar>
              <w:top w:w="0" w:type="dxa"/>
              <w:left w:w="0" w:type="dxa"/>
              <w:bottom w:w="0" w:type="dxa"/>
              <w:right w:w="0" w:type="dxa"/>
            </w:tcMar>
            <w:vAlign w:val="bottom"/>
          </w:tcPr>
          <w:p w14:paraId="339A7C48" w14:textId="77777777" w:rsidR="001614AC" w:rsidRDefault="001614AC"/>
        </w:tc>
        <w:tc>
          <w:tcPr>
            <w:tcW w:w="1095" w:type="dxa"/>
            <w:gridSpan w:val="3"/>
            <w:tcBorders>
              <w:top w:val="nil"/>
              <w:left w:val="nil"/>
              <w:bottom w:val="nil"/>
              <w:right w:val="nil"/>
            </w:tcBorders>
            <w:shd w:val="clear" w:color="auto" w:fill="F4F4F4"/>
            <w:tcMar>
              <w:top w:w="0" w:type="dxa"/>
              <w:left w:w="0" w:type="dxa"/>
              <w:bottom w:w="0" w:type="dxa"/>
              <w:right w:w="0" w:type="dxa"/>
            </w:tcMar>
            <w:vAlign w:val="bottom"/>
          </w:tcPr>
          <w:p w14:paraId="489E9C10" w14:textId="77777777" w:rsidR="001614AC" w:rsidRDefault="001614AC"/>
        </w:tc>
        <w:tc>
          <w:tcPr>
            <w:tcW w:w="105" w:type="dxa"/>
            <w:tcBorders>
              <w:top w:val="nil"/>
              <w:left w:val="nil"/>
              <w:bottom w:val="nil"/>
              <w:right w:val="nil"/>
            </w:tcBorders>
            <w:shd w:val="clear" w:color="auto" w:fill="F4F4F4"/>
            <w:tcMar>
              <w:top w:w="0" w:type="dxa"/>
              <w:left w:w="0" w:type="dxa"/>
              <w:bottom w:w="0" w:type="dxa"/>
              <w:right w:w="0" w:type="dxa"/>
            </w:tcMar>
            <w:vAlign w:val="bottom"/>
          </w:tcPr>
          <w:p w14:paraId="07D5FDB7" w14:textId="77777777" w:rsidR="001614AC" w:rsidRDefault="001614AC"/>
        </w:tc>
        <w:tc>
          <w:tcPr>
            <w:tcW w:w="160" w:type="dxa"/>
            <w:tcBorders>
              <w:top w:val="single" w:sz="8" w:space="0" w:color="C7C9C7"/>
              <w:left w:val="nil"/>
              <w:bottom w:val="double" w:sz="8" w:space="0" w:color="C7C9C7"/>
              <w:right w:val="nil"/>
            </w:tcBorders>
            <w:shd w:val="clear" w:color="auto" w:fill="F4F4F4"/>
            <w:tcMar>
              <w:top w:w="0" w:type="dxa"/>
              <w:left w:w="53" w:type="dxa"/>
              <w:bottom w:w="0" w:type="dxa"/>
              <w:right w:w="0" w:type="dxa"/>
            </w:tcMar>
            <w:vAlign w:val="bottom"/>
          </w:tcPr>
          <w:p w14:paraId="3772F82C" w14:textId="77777777" w:rsidR="001614AC" w:rsidRDefault="004468F9">
            <w:pPr>
              <w:spacing w:before="55" w:after="30" w:line="288" w:lineRule="auto"/>
            </w:pPr>
            <w:r>
              <w:rPr>
                <w:rFonts w:ascii="Arial" w:eastAsia="Arial" w:hAnsi="Arial" w:cs="Arial"/>
                <w:color w:val="000000"/>
                <w:sz w:val="18"/>
              </w:rPr>
              <w:t>$</w:t>
            </w:r>
          </w:p>
        </w:tc>
        <w:tc>
          <w:tcPr>
            <w:tcW w:w="835" w:type="dxa"/>
            <w:tcBorders>
              <w:top w:val="single" w:sz="8" w:space="0" w:color="C7C9C7"/>
              <w:left w:val="nil"/>
              <w:bottom w:val="double" w:sz="8" w:space="0" w:color="C7C9C7"/>
              <w:right w:val="nil"/>
            </w:tcBorders>
            <w:shd w:val="clear" w:color="auto" w:fill="F4F4F4"/>
            <w:tcMar>
              <w:top w:w="0" w:type="dxa"/>
              <w:left w:w="0" w:type="dxa"/>
              <w:bottom w:w="0" w:type="dxa"/>
              <w:right w:w="0" w:type="dxa"/>
            </w:tcMar>
            <w:vAlign w:val="bottom"/>
          </w:tcPr>
          <w:p w14:paraId="50A78DA5" w14:textId="77777777" w:rsidR="001614AC" w:rsidRDefault="004468F9">
            <w:pPr>
              <w:spacing w:before="55" w:after="30" w:line="288" w:lineRule="auto"/>
              <w:jc w:val="right"/>
            </w:pPr>
            <w:r>
              <w:rPr>
                <w:rFonts w:ascii="Arial" w:eastAsia="Arial" w:hAnsi="Arial" w:cs="Arial"/>
                <w:color w:val="000000"/>
                <w:sz w:val="18"/>
              </w:rPr>
              <w:t>5,723,340 </w:t>
            </w:r>
          </w:p>
        </w:tc>
        <w:tc>
          <w:tcPr>
            <w:tcW w:w="100" w:type="dxa"/>
            <w:tcBorders>
              <w:top w:val="single" w:sz="8" w:space="0" w:color="C7C9C7"/>
              <w:left w:val="nil"/>
              <w:bottom w:val="double" w:sz="8" w:space="0" w:color="C7C9C7"/>
              <w:right w:val="nil"/>
            </w:tcBorders>
            <w:shd w:val="clear" w:color="auto" w:fill="F4F4F4"/>
            <w:tcMar>
              <w:top w:w="0" w:type="dxa"/>
              <w:left w:w="0" w:type="dxa"/>
              <w:bottom w:w="0" w:type="dxa"/>
              <w:right w:w="15" w:type="dxa"/>
            </w:tcMar>
            <w:vAlign w:val="bottom"/>
          </w:tcPr>
          <w:p w14:paraId="46F1CEBA" w14:textId="77777777" w:rsidR="001614AC" w:rsidRDefault="001614AC">
            <w:pPr>
              <w:spacing w:before="55" w:after="30" w:line="288" w:lineRule="auto"/>
              <w:jc w:val="right"/>
            </w:pPr>
          </w:p>
        </w:tc>
      </w:tr>
    </w:tbl>
    <w:p w14:paraId="723CBF0F" w14:textId="77777777" w:rsidR="001614AC" w:rsidRDefault="004468F9" w:rsidP="004468F9">
      <w:pPr>
        <w:numPr>
          <w:ilvl w:val="0"/>
          <w:numId w:val="15"/>
        </w:numPr>
        <w:spacing w:line="288" w:lineRule="auto"/>
        <w:ind w:left="360"/>
        <w:rPr>
          <w:rFonts w:ascii="Arial" w:eastAsia="Arial" w:hAnsi="Arial" w:cs="Arial"/>
          <w:b/>
          <w:color w:val="64615D"/>
          <w:sz w:val="16"/>
        </w:rPr>
      </w:pPr>
      <w:r>
        <w:rPr>
          <w:rFonts w:ascii="Arial" w:eastAsia="Arial" w:hAnsi="Arial" w:cs="Arial"/>
          <w:color w:val="64615D"/>
          <w:sz w:val="16"/>
        </w:rPr>
        <w:t>Included in other assets in our consolidated balance sheet as further describ</w:t>
      </w:r>
      <w:r>
        <w:rPr>
          <w:rFonts w:ascii="Arial" w:eastAsia="Arial" w:hAnsi="Arial" w:cs="Arial"/>
          <w:color w:val="64615D"/>
          <w:sz w:val="16"/>
        </w:rPr>
        <w:t>ed below. See below for a discussion of our securities lending agreements.</w:t>
      </w:r>
    </w:p>
    <w:p w14:paraId="1F7AA0C8" w14:textId="77777777" w:rsidR="001614AC" w:rsidRDefault="004468F9">
      <w:pPr>
        <w:keepNext/>
        <w:spacing w:before="200" w:after="100" w:line="288" w:lineRule="auto"/>
        <w:ind w:firstLine="450"/>
        <w:rPr>
          <w:rFonts w:ascii="Arial" w:eastAsia="Arial" w:hAnsi="Arial" w:cs="Arial"/>
          <w:b/>
          <w:color w:val="64615D"/>
          <w:sz w:val="18"/>
        </w:rPr>
      </w:pPr>
      <w:r>
        <w:rPr>
          <w:rFonts w:ascii="Arial" w:eastAsia="Arial" w:hAnsi="Arial" w:cs="Arial"/>
          <w:sz w:val="18"/>
        </w:rPr>
        <w:t>The following table provides a rollforward of the allowance for credit losses on fixed-maturities available for sale, which relates entirely to corporate bonds and notes for the per</w:t>
      </w:r>
      <w:r>
        <w:rPr>
          <w:rFonts w:ascii="Arial" w:eastAsia="Arial" w:hAnsi="Arial" w:cs="Arial"/>
          <w:sz w:val="18"/>
        </w:rPr>
        <w:t>iods indicated.</w:t>
      </w:r>
    </w:p>
    <w:tbl>
      <w:tblPr>
        <w:tblW w:w="102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36"/>
        <w:gridCol w:w="113"/>
        <w:gridCol w:w="162"/>
        <w:gridCol w:w="758"/>
        <w:gridCol w:w="102"/>
        <w:gridCol w:w="114"/>
        <w:gridCol w:w="163"/>
        <w:gridCol w:w="758"/>
        <w:gridCol w:w="102"/>
        <w:gridCol w:w="114"/>
        <w:gridCol w:w="163"/>
        <w:gridCol w:w="758"/>
        <w:gridCol w:w="102"/>
        <w:gridCol w:w="114"/>
        <w:gridCol w:w="163"/>
        <w:gridCol w:w="758"/>
        <w:gridCol w:w="102"/>
      </w:tblGrid>
      <w:tr w:rsidR="001614AC" w14:paraId="6FF1F578" w14:textId="77777777">
        <w:trPr>
          <w:cantSplit/>
        </w:trPr>
        <w:tc>
          <w:tcPr>
            <w:tcW w:w="10080" w:type="dxa"/>
            <w:gridSpan w:val="17"/>
            <w:tcBorders>
              <w:top w:val="nil"/>
              <w:left w:val="nil"/>
              <w:bottom w:val="single" w:sz="12" w:space="0" w:color="99AAB6"/>
              <w:right w:val="nil"/>
            </w:tcBorders>
            <w:tcMar>
              <w:top w:w="0" w:type="dxa"/>
              <w:left w:w="53" w:type="dxa"/>
              <w:bottom w:w="0" w:type="dxa"/>
              <w:right w:w="53" w:type="dxa"/>
            </w:tcMar>
            <w:vAlign w:val="bottom"/>
          </w:tcPr>
          <w:p w14:paraId="3E76D5B9" w14:textId="77777777" w:rsidR="001614AC" w:rsidRDefault="004468F9">
            <w:pPr>
              <w:keepNext/>
              <w:spacing w:before="75" w:after="30" w:line="288" w:lineRule="auto"/>
              <w:rPr>
                <w:rFonts w:ascii="Arial" w:eastAsia="Arial" w:hAnsi="Arial" w:cs="Arial"/>
                <w:b/>
                <w:sz w:val="20"/>
              </w:rPr>
            </w:pPr>
            <w:r>
              <w:rPr>
                <w:rFonts w:ascii="Arial" w:eastAsia="Arial" w:hAnsi="Arial" w:cs="Arial"/>
                <w:b/>
                <w:sz w:val="20"/>
              </w:rPr>
              <w:t>Rollforward of allowance for credit losses on fixed-maturities available for sale</w:t>
            </w:r>
          </w:p>
        </w:tc>
      </w:tr>
      <w:tr w:rsidR="001614AC" w14:paraId="6DE2332A" w14:textId="77777777">
        <w:trPr>
          <w:cantSplit/>
          <w:trHeight w:hRule="exact" w:val="135"/>
        </w:trPr>
        <w:tc>
          <w:tcPr>
            <w:tcW w:w="5640" w:type="dxa"/>
            <w:tcBorders>
              <w:top w:val="nil"/>
              <w:left w:val="nil"/>
              <w:bottom w:val="nil"/>
              <w:right w:val="nil"/>
            </w:tcBorders>
            <w:tcMar>
              <w:top w:w="0" w:type="dxa"/>
              <w:left w:w="0" w:type="dxa"/>
              <w:bottom w:w="0" w:type="dxa"/>
              <w:right w:w="0" w:type="dxa"/>
            </w:tcMar>
            <w:vAlign w:val="bottom"/>
          </w:tcPr>
          <w:p w14:paraId="3062DF93" w14:textId="77777777" w:rsidR="001614AC" w:rsidRDefault="001614AC">
            <w:pPr>
              <w:keepNext/>
            </w:pPr>
          </w:p>
        </w:tc>
        <w:tc>
          <w:tcPr>
            <w:tcW w:w="105" w:type="dxa"/>
            <w:tcBorders>
              <w:top w:val="single" w:sz="12" w:space="0" w:color="99AAB6"/>
              <w:left w:val="nil"/>
              <w:bottom w:val="nil"/>
              <w:right w:val="nil"/>
            </w:tcBorders>
            <w:tcMar>
              <w:top w:w="0" w:type="dxa"/>
              <w:left w:w="0" w:type="dxa"/>
              <w:bottom w:w="0" w:type="dxa"/>
              <w:right w:w="0" w:type="dxa"/>
            </w:tcMar>
            <w:vAlign w:val="bottom"/>
          </w:tcPr>
          <w:p w14:paraId="5C27E24B" w14:textId="77777777" w:rsidR="001614AC" w:rsidRDefault="001614AC">
            <w:pPr>
              <w:keepNext/>
            </w:pPr>
          </w:p>
        </w:tc>
        <w:tc>
          <w:tcPr>
            <w:tcW w:w="1005" w:type="dxa"/>
            <w:gridSpan w:val="3"/>
            <w:tcBorders>
              <w:top w:val="single" w:sz="12" w:space="0" w:color="99AAB6"/>
              <w:left w:val="nil"/>
              <w:bottom w:val="nil"/>
              <w:right w:val="nil"/>
            </w:tcBorders>
            <w:tcMar>
              <w:top w:w="0" w:type="dxa"/>
              <w:left w:w="0" w:type="dxa"/>
              <w:bottom w:w="0" w:type="dxa"/>
              <w:right w:w="0" w:type="dxa"/>
            </w:tcMar>
            <w:vAlign w:val="bottom"/>
          </w:tcPr>
          <w:p w14:paraId="01213390" w14:textId="77777777" w:rsidR="001614AC" w:rsidRDefault="001614AC">
            <w:pPr>
              <w:keepNext/>
            </w:pPr>
          </w:p>
        </w:tc>
        <w:tc>
          <w:tcPr>
            <w:tcW w:w="105" w:type="dxa"/>
            <w:tcBorders>
              <w:top w:val="single" w:sz="12" w:space="0" w:color="99AAB6"/>
              <w:left w:val="nil"/>
              <w:bottom w:val="nil"/>
              <w:right w:val="nil"/>
            </w:tcBorders>
            <w:tcMar>
              <w:top w:w="0" w:type="dxa"/>
              <w:left w:w="0" w:type="dxa"/>
              <w:bottom w:w="0" w:type="dxa"/>
              <w:right w:w="0" w:type="dxa"/>
            </w:tcMar>
            <w:vAlign w:val="bottom"/>
          </w:tcPr>
          <w:p w14:paraId="71C3C665" w14:textId="77777777" w:rsidR="001614AC" w:rsidRDefault="001614AC">
            <w:pPr>
              <w:keepNext/>
            </w:pPr>
          </w:p>
        </w:tc>
        <w:tc>
          <w:tcPr>
            <w:tcW w:w="1005" w:type="dxa"/>
            <w:gridSpan w:val="3"/>
            <w:tcBorders>
              <w:top w:val="single" w:sz="12" w:space="0" w:color="99AAB6"/>
              <w:left w:val="nil"/>
              <w:bottom w:val="nil"/>
              <w:right w:val="nil"/>
            </w:tcBorders>
            <w:tcMar>
              <w:top w:w="0" w:type="dxa"/>
              <w:left w:w="0" w:type="dxa"/>
              <w:bottom w:w="0" w:type="dxa"/>
              <w:right w:w="0" w:type="dxa"/>
            </w:tcMar>
            <w:vAlign w:val="bottom"/>
          </w:tcPr>
          <w:p w14:paraId="7E9EFB89" w14:textId="77777777" w:rsidR="001614AC" w:rsidRDefault="001614AC">
            <w:pPr>
              <w:keepNext/>
            </w:pPr>
          </w:p>
        </w:tc>
        <w:tc>
          <w:tcPr>
            <w:tcW w:w="105" w:type="dxa"/>
            <w:tcBorders>
              <w:top w:val="single" w:sz="12" w:space="0" w:color="99AAB6"/>
              <w:left w:val="nil"/>
              <w:bottom w:val="nil"/>
              <w:right w:val="nil"/>
            </w:tcBorders>
            <w:tcMar>
              <w:top w:w="0" w:type="dxa"/>
              <w:left w:w="0" w:type="dxa"/>
              <w:bottom w:w="0" w:type="dxa"/>
              <w:right w:w="0" w:type="dxa"/>
            </w:tcMar>
            <w:vAlign w:val="bottom"/>
          </w:tcPr>
          <w:p w14:paraId="3424C343" w14:textId="77777777" w:rsidR="001614AC" w:rsidRDefault="001614AC">
            <w:pPr>
              <w:keepNext/>
            </w:pPr>
          </w:p>
        </w:tc>
        <w:tc>
          <w:tcPr>
            <w:tcW w:w="1005" w:type="dxa"/>
            <w:gridSpan w:val="3"/>
            <w:tcBorders>
              <w:top w:val="single" w:sz="12" w:space="0" w:color="99AAB6"/>
              <w:left w:val="nil"/>
              <w:bottom w:val="nil"/>
              <w:right w:val="nil"/>
            </w:tcBorders>
            <w:tcMar>
              <w:top w:w="0" w:type="dxa"/>
              <w:left w:w="0" w:type="dxa"/>
              <w:bottom w:w="0" w:type="dxa"/>
              <w:right w:w="0" w:type="dxa"/>
            </w:tcMar>
            <w:vAlign w:val="bottom"/>
          </w:tcPr>
          <w:p w14:paraId="0163AB00" w14:textId="77777777" w:rsidR="001614AC" w:rsidRDefault="001614AC">
            <w:pPr>
              <w:keepNext/>
            </w:pPr>
          </w:p>
        </w:tc>
        <w:tc>
          <w:tcPr>
            <w:tcW w:w="105" w:type="dxa"/>
            <w:tcBorders>
              <w:top w:val="single" w:sz="12" w:space="0" w:color="99AAB6"/>
              <w:left w:val="nil"/>
              <w:bottom w:val="nil"/>
              <w:right w:val="nil"/>
            </w:tcBorders>
            <w:tcMar>
              <w:top w:w="0" w:type="dxa"/>
              <w:left w:w="0" w:type="dxa"/>
              <w:bottom w:w="0" w:type="dxa"/>
              <w:right w:w="0" w:type="dxa"/>
            </w:tcMar>
            <w:vAlign w:val="bottom"/>
          </w:tcPr>
          <w:p w14:paraId="67A3C151" w14:textId="77777777" w:rsidR="001614AC" w:rsidRDefault="001614AC">
            <w:pPr>
              <w:keepNext/>
            </w:pPr>
          </w:p>
        </w:tc>
        <w:tc>
          <w:tcPr>
            <w:tcW w:w="1005" w:type="dxa"/>
            <w:gridSpan w:val="3"/>
            <w:tcBorders>
              <w:top w:val="single" w:sz="12" w:space="0" w:color="99AAB6"/>
              <w:left w:val="nil"/>
              <w:bottom w:val="nil"/>
              <w:right w:val="nil"/>
            </w:tcBorders>
            <w:tcMar>
              <w:top w:w="0" w:type="dxa"/>
              <w:left w:w="0" w:type="dxa"/>
              <w:bottom w:w="0" w:type="dxa"/>
              <w:right w:w="0" w:type="dxa"/>
            </w:tcMar>
            <w:vAlign w:val="bottom"/>
          </w:tcPr>
          <w:p w14:paraId="103C219D" w14:textId="77777777" w:rsidR="001614AC" w:rsidRDefault="001614AC">
            <w:pPr>
              <w:keepNext/>
            </w:pPr>
          </w:p>
        </w:tc>
      </w:tr>
      <w:tr w:rsidR="001614AC" w14:paraId="0CA5258A" w14:textId="77777777">
        <w:trPr>
          <w:cantSplit/>
        </w:trPr>
        <w:tc>
          <w:tcPr>
            <w:tcW w:w="5640" w:type="dxa"/>
            <w:tcBorders>
              <w:top w:val="nil"/>
              <w:left w:val="nil"/>
              <w:bottom w:val="nil"/>
              <w:right w:val="nil"/>
            </w:tcBorders>
            <w:tcMar>
              <w:top w:w="0" w:type="dxa"/>
              <w:left w:w="53" w:type="dxa"/>
              <w:bottom w:w="0" w:type="dxa"/>
              <w:right w:w="53" w:type="dxa"/>
            </w:tcMar>
            <w:vAlign w:val="bottom"/>
          </w:tcPr>
          <w:p w14:paraId="19D1B5C4" w14:textId="77777777" w:rsidR="001614AC" w:rsidRDefault="001614AC">
            <w:pPr>
              <w:keepNext/>
              <w:spacing w:before="75" w:after="30" w:line="288" w:lineRule="auto"/>
            </w:pPr>
          </w:p>
        </w:tc>
        <w:tc>
          <w:tcPr>
            <w:tcW w:w="105" w:type="dxa"/>
            <w:tcBorders>
              <w:top w:val="nil"/>
              <w:left w:val="nil"/>
              <w:bottom w:val="nil"/>
              <w:right w:val="nil"/>
            </w:tcBorders>
            <w:tcMar>
              <w:top w:w="0" w:type="dxa"/>
              <w:left w:w="0" w:type="dxa"/>
              <w:bottom w:w="0" w:type="dxa"/>
              <w:right w:w="0" w:type="dxa"/>
            </w:tcMar>
            <w:vAlign w:val="bottom"/>
          </w:tcPr>
          <w:p w14:paraId="1D36DC13" w14:textId="77777777" w:rsidR="001614AC" w:rsidRDefault="001614AC">
            <w:pPr>
              <w:keepNext/>
            </w:pPr>
          </w:p>
        </w:tc>
        <w:tc>
          <w:tcPr>
            <w:tcW w:w="2115" w:type="dxa"/>
            <w:gridSpan w:val="7"/>
            <w:tcBorders>
              <w:top w:val="nil"/>
              <w:left w:val="nil"/>
              <w:bottom w:val="single" w:sz="8" w:space="0" w:color="FFFFFF"/>
              <w:right w:val="nil"/>
            </w:tcBorders>
            <w:tcMar>
              <w:top w:w="0" w:type="dxa"/>
              <w:left w:w="53" w:type="dxa"/>
              <w:bottom w:w="0" w:type="dxa"/>
              <w:right w:w="53" w:type="dxa"/>
            </w:tcMar>
            <w:vAlign w:val="bottom"/>
          </w:tcPr>
          <w:p w14:paraId="5CA57D66" w14:textId="77777777" w:rsidR="001614AC" w:rsidRDefault="004468F9">
            <w:pPr>
              <w:keepNext/>
              <w:spacing w:before="75" w:line="288" w:lineRule="auto"/>
              <w:jc w:val="center"/>
            </w:pPr>
            <w:r>
              <w:rPr>
                <w:rFonts w:ascii="Arial" w:eastAsia="Arial" w:hAnsi="Arial" w:cs="Arial"/>
                <w:b/>
                <w:color w:val="00BAB3"/>
                <w:sz w:val="18"/>
              </w:rPr>
              <w:t>Three Months Ended</w:t>
            </w:r>
          </w:p>
          <w:p w14:paraId="53C88A3F" w14:textId="77777777" w:rsidR="001614AC" w:rsidRDefault="004468F9">
            <w:pPr>
              <w:spacing w:after="30" w:line="288" w:lineRule="auto"/>
              <w:jc w:val="center"/>
            </w:pPr>
            <w:r>
              <w:rPr>
                <w:rFonts w:ascii="Arial" w:eastAsia="Arial" w:hAnsi="Arial" w:cs="Arial"/>
                <w:b/>
                <w:color w:val="00BAB3"/>
                <w:sz w:val="18"/>
              </w:rPr>
              <w:t>June 30,</w:t>
            </w:r>
          </w:p>
        </w:tc>
        <w:tc>
          <w:tcPr>
            <w:tcW w:w="105" w:type="dxa"/>
            <w:tcBorders>
              <w:top w:val="nil"/>
              <w:left w:val="nil"/>
              <w:bottom w:val="nil"/>
              <w:right w:val="nil"/>
            </w:tcBorders>
            <w:tcMar>
              <w:top w:w="0" w:type="dxa"/>
              <w:left w:w="53" w:type="dxa"/>
              <w:bottom w:w="0" w:type="dxa"/>
              <w:right w:w="53" w:type="dxa"/>
            </w:tcMar>
            <w:vAlign w:val="bottom"/>
          </w:tcPr>
          <w:p w14:paraId="4F6C64B5" w14:textId="77777777" w:rsidR="001614AC" w:rsidRDefault="001614AC">
            <w:pPr>
              <w:keepNext/>
              <w:spacing w:before="75" w:after="30" w:line="288" w:lineRule="auto"/>
            </w:pPr>
          </w:p>
        </w:tc>
        <w:tc>
          <w:tcPr>
            <w:tcW w:w="2115" w:type="dxa"/>
            <w:gridSpan w:val="7"/>
            <w:tcBorders>
              <w:top w:val="nil"/>
              <w:left w:val="nil"/>
              <w:bottom w:val="single" w:sz="8" w:space="0" w:color="FFFFFF"/>
              <w:right w:val="nil"/>
            </w:tcBorders>
            <w:tcMar>
              <w:top w:w="0" w:type="dxa"/>
              <w:left w:w="53" w:type="dxa"/>
              <w:bottom w:w="0" w:type="dxa"/>
              <w:right w:w="53" w:type="dxa"/>
            </w:tcMar>
            <w:vAlign w:val="bottom"/>
          </w:tcPr>
          <w:p w14:paraId="0C605B15" w14:textId="77777777" w:rsidR="001614AC" w:rsidRDefault="004468F9">
            <w:pPr>
              <w:keepNext/>
              <w:spacing w:before="75" w:line="288" w:lineRule="auto"/>
              <w:jc w:val="center"/>
            </w:pPr>
            <w:r>
              <w:rPr>
                <w:rFonts w:ascii="Arial" w:eastAsia="Arial" w:hAnsi="Arial" w:cs="Arial"/>
                <w:b/>
                <w:color w:val="00BAB3"/>
                <w:sz w:val="18"/>
              </w:rPr>
              <w:t>Six Months Ended</w:t>
            </w:r>
          </w:p>
          <w:p w14:paraId="6792FA9C" w14:textId="77777777" w:rsidR="001614AC" w:rsidRDefault="004468F9">
            <w:pPr>
              <w:spacing w:after="30" w:line="288" w:lineRule="auto"/>
              <w:jc w:val="center"/>
            </w:pPr>
            <w:r>
              <w:rPr>
                <w:rFonts w:ascii="Arial" w:eastAsia="Arial" w:hAnsi="Arial" w:cs="Arial"/>
                <w:b/>
                <w:color w:val="00BAB3"/>
                <w:sz w:val="18"/>
              </w:rPr>
              <w:t>June 30,</w:t>
            </w:r>
          </w:p>
        </w:tc>
      </w:tr>
      <w:tr w:rsidR="001614AC" w14:paraId="455A78A7" w14:textId="77777777">
        <w:trPr>
          <w:cantSplit/>
        </w:trPr>
        <w:tc>
          <w:tcPr>
            <w:tcW w:w="5640" w:type="dxa"/>
            <w:tcBorders>
              <w:top w:val="nil"/>
              <w:left w:val="nil"/>
              <w:bottom w:val="single" w:sz="8" w:space="0" w:color="C7C9C7"/>
              <w:right w:val="nil"/>
            </w:tcBorders>
            <w:tcMar>
              <w:top w:w="0" w:type="dxa"/>
              <w:left w:w="53" w:type="dxa"/>
              <w:bottom w:w="0" w:type="dxa"/>
              <w:right w:w="53" w:type="dxa"/>
            </w:tcMar>
            <w:vAlign w:val="bottom"/>
          </w:tcPr>
          <w:p w14:paraId="369DE411" w14:textId="77777777" w:rsidR="001614AC" w:rsidRDefault="004468F9">
            <w:pPr>
              <w:keepNext/>
              <w:spacing w:before="75" w:after="30" w:line="288" w:lineRule="auto"/>
            </w:pPr>
            <w:r>
              <w:rPr>
                <w:rFonts w:ascii="Arial" w:eastAsia="Arial" w:hAnsi="Arial" w:cs="Arial"/>
                <w:color w:val="8B8886"/>
                <w:sz w:val="16"/>
              </w:rPr>
              <w:t>(In thousands)</w:t>
            </w:r>
          </w:p>
        </w:tc>
        <w:tc>
          <w:tcPr>
            <w:tcW w:w="105" w:type="dxa"/>
            <w:tcBorders>
              <w:top w:val="nil"/>
              <w:left w:val="nil"/>
              <w:bottom w:val="single" w:sz="8" w:space="0" w:color="C7C9C7"/>
              <w:right w:val="nil"/>
            </w:tcBorders>
            <w:tcMar>
              <w:top w:w="0" w:type="dxa"/>
              <w:left w:w="53" w:type="dxa"/>
              <w:bottom w:w="0" w:type="dxa"/>
              <w:right w:w="53" w:type="dxa"/>
            </w:tcMar>
            <w:vAlign w:val="bottom"/>
          </w:tcPr>
          <w:p w14:paraId="62433E36" w14:textId="77777777" w:rsidR="001614AC" w:rsidRDefault="001614AC">
            <w:pPr>
              <w:keepNext/>
              <w:spacing w:before="75" w:after="30" w:line="288" w:lineRule="auto"/>
            </w:pPr>
          </w:p>
        </w:tc>
        <w:tc>
          <w:tcPr>
            <w:tcW w:w="1005" w:type="dxa"/>
            <w:gridSpan w:val="3"/>
            <w:tcBorders>
              <w:top w:val="nil"/>
              <w:left w:val="nil"/>
              <w:bottom w:val="single" w:sz="8" w:space="0" w:color="C7C9C7"/>
              <w:right w:val="nil"/>
            </w:tcBorders>
            <w:shd w:val="clear" w:color="auto" w:fill="E6F8F8"/>
            <w:tcMar>
              <w:top w:w="0" w:type="dxa"/>
              <w:left w:w="53" w:type="dxa"/>
              <w:bottom w:w="0" w:type="dxa"/>
              <w:right w:w="53" w:type="dxa"/>
            </w:tcMar>
            <w:vAlign w:val="bottom"/>
          </w:tcPr>
          <w:p w14:paraId="48B675E2" w14:textId="77777777" w:rsidR="001614AC" w:rsidRDefault="004468F9">
            <w:pPr>
              <w:keepNext/>
              <w:spacing w:before="55" w:after="30" w:line="288" w:lineRule="auto"/>
              <w:jc w:val="center"/>
            </w:pPr>
            <w:r>
              <w:rPr>
                <w:rFonts w:ascii="Arial" w:eastAsia="Arial" w:hAnsi="Arial" w:cs="Arial"/>
                <w:b/>
                <w:color w:val="00BAB3"/>
                <w:sz w:val="18"/>
              </w:rPr>
              <w:t>2021</w:t>
            </w:r>
          </w:p>
        </w:tc>
        <w:tc>
          <w:tcPr>
            <w:tcW w:w="105" w:type="dxa"/>
            <w:tcBorders>
              <w:top w:val="single" w:sz="8" w:space="0" w:color="FFFFFF"/>
              <w:left w:val="nil"/>
              <w:bottom w:val="single" w:sz="8" w:space="0" w:color="C7C9C7"/>
              <w:right w:val="nil"/>
            </w:tcBorders>
            <w:tcMar>
              <w:top w:w="0" w:type="dxa"/>
              <w:left w:w="53" w:type="dxa"/>
              <w:bottom w:w="0" w:type="dxa"/>
              <w:right w:w="53" w:type="dxa"/>
            </w:tcMar>
            <w:vAlign w:val="bottom"/>
          </w:tcPr>
          <w:p w14:paraId="1AD537E5" w14:textId="77777777" w:rsidR="001614AC" w:rsidRDefault="001614AC">
            <w:pPr>
              <w:keepNext/>
              <w:spacing w:before="55" w:after="30" w:line="288" w:lineRule="auto"/>
              <w:jc w:val="center"/>
            </w:pPr>
          </w:p>
        </w:tc>
        <w:tc>
          <w:tcPr>
            <w:tcW w:w="1005" w:type="dxa"/>
            <w:gridSpan w:val="3"/>
            <w:tcBorders>
              <w:top w:val="single" w:sz="8" w:space="0" w:color="FFFFFF"/>
              <w:left w:val="nil"/>
              <w:bottom w:val="single" w:sz="8" w:space="0" w:color="C7C9C7"/>
              <w:right w:val="nil"/>
            </w:tcBorders>
            <w:shd w:val="clear" w:color="auto" w:fill="F4F4F4"/>
            <w:tcMar>
              <w:top w:w="0" w:type="dxa"/>
              <w:left w:w="53" w:type="dxa"/>
              <w:bottom w:w="0" w:type="dxa"/>
              <w:right w:w="53" w:type="dxa"/>
            </w:tcMar>
            <w:vAlign w:val="bottom"/>
          </w:tcPr>
          <w:p w14:paraId="00CE090A" w14:textId="77777777" w:rsidR="001614AC" w:rsidRDefault="004468F9">
            <w:pPr>
              <w:keepNext/>
              <w:spacing w:before="55" w:after="30" w:line="288" w:lineRule="auto"/>
              <w:jc w:val="center"/>
            </w:pPr>
            <w:r>
              <w:rPr>
                <w:rFonts w:ascii="Arial" w:eastAsia="Arial" w:hAnsi="Arial" w:cs="Arial"/>
                <w:b/>
                <w:color w:val="00BAB3"/>
                <w:sz w:val="18"/>
              </w:rPr>
              <w:t>2020</w:t>
            </w:r>
          </w:p>
        </w:tc>
        <w:tc>
          <w:tcPr>
            <w:tcW w:w="105" w:type="dxa"/>
            <w:tcBorders>
              <w:top w:val="nil"/>
              <w:left w:val="nil"/>
              <w:bottom w:val="single" w:sz="8" w:space="0" w:color="C7C9C7"/>
              <w:right w:val="nil"/>
            </w:tcBorders>
            <w:tcMar>
              <w:top w:w="0" w:type="dxa"/>
              <w:left w:w="53" w:type="dxa"/>
              <w:bottom w:w="0" w:type="dxa"/>
              <w:right w:w="53" w:type="dxa"/>
            </w:tcMar>
            <w:vAlign w:val="bottom"/>
          </w:tcPr>
          <w:p w14:paraId="7B3D64A0" w14:textId="77777777" w:rsidR="001614AC" w:rsidRDefault="001614AC">
            <w:pPr>
              <w:keepNext/>
              <w:spacing w:before="75" w:after="30" w:line="288" w:lineRule="auto"/>
            </w:pPr>
          </w:p>
        </w:tc>
        <w:tc>
          <w:tcPr>
            <w:tcW w:w="1005" w:type="dxa"/>
            <w:gridSpan w:val="3"/>
            <w:tcBorders>
              <w:top w:val="nil"/>
              <w:left w:val="nil"/>
              <w:bottom w:val="single" w:sz="8" w:space="0" w:color="C7C9C7"/>
              <w:right w:val="nil"/>
            </w:tcBorders>
            <w:shd w:val="clear" w:color="auto" w:fill="E6F8F8"/>
            <w:tcMar>
              <w:top w:w="0" w:type="dxa"/>
              <w:left w:w="53" w:type="dxa"/>
              <w:bottom w:w="0" w:type="dxa"/>
              <w:right w:w="53" w:type="dxa"/>
            </w:tcMar>
            <w:vAlign w:val="bottom"/>
          </w:tcPr>
          <w:p w14:paraId="7D4A3D77" w14:textId="77777777" w:rsidR="001614AC" w:rsidRDefault="004468F9">
            <w:pPr>
              <w:keepNext/>
              <w:spacing w:before="55" w:after="30" w:line="288" w:lineRule="auto"/>
              <w:jc w:val="center"/>
            </w:pPr>
            <w:r>
              <w:rPr>
                <w:rFonts w:ascii="Arial" w:eastAsia="Arial" w:hAnsi="Arial" w:cs="Arial"/>
                <w:b/>
                <w:color w:val="00BAB3"/>
                <w:sz w:val="18"/>
              </w:rPr>
              <w:t>2021</w:t>
            </w:r>
          </w:p>
        </w:tc>
        <w:tc>
          <w:tcPr>
            <w:tcW w:w="105" w:type="dxa"/>
            <w:tcBorders>
              <w:top w:val="single" w:sz="8" w:space="0" w:color="FFFFFF"/>
              <w:left w:val="nil"/>
              <w:bottom w:val="single" w:sz="8" w:space="0" w:color="C7C9C7"/>
              <w:right w:val="nil"/>
            </w:tcBorders>
            <w:tcMar>
              <w:top w:w="0" w:type="dxa"/>
              <w:left w:w="53" w:type="dxa"/>
              <w:bottom w:w="0" w:type="dxa"/>
              <w:right w:w="53" w:type="dxa"/>
            </w:tcMar>
            <w:vAlign w:val="bottom"/>
          </w:tcPr>
          <w:p w14:paraId="242506D4" w14:textId="77777777" w:rsidR="001614AC" w:rsidRDefault="001614AC">
            <w:pPr>
              <w:keepNext/>
              <w:spacing w:before="55" w:after="30" w:line="288" w:lineRule="auto"/>
              <w:jc w:val="center"/>
            </w:pPr>
          </w:p>
        </w:tc>
        <w:tc>
          <w:tcPr>
            <w:tcW w:w="1005" w:type="dxa"/>
            <w:gridSpan w:val="3"/>
            <w:tcBorders>
              <w:top w:val="single" w:sz="8" w:space="0" w:color="FFFFFF"/>
              <w:left w:val="nil"/>
              <w:bottom w:val="single" w:sz="8" w:space="0" w:color="C7C9C7"/>
              <w:right w:val="nil"/>
            </w:tcBorders>
            <w:shd w:val="clear" w:color="auto" w:fill="F4F4F4"/>
            <w:tcMar>
              <w:top w:w="0" w:type="dxa"/>
              <w:left w:w="53" w:type="dxa"/>
              <w:bottom w:w="0" w:type="dxa"/>
              <w:right w:w="53" w:type="dxa"/>
            </w:tcMar>
            <w:vAlign w:val="bottom"/>
          </w:tcPr>
          <w:p w14:paraId="3B83AB96" w14:textId="77777777" w:rsidR="001614AC" w:rsidRDefault="004468F9">
            <w:pPr>
              <w:keepNext/>
              <w:spacing w:before="55" w:after="30" w:line="288" w:lineRule="auto"/>
              <w:jc w:val="center"/>
            </w:pPr>
            <w:r>
              <w:rPr>
                <w:rFonts w:ascii="Arial" w:eastAsia="Arial" w:hAnsi="Arial" w:cs="Arial"/>
                <w:b/>
                <w:color w:val="00BAB3"/>
                <w:sz w:val="18"/>
              </w:rPr>
              <w:t>2020</w:t>
            </w:r>
          </w:p>
        </w:tc>
      </w:tr>
      <w:tr w:rsidR="001614AC" w14:paraId="6BBF120F" w14:textId="77777777">
        <w:trPr>
          <w:cantSplit/>
        </w:trPr>
        <w:tc>
          <w:tcPr>
            <w:tcW w:w="5640" w:type="dxa"/>
            <w:tcBorders>
              <w:top w:val="single" w:sz="8" w:space="0" w:color="C7C9C7"/>
              <w:left w:val="nil"/>
              <w:bottom w:val="single" w:sz="8" w:space="0" w:color="E9E9E9"/>
              <w:right w:val="nil"/>
            </w:tcBorders>
            <w:tcMar>
              <w:top w:w="0" w:type="dxa"/>
              <w:left w:w="53" w:type="dxa"/>
              <w:bottom w:w="0" w:type="dxa"/>
              <w:right w:w="53" w:type="dxa"/>
            </w:tcMar>
            <w:vAlign w:val="bottom"/>
          </w:tcPr>
          <w:p w14:paraId="3AD36C5F" w14:textId="77777777" w:rsidR="001614AC" w:rsidRDefault="004468F9">
            <w:pPr>
              <w:keepNext/>
              <w:spacing w:before="55" w:after="30" w:line="288" w:lineRule="auto"/>
            </w:pPr>
            <w:r>
              <w:rPr>
                <w:rFonts w:ascii="Arial" w:eastAsia="Arial" w:hAnsi="Arial" w:cs="Arial"/>
                <w:color w:val="000000"/>
                <w:sz w:val="18"/>
              </w:rPr>
              <w:t>Beginning balance</w:t>
            </w:r>
          </w:p>
        </w:tc>
        <w:tc>
          <w:tcPr>
            <w:tcW w:w="105" w:type="dxa"/>
            <w:tcBorders>
              <w:top w:val="single" w:sz="8" w:space="0" w:color="C7C9C7"/>
              <w:left w:val="nil"/>
              <w:bottom w:val="nil"/>
              <w:right w:val="nil"/>
            </w:tcBorders>
            <w:tcMar>
              <w:top w:w="0" w:type="dxa"/>
              <w:left w:w="0" w:type="dxa"/>
              <w:bottom w:w="0" w:type="dxa"/>
              <w:right w:w="0" w:type="dxa"/>
            </w:tcMar>
            <w:vAlign w:val="bottom"/>
          </w:tcPr>
          <w:p w14:paraId="5BF139D9" w14:textId="77777777" w:rsidR="001614AC" w:rsidRDefault="001614AC">
            <w:pPr>
              <w:keepNext/>
            </w:pPr>
          </w:p>
        </w:tc>
        <w:tc>
          <w:tcPr>
            <w:tcW w:w="160" w:type="dxa"/>
            <w:tcBorders>
              <w:top w:val="single" w:sz="8" w:space="0" w:color="C7C9C7"/>
              <w:left w:val="nil"/>
              <w:bottom w:val="single" w:sz="8" w:space="0" w:color="E9E9E9"/>
              <w:right w:val="nil"/>
            </w:tcBorders>
            <w:tcMar>
              <w:top w:w="0" w:type="dxa"/>
              <w:left w:w="53" w:type="dxa"/>
              <w:bottom w:w="0" w:type="dxa"/>
              <w:right w:w="0" w:type="dxa"/>
            </w:tcMar>
            <w:vAlign w:val="bottom"/>
          </w:tcPr>
          <w:p w14:paraId="504522A8" w14:textId="77777777" w:rsidR="001614AC" w:rsidRDefault="004468F9">
            <w:pPr>
              <w:keepNext/>
              <w:spacing w:before="55" w:after="30" w:line="288" w:lineRule="auto"/>
            </w:pPr>
            <w:r>
              <w:rPr>
                <w:rFonts w:ascii="Arial" w:eastAsia="Arial" w:hAnsi="Arial" w:cs="Arial"/>
                <w:color w:val="000000"/>
                <w:sz w:val="18"/>
              </w:rPr>
              <w:t>$</w:t>
            </w:r>
          </w:p>
        </w:tc>
        <w:tc>
          <w:tcPr>
            <w:tcW w:w="745" w:type="dxa"/>
            <w:tcBorders>
              <w:top w:val="single" w:sz="8" w:space="0" w:color="C7C9C7"/>
              <w:left w:val="nil"/>
              <w:bottom w:val="single" w:sz="8" w:space="0" w:color="E9E9E9"/>
              <w:right w:val="nil"/>
            </w:tcBorders>
            <w:tcMar>
              <w:top w:w="0" w:type="dxa"/>
              <w:left w:w="0" w:type="dxa"/>
              <w:bottom w:w="0" w:type="dxa"/>
              <w:right w:w="0" w:type="dxa"/>
            </w:tcMar>
            <w:vAlign w:val="bottom"/>
          </w:tcPr>
          <w:p w14:paraId="074F654B" w14:textId="77777777" w:rsidR="001614AC" w:rsidRDefault="004468F9">
            <w:pPr>
              <w:keepNext/>
              <w:spacing w:before="55" w:after="30" w:line="288" w:lineRule="auto"/>
              <w:jc w:val="right"/>
            </w:pPr>
            <w:r>
              <w:rPr>
                <w:rFonts w:ascii="Arial" w:eastAsia="Arial" w:hAnsi="Arial" w:cs="Arial"/>
                <w:color w:val="000000"/>
                <w:sz w:val="18"/>
              </w:rPr>
              <w:t>638 </w:t>
            </w:r>
          </w:p>
        </w:tc>
        <w:tc>
          <w:tcPr>
            <w:tcW w:w="100" w:type="dxa"/>
            <w:tcBorders>
              <w:top w:val="single" w:sz="8" w:space="0" w:color="C7C9C7"/>
              <w:left w:val="nil"/>
              <w:bottom w:val="single" w:sz="8" w:space="0" w:color="E9E9E9"/>
              <w:right w:val="nil"/>
            </w:tcBorders>
            <w:tcMar>
              <w:top w:w="0" w:type="dxa"/>
              <w:left w:w="0" w:type="dxa"/>
              <w:bottom w:w="0" w:type="dxa"/>
              <w:right w:w="15" w:type="dxa"/>
            </w:tcMar>
            <w:vAlign w:val="bottom"/>
          </w:tcPr>
          <w:p w14:paraId="0BEDB50F" w14:textId="77777777" w:rsidR="001614AC" w:rsidRDefault="001614AC">
            <w:pPr>
              <w:keepNext/>
              <w:spacing w:before="55" w:after="30" w:line="288" w:lineRule="auto"/>
              <w:jc w:val="right"/>
            </w:pPr>
          </w:p>
        </w:tc>
        <w:tc>
          <w:tcPr>
            <w:tcW w:w="105" w:type="dxa"/>
            <w:tcBorders>
              <w:top w:val="single" w:sz="8" w:space="0" w:color="C7C9C7"/>
              <w:left w:val="nil"/>
              <w:bottom w:val="nil"/>
              <w:right w:val="nil"/>
            </w:tcBorders>
            <w:tcMar>
              <w:top w:w="0" w:type="dxa"/>
              <w:left w:w="0" w:type="dxa"/>
              <w:bottom w:w="0" w:type="dxa"/>
              <w:right w:w="0" w:type="dxa"/>
            </w:tcMar>
            <w:vAlign w:val="bottom"/>
          </w:tcPr>
          <w:p w14:paraId="3947A683" w14:textId="77777777" w:rsidR="001614AC" w:rsidRDefault="001614AC">
            <w:pPr>
              <w:keepNext/>
            </w:pPr>
          </w:p>
        </w:tc>
        <w:tc>
          <w:tcPr>
            <w:tcW w:w="160" w:type="dxa"/>
            <w:tcBorders>
              <w:top w:val="single" w:sz="8" w:space="0" w:color="C7C9C7"/>
              <w:left w:val="nil"/>
              <w:bottom w:val="single" w:sz="8" w:space="0" w:color="E9E9E9"/>
              <w:right w:val="nil"/>
            </w:tcBorders>
            <w:tcMar>
              <w:top w:w="0" w:type="dxa"/>
              <w:left w:w="53" w:type="dxa"/>
              <w:bottom w:w="0" w:type="dxa"/>
              <w:right w:w="0" w:type="dxa"/>
            </w:tcMar>
            <w:vAlign w:val="bottom"/>
          </w:tcPr>
          <w:p w14:paraId="0CCBD3EC" w14:textId="77777777" w:rsidR="001614AC" w:rsidRDefault="004468F9">
            <w:pPr>
              <w:keepNext/>
              <w:spacing w:before="55" w:after="30" w:line="288" w:lineRule="auto"/>
            </w:pPr>
            <w:r>
              <w:rPr>
                <w:rFonts w:ascii="Arial" w:eastAsia="Arial" w:hAnsi="Arial" w:cs="Arial"/>
                <w:color w:val="000000"/>
                <w:sz w:val="18"/>
              </w:rPr>
              <w:t>$</w:t>
            </w:r>
          </w:p>
        </w:tc>
        <w:tc>
          <w:tcPr>
            <w:tcW w:w="745" w:type="dxa"/>
            <w:tcBorders>
              <w:top w:val="single" w:sz="8" w:space="0" w:color="C7C9C7"/>
              <w:left w:val="nil"/>
              <w:bottom w:val="single" w:sz="8" w:space="0" w:color="E9E9E9"/>
              <w:right w:val="nil"/>
            </w:tcBorders>
            <w:tcMar>
              <w:top w:w="0" w:type="dxa"/>
              <w:left w:w="0" w:type="dxa"/>
              <w:bottom w:w="0" w:type="dxa"/>
              <w:right w:w="0" w:type="dxa"/>
            </w:tcMar>
            <w:vAlign w:val="bottom"/>
          </w:tcPr>
          <w:p w14:paraId="028DC088" w14:textId="77777777" w:rsidR="001614AC" w:rsidRDefault="004468F9">
            <w:pPr>
              <w:keepNext/>
              <w:spacing w:before="55" w:after="30" w:line="288" w:lineRule="auto"/>
              <w:jc w:val="right"/>
            </w:pPr>
            <w:r>
              <w:rPr>
                <w:rFonts w:ascii="Arial" w:eastAsia="Arial" w:hAnsi="Arial" w:cs="Arial"/>
                <w:color w:val="000000"/>
                <w:sz w:val="18"/>
              </w:rPr>
              <w:t>— </w:t>
            </w:r>
          </w:p>
        </w:tc>
        <w:tc>
          <w:tcPr>
            <w:tcW w:w="100" w:type="dxa"/>
            <w:tcBorders>
              <w:top w:val="single" w:sz="8" w:space="0" w:color="C7C9C7"/>
              <w:left w:val="nil"/>
              <w:bottom w:val="single" w:sz="8" w:space="0" w:color="E9E9E9"/>
              <w:right w:val="nil"/>
            </w:tcBorders>
            <w:tcMar>
              <w:top w:w="0" w:type="dxa"/>
              <w:left w:w="0" w:type="dxa"/>
              <w:bottom w:w="0" w:type="dxa"/>
              <w:right w:w="15" w:type="dxa"/>
            </w:tcMar>
            <w:vAlign w:val="bottom"/>
          </w:tcPr>
          <w:p w14:paraId="131FD2F0" w14:textId="77777777" w:rsidR="001614AC" w:rsidRDefault="001614AC">
            <w:pPr>
              <w:keepNext/>
              <w:spacing w:before="55" w:after="30" w:line="288" w:lineRule="auto"/>
              <w:jc w:val="right"/>
            </w:pPr>
          </w:p>
        </w:tc>
        <w:tc>
          <w:tcPr>
            <w:tcW w:w="105" w:type="dxa"/>
            <w:tcBorders>
              <w:top w:val="single" w:sz="8" w:space="0" w:color="C7C9C7"/>
              <w:left w:val="nil"/>
              <w:bottom w:val="nil"/>
              <w:right w:val="nil"/>
            </w:tcBorders>
            <w:tcMar>
              <w:top w:w="0" w:type="dxa"/>
              <w:left w:w="0" w:type="dxa"/>
              <w:bottom w:w="0" w:type="dxa"/>
              <w:right w:w="0" w:type="dxa"/>
            </w:tcMar>
            <w:vAlign w:val="bottom"/>
          </w:tcPr>
          <w:p w14:paraId="46EBF723" w14:textId="77777777" w:rsidR="001614AC" w:rsidRDefault="001614AC">
            <w:pPr>
              <w:keepNext/>
            </w:pPr>
          </w:p>
        </w:tc>
        <w:tc>
          <w:tcPr>
            <w:tcW w:w="160" w:type="dxa"/>
            <w:tcBorders>
              <w:top w:val="single" w:sz="8" w:space="0" w:color="C7C9C7"/>
              <w:left w:val="nil"/>
              <w:bottom w:val="single" w:sz="8" w:space="0" w:color="E9E9E9"/>
              <w:right w:val="nil"/>
            </w:tcBorders>
            <w:tcMar>
              <w:top w:w="0" w:type="dxa"/>
              <w:left w:w="53" w:type="dxa"/>
              <w:bottom w:w="0" w:type="dxa"/>
              <w:right w:w="0" w:type="dxa"/>
            </w:tcMar>
            <w:vAlign w:val="bottom"/>
          </w:tcPr>
          <w:p w14:paraId="6574E22A" w14:textId="77777777" w:rsidR="001614AC" w:rsidRDefault="004468F9">
            <w:pPr>
              <w:keepNext/>
              <w:spacing w:before="55" w:after="30" w:line="288" w:lineRule="auto"/>
            </w:pPr>
            <w:r>
              <w:rPr>
                <w:rFonts w:ascii="Arial" w:eastAsia="Arial" w:hAnsi="Arial" w:cs="Arial"/>
                <w:color w:val="000000"/>
                <w:sz w:val="18"/>
              </w:rPr>
              <w:t>$</w:t>
            </w:r>
          </w:p>
        </w:tc>
        <w:tc>
          <w:tcPr>
            <w:tcW w:w="745" w:type="dxa"/>
            <w:tcBorders>
              <w:top w:val="single" w:sz="8" w:space="0" w:color="C7C9C7"/>
              <w:left w:val="nil"/>
              <w:bottom w:val="single" w:sz="8" w:space="0" w:color="E9E9E9"/>
              <w:right w:val="nil"/>
            </w:tcBorders>
            <w:tcMar>
              <w:top w:w="0" w:type="dxa"/>
              <w:left w:w="0" w:type="dxa"/>
              <w:bottom w:w="0" w:type="dxa"/>
              <w:right w:w="0" w:type="dxa"/>
            </w:tcMar>
            <w:vAlign w:val="bottom"/>
          </w:tcPr>
          <w:p w14:paraId="5015470A" w14:textId="77777777" w:rsidR="001614AC" w:rsidRDefault="004468F9">
            <w:pPr>
              <w:keepNext/>
              <w:spacing w:before="55" w:after="30" w:line="288" w:lineRule="auto"/>
              <w:jc w:val="right"/>
            </w:pPr>
            <w:r>
              <w:rPr>
                <w:rFonts w:ascii="Arial" w:eastAsia="Arial" w:hAnsi="Arial" w:cs="Arial"/>
                <w:color w:val="000000"/>
                <w:sz w:val="18"/>
              </w:rPr>
              <w:t>948 </w:t>
            </w:r>
          </w:p>
        </w:tc>
        <w:tc>
          <w:tcPr>
            <w:tcW w:w="100" w:type="dxa"/>
            <w:tcBorders>
              <w:top w:val="single" w:sz="8" w:space="0" w:color="C7C9C7"/>
              <w:left w:val="nil"/>
              <w:bottom w:val="single" w:sz="8" w:space="0" w:color="E9E9E9"/>
              <w:right w:val="nil"/>
            </w:tcBorders>
            <w:tcMar>
              <w:top w:w="0" w:type="dxa"/>
              <w:left w:w="0" w:type="dxa"/>
              <w:bottom w:w="0" w:type="dxa"/>
              <w:right w:w="15" w:type="dxa"/>
            </w:tcMar>
            <w:vAlign w:val="bottom"/>
          </w:tcPr>
          <w:p w14:paraId="5B53260B" w14:textId="77777777" w:rsidR="001614AC" w:rsidRDefault="001614AC">
            <w:pPr>
              <w:keepNext/>
              <w:spacing w:before="55" w:after="30" w:line="288" w:lineRule="auto"/>
              <w:jc w:val="right"/>
            </w:pPr>
          </w:p>
        </w:tc>
        <w:tc>
          <w:tcPr>
            <w:tcW w:w="105" w:type="dxa"/>
            <w:tcBorders>
              <w:top w:val="single" w:sz="8" w:space="0" w:color="C7C9C7"/>
              <w:left w:val="nil"/>
              <w:bottom w:val="nil"/>
              <w:right w:val="nil"/>
            </w:tcBorders>
            <w:tcMar>
              <w:top w:w="0" w:type="dxa"/>
              <w:left w:w="0" w:type="dxa"/>
              <w:bottom w:w="0" w:type="dxa"/>
              <w:right w:w="0" w:type="dxa"/>
            </w:tcMar>
            <w:vAlign w:val="bottom"/>
          </w:tcPr>
          <w:p w14:paraId="1FE764EA" w14:textId="77777777" w:rsidR="001614AC" w:rsidRDefault="001614AC">
            <w:pPr>
              <w:keepNext/>
            </w:pPr>
          </w:p>
        </w:tc>
        <w:tc>
          <w:tcPr>
            <w:tcW w:w="160" w:type="dxa"/>
            <w:tcBorders>
              <w:top w:val="single" w:sz="8" w:space="0" w:color="C7C9C7"/>
              <w:left w:val="nil"/>
              <w:bottom w:val="single" w:sz="8" w:space="0" w:color="E9E9E9"/>
              <w:right w:val="nil"/>
            </w:tcBorders>
            <w:tcMar>
              <w:top w:w="0" w:type="dxa"/>
              <w:left w:w="53" w:type="dxa"/>
              <w:bottom w:w="0" w:type="dxa"/>
              <w:right w:w="0" w:type="dxa"/>
            </w:tcMar>
            <w:vAlign w:val="bottom"/>
          </w:tcPr>
          <w:p w14:paraId="0B173496" w14:textId="77777777" w:rsidR="001614AC" w:rsidRDefault="004468F9">
            <w:pPr>
              <w:keepNext/>
              <w:spacing w:before="55" w:after="30" w:line="288" w:lineRule="auto"/>
            </w:pPr>
            <w:r>
              <w:rPr>
                <w:rFonts w:ascii="Arial" w:eastAsia="Arial" w:hAnsi="Arial" w:cs="Arial"/>
                <w:color w:val="000000"/>
                <w:sz w:val="18"/>
              </w:rPr>
              <w:t>$</w:t>
            </w:r>
          </w:p>
        </w:tc>
        <w:tc>
          <w:tcPr>
            <w:tcW w:w="745" w:type="dxa"/>
            <w:tcBorders>
              <w:top w:val="single" w:sz="8" w:space="0" w:color="C7C9C7"/>
              <w:left w:val="nil"/>
              <w:bottom w:val="single" w:sz="8" w:space="0" w:color="E9E9E9"/>
              <w:right w:val="nil"/>
            </w:tcBorders>
            <w:tcMar>
              <w:top w:w="0" w:type="dxa"/>
              <w:left w:w="0" w:type="dxa"/>
              <w:bottom w:w="0" w:type="dxa"/>
              <w:right w:w="0" w:type="dxa"/>
            </w:tcMar>
            <w:vAlign w:val="bottom"/>
          </w:tcPr>
          <w:p w14:paraId="14490E39" w14:textId="77777777" w:rsidR="001614AC" w:rsidRDefault="004468F9">
            <w:pPr>
              <w:keepNext/>
              <w:spacing w:before="55" w:after="30" w:line="288" w:lineRule="auto"/>
              <w:jc w:val="right"/>
            </w:pPr>
            <w:r>
              <w:rPr>
                <w:rFonts w:ascii="Arial" w:eastAsia="Arial" w:hAnsi="Arial" w:cs="Arial"/>
                <w:color w:val="000000"/>
                <w:sz w:val="18"/>
              </w:rPr>
              <w:t>— </w:t>
            </w:r>
          </w:p>
        </w:tc>
        <w:tc>
          <w:tcPr>
            <w:tcW w:w="100" w:type="dxa"/>
            <w:tcBorders>
              <w:top w:val="single" w:sz="8" w:space="0" w:color="C7C9C7"/>
              <w:left w:val="nil"/>
              <w:bottom w:val="single" w:sz="8" w:space="0" w:color="E9E9E9"/>
              <w:right w:val="nil"/>
            </w:tcBorders>
            <w:tcMar>
              <w:top w:w="0" w:type="dxa"/>
              <w:left w:w="0" w:type="dxa"/>
              <w:bottom w:w="0" w:type="dxa"/>
              <w:right w:w="15" w:type="dxa"/>
            </w:tcMar>
            <w:vAlign w:val="bottom"/>
          </w:tcPr>
          <w:p w14:paraId="51B36F3B" w14:textId="77777777" w:rsidR="001614AC" w:rsidRDefault="001614AC">
            <w:pPr>
              <w:keepNext/>
              <w:spacing w:before="55" w:after="30" w:line="288" w:lineRule="auto"/>
              <w:jc w:val="right"/>
            </w:pPr>
          </w:p>
        </w:tc>
      </w:tr>
      <w:tr w:rsidR="001614AC" w14:paraId="1EFEA62A" w14:textId="77777777">
        <w:trPr>
          <w:cantSplit/>
        </w:trPr>
        <w:tc>
          <w:tcPr>
            <w:tcW w:w="5640" w:type="dxa"/>
            <w:tcBorders>
              <w:top w:val="single" w:sz="8" w:space="0" w:color="E9E9E9"/>
              <w:left w:val="nil"/>
              <w:bottom w:val="single" w:sz="8" w:space="0" w:color="E9E9E9"/>
              <w:right w:val="nil"/>
            </w:tcBorders>
            <w:tcMar>
              <w:top w:w="0" w:type="dxa"/>
              <w:left w:w="53" w:type="dxa"/>
              <w:bottom w:w="0" w:type="dxa"/>
              <w:right w:w="53" w:type="dxa"/>
            </w:tcMar>
            <w:vAlign w:val="bottom"/>
          </w:tcPr>
          <w:p w14:paraId="1C24AB4F" w14:textId="77777777" w:rsidR="001614AC" w:rsidRDefault="004468F9">
            <w:pPr>
              <w:keepNext/>
              <w:spacing w:before="55" w:after="30" w:line="288" w:lineRule="auto"/>
              <w:ind w:left="240"/>
            </w:pPr>
            <w:r>
              <w:rPr>
                <w:rFonts w:ascii="Arial" w:eastAsia="Arial" w:hAnsi="Arial" w:cs="Arial"/>
                <w:color w:val="000000"/>
                <w:sz w:val="18"/>
              </w:rPr>
              <w:t>Current provision for securities without prior allowance</w:t>
            </w:r>
          </w:p>
        </w:tc>
        <w:tc>
          <w:tcPr>
            <w:tcW w:w="105" w:type="dxa"/>
            <w:tcBorders>
              <w:top w:val="nil"/>
              <w:left w:val="nil"/>
              <w:bottom w:val="nil"/>
              <w:right w:val="nil"/>
            </w:tcBorders>
            <w:tcMar>
              <w:top w:w="0" w:type="dxa"/>
              <w:left w:w="0" w:type="dxa"/>
              <w:bottom w:w="0" w:type="dxa"/>
              <w:right w:w="0" w:type="dxa"/>
            </w:tcMar>
            <w:vAlign w:val="bottom"/>
          </w:tcPr>
          <w:p w14:paraId="45CCB1DE" w14:textId="77777777" w:rsidR="001614AC" w:rsidRDefault="001614AC">
            <w:pPr>
              <w:keepNext/>
            </w:pPr>
          </w:p>
        </w:tc>
        <w:tc>
          <w:tcPr>
            <w:tcW w:w="90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58D06604" w14:textId="77777777" w:rsidR="001614AC" w:rsidRDefault="004468F9">
            <w:pPr>
              <w:keepNext/>
              <w:spacing w:before="55" w:after="30" w:line="288" w:lineRule="auto"/>
              <w:jc w:val="right"/>
            </w:pPr>
            <w:r>
              <w:rPr>
                <w:rFonts w:ascii="Arial" w:eastAsia="Arial" w:hAnsi="Arial" w:cs="Arial"/>
                <w:color w:val="000000"/>
                <w:sz w:val="18"/>
              </w:rPr>
              <w:t>—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4DE69586" w14:textId="77777777" w:rsidR="001614AC" w:rsidRDefault="001614AC">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22030901" w14:textId="77777777" w:rsidR="001614AC" w:rsidRDefault="001614AC">
            <w:pPr>
              <w:keepNext/>
            </w:pPr>
          </w:p>
        </w:tc>
        <w:tc>
          <w:tcPr>
            <w:tcW w:w="90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697D1E3D" w14:textId="77777777" w:rsidR="001614AC" w:rsidRDefault="004468F9">
            <w:pPr>
              <w:keepNext/>
              <w:spacing w:before="55" w:after="30" w:line="288" w:lineRule="auto"/>
              <w:jc w:val="right"/>
            </w:pPr>
            <w:r>
              <w:rPr>
                <w:rFonts w:ascii="Arial" w:eastAsia="Arial" w:hAnsi="Arial" w:cs="Arial"/>
                <w:color w:val="000000"/>
                <w:sz w:val="18"/>
              </w:rPr>
              <w:t>2,782 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7FFDF0CF" w14:textId="77777777" w:rsidR="001614AC" w:rsidRDefault="001614AC">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4C0C2F8F" w14:textId="77777777" w:rsidR="001614AC" w:rsidRDefault="001614AC">
            <w:pPr>
              <w:keepNext/>
            </w:pPr>
          </w:p>
        </w:tc>
        <w:tc>
          <w:tcPr>
            <w:tcW w:w="90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0A894C41" w14:textId="77777777" w:rsidR="001614AC" w:rsidRDefault="004468F9">
            <w:pPr>
              <w:keepNext/>
              <w:spacing w:before="55" w:after="30" w:line="288" w:lineRule="auto"/>
              <w:jc w:val="right"/>
            </w:pPr>
            <w:r>
              <w:rPr>
                <w:rFonts w:ascii="Arial" w:eastAsia="Arial" w:hAnsi="Arial" w:cs="Arial"/>
                <w:color w:val="000000"/>
                <w:sz w:val="18"/>
              </w:rPr>
              <w:t>—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503F2225" w14:textId="77777777" w:rsidR="001614AC" w:rsidRDefault="001614AC">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210DB8B0" w14:textId="77777777" w:rsidR="001614AC" w:rsidRDefault="001614AC">
            <w:pPr>
              <w:keepNext/>
            </w:pPr>
          </w:p>
        </w:tc>
        <w:tc>
          <w:tcPr>
            <w:tcW w:w="90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26730A36" w14:textId="77777777" w:rsidR="001614AC" w:rsidRDefault="004468F9">
            <w:pPr>
              <w:keepNext/>
              <w:spacing w:before="55" w:after="30" w:line="288" w:lineRule="auto"/>
              <w:jc w:val="right"/>
            </w:pPr>
            <w:r>
              <w:rPr>
                <w:rFonts w:ascii="Arial" w:eastAsia="Arial" w:hAnsi="Arial" w:cs="Arial"/>
                <w:color w:val="000000"/>
                <w:sz w:val="18"/>
              </w:rPr>
              <w:t>2,782 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265B7E07" w14:textId="77777777" w:rsidR="001614AC" w:rsidRDefault="001614AC">
            <w:pPr>
              <w:keepNext/>
              <w:spacing w:before="55" w:after="30" w:line="288" w:lineRule="auto"/>
              <w:jc w:val="right"/>
            </w:pPr>
          </w:p>
        </w:tc>
      </w:tr>
      <w:tr w:rsidR="001614AC" w14:paraId="31D51932" w14:textId="77777777">
        <w:trPr>
          <w:cantSplit/>
        </w:trPr>
        <w:tc>
          <w:tcPr>
            <w:tcW w:w="5640" w:type="dxa"/>
            <w:tcBorders>
              <w:top w:val="single" w:sz="8" w:space="0" w:color="E9E9E9"/>
              <w:left w:val="nil"/>
              <w:bottom w:val="single" w:sz="8" w:space="0" w:color="E9E9E9"/>
              <w:right w:val="nil"/>
            </w:tcBorders>
            <w:tcMar>
              <w:top w:w="0" w:type="dxa"/>
              <w:left w:w="53" w:type="dxa"/>
              <w:bottom w:w="0" w:type="dxa"/>
              <w:right w:w="53" w:type="dxa"/>
            </w:tcMar>
            <w:vAlign w:val="bottom"/>
          </w:tcPr>
          <w:p w14:paraId="2A396802" w14:textId="77777777" w:rsidR="001614AC" w:rsidRDefault="004468F9">
            <w:pPr>
              <w:keepNext/>
              <w:spacing w:before="55" w:after="30" w:line="288" w:lineRule="auto"/>
              <w:ind w:left="240"/>
            </w:pPr>
            <w:r>
              <w:rPr>
                <w:rFonts w:ascii="Arial" w:eastAsia="Arial" w:hAnsi="Arial" w:cs="Arial"/>
                <w:color w:val="000000"/>
                <w:sz w:val="18"/>
              </w:rPr>
              <w:t>Net increases (decreases) in allowance on previously impaired securities</w:t>
            </w:r>
          </w:p>
        </w:tc>
        <w:tc>
          <w:tcPr>
            <w:tcW w:w="105" w:type="dxa"/>
            <w:tcBorders>
              <w:top w:val="nil"/>
              <w:left w:val="nil"/>
              <w:bottom w:val="nil"/>
              <w:right w:val="nil"/>
            </w:tcBorders>
            <w:tcMar>
              <w:top w:w="0" w:type="dxa"/>
              <w:left w:w="0" w:type="dxa"/>
              <w:bottom w:w="0" w:type="dxa"/>
              <w:right w:w="0" w:type="dxa"/>
            </w:tcMar>
            <w:vAlign w:val="bottom"/>
          </w:tcPr>
          <w:p w14:paraId="7757EAE4" w14:textId="77777777" w:rsidR="001614AC" w:rsidRDefault="001614AC">
            <w:pPr>
              <w:keepNext/>
            </w:pPr>
          </w:p>
        </w:tc>
        <w:tc>
          <w:tcPr>
            <w:tcW w:w="90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02DB28B0" w14:textId="77777777" w:rsidR="001614AC" w:rsidRDefault="004468F9">
            <w:pPr>
              <w:keepNext/>
              <w:spacing w:before="55" w:after="30" w:line="288" w:lineRule="auto"/>
              <w:jc w:val="right"/>
            </w:pPr>
            <w:r>
              <w:rPr>
                <w:rFonts w:ascii="Arial" w:eastAsia="Arial" w:hAnsi="Arial" w:cs="Arial"/>
                <w:color w:val="000000"/>
                <w:sz w:val="18"/>
              </w:rPr>
              <w:t>(608)</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2CB4A528" w14:textId="77777777" w:rsidR="001614AC" w:rsidRDefault="001614AC">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2930B25F" w14:textId="77777777" w:rsidR="001614AC" w:rsidRDefault="001614AC">
            <w:pPr>
              <w:keepNext/>
            </w:pPr>
          </w:p>
        </w:tc>
        <w:tc>
          <w:tcPr>
            <w:tcW w:w="90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4C37B1E4" w14:textId="77777777" w:rsidR="001614AC" w:rsidRDefault="004468F9">
            <w:pPr>
              <w:keepNext/>
              <w:spacing w:before="55" w:after="30" w:line="288" w:lineRule="auto"/>
              <w:jc w:val="right"/>
            </w:pPr>
            <w:r>
              <w:rPr>
                <w:rFonts w:ascii="Arial" w:eastAsia="Arial" w:hAnsi="Arial" w:cs="Arial"/>
                <w:color w:val="000000"/>
                <w:sz w:val="18"/>
              </w:rPr>
              <w:t>—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0FB04755" w14:textId="77777777" w:rsidR="001614AC" w:rsidRDefault="001614AC">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78AD30A3" w14:textId="77777777" w:rsidR="001614AC" w:rsidRDefault="001614AC">
            <w:pPr>
              <w:keepNext/>
            </w:pPr>
          </w:p>
        </w:tc>
        <w:tc>
          <w:tcPr>
            <w:tcW w:w="90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272FD63A" w14:textId="77777777" w:rsidR="001614AC" w:rsidRDefault="004468F9">
            <w:pPr>
              <w:keepNext/>
              <w:spacing w:before="55" w:after="30" w:line="288" w:lineRule="auto"/>
              <w:jc w:val="right"/>
            </w:pPr>
            <w:r>
              <w:rPr>
                <w:rFonts w:ascii="Arial" w:eastAsia="Arial" w:hAnsi="Arial" w:cs="Arial"/>
                <w:color w:val="000000"/>
                <w:sz w:val="18"/>
              </w:rPr>
              <w:t>(918)</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713A3008" w14:textId="77777777" w:rsidR="001614AC" w:rsidRDefault="001614AC">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60518F40" w14:textId="77777777" w:rsidR="001614AC" w:rsidRDefault="001614AC">
            <w:pPr>
              <w:keepNext/>
            </w:pPr>
          </w:p>
        </w:tc>
        <w:tc>
          <w:tcPr>
            <w:tcW w:w="90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33F17D44" w14:textId="77777777" w:rsidR="001614AC" w:rsidRDefault="004468F9">
            <w:pPr>
              <w:keepNext/>
              <w:spacing w:before="55" w:after="30" w:line="288" w:lineRule="auto"/>
              <w:jc w:val="right"/>
            </w:pPr>
            <w:r>
              <w:rPr>
                <w:rFonts w:ascii="Arial" w:eastAsia="Arial" w:hAnsi="Arial" w:cs="Arial"/>
                <w:color w:val="000000"/>
                <w:sz w:val="18"/>
              </w:rPr>
              <w:t>—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525F6C93" w14:textId="77777777" w:rsidR="001614AC" w:rsidRDefault="001614AC">
            <w:pPr>
              <w:keepNext/>
              <w:spacing w:before="55" w:after="30" w:line="288" w:lineRule="auto"/>
              <w:jc w:val="right"/>
            </w:pPr>
          </w:p>
        </w:tc>
      </w:tr>
      <w:tr w:rsidR="001614AC" w14:paraId="6DB001DF" w14:textId="77777777">
        <w:trPr>
          <w:cantSplit/>
        </w:trPr>
        <w:tc>
          <w:tcPr>
            <w:tcW w:w="5640" w:type="dxa"/>
            <w:tcBorders>
              <w:top w:val="single" w:sz="8" w:space="0" w:color="E9E9E9"/>
              <w:left w:val="nil"/>
              <w:bottom w:val="nil"/>
              <w:right w:val="nil"/>
            </w:tcBorders>
            <w:tcMar>
              <w:top w:w="0" w:type="dxa"/>
              <w:left w:w="53" w:type="dxa"/>
              <w:bottom w:w="0" w:type="dxa"/>
              <w:right w:w="53" w:type="dxa"/>
            </w:tcMar>
            <w:vAlign w:val="bottom"/>
          </w:tcPr>
          <w:p w14:paraId="57346C2E" w14:textId="77777777" w:rsidR="001614AC" w:rsidRDefault="004468F9">
            <w:pPr>
              <w:keepNext/>
              <w:spacing w:before="55" w:after="30" w:line="288" w:lineRule="auto"/>
              <w:ind w:left="240"/>
            </w:pPr>
            <w:r>
              <w:rPr>
                <w:rFonts w:ascii="Arial" w:eastAsia="Arial" w:hAnsi="Arial" w:cs="Arial"/>
                <w:color w:val="000000"/>
                <w:sz w:val="18"/>
              </w:rPr>
              <w:t>Reduction for securities sold</w:t>
            </w:r>
          </w:p>
        </w:tc>
        <w:tc>
          <w:tcPr>
            <w:tcW w:w="105" w:type="dxa"/>
            <w:tcBorders>
              <w:top w:val="nil"/>
              <w:left w:val="nil"/>
              <w:bottom w:val="nil"/>
              <w:right w:val="nil"/>
            </w:tcBorders>
            <w:tcMar>
              <w:top w:w="0" w:type="dxa"/>
              <w:left w:w="0" w:type="dxa"/>
              <w:bottom w:w="0" w:type="dxa"/>
              <w:right w:w="0" w:type="dxa"/>
            </w:tcMar>
            <w:vAlign w:val="bottom"/>
          </w:tcPr>
          <w:p w14:paraId="1126F276" w14:textId="77777777" w:rsidR="001614AC" w:rsidRDefault="001614AC">
            <w:pPr>
              <w:keepNext/>
            </w:pPr>
          </w:p>
        </w:tc>
        <w:tc>
          <w:tcPr>
            <w:tcW w:w="905" w:type="dxa"/>
            <w:gridSpan w:val="2"/>
            <w:tcBorders>
              <w:top w:val="single" w:sz="8" w:space="0" w:color="E9E9E9"/>
              <w:left w:val="nil"/>
              <w:bottom w:val="single" w:sz="8" w:space="0" w:color="C7C9C7"/>
              <w:right w:val="nil"/>
            </w:tcBorders>
            <w:tcMar>
              <w:top w:w="0" w:type="dxa"/>
              <w:left w:w="53" w:type="dxa"/>
              <w:bottom w:w="0" w:type="dxa"/>
              <w:right w:w="0" w:type="dxa"/>
            </w:tcMar>
            <w:vAlign w:val="bottom"/>
          </w:tcPr>
          <w:p w14:paraId="1E3052DD" w14:textId="77777777" w:rsidR="001614AC" w:rsidRDefault="004468F9">
            <w:pPr>
              <w:keepNext/>
              <w:spacing w:before="55" w:after="30" w:line="288" w:lineRule="auto"/>
              <w:jc w:val="right"/>
            </w:pPr>
            <w:r>
              <w:rPr>
                <w:rFonts w:ascii="Arial" w:eastAsia="Arial" w:hAnsi="Arial" w:cs="Arial"/>
                <w:color w:val="000000"/>
                <w:sz w:val="18"/>
              </w:rPr>
              <w:t>(30)</w:t>
            </w:r>
          </w:p>
        </w:tc>
        <w:tc>
          <w:tcPr>
            <w:tcW w:w="100" w:type="dxa"/>
            <w:tcBorders>
              <w:top w:val="single" w:sz="8" w:space="0" w:color="E9E9E9"/>
              <w:left w:val="nil"/>
              <w:bottom w:val="single" w:sz="8" w:space="0" w:color="C7C9C7"/>
              <w:right w:val="nil"/>
            </w:tcBorders>
            <w:tcMar>
              <w:top w:w="0" w:type="dxa"/>
              <w:left w:w="0" w:type="dxa"/>
              <w:bottom w:w="0" w:type="dxa"/>
              <w:right w:w="15" w:type="dxa"/>
            </w:tcMar>
            <w:vAlign w:val="bottom"/>
          </w:tcPr>
          <w:p w14:paraId="3EE7B264" w14:textId="77777777" w:rsidR="001614AC" w:rsidRDefault="001614AC">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59B37274" w14:textId="77777777" w:rsidR="001614AC" w:rsidRDefault="001614AC">
            <w:pPr>
              <w:keepNext/>
            </w:pPr>
          </w:p>
        </w:tc>
        <w:tc>
          <w:tcPr>
            <w:tcW w:w="905" w:type="dxa"/>
            <w:gridSpan w:val="2"/>
            <w:tcBorders>
              <w:top w:val="single" w:sz="8" w:space="0" w:color="E9E9E9"/>
              <w:left w:val="nil"/>
              <w:bottom w:val="single" w:sz="8" w:space="0" w:color="C7C9C7"/>
              <w:right w:val="nil"/>
            </w:tcBorders>
            <w:tcMar>
              <w:top w:w="0" w:type="dxa"/>
              <w:left w:w="53" w:type="dxa"/>
              <w:bottom w:w="0" w:type="dxa"/>
              <w:right w:w="0" w:type="dxa"/>
            </w:tcMar>
            <w:vAlign w:val="bottom"/>
          </w:tcPr>
          <w:p w14:paraId="543ABAF5" w14:textId="77777777" w:rsidR="001614AC" w:rsidRDefault="004468F9">
            <w:pPr>
              <w:keepNext/>
              <w:spacing w:before="55" w:after="30" w:line="288" w:lineRule="auto"/>
              <w:jc w:val="right"/>
            </w:pPr>
            <w:r>
              <w:rPr>
                <w:rFonts w:ascii="Arial" w:eastAsia="Arial" w:hAnsi="Arial" w:cs="Arial"/>
                <w:color w:val="000000"/>
                <w:sz w:val="18"/>
              </w:rPr>
              <w:t>(306)</w:t>
            </w:r>
          </w:p>
        </w:tc>
        <w:tc>
          <w:tcPr>
            <w:tcW w:w="100" w:type="dxa"/>
            <w:tcBorders>
              <w:top w:val="single" w:sz="8" w:space="0" w:color="E9E9E9"/>
              <w:left w:val="nil"/>
              <w:bottom w:val="single" w:sz="8" w:space="0" w:color="C7C9C7"/>
              <w:right w:val="nil"/>
            </w:tcBorders>
            <w:tcMar>
              <w:top w:w="0" w:type="dxa"/>
              <w:left w:w="0" w:type="dxa"/>
              <w:bottom w:w="0" w:type="dxa"/>
              <w:right w:w="15" w:type="dxa"/>
            </w:tcMar>
            <w:vAlign w:val="bottom"/>
          </w:tcPr>
          <w:p w14:paraId="6C233BA4" w14:textId="77777777" w:rsidR="001614AC" w:rsidRDefault="001614AC">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1EB3FF56" w14:textId="77777777" w:rsidR="001614AC" w:rsidRDefault="001614AC">
            <w:pPr>
              <w:keepNext/>
            </w:pPr>
          </w:p>
        </w:tc>
        <w:tc>
          <w:tcPr>
            <w:tcW w:w="905" w:type="dxa"/>
            <w:gridSpan w:val="2"/>
            <w:tcBorders>
              <w:top w:val="single" w:sz="8" w:space="0" w:color="E9E9E9"/>
              <w:left w:val="nil"/>
              <w:bottom w:val="single" w:sz="8" w:space="0" w:color="C7C9C7"/>
              <w:right w:val="nil"/>
            </w:tcBorders>
            <w:tcMar>
              <w:top w:w="0" w:type="dxa"/>
              <w:left w:w="53" w:type="dxa"/>
              <w:bottom w:w="0" w:type="dxa"/>
              <w:right w:w="0" w:type="dxa"/>
            </w:tcMar>
            <w:vAlign w:val="bottom"/>
          </w:tcPr>
          <w:p w14:paraId="7A574A59" w14:textId="77777777" w:rsidR="001614AC" w:rsidRDefault="004468F9">
            <w:pPr>
              <w:keepNext/>
              <w:spacing w:before="55" w:after="30" w:line="288" w:lineRule="auto"/>
              <w:jc w:val="right"/>
            </w:pPr>
            <w:r>
              <w:rPr>
                <w:rFonts w:ascii="Arial" w:eastAsia="Arial" w:hAnsi="Arial" w:cs="Arial"/>
                <w:color w:val="000000"/>
                <w:sz w:val="18"/>
              </w:rPr>
              <w:t>(30)</w:t>
            </w:r>
          </w:p>
        </w:tc>
        <w:tc>
          <w:tcPr>
            <w:tcW w:w="100" w:type="dxa"/>
            <w:tcBorders>
              <w:top w:val="single" w:sz="8" w:space="0" w:color="E9E9E9"/>
              <w:left w:val="nil"/>
              <w:bottom w:val="single" w:sz="8" w:space="0" w:color="C7C9C7"/>
              <w:right w:val="nil"/>
            </w:tcBorders>
            <w:tcMar>
              <w:top w:w="0" w:type="dxa"/>
              <w:left w:w="0" w:type="dxa"/>
              <w:bottom w:w="0" w:type="dxa"/>
              <w:right w:w="15" w:type="dxa"/>
            </w:tcMar>
            <w:vAlign w:val="bottom"/>
          </w:tcPr>
          <w:p w14:paraId="01CC3CCF" w14:textId="77777777" w:rsidR="001614AC" w:rsidRDefault="001614AC">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13458A13" w14:textId="77777777" w:rsidR="001614AC" w:rsidRDefault="001614AC">
            <w:pPr>
              <w:keepNext/>
            </w:pPr>
          </w:p>
        </w:tc>
        <w:tc>
          <w:tcPr>
            <w:tcW w:w="905" w:type="dxa"/>
            <w:gridSpan w:val="2"/>
            <w:tcBorders>
              <w:top w:val="single" w:sz="8" w:space="0" w:color="E9E9E9"/>
              <w:left w:val="nil"/>
              <w:bottom w:val="single" w:sz="8" w:space="0" w:color="C7C9C7"/>
              <w:right w:val="nil"/>
            </w:tcBorders>
            <w:tcMar>
              <w:top w:w="0" w:type="dxa"/>
              <w:left w:w="53" w:type="dxa"/>
              <w:bottom w:w="0" w:type="dxa"/>
              <w:right w:w="0" w:type="dxa"/>
            </w:tcMar>
            <w:vAlign w:val="bottom"/>
          </w:tcPr>
          <w:p w14:paraId="6DCEA935" w14:textId="77777777" w:rsidR="001614AC" w:rsidRDefault="004468F9">
            <w:pPr>
              <w:keepNext/>
              <w:spacing w:before="55" w:after="30" w:line="288" w:lineRule="auto"/>
              <w:jc w:val="right"/>
            </w:pPr>
            <w:r>
              <w:rPr>
                <w:rFonts w:ascii="Arial" w:eastAsia="Arial" w:hAnsi="Arial" w:cs="Arial"/>
                <w:color w:val="000000"/>
                <w:sz w:val="18"/>
              </w:rPr>
              <w:t>(306)</w:t>
            </w:r>
          </w:p>
        </w:tc>
        <w:tc>
          <w:tcPr>
            <w:tcW w:w="100" w:type="dxa"/>
            <w:tcBorders>
              <w:top w:val="single" w:sz="8" w:space="0" w:color="E9E9E9"/>
              <w:left w:val="nil"/>
              <w:bottom w:val="single" w:sz="8" w:space="0" w:color="C7C9C7"/>
              <w:right w:val="nil"/>
            </w:tcBorders>
            <w:tcMar>
              <w:top w:w="0" w:type="dxa"/>
              <w:left w:w="0" w:type="dxa"/>
              <w:bottom w:w="0" w:type="dxa"/>
              <w:right w:w="15" w:type="dxa"/>
            </w:tcMar>
            <w:vAlign w:val="bottom"/>
          </w:tcPr>
          <w:p w14:paraId="2C3E50D7" w14:textId="77777777" w:rsidR="001614AC" w:rsidRDefault="001614AC">
            <w:pPr>
              <w:keepNext/>
              <w:spacing w:before="55" w:after="30" w:line="288" w:lineRule="auto"/>
              <w:jc w:val="right"/>
            </w:pPr>
          </w:p>
        </w:tc>
      </w:tr>
      <w:tr w:rsidR="001614AC" w14:paraId="610CF0D9" w14:textId="77777777">
        <w:trPr>
          <w:cantSplit/>
        </w:trPr>
        <w:tc>
          <w:tcPr>
            <w:tcW w:w="5640" w:type="dxa"/>
            <w:tcBorders>
              <w:top w:val="nil"/>
              <w:left w:val="nil"/>
              <w:bottom w:val="nil"/>
              <w:right w:val="nil"/>
            </w:tcBorders>
            <w:shd w:val="clear" w:color="auto" w:fill="F4F4F4"/>
            <w:tcMar>
              <w:top w:w="0" w:type="dxa"/>
              <w:left w:w="53" w:type="dxa"/>
              <w:bottom w:w="0" w:type="dxa"/>
              <w:right w:w="53" w:type="dxa"/>
            </w:tcMar>
            <w:vAlign w:val="bottom"/>
          </w:tcPr>
          <w:p w14:paraId="1444C9F1" w14:textId="77777777" w:rsidR="001614AC" w:rsidRDefault="004468F9">
            <w:pPr>
              <w:spacing w:before="75" w:after="30" w:line="288" w:lineRule="auto"/>
            </w:pPr>
            <w:r>
              <w:rPr>
                <w:rFonts w:ascii="Arial" w:eastAsia="Arial" w:hAnsi="Arial" w:cs="Arial"/>
                <w:color w:val="000000"/>
                <w:sz w:val="18"/>
              </w:rPr>
              <w:t>Ending balance</w:t>
            </w:r>
          </w:p>
        </w:tc>
        <w:tc>
          <w:tcPr>
            <w:tcW w:w="105" w:type="dxa"/>
            <w:tcBorders>
              <w:top w:val="nil"/>
              <w:left w:val="nil"/>
              <w:bottom w:val="nil"/>
              <w:right w:val="nil"/>
            </w:tcBorders>
            <w:shd w:val="clear" w:color="auto" w:fill="F4F4F4"/>
            <w:tcMar>
              <w:top w:w="0" w:type="dxa"/>
              <w:left w:w="0" w:type="dxa"/>
              <w:bottom w:w="0" w:type="dxa"/>
              <w:right w:w="0" w:type="dxa"/>
            </w:tcMar>
            <w:vAlign w:val="bottom"/>
          </w:tcPr>
          <w:p w14:paraId="2E03D4D4" w14:textId="77777777" w:rsidR="001614AC" w:rsidRDefault="001614AC"/>
        </w:tc>
        <w:tc>
          <w:tcPr>
            <w:tcW w:w="160" w:type="dxa"/>
            <w:tcBorders>
              <w:top w:val="single" w:sz="8" w:space="0" w:color="C7C9C7"/>
              <w:left w:val="nil"/>
              <w:bottom w:val="double" w:sz="8" w:space="0" w:color="C7C9C7"/>
              <w:right w:val="nil"/>
            </w:tcBorders>
            <w:shd w:val="clear" w:color="auto" w:fill="F4F4F4"/>
            <w:tcMar>
              <w:top w:w="0" w:type="dxa"/>
              <w:left w:w="53" w:type="dxa"/>
              <w:bottom w:w="0" w:type="dxa"/>
              <w:right w:w="0" w:type="dxa"/>
            </w:tcMar>
            <w:vAlign w:val="bottom"/>
          </w:tcPr>
          <w:p w14:paraId="64089E48" w14:textId="77777777" w:rsidR="001614AC" w:rsidRDefault="004468F9">
            <w:pPr>
              <w:spacing w:before="55" w:after="30" w:line="288" w:lineRule="auto"/>
            </w:pPr>
            <w:r>
              <w:rPr>
                <w:rFonts w:ascii="Arial" w:eastAsia="Arial" w:hAnsi="Arial" w:cs="Arial"/>
                <w:color w:val="000000"/>
                <w:sz w:val="18"/>
              </w:rPr>
              <w:t>$</w:t>
            </w:r>
          </w:p>
        </w:tc>
        <w:tc>
          <w:tcPr>
            <w:tcW w:w="745" w:type="dxa"/>
            <w:tcBorders>
              <w:top w:val="single" w:sz="8" w:space="0" w:color="C7C9C7"/>
              <w:left w:val="nil"/>
              <w:bottom w:val="double" w:sz="8" w:space="0" w:color="C7C9C7"/>
              <w:right w:val="nil"/>
            </w:tcBorders>
            <w:shd w:val="clear" w:color="auto" w:fill="F4F4F4"/>
            <w:tcMar>
              <w:top w:w="0" w:type="dxa"/>
              <w:left w:w="0" w:type="dxa"/>
              <w:bottom w:w="0" w:type="dxa"/>
              <w:right w:w="0" w:type="dxa"/>
            </w:tcMar>
            <w:vAlign w:val="bottom"/>
          </w:tcPr>
          <w:p w14:paraId="39AD251F" w14:textId="77777777" w:rsidR="001614AC" w:rsidRDefault="004468F9">
            <w:pPr>
              <w:spacing w:before="55" w:after="30" w:line="288" w:lineRule="auto"/>
              <w:jc w:val="right"/>
            </w:pPr>
            <w:r>
              <w:rPr>
                <w:rFonts w:ascii="Arial" w:eastAsia="Arial" w:hAnsi="Arial" w:cs="Arial"/>
                <w:color w:val="000000"/>
                <w:sz w:val="18"/>
              </w:rPr>
              <w:t>— </w:t>
            </w:r>
          </w:p>
        </w:tc>
        <w:tc>
          <w:tcPr>
            <w:tcW w:w="100" w:type="dxa"/>
            <w:tcBorders>
              <w:top w:val="single" w:sz="8" w:space="0" w:color="C7C9C7"/>
              <w:left w:val="nil"/>
              <w:bottom w:val="double" w:sz="8" w:space="0" w:color="C7C9C7"/>
              <w:right w:val="nil"/>
            </w:tcBorders>
            <w:shd w:val="clear" w:color="auto" w:fill="F4F4F4"/>
            <w:tcMar>
              <w:top w:w="0" w:type="dxa"/>
              <w:left w:w="0" w:type="dxa"/>
              <w:bottom w:w="0" w:type="dxa"/>
              <w:right w:w="15" w:type="dxa"/>
            </w:tcMar>
            <w:vAlign w:val="bottom"/>
          </w:tcPr>
          <w:p w14:paraId="4275DE7E" w14:textId="77777777" w:rsidR="001614AC" w:rsidRDefault="001614AC">
            <w:pPr>
              <w:spacing w:before="55" w:after="30" w:line="288" w:lineRule="auto"/>
              <w:jc w:val="right"/>
            </w:pPr>
          </w:p>
        </w:tc>
        <w:tc>
          <w:tcPr>
            <w:tcW w:w="105" w:type="dxa"/>
            <w:tcBorders>
              <w:top w:val="nil"/>
              <w:left w:val="nil"/>
              <w:bottom w:val="nil"/>
              <w:right w:val="nil"/>
            </w:tcBorders>
            <w:shd w:val="clear" w:color="auto" w:fill="F4F4F4"/>
            <w:tcMar>
              <w:top w:w="0" w:type="dxa"/>
              <w:left w:w="0" w:type="dxa"/>
              <w:bottom w:w="0" w:type="dxa"/>
              <w:right w:w="0" w:type="dxa"/>
            </w:tcMar>
            <w:vAlign w:val="bottom"/>
          </w:tcPr>
          <w:p w14:paraId="3EE56582" w14:textId="77777777" w:rsidR="001614AC" w:rsidRDefault="001614AC"/>
        </w:tc>
        <w:tc>
          <w:tcPr>
            <w:tcW w:w="160" w:type="dxa"/>
            <w:tcBorders>
              <w:top w:val="single" w:sz="8" w:space="0" w:color="C7C9C7"/>
              <w:left w:val="nil"/>
              <w:bottom w:val="double" w:sz="8" w:space="0" w:color="C7C9C7"/>
              <w:right w:val="nil"/>
            </w:tcBorders>
            <w:shd w:val="clear" w:color="auto" w:fill="F4F4F4"/>
            <w:tcMar>
              <w:top w:w="0" w:type="dxa"/>
              <w:left w:w="53" w:type="dxa"/>
              <w:bottom w:w="0" w:type="dxa"/>
              <w:right w:w="0" w:type="dxa"/>
            </w:tcMar>
            <w:vAlign w:val="bottom"/>
          </w:tcPr>
          <w:p w14:paraId="01740EFC" w14:textId="77777777" w:rsidR="001614AC" w:rsidRDefault="004468F9">
            <w:pPr>
              <w:spacing w:before="55" w:after="30" w:line="288" w:lineRule="auto"/>
            </w:pPr>
            <w:r>
              <w:rPr>
                <w:rFonts w:ascii="Arial" w:eastAsia="Arial" w:hAnsi="Arial" w:cs="Arial"/>
                <w:color w:val="000000"/>
                <w:sz w:val="18"/>
              </w:rPr>
              <w:t>$</w:t>
            </w:r>
          </w:p>
        </w:tc>
        <w:tc>
          <w:tcPr>
            <w:tcW w:w="745" w:type="dxa"/>
            <w:tcBorders>
              <w:top w:val="single" w:sz="8" w:space="0" w:color="C7C9C7"/>
              <w:left w:val="nil"/>
              <w:bottom w:val="double" w:sz="8" w:space="0" w:color="C7C9C7"/>
              <w:right w:val="nil"/>
            </w:tcBorders>
            <w:shd w:val="clear" w:color="auto" w:fill="F4F4F4"/>
            <w:tcMar>
              <w:top w:w="0" w:type="dxa"/>
              <w:left w:w="0" w:type="dxa"/>
              <w:bottom w:w="0" w:type="dxa"/>
              <w:right w:w="0" w:type="dxa"/>
            </w:tcMar>
            <w:vAlign w:val="bottom"/>
          </w:tcPr>
          <w:p w14:paraId="5C6F9C75" w14:textId="77777777" w:rsidR="001614AC" w:rsidRDefault="004468F9">
            <w:pPr>
              <w:spacing w:before="55" w:after="30" w:line="288" w:lineRule="auto"/>
              <w:jc w:val="right"/>
            </w:pPr>
            <w:r>
              <w:rPr>
                <w:rFonts w:ascii="Arial" w:eastAsia="Arial" w:hAnsi="Arial" w:cs="Arial"/>
                <w:color w:val="000000"/>
                <w:sz w:val="18"/>
              </w:rPr>
              <w:t>2,476 </w:t>
            </w:r>
          </w:p>
        </w:tc>
        <w:tc>
          <w:tcPr>
            <w:tcW w:w="100" w:type="dxa"/>
            <w:tcBorders>
              <w:top w:val="single" w:sz="8" w:space="0" w:color="C7C9C7"/>
              <w:left w:val="nil"/>
              <w:bottom w:val="double" w:sz="8" w:space="0" w:color="C7C9C7"/>
              <w:right w:val="nil"/>
            </w:tcBorders>
            <w:shd w:val="clear" w:color="auto" w:fill="F4F4F4"/>
            <w:tcMar>
              <w:top w:w="0" w:type="dxa"/>
              <w:left w:w="0" w:type="dxa"/>
              <w:bottom w:w="0" w:type="dxa"/>
              <w:right w:w="15" w:type="dxa"/>
            </w:tcMar>
            <w:vAlign w:val="bottom"/>
          </w:tcPr>
          <w:p w14:paraId="40D21636" w14:textId="77777777" w:rsidR="001614AC" w:rsidRDefault="001614AC">
            <w:pPr>
              <w:spacing w:before="55" w:after="30" w:line="288" w:lineRule="auto"/>
              <w:jc w:val="right"/>
            </w:pPr>
          </w:p>
        </w:tc>
        <w:tc>
          <w:tcPr>
            <w:tcW w:w="105" w:type="dxa"/>
            <w:tcBorders>
              <w:top w:val="nil"/>
              <w:left w:val="nil"/>
              <w:bottom w:val="nil"/>
              <w:right w:val="nil"/>
            </w:tcBorders>
            <w:shd w:val="clear" w:color="auto" w:fill="F4F4F4"/>
            <w:tcMar>
              <w:top w:w="0" w:type="dxa"/>
              <w:left w:w="0" w:type="dxa"/>
              <w:bottom w:w="0" w:type="dxa"/>
              <w:right w:w="0" w:type="dxa"/>
            </w:tcMar>
            <w:vAlign w:val="bottom"/>
          </w:tcPr>
          <w:p w14:paraId="56AAF586" w14:textId="77777777" w:rsidR="001614AC" w:rsidRDefault="001614AC"/>
        </w:tc>
        <w:tc>
          <w:tcPr>
            <w:tcW w:w="160" w:type="dxa"/>
            <w:tcBorders>
              <w:top w:val="single" w:sz="8" w:space="0" w:color="C7C9C7"/>
              <w:left w:val="nil"/>
              <w:bottom w:val="double" w:sz="8" w:space="0" w:color="C7C9C7"/>
              <w:right w:val="nil"/>
            </w:tcBorders>
            <w:shd w:val="clear" w:color="auto" w:fill="F4F4F4"/>
            <w:tcMar>
              <w:top w:w="0" w:type="dxa"/>
              <w:left w:w="53" w:type="dxa"/>
              <w:bottom w:w="0" w:type="dxa"/>
              <w:right w:w="0" w:type="dxa"/>
            </w:tcMar>
            <w:vAlign w:val="bottom"/>
          </w:tcPr>
          <w:p w14:paraId="779A02B3" w14:textId="77777777" w:rsidR="001614AC" w:rsidRDefault="004468F9">
            <w:pPr>
              <w:spacing w:before="55" w:after="30" w:line="288" w:lineRule="auto"/>
            </w:pPr>
            <w:r>
              <w:rPr>
                <w:rFonts w:ascii="Arial" w:eastAsia="Arial" w:hAnsi="Arial" w:cs="Arial"/>
                <w:color w:val="000000"/>
                <w:sz w:val="18"/>
              </w:rPr>
              <w:t>$</w:t>
            </w:r>
          </w:p>
        </w:tc>
        <w:tc>
          <w:tcPr>
            <w:tcW w:w="745" w:type="dxa"/>
            <w:tcBorders>
              <w:top w:val="single" w:sz="8" w:space="0" w:color="C7C9C7"/>
              <w:left w:val="nil"/>
              <w:bottom w:val="double" w:sz="8" w:space="0" w:color="C7C9C7"/>
              <w:right w:val="nil"/>
            </w:tcBorders>
            <w:shd w:val="clear" w:color="auto" w:fill="F4F4F4"/>
            <w:tcMar>
              <w:top w:w="0" w:type="dxa"/>
              <w:left w:w="0" w:type="dxa"/>
              <w:bottom w:w="0" w:type="dxa"/>
              <w:right w:w="0" w:type="dxa"/>
            </w:tcMar>
            <w:vAlign w:val="bottom"/>
          </w:tcPr>
          <w:p w14:paraId="6A6671E1" w14:textId="77777777" w:rsidR="001614AC" w:rsidRDefault="004468F9">
            <w:pPr>
              <w:spacing w:before="55" w:after="30" w:line="288" w:lineRule="auto"/>
              <w:jc w:val="right"/>
            </w:pPr>
            <w:r>
              <w:rPr>
                <w:rFonts w:ascii="Arial" w:eastAsia="Arial" w:hAnsi="Arial" w:cs="Arial"/>
                <w:color w:val="000000"/>
                <w:sz w:val="18"/>
              </w:rPr>
              <w:t>— </w:t>
            </w:r>
          </w:p>
        </w:tc>
        <w:tc>
          <w:tcPr>
            <w:tcW w:w="100" w:type="dxa"/>
            <w:tcBorders>
              <w:top w:val="single" w:sz="8" w:space="0" w:color="C7C9C7"/>
              <w:left w:val="nil"/>
              <w:bottom w:val="double" w:sz="8" w:space="0" w:color="C7C9C7"/>
              <w:right w:val="nil"/>
            </w:tcBorders>
            <w:shd w:val="clear" w:color="auto" w:fill="F4F4F4"/>
            <w:tcMar>
              <w:top w:w="0" w:type="dxa"/>
              <w:left w:w="0" w:type="dxa"/>
              <w:bottom w:w="0" w:type="dxa"/>
              <w:right w:w="15" w:type="dxa"/>
            </w:tcMar>
            <w:vAlign w:val="bottom"/>
          </w:tcPr>
          <w:p w14:paraId="772BB175" w14:textId="77777777" w:rsidR="001614AC" w:rsidRDefault="001614AC">
            <w:pPr>
              <w:spacing w:before="55" w:after="30" w:line="288" w:lineRule="auto"/>
              <w:jc w:val="right"/>
            </w:pPr>
          </w:p>
        </w:tc>
        <w:tc>
          <w:tcPr>
            <w:tcW w:w="105" w:type="dxa"/>
            <w:tcBorders>
              <w:top w:val="nil"/>
              <w:left w:val="nil"/>
              <w:bottom w:val="nil"/>
              <w:right w:val="nil"/>
            </w:tcBorders>
            <w:shd w:val="clear" w:color="auto" w:fill="F4F4F4"/>
            <w:tcMar>
              <w:top w:w="0" w:type="dxa"/>
              <w:left w:w="0" w:type="dxa"/>
              <w:bottom w:w="0" w:type="dxa"/>
              <w:right w:w="0" w:type="dxa"/>
            </w:tcMar>
            <w:vAlign w:val="bottom"/>
          </w:tcPr>
          <w:p w14:paraId="6243C4D8" w14:textId="77777777" w:rsidR="001614AC" w:rsidRDefault="001614AC"/>
        </w:tc>
        <w:tc>
          <w:tcPr>
            <w:tcW w:w="160" w:type="dxa"/>
            <w:tcBorders>
              <w:top w:val="single" w:sz="8" w:space="0" w:color="C7C9C7"/>
              <w:left w:val="nil"/>
              <w:bottom w:val="double" w:sz="8" w:space="0" w:color="C7C9C7"/>
              <w:right w:val="nil"/>
            </w:tcBorders>
            <w:shd w:val="clear" w:color="auto" w:fill="F4F4F4"/>
            <w:tcMar>
              <w:top w:w="0" w:type="dxa"/>
              <w:left w:w="53" w:type="dxa"/>
              <w:bottom w:w="0" w:type="dxa"/>
              <w:right w:w="0" w:type="dxa"/>
            </w:tcMar>
            <w:vAlign w:val="bottom"/>
          </w:tcPr>
          <w:p w14:paraId="5CE38FAC" w14:textId="77777777" w:rsidR="001614AC" w:rsidRDefault="004468F9">
            <w:pPr>
              <w:spacing w:before="55" w:after="30" w:line="288" w:lineRule="auto"/>
            </w:pPr>
            <w:r>
              <w:rPr>
                <w:rFonts w:ascii="Arial" w:eastAsia="Arial" w:hAnsi="Arial" w:cs="Arial"/>
                <w:color w:val="000000"/>
                <w:sz w:val="18"/>
              </w:rPr>
              <w:t>$</w:t>
            </w:r>
          </w:p>
        </w:tc>
        <w:tc>
          <w:tcPr>
            <w:tcW w:w="745" w:type="dxa"/>
            <w:tcBorders>
              <w:top w:val="single" w:sz="8" w:space="0" w:color="C7C9C7"/>
              <w:left w:val="nil"/>
              <w:bottom w:val="double" w:sz="8" w:space="0" w:color="C7C9C7"/>
              <w:right w:val="nil"/>
            </w:tcBorders>
            <w:shd w:val="clear" w:color="auto" w:fill="F4F4F4"/>
            <w:tcMar>
              <w:top w:w="0" w:type="dxa"/>
              <w:left w:w="0" w:type="dxa"/>
              <w:bottom w:w="0" w:type="dxa"/>
              <w:right w:w="0" w:type="dxa"/>
            </w:tcMar>
            <w:vAlign w:val="bottom"/>
          </w:tcPr>
          <w:p w14:paraId="210BA755" w14:textId="77777777" w:rsidR="001614AC" w:rsidRDefault="004468F9">
            <w:pPr>
              <w:spacing w:before="55" w:after="30" w:line="288" w:lineRule="auto"/>
              <w:jc w:val="right"/>
            </w:pPr>
            <w:r>
              <w:rPr>
                <w:rFonts w:ascii="Arial" w:eastAsia="Arial" w:hAnsi="Arial" w:cs="Arial"/>
                <w:color w:val="000000"/>
                <w:sz w:val="18"/>
              </w:rPr>
              <w:t>2,476 </w:t>
            </w:r>
          </w:p>
        </w:tc>
        <w:tc>
          <w:tcPr>
            <w:tcW w:w="100" w:type="dxa"/>
            <w:tcBorders>
              <w:top w:val="single" w:sz="8" w:space="0" w:color="C7C9C7"/>
              <w:left w:val="nil"/>
              <w:bottom w:val="double" w:sz="8" w:space="0" w:color="C7C9C7"/>
              <w:right w:val="nil"/>
            </w:tcBorders>
            <w:shd w:val="clear" w:color="auto" w:fill="F4F4F4"/>
            <w:tcMar>
              <w:top w:w="0" w:type="dxa"/>
              <w:left w:w="0" w:type="dxa"/>
              <w:bottom w:w="0" w:type="dxa"/>
              <w:right w:w="15" w:type="dxa"/>
            </w:tcMar>
            <w:vAlign w:val="bottom"/>
          </w:tcPr>
          <w:p w14:paraId="571F264B" w14:textId="77777777" w:rsidR="001614AC" w:rsidRDefault="001614AC">
            <w:pPr>
              <w:spacing w:before="55" w:after="30" w:line="288" w:lineRule="auto"/>
              <w:jc w:val="right"/>
            </w:pPr>
          </w:p>
        </w:tc>
      </w:tr>
    </w:tbl>
    <w:p w14:paraId="48809A5C" w14:textId="77777777" w:rsidR="001614AC" w:rsidRDefault="004468F9">
      <w:pPr>
        <w:keepNext/>
        <w:spacing w:before="180" w:after="140" w:line="288" w:lineRule="auto"/>
        <w:rPr>
          <w:rFonts w:ascii="Arial" w:eastAsia="Arial" w:hAnsi="Arial" w:cs="Arial"/>
          <w:b/>
          <w:color w:val="002B49"/>
          <w:sz w:val="26"/>
        </w:rPr>
      </w:pPr>
      <w:r>
        <w:rPr>
          <w:rFonts w:ascii="Arial" w:eastAsia="Arial" w:hAnsi="Arial" w:cs="Arial"/>
          <w:b/>
          <w:color w:val="002B49"/>
          <w:sz w:val="26"/>
        </w:rPr>
        <w:t>Gross Unrealized Losses and Related Fair Value of Available for Sale Securities</w:t>
      </w:r>
    </w:p>
    <w:p w14:paraId="08AE99FC" w14:textId="77777777" w:rsidR="001614AC" w:rsidRDefault="004468F9">
      <w:pPr>
        <w:spacing w:before="100" w:after="100" w:line="288" w:lineRule="auto"/>
        <w:ind w:firstLine="450"/>
        <w:rPr>
          <w:rFonts w:ascii="Arial" w:eastAsia="Arial" w:hAnsi="Arial" w:cs="Arial"/>
          <w:b/>
          <w:color w:val="002B49"/>
          <w:sz w:val="18"/>
        </w:rPr>
      </w:pPr>
      <w:r>
        <w:rPr>
          <w:rFonts w:ascii="Arial" w:eastAsia="Arial" w:hAnsi="Arial" w:cs="Arial"/>
          <w:sz w:val="18"/>
        </w:rPr>
        <w:t xml:space="preserve">For securities deemed “available for sale” that are in an unrealized loss position and for which an allowance for credit loss has not been established, the following tables show the gross unrealized losses and fair value, aggregated by investment category </w:t>
      </w:r>
      <w:r>
        <w:rPr>
          <w:rFonts w:ascii="Arial" w:eastAsia="Arial" w:hAnsi="Arial" w:cs="Arial"/>
          <w:sz w:val="18"/>
        </w:rPr>
        <w:t>and length of time that individual securities have been in a continuous unrealized loss position, as of the dates indicated. Included in the amounts as of June 30, 2021 and December 31, 2020 are loaned securities under securities lending agreements that ar</w:t>
      </w:r>
      <w:r>
        <w:rPr>
          <w:rFonts w:ascii="Arial" w:eastAsia="Arial" w:hAnsi="Arial" w:cs="Arial"/>
          <w:sz w:val="18"/>
        </w:rPr>
        <w:t xml:space="preserve">e classified as other assets in our condensed consolidated balance sheets, as further described below. </w:t>
      </w:r>
    </w:p>
    <w:tbl>
      <w:tblPr>
        <w:tblW w:w="102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4"/>
        <w:gridCol w:w="75"/>
        <w:gridCol w:w="669"/>
        <w:gridCol w:w="100"/>
        <w:gridCol w:w="75"/>
        <w:gridCol w:w="160"/>
        <w:gridCol w:w="858"/>
        <w:gridCol w:w="101"/>
        <w:gridCol w:w="76"/>
        <w:gridCol w:w="161"/>
        <w:gridCol w:w="676"/>
        <w:gridCol w:w="101"/>
        <w:gridCol w:w="76"/>
        <w:gridCol w:w="670"/>
        <w:gridCol w:w="101"/>
        <w:gridCol w:w="76"/>
        <w:gridCol w:w="161"/>
        <w:gridCol w:w="751"/>
        <w:gridCol w:w="101"/>
        <w:gridCol w:w="76"/>
        <w:gridCol w:w="161"/>
        <w:gridCol w:w="645"/>
        <w:gridCol w:w="101"/>
        <w:gridCol w:w="76"/>
        <w:gridCol w:w="670"/>
        <w:gridCol w:w="101"/>
        <w:gridCol w:w="76"/>
        <w:gridCol w:w="161"/>
        <w:gridCol w:w="858"/>
        <w:gridCol w:w="101"/>
        <w:gridCol w:w="76"/>
        <w:gridCol w:w="161"/>
        <w:gridCol w:w="676"/>
        <w:gridCol w:w="101"/>
      </w:tblGrid>
      <w:tr w:rsidR="001614AC" w14:paraId="5A6B4497" w14:textId="77777777">
        <w:trPr>
          <w:cantSplit/>
        </w:trPr>
        <w:tc>
          <w:tcPr>
            <w:tcW w:w="10080" w:type="dxa"/>
            <w:gridSpan w:val="34"/>
            <w:tcBorders>
              <w:top w:val="nil"/>
              <w:left w:val="nil"/>
              <w:bottom w:val="single" w:sz="12" w:space="0" w:color="99AAB6"/>
              <w:right w:val="nil"/>
            </w:tcBorders>
            <w:tcMar>
              <w:top w:w="0" w:type="dxa"/>
              <w:left w:w="53" w:type="dxa"/>
              <w:bottom w:w="0" w:type="dxa"/>
              <w:right w:w="53" w:type="dxa"/>
            </w:tcMar>
            <w:vAlign w:val="bottom"/>
          </w:tcPr>
          <w:p w14:paraId="2D5614DE" w14:textId="77777777" w:rsidR="001614AC" w:rsidRDefault="004468F9">
            <w:pPr>
              <w:keepNext/>
              <w:spacing w:before="75" w:after="30" w:line="288" w:lineRule="auto"/>
              <w:rPr>
                <w:rFonts w:ascii="Arial" w:eastAsia="Arial" w:hAnsi="Arial" w:cs="Arial"/>
                <w:b/>
                <w:sz w:val="20"/>
              </w:rPr>
            </w:pPr>
            <w:r>
              <w:rPr>
                <w:rFonts w:ascii="Arial" w:eastAsia="Arial" w:hAnsi="Arial" w:cs="Arial"/>
                <w:b/>
                <w:sz w:val="20"/>
              </w:rPr>
              <w:lastRenderedPageBreak/>
              <w:t>Unrealized losses on fixed-maturities available for sale by category and length of time</w:t>
            </w:r>
          </w:p>
        </w:tc>
      </w:tr>
      <w:tr w:rsidR="001614AC" w14:paraId="10648A6C" w14:textId="77777777">
        <w:trPr>
          <w:cantSplit/>
          <w:trHeight w:hRule="exact" w:val="135"/>
        </w:trPr>
        <w:tc>
          <w:tcPr>
            <w:tcW w:w="1245" w:type="dxa"/>
            <w:tcBorders>
              <w:top w:val="nil"/>
              <w:left w:val="nil"/>
              <w:bottom w:val="nil"/>
              <w:right w:val="nil"/>
            </w:tcBorders>
            <w:tcMar>
              <w:top w:w="0" w:type="dxa"/>
              <w:left w:w="0" w:type="dxa"/>
              <w:bottom w:w="0" w:type="dxa"/>
              <w:right w:w="0" w:type="dxa"/>
            </w:tcMar>
            <w:vAlign w:val="bottom"/>
          </w:tcPr>
          <w:p w14:paraId="60333AAE" w14:textId="77777777" w:rsidR="001614AC" w:rsidRDefault="001614AC">
            <w:pPr>
              <w:keepNext/>
            </w:pPr>
          </w:p>
        </w:tc>
        <w:tc>
          <w:tcPr>
            <w:tcW w:w="75" w:type="dxa"/>
            <w:tcBorders>
              <w:top w:val="single" w:sz="12" w:space="0" w:color="99AAB6"/>
              <w:left w:val="nil"/>
              <w:bottom w:val="nil"/>
              <w:right w:val="nil"/>
            </w:tcBorders>
            <w:tcMar>
              <w:top w:w="0" w:type="dxa"/>
              <w:left w:w="0" w:type="dxa"/>
              <w:bottom w:w="0" w:type="dxa"/>
              <w:right w:w="0" w:type="dxa"/>
            </w:tcMar>
            <w:vAlign w:val="bottom"/>
          </w:tcPr>
          <w:p w14:paraId="285F1FA5" w14:textId="77777777" w:rsidR="001614AC" w:rsidRDefault="001614AC">
            <w:pPr>
              <w:keepNext/>
            </w:pPr>
          </w:p>
        </w:tc>
        <w:tc>
          <w:tcPr>
            <w:tcW w:w="765" w:type="dxa"/>
            <w:gridSpan w:val="2"/>
            <w:tcBorders>
              <w:top w:val="single" w:sz="12" w:space="0" w:color="99AAB6"/>
              <w:left w:val="nil"/>
              <w:bottom w:val="nil"/>
              <w:right w:val="nil"/>
            </w:tcBorders>
            <w:tcMar>
              <w:top w:w="0" w:type="dxa"/>
              <w:left w:w="0" w:type="dxa"/>
              <w:bottom w:w="0" w:type="dxa"/>
              <w:right w:w="0" w:type="dxa"/>
            </w:tcMar>
            <w:vAlign w:val="bottom"/>
          </w:tcPr>
          <w:p w14:paraId="644DCF23" w14:textId="77777777" w:rsidR="001614AC" w:rsidRDefault="001614AC">
            <w:pPr>
              <w:keepNext/>
            </w:pPr>
          </w:p>
        </w:tc>
        <w:tc>
          <w:tcPr>
            <w:tcW w:w="75" w:type="dxa"/>
            <w:tcBorders>
              <w:top w:val="single" w:sz="12" w:space="0" w:color="99AAB6"/>
              <w:left w:val="nil"/>
              <w:bottom w:val="nil"/>
              <w:right w:val="nil"/>
            </w:tcBorders>
            <w:tcMar>
              <w:top w:w="0" w:type="dxa"/>
              <w:left w:w="0" w:type="dxa"/>
              <w:bottom w:w="0" w:type="dxa"/>
              <w:right w:w="0" w:type="dxa"/>
            </w:tcMar>
            <w:vAlign w:val="bottom"/>
          </w:tcPr>
          <w:p w14:paraId="18105586" w14:textId="77777777" w:rsidR="001614AC" w:rsidRDefault="001614AC">
            <w:pPr>
              <w:keepNext/>
            </w:pPr>
          </w:p>
        </w:tc>
        <w:tc>
          <w:tcPr>
            <w:tcW w:w="1080" w:type="dxa"/>
            <w:gridSpan w:val="3"/>
            <w:tcBorders>
              <w:top w:val="single" w:sz="12" w:space="0" w:color="99AAB6"/>
              <w:left w:val="nil"/>
              <w:bottom w:val="nil"/>
              <w:right w:val="nil"/>
            </w:tcBorders>
            <w:tcMar>
              <w:top w:w="0" w:type="dxa"/>
              <w:left w:w="0" w:type="dxa"/>
              <w:bottom w:w="0" w:type="dxa"/>
              <w:right w:w="0" w:type="dxa"/>
            </w:tcMar>
            <w:vAlign w:val="bottom"/>
          </w:tcPr>
          <w:p w14:paraId="45ADA70F" w14:textId="77777777" w:rsidR="001614AC" w:rsidRDefault="001614AC">
            <w:pPr>
              <w:keepNext/>
            </w:pPr>
          </w:p>
        </w:tc>
        <w:tc>
          <w:tcPr>
            <w:tcW w:w="75" w:type="dxa"/>
            <w:tcBorders>
              <w:top w:val="single" w:sz="12" w:space="0" w:color="99AAB6"/>
              <w:left w:val="nil"/>
              <w:bottom w:val="nil"/>
              <w:right w:val="nil"/>
            </w:tcBorders>
            <w:tcMar>
              <w:top w:w="0" w:type="dxa"/>
              <w:left w:w="0" w:type="dxa"/>
              <w:bottom w:w="0" w:type="dxa"/>
              <w:right w:w="0" w:type="dxa"/>
            </w:tcMar>
            <w:vAlign w:val="bottom"/>
          </w:tcPr>
          <w:p w14:paraId="31EEB8D3" w14:textId="77777777" w:rsidR="001614AC" w:rsidRDefault="001614AC">
            <w:pPr>
              <w:keepNext/>
            </w:pPr>
          </w:p>
        </w:tc>
        <w:tc>
          <w:tcPr>
            <w:tcW w:w="900" w:type="dxa"/>
            <w:gridSpan w:val="3"/>
            <w:tcBorders>
              <w:top w:val="single" w:sz="12" w:space="0" w:color="99AAB6"/>
              <w:left w:val="nil"/>
              <w:bottom w:val="nil"/>
              <w:right w:val="nil"/>
            </w:tcBorders>
            <w:tcMar>
              <w:top w:w="0" w:type="dxa"/>
              <w:left w:w="0" w:type="dxa"/>
              <w:bottom w:w="0" w:type="dxa"/>
              <w:right w:w="0" w:type="dxa"/>
            </w:tcMar>
            <w:vAlign w:val="bottom"/>
          </w:tcPr>
          <w:p w14:paraId="2E355058" w14:textId="77777777" w:rsidR="001614AC" w:rsidRDefault="001614AC">
            <w:pPr>
              <w:keepNext/>
            </w:pPr>
          </w:p>
        </w:tc>
        <w:tc>
          <w:tcPr>
            <w:tcW w:w="75" w:type="dxa"/>
            <w:tcBorders>
              <w:top w:val="single" w:sz="12" w:space="0" w:color="99AAB6"/>
              <w:left w:val="nil"/>
              <w:bottom w:val="nil"/>
              <w:right w:val="nil"/>
            </w:tcBorders>
            <w:tcMar>
              <w:top w:w="0" w:type="dxa"/>
              <w:left w:w="0" w:type="dxa"/>
              <w:bottom w:w="0" w:type="dxa"/>
              <w:right w:w="0" w:type="dxa"/>
            </w:tcMar>
            <w:vAlign w:val="bottom"/>
          </w:tcPr>
          <w:p w14:paraId="4E5803B4" w14:textId="77777777" w:rsidR="001614AC" w:rsidRDefault="001614AC">
            <w:pPr>
              <w:keepNext/>
            </w:pPr>
          </w:p>
        </w:tc>
        <w:tc>
          <w:tcPr>
            <w:tcW w:w="765" w:type="dxa"/>
            <w:gridSpan w:val="2"/>
            <w:tcBorders>
              <w:top w:val="single" w:sz="12" w:space="0" w:color="99AAB6"/>
              <w:left w:val="nil"/>
              <w:bottom w:val="nil"/>
              <w:right w:val="nil"/>
            </w:tcBorders>
            <w:tcMar>
              <w:top w:w="0" w:type="dxa"/>
              <w:left w:w="0" w:type="dxa"/>
              <w:bottom w:w="0" w:type="dxa"/>
              <w:right w:w="0" w:type="dxa"/>
            </w:tcMar>
            <w:vAlign w:val="bottom"/>
          </w:tcPr>
          <w:p w14:paraId="2192F206" w14:textId="77777777" w:rsidR="001614AC" w:rsidRDefault="001614AC">
            <w:pPr>
              <w:keepNext/>
            </w:pPr>
          </w:p>
        </w:tc>
        <w:tc>
          <w:tcPr>
            <w:tcW w:w="75" w:type="dxa"/>
            <w:tcBorders>
              <w:top w:val="single" w:sz="12" w:space="0" w:color="99AAB6"/>
              <w:left w:val="nil"/>
              <w:bottom w:val="nil"/>
              <w:right w:val="nil"/>
            </w:tcBorders>
            <w:tcMar>
              <w:top w:w="0" w:type="dxa"/>
              <w:left w:w="0" w:type="dxa"/>
              <w:bottom w:w="0" w:type="dxa"/>
              <w:right w:w="0" w:type="dxa"/>
            </w:tcMar>
            <w:vAlign w:val="bottom"/>
          </w:tcPr>
          <w:p w14:paraId="1D5B9DA8" w14:textId="77777777" w:rsidR="001614AC" w:rsidRDefault="001614AC">
            <w:pPr>
              <w:keepNext/>
            </w:pPr>
          </w:p>
        </w:tc>
        <w:tc>
          <w:tcPr>
            <w:tcW w:w="1005" w:type="dxa"/>
            <w:gridSpan w:val="3"/>
            <w:tcBorders>
              <w:top w:val="single" w:sz="12" w:space="0" w:color="99AAB6"/>
              <w:left w:val="nil"/>
              <w:bottom w:val="nil"/>
              <w:right w:val="nil"/>
            </w:tcBorders>
            <w:tcMar>
              <w:top w:w="0" w:type="dxa"/>
              <w:left w:w="0" w:type="dxa"/>
              <w:bottom w:w="0" w:type="dxa"/>
              <w:right w:w="0" w:type="dxa"/>
            </w:tcMar>
            <w:vAlign w:val="bottom"/>
          </w:tcPr>
          <w:p w14:paraId="5EBC08D3" w14:textId="77777777" w:rsidR="001614AC" w:rsidRDefault="001614AC">
            <w:pPr>
              <w:keepNext/>
            </w:pPr>
          </w:p>
        </w:tc>
        <w:tc>
          <w:tcPr>
            <w:tcW w:w="75" w:type="dxa"/>
            <w:tcBorders>
              <w:top w:val="single" w:sz="12" w:space="0" w:color="99AAB6"/>
              <w:left w:val="nil"/>
              <w:bottom w:val="nil"/>
              <w:right w:val="nil"/>
            </w:tcBorders>
            <w:tcMar>
              <w:top w:w="0" w:type="dxa"/>
              <w:left w:w="0" w:type="dxa"/>
              <w:bottom w:w="0" w:type="dxa"/>
              <w:right w:w="0" w:type="dxa"/>
            </w:tcMar>
            <w:vAlign w:val="bottom"/>
          </w:tcPr>
          <w:p w14:paraId="6EAB7BD6" w14:textId="77777777" w:rsidR="001614AC" w:rsidRDefault="001614AC">
            <w:pPr>
              <w:keepNext/>
            </w:pPr>
          </w:p>
        </w:tc>
        <w:tc>
          <w:tcPr>
            <w:tcW w:w="900" w:type="dxa"/>
            <w:gridSpan w:val="3"/>
            <w:tcBorders>
              <w:top w:val="single" w:sz="12" w:space="0" w:color="99AAB6"/>
              <w:left w:val="nil"/>
              <w:bottom w:val="nil"/>
              <w:right w:val="nil"/>
            </w:tcBorders>
            <w:tcMar>
              <w:top w:w="0" w:type="dxa"/>
              <w:left w:w="0" w:type="dxa"/>
              <w:bottom w:w="0" w:type="dxa"/>
              <w:right w:w="0" w:type="dxa"/>
            </w:tcMar>
            <w:vAlign w:val="bottom"/>
          </w:tcPr>
          <w:p w14:paraId="43BAC43E" w14:textId="77777777" w:rsidR="001614AC" w:rsidRDefault="001614AC">
            <w:pPr>
              <w:keepNext/>
            </w:pPr>
          </w:p>
        </w:tc>
        <w:tc>
          <w:tcPr>
            <w:tcW w:w="75" w:type="dxa"/>
            <w:tcBorders>
              <w:top w:val="single" w:sz="12" w:space="0" w:color="99AAB6"/>
              <w:left w:val="nil"/>
              <w:bottom w:val="nil"/>
              <w:right w:val="nil"/>
            </w:tcBorders>
            <w:tcMar>
              <w:top w:w="0" w:type="dxa"/>
              <w:left w:w="0" w:type="dxa"/>
              <w:bottom w:w="0" w:type="dxa"/>
              <w:right w:w="0" w:type="dxa"/>
            </w:tcMar>
            <w:vAlign w:val="bottom"/>
          </w:tcPr>
          <w:p w14:paraId="6F074FF8" w14:textId="77777777" w:rsidR="001614AC" w:rsidRDefault="001614AC">
            <w:pPr>
              <w:keepNext/>
            </w:pPr>
          </w:p>
        </w:tc>
        <w:tc>
          <w:tcPr>
            <w:tcW w:w="765" w:type="dxa"/>
            <w:gridSpan w:val="2"/>
            <w:tcBorders>
              <w:top w:val="single" w:sz="12" w:space="0" w:color="99AAB6"/>
              <w:left w:val="nil"/>
              <w:bottom w:val="nil"/>
              <w:right w:val="nil"/>
            </w:tcBorders>
            <w:tcMar>
              <w:top w:w="0" w:type="dxa"/>
              <w:left w:w="0" w:type="dxa"/>
              <w:bottom w:w="0" w:type="dxa"/>
              <w:right w:w="0" w:type="dxa"/>
            </w:tcMar>
            <w:vAlign w:val="bottom"/>
          </w:tcPr>
          <w:p w14:paraId="0693C7F2" w14:textId="77777777" w:rsidR="001614AC" w:rsidRDefault="001614AC">
            <w:pPr>
              <w:keepNext/>
            </w:pPr>
          </w:p>
        </w:tc>
        <w:tc>
          <w:tcPr>
            <w:tcW w:w="75" w:type="dxa"/>
            <w:tcBorders>
              <w:top w:val="single" w:sz="12" w:space="0" w:color="99AAB6"/>
              <w:left w:val="nil"/>
              <w:bottom w:val="nil"/>
              <w:right w:val="nil"/>
            </w:tcBorders>
            <w:tcMar>
              <w:top w:w="0" w:type="dxa"/>
              <w:left w:w="0" w:type="dxa"/>
              <w:bottom w:w="0" w:type="dxa"/>
              <w:right w:w="0" w:type="dxa"/>
            </w:tcMar>
            <w:vAlign w:val="bottom"/>
          </w:tcPr>
          <w:p w14:paraId="6E6A4349" w14:textId="77777777" w:rsidR="001614AC" w:rsidRDefault="001614AC">
            <w:pPr>
              <w:keepNext/>
            </w:pPr>
          </w:p>
        </w:tc>
        <w:tc>
          <w:tcPr>
            <w:tcW w:w="1080" w:type="dxa"/>
            <w:gridSpan w:val="3"/>
            <w:tcBorders>
              <w:top w:val="single" w:sz="12" w:space="0" w:color="99AAB6"/>
              <w:left w:val="nil"/>
              <w:bottom w:val="nil"/>
              <w:right w:val="nil"/>
            </w:tcBorders>
            <w:tcMar>
              <w:top w:w="0" w:type="dxa"/>
              <w:left w:w="0" w:type="dxa"/>
              <w:bottom w:w="0" w:type="dxa"/>
              <w:right w:w="0" w:type="dxa"/>
            </w:tcMar>
            <w:vAlign w:val="bottom"/>
          </w:tcPr>
          <w:p w14:paraId="7DA44672" w14:textId="77777777" w:rsidR="001614AC" w:rsidRDefault="001614AC">
            <w:pPr>
              <w:keepNext/>
            </w:pPr>
          </w:p>
        </w:tc>
        <w:tc>
          <w:tcPr>
            <w:tcW w:w="75" w:type="dxa"/>
            <w:tcBorders>
              <w:top w:val="single" w:sz="12" w:space="0" w:color="99AAB6"/>
              <w:left w:val="nil"/>
              <w:bottom w:val="nil"/>
              <w:right w:val="nil"/>
            </w:tcBorders>
            <w:tcMar>
              <w:top w:w="0" w:type="dxa"/>
              <w:left w:w="0" w:type="dxa"/>
              <w:bottom w:w="0" w:type="dxa"/>
              <w:right w:w="0" w:type="dxa"/>
            </w:tcMar>
            <w:vAlign w:val="bottom"/>
          </w:tcPr>
          <w:p w14:paraId="222F783B" w14:textId="77777777" w:rsidR="001614AC" w:rsidRDefault="001614AC">
            <w:pPr>
              <w:keepNext/>
            </w:pPr>
          </w:p>
        </w:tc>
        <w:tc>
          <w:tcPr>
            <w:tcW w:w="900" w:type="dxa"/>
            <w:gridSpan w:val="3"/>
            <w:tcBorders>
              <w:top w:val="single" w:sz="12" w:space="0" w:color="99AAB6"/>
              <w:left w:val="nil"/>
              <w:bottom w:val="nil"/>
              <w:right w:val="nil"/>
            </w:tcBorders>
            <w:tcMar>
              <w:top w:w="0" w:type="dxa"/>
              <w:left w:w="0" w:type="dxa"/>
              <w:bottom w:w="0" w:type="dxa"/>
              <w:right w:w="0" w:type="dxa"/>
            </w:tcMar>
            <w:vAlign w:val="bottom"/>
          </w:tcPr>
          <w:p w14:paraId="122429CE" w14:textId="77777777" w:rsidR="001614AC" w:rsidRDefault="001614AC">
            <w:pPr>
              <w:keepNext/>
            </w:pPr>
          </w:p>
        </w:tc>
      </w:tr>
      <w:tr w:rsidR="001614AC" w14:paraId="1A916E1B" w14:textId="77777777">
        <w:trPr>
          <w:cantSplit/>
        </w:trPr>
        <w:tc>
          <w:tcPr>
            <w:tcW w:w="1245" w:type="dxa"/>
            <w:tcBorders>
              <w:top w:val="nil"/>
              <w:left w:val="nil"/>
              <w:bottom w:val="nil"/>
              <w:right w:val="nil"/>
            </w:tcBorders>
            <w:tcMar>
              <w:top w:w="0" w:type="dxa"/>
              <w:left w:w="0" w:type="dxa"/>
              <w:bottom w:w="0" w:type="dxa"/>
              <w:right w:w="0" w:type="dxa"/>
            </w:tcMar>
            <w:vAlign w:val="bottom"/>
          </w:tcPr>
          <w:p w14:paraId="7C1F08C1" w14:textId="77777777" w:rsidR="001614AC" w:rsidRDefault="001614AC">
            <w:pPr>
              <w:keepNext/>
            </w:pPr>
          </w:p>
        </w:tc>
        <w:tc>
          <w:tcPr>
            <w:tcW w:w="75" w:type="dxa"/>
            <w:tcBorders>
              <w:top w:val="nil"/>
              <w:left w:val="nil"/>
              <w:bottom w:val="single" w:sz="8" w:space="0" w:color="FFFFFF"/>
              <w:right w:val="nil"/>
            </w:tcBorders>
            <w:tcMar>
              <w:top w:w="0" w:type="dxa"/>
              <w:left w:w="0" w:type="dxa"/>
              <w:bottom w:w="0" w:type="dxa"/>
              <w:right w:w="0" w:type="dxa"/>
            </w:tcMar>
            <w:vAlign w:val="bottom"/>
          </w:tcPr>
          <w:p w14:paraId="4D9FC4CE" w14:textId="77777777" w:rsidR="001614AC" w:rsidRDefault="001614AC">
            <w:pPr>
              <w:keepNext/>
            </w:pPr>
          </w:p>
        </w:tc>
        <w:tc>
          <w:tcPr>
            <w:tcW w:w="8760" w:type="dxa"/>
            <w:gridSpan w:val="32"/>
            <w:tcBorders>
              <w:top w:val="nil"/>
              <w:left w:val="nil"/>
              <w:bottom w:val="nil"/>
              <w:right w:val="nil"/>
            </w:tcBorders>
            <w:shd w:val="clear" w:color="auto" w:fill="E6F8F8"/>
            <w:tcMar>
              <w:top w:w="0" w:type="dxa"/>
              <w:left w:w="53" w:type="dxa"/>
              <w:bottom w:w="0" w:type="dxa"/>
              <w:right w:w="53" w:type="dxa"/>
            </w:tcMar>
            <w:vAlign w:val="bottom"/>
          </w:tcPr>
          <w:p w14:paraId="054DF3DF" w14:textId="77777777" w:rsidR="001614AC" w:rsidRDefault="004468F9">
            <w:pPr>
              <w:keepNext/>
              <w:spacing w:before="75" w:after="30" w:line="288" w:lineRule="auto"/>
              <w:jc w:val="center"/>
            </w:pPr>
            <w:r>
              <w:rPr>
                <w:rFonts w:ascii="Arial" w:eastAsia="Arial" w:hAnsi="Arial" w:cs="Arial"/>
                <w:b/>
                <w:color w:val="00BAB3"/>
                <w:sz w:val="18"/>
              </w:rPr>
              <w:t>June 30, 2021</w:t>
            </w:r>
          </w:p>
        </w:tc>
      </w:tr>
      <w:tr w:rsidR="001614AC" w14:paraId="232F34F5" w14:textId="77777777">
        <w:trPr>
          <w:cantSplit/>
        </w:trPr>
        <w:tc>
          <w:tcPr>
            <w:tcW w:w="1245" w:type="dxa"/>
            <w:tcBorders>
              <w:top w:val="nil"/>
              <w:left w:val="nil"/>
              <w:bottom w:val="nil"/>
              <w:right w:val="nil"/>
            </w:tcBorders>
            <w:tcMar>
              <w:top w:w="0" w:type="dxa"/>
              <w:left w:w="53" w:type="dxa"/>
              <w:bottom w:w="0" w:type="dxa"/>
              <w:right w:w="53" w:type="dxa"/>
            </w:tcMar>
            <w:vAlign w:val="bottom"/>
          </w:tcPr>
          <w:p w14:paraId="5839CF35" w14:textId="77777777" w:rsidR="001614AC" w:rsidRDefault="004468F9">
            <w:pPr>
              <w:keepNext/>
              <w:spacing w:before="75" w:after="30" w:line="288" w:lineRule="auto"/>
            </w:pPr>
            <w:r>
              <w:rPr>
                <w:rFonts w:ascii="Arial" w:eastAsia="Arial" w:hAnsi="Arial" w:cs="Arial"/>
                <w:color w:val="8B8886"/>
                <w:sz w:val="14"/>
              </w:rPr>
              <w:t>($ in thousands)</w:t>
            </w:r>
          </w:p>
        </w:tc>
        <w:tc>
          <w:tcPr>
            <w:tcW w:w="75" w:type="dxa"/>
            <w:tcBorders>
              <w:top w:val="single" w:sz="8" w:space="0" w:color="FFFFFF"/>
              <w:left w:val="nil"/>
              <w:bottom w:val="single" w:sz="8" w:space="0" w:color="FFFFFF"/>
              <w:right w:val="nil"/>
            </w:tcBorders>
            <w:tcMar>
              <w:top w:w="0" w:type="dxa"/>
              <w:left w:w="0" w:type="dxa"/>
              <w:bottom w:w="0" w:type="dxa"/>
              <w:right w:w="0" w:type="dxa"/>
            </w:tcMar>
            <w:vAlign w:val="bottom"/>
          </w:tcPr>
          <w:p w14:paraId="3CCF1672" w14:textId="77777777" w:rsidR="001614AC" w:rsidRDefault="001614AC">
            <w:pPr>
              <w:keepNext/>
            </w:pPr>
          </w:p>
        </w:tc>
        <w:tc>
          <w:tcPr>
            <w:tcW w:w="2895" w:type="dxa"/>
            <w:gridSpan w:val="10"/>
            <w:tcBorders>
              <w:top w:val="single" w:sz="8" w:space="0" w:color="FFFFFF"/>
              <w:left w:val="nil"/>
              <w:bottom w:val="single" w:sz="8" w:space="0" w:color="C7C9C7"/>
              <w:right w:val="nil"/>
            </w:tcBorders>
            <w:tcMar>
              <w:top w:w="0" w:type="dxa"/>
              <w:left w:w="53" w:type="dxa"/>
              <w:bottom w:w="0" w:type="dxa"/>
              <w:right w:w="53" w:type="dxa"/>
            </w:tcMar>
            <w:vAlign w:val="bottom"/>
          </w:tcPr>
          <w:p w14:paraId="6F9CE65B" w14:textId="77777777" w:rsidR="001614AC" w:rsidRDefault="004468F9">
            <w:pPr>
              <w:keepNext/>
              <w:spacing w:before="55" w:after="30" w:line="288" w:lineRule="auto"/>
              <w:jc w:val="center"/>
            </w:pPr>
            <w:r>
              <w:rPr>
                <w:rFonts w:ascii="Arial" w:eastAsia="Arial" w:hAnsi="Arial" w:cs="Arial"/>
                <w:b/>
                <w:color w:val="000000"/>
                <w:sz w:val="18"/>
              </w:rPr>
              <w:t xml:space="preserve">Less </w:t>
            </w:r>
            <w:r>
              <w:rPr>
                <w:rFonts w:ascii="Arial" w:eastAsia="Arial" w:hAnsi="Arial" w:cs="Arial"/>
                <w:b/>
                <w:color w:val="000000"/>
                <w:sz w:val="18"/>
              </w:rPr>
              <w:t>Than 12 Months</w:t>
            </w:r>
          </w:p>
        </w:tc>
        <w:tc>
          <w:tcPr>
            <w:tcW w:w="75" w:type="dxa"/>
            <w:tcBorders>
              <w:top w:val="single" w:sz="8" w:space="0" w:color="FFFFFF"/>
              <w:left w:val="nil"/>
              <w:bottom w:val="single" w:sz="8" w:space="0" w:color="FFFFFF"/>
              <w:right w:val="nil"/>
            </w:tcBorders>
            <w:tcMar>
              <w:top w:w="0" w:type="dxa"/>
              <w:left w:w="0" w:type="dxa"/>
              <w:bottom w:w="0" w:type="dxa"/>
              <w:right w:w="0" w:type="dxa"/>
            </w:tcMar>
            <w:vAlign w:val="bottom"/>
          </w:tcPr>
          <w:p w14:paraId="713E342E" w14:textId="77777777" w:rsidR="001614AC" w:rsidRDefault="001614AC">
            <w:pPr>
              <w:keepNext/>
            </w:pPr>
          </w:p>
        </w:tc>
        <w:tc>
          <w:tcPr>
            <w:tcW w:w="2820" w:type="dxa"/>
            <w:gridSpan w:val="10"/>
            <w:tcBorders>
              <w:top w:val="single" w:sz="8" w:space="0" w:color="FFFFFF"/>
              <w:left w:val="nil"/>
              <w:bottom w:val="single" w:sz="8" w:space="0" w:color="C7C9C7"/>
              <w:right w:val="nil"/>
            </w:tcBorders>
            <w:tcMar>
              <w:top w:w="0" w:type="dxa"/>
              <w:left w:w="53" w:type="dxa"/>
              <w:bottom w:w="0" w:type="dxa"/>
              <w:right w:w="53" w:type="dxa"/>
            </w:tcMar>
            <w:vAlign w:val="bottom"/>
          </w:tcPr>
          <w:p w14:paraId="7A64C41D" w14:textId="77777777" w:rsidR="001614AC" w:rsidRDefault="004468F9">
            <w:pPr>
              <w:keepNext/>
              <w:spacing w:before="55" w:after="30" w:line="288" w:lineRule="auto"/>
              <w:jc w:val="center"/>
            </w:pPr>
            <w:r>
              <w:rPr>
                <w:rFonts w:ascii="Arial" w:eastAsia="Arial" w:hAnsi="Arial" w:cs="Arial"/>
                <w:b/>
                <w:color w:val="000000"/>
                <w:sz w:val="18"/>
              </w:rPr>
              <w:t>12 Months or Greater</w:t>
            </w:r>
          </w:p>
        </w:tc>
        <w:tc>
          <w:tcPr>
            <w:tcW w:w="75" w:type="dxa"/>
            <w:tcBorders>
              <w:top w:val="single" w:sz="8" w:space="0" w:color="FFFFFF"/>
              <w:left w:val="nil"/>
              <w:bottom w:val="single" w:sz="8" w:space="0" w:color="FFFFFF"/>
              <w:right w:val="nil"/>
            </w:tcBorders>
            <w:tcMar>
              <w:top w:w="0" w:type="dxa"/>
              <w:left w:w="0" w:type="dxa"/>
              <w:bottom w:w="0" w:type="dxa"/>
              <w:right w:w="0" w:type="dxa"/>
            </w:tcMar>
            <w:vAlign w:val="bottom"/>
          </w:tcPr>
          <w:p w14:paraId="06C49309" w14:textId="77777777" w:rsidR="001614AC" w:rsidRDefault="001614AC">
            <w:pPr>
              <w:keepNext/>
            </w:pPr>
          </w:p>
        </w:tc>
        <w:tc>
          <w:tcPr>
            <w:tcW w:w="2895" w:type="dxa"/>
            <w:gridSpan w:val="10"/>
            <w:tcBorders>
              <w:top w:val="single" w:sz="8" w:space="0" w:color="FFFFFF"/>
              <w:left w:val="nil"/>
              <w:bottom w:val="single" w:sz="8" w:space="0" w:color="C7C9C7"/>
              <w:right w:val="nil"/>
            </w:tcBorders>
            <w:tcMar>
              <w:top w:w="0" w:type="dxa"/>
              <w:left w:w="53" w:type="dxa"/>
              <w:bottom w:w="0" w:type="dxa"/>
              <w:right w:w="53" w:type="dxa"/>
            </w:tcMar>
            <w:vAlign w:val="bottom"/>
          </w:tcPr>
          <w:p w14:paraId="3E49758B" w14:textId="77777777" w:rsidR="001614AC" w:rsidRDefault="004468F9">
            <w:pPr>
              <w:keepNext/>
              <w:spacing w:before="55" w:after="30" w:line="288" w:lineRule="auto"/>
              <w:jc w:val="center"/>
            </w:pPr>
            <w:r>
              <w:rPr>
                <w:rFonts w:ascii="Arial" w:eastAsia="Arial" w:hAnsi="Arial" w:cs="Arial"/>
                <w:b/>
                <w:color w:val="000000"/>
                <w:sz w:val="18"/>
              </w:rPr>
              <w:t>Total</w:t>
            </w:r>
          </w:p>
        </w:tc>
      </w:tr>
      <w:tr w:rsidR="001614AC" w14:paraId="638D6A3A" w14:textId="77777777">
        <w:trPr>
          <w:cantSplit/>
        </w:trPr>
        <w:tc>
          <w:tcPr>
            <w:tcW w:w="1245" w:type="dxa"/>
            <w:tcBorders>
              <w:top w:val="nil"/>
              <w:left w:val="nil"/>
              <w:bottom w:val="single" w:sz="8" w:space="0" w:color="C7C9C7"/>
              <w:right w:val="nil"/>
            </w:tcBorders>
            <w:tcMar>
              <w:top w:w="0" w:type="dxa"/>
              <w:left w:w="53" w:type="dxa"/>
              <w:bottom w:w="0" w:type="dxa"/>
              <w:right w:w="53" w:type="dxa"/>
            </w:tcMar>
            <w:vAlign w:val="bottom"/>
          </w:tcPr>
          <w:p w14:paraId="650F5E36" w14:textId="77777777" w:rsidR="001614AC" w:rsidRDefault="004468F9">
            <w:pPr>
              <w:keepNext/>
              <w:spacing w:before="75" w:after="30" w:line="288" w:lineRule="auto"/>
            </w:pPr>
            <w:r>
              <w:rPr>
                <w:rFonts w:ascii="Arial" w:eastAsia="Arial" w:hAnsi="Arial" w:cs="Arial"/>
                <w:b/>
                <w:color w:val="000000"/>
                <w:sz w:val="16"/>
              </w:rPr>
              <w:t>Description of Securities</w:t>
            </w:r>
          </w:p>
        </w:tc>
        <w:tc>
          <w:tcPr>
            <w:tcW w:w="75" w:type="dxa"/>
            <w:tcBorders>
              <w:top w:val="single" w:sz="8" w:space="0" w:color="FFFFFF"/>
              <w:left w:val="nil"/>
              <w:bottom w:val="single" w:sz="8" w:space="0" w:color="C7C9C7"/>
              <w:right w:val="nil"/>
            </w:tcBorders>
            <w:tcMar>
              <w:top w:w="0" w:type="dxa"/>
              <w:left w:w="0" w:type="dxa"/>
              <w:bottom w:w="0" w:type="dxa"/>
              <w:right w:w="0" w:type="dxa"/>
            </w:tcMar>
            <w:vAlign w:val="bottom"/>
          </w:tcPr>
          <w:p w14:paraId="199E3B33" w14:textId="77777777" w:rsidR="001614AC" w:rsidRDefault="001614AC">
            <w:pPr>
              <w:keepNext/>
            </w:pPr>
          </w:p>
        </w:tc>
        <w:tc>
          <w:tcPr>
            <w:tcW w:w="765" w:type="dxa"/>
            <w:gridSpan w:val="2"/>
            <w:tcBorders>
              <w:top w:val="nil"/>
              <w:left w:val="nil"/>
              <w:bottom w:val="single" w:sz="8" w:space="0" w:color="C7C9C7"/>
              <w:right w:val="nil"/>
            </w:tcBorders>
            <w:shd w:val="clear" w:color="auto" w:fill="F4F4F4"/>
            <w:tcMar>
              <w:top w:w="0" w:type="dxa"/>
              <w:left w:w="53" w:type="dxa"/>
              <w:bottom w:w="0" w:type="dxa"/>
              <w:right w:w="53" w:type="dxa"/>
            </w:tcMar>
            <w:vAlign w:val="bottom"/>
          </w:tcPr>
          <w:p w14:paraId="6651D77C" w14:textId="77777777" w:rsidR="001614AC" w:rsidRDefault="004468F9">
            <w:pPr>
              <w:keepNext/>
              <w:spacing w:before="55" w:line="288" w:lineRule="auto"/>
              <w:jc w:val="center"/>
            </w:pPr>
            <w:r>
              <w:rPr>
                <w:rFonts w:ascii="Arial" w:eastAsia="Arial" w:hAnsi="Arial" w:cs="Arial"/>
                <w:b/>
                <w:color w:val="000000"/>
                <w:sz w:val="14"/>
              </w:rPr>
              <w:t># of</w:t>
            </w:r>
          </w:p>
          <w:p w14:paraId="6CC4A695" w14:textId="77777777" w:rsidR="001614AC" w:rsidRDefault="004468F9">
            <w:pPr>
              <w:spacing w:after="30" w:line="288" w:lineRule="auto"/>
              <w:jc w:val="center"/>
            </w:pPr>
            <w:r>
              <w:rPr>
                <w:rFonts w:ascii="Arial" w:eastAsia="Arial" w:hAnsi="Arial" w:cs="Arial"/>
                <w:b/>
                <w:color w:val="000000"/>
                <w:sz w:val="14"/>
              </w:rPr>
              <w:t>securities</w:t>
            </w:r>
          </w:p>
        </w:tc>
        <w:tc>
          <w:tcPr>
            <w:tcW w:w="75" w:type="dxa"/>
            <w:tcBorders>
              <w:top w:val="single" w:sz="8" w:space="0" w:color="C7C9C7"/>
              <w:left w:val="nil"/>
              <w:bottom w:val="single" w:sz="8" w:space="0" w:color="C7C9C7"/>
              <w:right w:val="nil"/>
            </w:tcBorders>
            <w:tcMar>
              <w:top w:w="0" w:type="dxa"/>
              <w:left w:w="0" w:type="dxa"/>
              <w:bottom w:w="0" w:type="dxa"/>
              <w:right w:w="0" w:type="dxa"/>
            </w:tcMar>
            <w:vAlign w:val="bottom"/>
          </w:tcPr>
          <w:p w14:paraId="4F37899B" w14:textId="77777777" w:rsidR="001614AC" w:rsidRDefault="001614AC">
            <w:pPr>
              <w:keepNext/>
            </w:pPr>
          </w:p>
        </w:tc>
        <w:tc>
          <w:tcPr>
            <w:tcW w:w="1080" w:type="dxa"/>
            <w:gridSpan w:val="3"/>
            <w:tcBorders>
              <w:top w:val="single" w:sz="8" w:space="0" w:color="C7C9C7"/>
              <w:left w:val="nil"/>
              <w:bottom w:val="single" w:sz="8" w:space="0" w:color="C7C9C7"/>
              <w:right w:val="nil"/>
            </w:tcBorders>
            <w:shd w:val="clear" w:color="auto" w:fill="F4F4F4"/>
            <w:tcMar>
              <w:top w:w="0" w:type="dxa"/>
              <w:left w:w="53" w:type="dxa"/>
              <w:bottom w:w="0" w:type="dxa"/>
              <w:right w:w="53" w:type="dxa"/>
            </w:tcMar>
            <w:vAlign w:val="bottom"/>
          </w:tcPr>
          <w:p w14:paraId="20A6D34E" w14:textId="77777777" w:rsidR="001614AC" w:rsidRDefault="004468F9">
            <w:pPr>
              <w:keepNext/>
              <w:spacing w:before="55" w:after="30" w:line="288" w:lineRule="auto"/>
              <w:jc w:val="center"/>
            </w:pPr>
            <w:r>
              <w:rPr>
                <w:rFonts w:ascii="Arial" w:eastAsia="Arial" w:hAnsi="Arial" w:cs="Arial"/>
                <w:b/>
                <w:color w:val="000000"/>
                <w:sz w:val="14"/>
              </w:rPr>
              <w:t>Fair Value</w:t>
            </w:r>
          </w:p>
        </w:tc>
        <w:tc>
          <w:tcPr>
            <w:tcW w:w="75" w:type="dxa"/>
            <w:tcBorders>
              <w:top w:val="single" w:sz="8" w:space="0" w:color="C7C9C7"/>
              <w:left w:val="nil"/>
              <w:bottom w:val="single" w:sz="8" w:space="0" w:color="C7C9C7"/>
              <w:right w:val="nil"/>
            </w:tcBorders>
            <w:tcMar>
              <w:top w:w="0" w:type="dxa"/>
              <w:left w:w="0" w:type="dxa"/>
              <w:bottom w:w="0" w:type="dxa"/>
              <w:right w:w="0" w:type="dxa"/>
            </w:tcMar>
            <w:vAlign w:val="bottom"/>
          </w:tcPr>
          <w:p w14:paraId="3B052291" w14:textId="77777777" w:rsidR="001614AC" w:rsidRDefault="001614AC">
            <w:pPr>
              <w:keepNext/>
            </w:pPr>
          </w:p>
        </w:tc>
        <w:tc>
          <w:tcPr>
            <w:tcW w:w="900" w:type="dxa"/>
            <w:gridSpan w:val="3"/>
            <w:tcBorders>
              <w:top w:val="single" w:sz="8" w:space="0" w:color="C7C9C7"/>
              <w:left w:val="nil"/>
              <w:bottom w:val="single" w:sz="8" w:space="0" w:color="C7C9C7"/>
              <w:right w:val="nil"/>
            </w:tcBorders>
            <w:shd w:val="clear" w:color="auto" w:fill="F4F4F4"/>
            <w:tcMar>
              <w:top w:w="0" w:type="dxa"/>
              <w:left w:w="53" w:type="dxa"/>
              <w:bottom w:w="0" w:type="dxa"/>
              <w:right w:w="53" w:type="dxa"/>
            </w:tcMar>
            <w:vAlign w:val="bottom"/>
          </w:tcPr>
          <w:p w14:paraId="4F0BD63D" w14:textId="77777777" w:rsidR="001614AC" w:rsidRDefault="004468F9">
            <w:pPr>
              <w:keepNext/>
              <w:spacing w:before="55" w:line="288" w:lineRule="auto"/>
              <w:jc w:val="center"/>
            </w:pPr>
            <w:r>
              <w:rPr>
                <w:rFonts w:ascii="Arial" w:eastAsia="Arial" w:hAnsi="Arial" w:cs="Arial"/>
                <w:b/>
                <w:color w:val="000000"/>
                <w:sz w:val="14"/>
              </w:rPr>
              <w:t>Unrealized</w:t>
            </w:r>
          </w:p>
          <w:p w14:paraId="1426B988" w14:textId="77777777" w:rsidR="001614AC" w:rsidRDefault="004468F9">
            <w:pPr>
              <w:spacing w:after="30" w:line="288" w:lineRule="auto"/>
              <w:jc w:val="center"/>
            </w:pPr>
            <w:r>
              <w:rPr>
                <w:rFonts w:ascii="Arial" w:eastAsia="Arial" w:hAnsi="Arial" w:cs="Arial"/>
                <w:b/>
                <w:color w:val="000000"/>
                <w:sz w:val="14"/>
              </w:rPr>
              <w:t>Losses</w:t>
            </w:r>
          </w:p>
        </w:tc>
        <w:tc>
          <w:tcPr>
            <w:tcW w:w="75" w:type="dxa"/>
            <w:tcBorders>
              <w:top w:val="single" w:sz="8" w:space="0" w:color="FFFFFF"/>
              <w:left w:val="nil"/>
              <w:bottom w:val="single" w:sz="8" w:space="0" w:color="C7C9C7"/>
              <w:right w:val="nil"/>
            </w:tcBorders>
            <w:tcMar>
              <w:top w:w="0" w:type="dxa"/>
              <w:left w:w="0" w:type="dxa"/>
              <w:bottom w:w="0" w:type="dxa"/>
              <w:right w:w="0" w:type="dxa"/>
            </w:tcMar>
            <w:vAlign w:val="bottom"/>
          </w:tcPr>
          <w:p w14:paraId="2CA841F1" w14:textId="77777777" w:rsidR="001614AC" w:rsidRDefault="001614AC">
            <w:pPr>
              <w:keepNext/>
            </w:pPr>
          </w:p>
        </w:tc>
        <w:tc>
          <w:tcPr>
            <w:tcW w:w="765" w:type="dxa"/>
            <w:gridSpan w:val="2"/>
            <w:tcBorders>
              <w:top w:val="nil"/>
              <w:left w:val="nil"/>
              <w:bottom w:val="single" w:sz="8" w:space="0" w:color="C7C9C7"/>
              <w:right w:val="nil"/>
            </w:tcBorders>
            <w:shd w:val="clear" w:color="auto" w:fill="F4F4F4"/>
            <w:tcMar>
              <w:top w:w="0" w:type="dxa"/>
              <w:left w:w="53" w:type="dxa"/>
              <w:bottom w:w="0" w:type="dxa"/>
              <w:right w:w="53" w:type="dxa"/>
            </w:tcMar>
            <w:vAlign w:val="bottom"/>
          </w:tcPr>
          <w:p w14:paraId="4DF6827B" w14:textId="77777777" w:rsidR="001614AC" w:rsidRDefault="004468F9">
            <w:pPr>
              <w:keepNext/>
              <w:spacing w:before="55" w:line="288" w:lineRule="auto"/>
              <w:jc w:val="center"/>
            </w:pPr>
            <w:r>
              <w:rPr>
                <w:rFonts w:ascii="Arial" w:eastAsia="Arial" w:hAnsi="Arial" w:cs="Arial"/>
                <w:b/>
                <w:color w:val="000000"/>
                <w:sz w:val="14"/>
              </w:rPr>
              <w:t># of</w:t>
            </w:r>
          </w:p>
          <w:p w14:paraId="04F890EA" w14:textId="77777777" w:rsidR="001614AC" w:rsidRDefault="004468F9">
            <w:pPr>
              <w:spacing w:after="30" w:line="288" w:lineRule="auto"/>
              <w:jc w:val="center"/>
            </w:pPr>
            <w:r>
              <w:rPr>
                <w:rFonts w:ascii="Arial" w:eastAsia="Arial" w:hAnsi="Arial" w:cs="Arial"/>
                <w:b/>
                <w:color w:val="000000"/>
                <w:sz w:val="14"/>
              </w:rPr>
              <w:t>securities</w:t>
            </w:r>
          </w:p>
        </w:tc>
        <w:tc>
          <w:tcPr>
            <w:tcW w:w="75" w:type="dxa"/>
            <w:tcBorders>
              <w:top w:val="single" w:sz="8" w:space="0" w:color="C7C9C7"/>
              <w:left w:val="nil"/>
              <w:bottom w:val="single" w:sz="8" w:space="0" w:color="C7C9C7"/>
              <w:right w:val="nil"/>
            </w:tcBorders>
            <w:tcMar>
              <w:top w:w="0" w:type="dxa"/>
              <w:left w:w="0" w:type="dxa"/>
              <w:bottom w:w="0" w:type="dxa"/>
              <w:right w:w="0" w:type="dxa"/>
            </w:tcMar>
            <w:vAlign w:val="bottom"/>
          </w:tcPr>
          <w:p w14:paraId="4EDC0785" w14:textId="77777777" w:rsidR="001614AC" w:rsidRDefault="001614AC">
            <w:pPr>
              <w:keepNext/>
            </w:pPr>
          </w:p>
        </w:tc>
        <w:tc>
          <w:tcPr>
            <w:tcW w:w="1005" w:type="dxa"/>
            <w:gridSpan w:val="3"/>
            <w:tcBorders>
              <w:top w:val="single" w:sz="8" w:space="0" w:color="C7C9C7"/>
              <w:left w:val="nil"/>
              <w:bottom w:val="single" w:sz="8" w:space="0" w:color="C7C9C7"/>
              <w:right w:val="nil"/>
            </w:tcBorders>
            <w:shd w:val="clear" w:color="auto" w:fill="F4F4F4"/>
            <w:tcMar>
              <w:top w:w="0" w:type="dxa"/>
              <w:left w:w="53" w:type="dxa"/>
              <w:bottom w:w="0" w:type="dxa"/>
              <w:right w:w="53" w:type="dxa"/>
            </w:tcMar>
            <w:vAlign w:val="bottom"/>
          </w:tcPr>
          <w:p w14:paraId="6A196117" w14:textId="77777777" w:rsidR="001614AC" w:rsidRDefault="004468F9">
            <w:pPr>
              <w:keepNext/>
              <w:spacing w:before="55" w:after="30" w:line="288" w:lineRule="auto"/>
              <w:jc w:val="center"/>
            </w:pPr>
            <w:r>
              <w:rPr>
                <w:rFonts w:ascii="Arial" w:eastAsia="Arial" w:hAnsi="Arial" w:cs="Arial"/>
                <w:b/>
                <w:color w:val="000000"/>
                <w:sz w:val="14"/>
              </w:rPr>
              <w:t>Fair Value</w:t>
            </w:r>
          </w:p>
        </w:tc>
        <w:tc>
          <w:tcPr>
            <w:tcW w:w="75" w:type="dxa"/>
            <w:tcBorders>
              <w:top w:val="single" w:sz="8" w:space="0" w:color="C7C9C7"/>
              <w:left w:val="nil"/>
              <w:bottom w:val="single" w:sz="8" w:space="0" w:color="C7C9C7"/>
              <w:right w:val="nil"/>
            </w:tcBorders>
            <w:tcMar>
              <w:top w:w="0" w:type="dxa"/>
              <w:left w:w="0" w:type="dxa"/>
              <w:bottom w:w="0" w:type="dxa"/>
              <w:right w:w="0" w:type="dxa"/>
            </w:tcMar>
            <w:vAlign w:val="bottom"/>
          </w:tcPr>
          <w:p w14:paraId="6AAE9F25" w14:textId="77777777" w:rsidR="001614AC" w:rsidRDefault="001614AC">
            <w:pPr>
              <w:keepNext/>
            </w:pPr>
          </w:p>
        </w:tc>
        <w:tc>
          <w:tcPr>
            <w:tcW w:w="900" w:type="dxa"/>
            <w:gridSpan w:val="3"/>
            <w:tcBorders>
              <w:top w:val="single" w:sz="8" w:space="0" w:color="C7C9C7"/>
              <w:left w:val="nil"/>
              <w:bottom w:val="single" w:sz="8" w:space="0" w:color="C7C9C7"/>
              <w:right w:val="nil"/>
            </w:tcBorders>
            <w:shd w:val="clear" w:color="auto" w:fill="F4F4F4"/>
            <w:tcMar>
              <w:top w:w="0" w:type="dxa"/>
              <w:left w:w="53" w:type="dxa"/>
              <w:bottom w:w="0" w:type="dxa"/>
              <w:right w:w="53" w:type="dxa"/>
            </w:tcMar>
            <w:vAlign w:val="bottom"/>
          </w:tcPr>
          <w:p w14:paraId="481C4EF1" w14:textId="77777777" w:rsidR="001614AC" w:rsidRDefault="004468F9">
            <w:pPr>
              <w:keepNext/>
              <w:spacing w:before="55" w:line="288" w:lineRule="auto"/>
              <w:jc w:val="center"/>
            </w:pPr>
            <w:r>
              <w:rPr>
                <w:rFonts w:ascii="Arial" w:eastAsia="Arial" w:hAnsi="Arial" w:cs="Arial"/>
                <w:b/>
                <w:color w:val="000000"/>
                <w:sz w:val="14"/>
              </w:rPr>
              <w:t>Unrealized</w:t>
            </w:r>
          </w:p>
          <w:p w14:paraId="010D611A" w14:textId="77777777" w:rsidR="001614AC" w:rsidRDefault="004468F9">
            <w:pPr>
              <w:spacing w:after="30" w:line="288" w:lineRule="auto"/>
              <w:jc w:val="center"/>
            </w:pPr>
            <w:r>
              <w:rPr>
                <w:rFonts w:ascii="Arial" w:eastAsia="Arial" w:hAnsi="Arial" w:cs="Arial"/>
                <w:b/>
                <w:color w:val="000000"/>
                <w:sz w:val="14"/>
              </w:rPr>
              <w:t>Losses</w:t>
            </w:r>
          </w:p>
        </w:tc>
        <w:tc>
          <w:tcPr>
            <w:tcW w:w="75" w:type="dxa"/>
            <w:tcBorders>
              <w:top w:val="single" w:sz="8" w:space="0" w:color="FFFFFF"/>
              <w:left w:val="nil"/>
              <w:bottom w:val="single" w:sz="8" w:space="0" w:color="C7C9C7"/>
              <w:right w:val="nil"/>
            </w:tcBorders>
            <w:tcMar>
              <w:top w:w="0" w:type="dxa"/>
              <w:left w:w="0" w:type="dxa"/>
              <w:bottom w:w="0" w:type="dxa"/>
              <w:right w:w="0" w:type="dxa"/>
            </w:tcMar>
            <w:vAlign w:val="bottom"/>
          </w:tcPr>
          <w:p w14:paraId="7952C4FC" w14:textId="77777777" w:rsidR="001614AC" w:rsidRDefault="001614AC">
            <w:pPr>
              <w:keepNext/>
            </w:pPr>
          </w:p>
        </w:tc>
        <w:tc>
          <w:tcPr>
            <w:tcW w:w="765" w:type="dxa"/>
            <w:gridSpan w:val="2"/>
            <w:tcBorders>
              <w:top w:val="nil"/>
              <w:left w:val="nil"/>
              <w:bottom w:val="single" w:sz="8" w:space="0" w:color="C7C9C7"/>
              <w:right w:val="nil"/>
            </w:tcBorders>
            <w:shd w:val="clear" w:color="auto" w:fill="F4F4F4"/>
            <w:tcMar>
              <w:top w:w="0" w:type="dxa"/>
              <w:left w:w="53" w:type="dxa"/>
              <w:bottom w:w="0" w:type="dxa"/>
              <w:right w:w="53" w:type="dxa"/>
            </w:tcMar>
            <w:vAlign w:val="bottom"/>
          </w:tcPr>
          <w:p w14:paraId="775BEDA2" w14:textId="77777777" w:rsidR="001614AC" w:rsidRDefault="004468F9">
            <w:pPr>
              <w:keepNext/>
              <w:spacing w:before="55" w:line="288" w:lineRule="auto"/>
              <w:jc w:val="center"/>
            </w:pPr>
            <w:r>
              <w:rPr>
                <w:rFonts w:ascii="Arial" w:eastAsia="Arial" w:hAnsi="Arial" w:cs="Arial"/>
                <w:b/>
                <w:color w:val="000000"/>
                <w:sz w:val="14"/>
              </w:rPr>
              <w:t># of</w:t>
            </w:r>
          </w:p>
          <w:p w14:paraId="1CB84F6C" w14:textId="77777777" w:rsidR="001614AC" w:rsidRDefault="004468F9">
            <w:pPr>
              <w:spacing w:after="30" w:line="288" w:lineRule="auto"/>
              <w:jc w:val="center"/>
            </w:pPr>
            <w:r>
              <w:rPr>
                <w:rFonts w:ascii="Arial" w:eastAsia="Arial" w:hAnsi="Arial" w:cs="Arial"/>
                <w:b/>
                <w:color w:val="000000"/>
                <w:sz w:val="14"/>
              </w:rPr>
              <w:t>securities</w:t>
            </w:r>
          </w:p>
        </w:tc>
        <w:tc>
          <w:tcPr>
            <w:tcW w:w="75" w:type="dxa"/>
            <w:tcBorders>
              <w:top w:val="single" w:sz="8" w:space="0" w:color="C7C9C7"/>
              <w:left w:val="nil"/>
              <w:bottom w:val="single" w:sz="8" w:space="0" w:color="C7C9C7"/>
              <w:right w:val="nil"/>
            </w:tcBorders>
            <w:tcMar>
              <w:top w:w="0" w:type="dxa"/>
              <w:left w:w="0" w:type="dxa"/>
              <w:bottom w:w="0" w:type="dxa"/>
              <w:right w:w="0" w:type="dxa"/>
            </w:tcMar>
            <w:vAlign w:val="bottom"/>
          </w:tcPr>
          <w:p w14:paraId="65CBA78B" w14:textId="77777777" w:rsidR="001614AC" w:rsidRDefault="001614AC">
            <w:pPr>
              <w:keepNext/>
            </w:pPr>
          </w:p>
        </w:tc>
        <w:tc>
          <w:tcPr>
            <w:tcW w:w="1080" w:type="dxa"/>
            <w:gridSpan w:val="3"/>
            <w:tcBorders>
              <w:top w:val="single" w:sz="8" w:space="0" w:color="C7C9C7"/>
              <w:left w:val="nil"/>
              <w:bottom w:val="single" w:sz="8" w:space="0" w:color="C7C9C7"/>
              <w:right w:val="nil"/>
            </w:tcBorders>
            <w:shd w:val="clear" w:color="auto" w:fill="F4F4F4"/>
            <w:tcMar>
              <w:top w:w="0" w:type="dxa"/>
              <w:left w:w="53" w:type="dxa"/>
              <w:bottom w:w="0" w:type="dxa"/>
              <w:right w:w="53" w:type="dxa"/>
            </w:tcMar>
            <w:vAlign w:val="bottom"/>
          </w:tcPr>
          <w:p w14:paraId="50E75A02" w14:textId="77777777" w:rsidR="001614AC" w:rsidRDefault="004468F9">
            <w:pPr>
              <w:keepNext/>
              <w:spacing w:before="55" w:after="30" w:line="288" w:lineRule="auto"/>
              <w:jc w:val="center"/>
            </w:pPr>
            <w:r>
              <w:rPr>
                <w:rFonts w:ascii="Arial" w:eastAsia="Arial" w:hAnsi="Arial" w:cs="Arial"/>
                <w:b/>
                <w:color w:val="000000"/>
                <w:sz w:val="14"/>
              </w:rPr>
              <w:t>Fair Value</w:t>
            </w:r>
          </w:p>
        </w:tc>
        <w:tc>
          <w:tcPr>
            <w:tcW w:w="75" w:type="dxa"/>
            <w:tcBorders>
              <w:top w:val="single" w:sz="8" w:space="0" w:color="C7C9C7"/>
              <w:left w:val="nil"/>
              <w:bottom w:val="single" w:sz="8" w:space="0" w:color="C7C9C7"/>
              <w:right w:val="nil"/>
            </w:tcBorders>
            <w:tcMar>
              <w:top w:w="0" w:type="dxa"/>
              <w:left w:w="0" w:type="dxa"/>
              <w:bottom w:w="0" w:type="dxa"/>
              <w:right w:w="0" w:type="dxa"/>
            </w:tcMar>
            <w:vAlign w:val="bottom"/>
          </w:tcPr>
          <w:p w14:paraId="5674E8C0" w14:textId="77777777" w:rsidR="001614AC" w:rsidRDefault="001614AC">
            <w:pPr>
              <w:keepNext/>
            </w:pPr>
          </w:p>
        </w:tc>
        <w:tc>
          <w:tcPr>
            <w:tcW w:w="900" w:type="dxa"/>
            <w:gridSpan w:val="3"/>
            <w:tcBorders>
              <w:top w:val="single" w:sz="8" w:space="0" w:color="C7C9C7"/>
              <w:left w:val="nil"/>
              <w:bottom w:val="single" w:sz="8" w:space="0" w:color="C7C9C7"/>
              <w:right w:val="nil"/>
            </w:tcBorders>
            <w:shd w:val="clear" w:color="auto" w:fill="F4F4F4"/>
            <w:tcMar>
              <w:top w:w="0" w:type="dxa"/>
              <w:left w:w="53" w:type="dxa"/>
              <w:bottom w:w="0" w:type="dxa"/>
              <w:right w:w="53" w:type="dxa"/>
            </w:tcMar>
            <w:vAlign w:val="bottom"/>
          </w:tcPr>
          <w:p w14:paraId="5E11E869" w14:textId="77777777" w:rsidR="001614AC" w:rsidRDefault="004468F9">
            <w:pPr>
              <w:keepNext/>
              <w:spacing w:before="55" w:line="288" w:lineRule="auto"/>
              <w:jc w:val="center"/>
            </w:pPr>
            <w:r>
              <w:rPr>
                <w:rFonts w:ascii="Arial" w:eastAsia="Arial" w:hAnsi="Arial" w:cs="Arial"/>
                <w:b/>
                <w:color w:val="000000"/>
                <w:sz w:val="14"/>
              </w:rPr>
              <w:t>Unrealized</w:t>
            </w:r>
          </w:p>
          <w:p w14:paraId="700DFC1A" w14:textId="77777777" w:rsidR="001614AC" w:rsidRDefault="004468F9">
            <w:pPr>
              <w:spacing w:after="30" w:line="288" w:lineRule="auto"/>
              <w:jc w:val="center"/>
            </w:pPr>
            <w:r>
              <w:rPr>
                <w:rFonts w:ascii="Arial" w:eastAsia="Arial" w:hAnsi="Arial" w:cs="Arial"/>
                <w:b/>
                <w:color w:val="000000"/>
                <w:sz w:val="14"/>
              </w:rPr>
              <w:t>Losses</w:t>
            </w:r>
          </w:p>
        </w:tc>
      </w:tr>
      <w:tr w:rsidR="001614AC" w14:paraId="09286095" w14:textId="77777777">
        <w:trPr>
          <w:cantSplit/>
        </w:trPr>
        <w:tc>
          <w:tcPr>
            <w:tcW w:w="1245" w:type="dxa"/>
            <w:tcBorders>
              <w:top w:val="single" w:sz="8" w:space="0" w:color="C7C9C7"/>
              <w:left w:val="nil"/>
              <w:bottom w:val="single" w:sz="8" w:space="0" w:color="E9E9E9"/>
              <w:right w:val="nil"/>
            </w:tcBorders>
            <w:tcMar>
              <w:top w:w="0" w:type="dxa"/>
              <w:left w:w="53" w:type="dxa"/>
              <w:bottom w:w="0" w:type="dxa"/>
              <w:right w:w="53" w:type="dxa"/>
            </w:tcMar>
            <w:vAlign w:val="bottom"/>
          </w:tcPr>
          <w:p w14:paraId="43312BC8" w14:textId="77777777" w:rsidR="001614AC" w:rsidRDefault="004468F9">
            <w:pPr>
              <w:keepNext/>
              <w:spacing w:before="55" w:after="30" w:line="288" w:lineRule="auto"/>
            </w:pPr>
            <w:r>
              <w:rPr>
                <w:rFonts w:ascii="Arial" w:eastAsia="Arial" w:hAnsi="Arial" w:cs="Arial"/>
                <w:color w:val="000000"/>
                <w:sz w:val="18"/>
              </w:rPr>
              <w:t>U.S. government and agency securities</w:t>
            </w:r>
          </w:p>
        </w:tc>
        <w:tc>
          <w:tcPr>
            <w:tcW w:w="75" w:type="dxa"/>
            <w:tcBorders>
              <w:top w:val="single" w:sz="8" w:space="0" w:color="C7C9C7"/>
              <w:left w:val="nil"/>
              <w:bottom w:val="nil"/>
              <w:right w:val="nil"/>
            </w:tcBorders>
            <w:tcMar>
              <w:top w:w="0" w:type="dxa"/>
              <w:left w:w="0" w:type="dxa"/>
              <w:bottom w:w="0" w:type="dxa"/>
              <w:right w:w="0" w:type="dxa"/>
            </w:tcMar>
            <w:vAlign w:val="bottom"/>
          </w:tcPr>
          <w:p w14:paraId="50696309" w14:textId="77777777" w:rsidR="001614AC" w:rsidRDefault="001614AC">
            <w:pPr>
              <w:keepNext/>
            </w:pPr>
          </w:p>
        </w:tc>
        <w:tc>
          <w:tcPr>
            <w:tcW w:w="665" w:type="dxa"/>
            <w:tcBorders>
              <w:top w:val="single" w:sz="8" w:space="0" w:color="C7C9C7"/>
              <w:left w:val="nil"/>
              <w:bottom w:val="single" w:sz="8" w:space="0" w:color="E9E9E9"/>
              <w:right w:val="nil"/>
            </w:tcBorders>
            <w:tcMar>
              <w:top w:w="0" w:type="dxa"/>
              <w:left w:w="53" w:type="dxa"/>
              <w:bottom w:w="0" w:type="dxa"/>
              <w:right w:w="0" w:type="dxa"/>
            </w:tcMar>
            <w:vAlign w:val="bottom"/>
          </w:tcPr>
          <w:p w14:paraId="76091FC4" w14:textId="77777777" w:rsidR="001614AC" w:rsidRDefault="004468F9">
            <w:pPr>
              <w:keepNext/>
              <w:spacing w:before="55" w:after="30" w:line="288" w:lineRule="auto"/>
              <w:jc w:val="right"/>
            </w:pPr>
            <w:r>
              <w:rPr>
                <w:rFonts w:ascii="Arial" w:eastAsia="Arial" w:hAnsi="Arial" w:cs="Arial"/>
                <w:color w:val="000000"/>
                <w:sz w:val="18"/>
              </w:rPr>
              <w:t>6 </w:t>
            </w:r>
          </w:p>
        </w:tc>
        <w:tc>
          <w:tcPr>
            <w:tcW w:w="100" w:type="dxa"/>
            <w:tcBorders>
              <w:top w:val="single" w:sz="8" w:space="0" w:color="C7C9C7"/>
              <w:left w:val="nil"/>
              <w:bottom w:val="single" w:sz="8" w:space="0" w:color="E9E9E9"/>
              <w:right w:val="nil"/>
            </w:tcBorders>
            <w:tcMar>
              <w:top w:w="0" w:type="dxa"/>
              <w:left w:w="0" w:type="dxa"/>
              <w:bottom w:w="0" w:type="dxa"/>
              <w:right w:w="15" w:type="dxa"/>
            </w:tcMar>
            <w:vAlign w:val="bottom"/>
          </w:tcPr>
          <w:p w14:paraId="571497B1" w14:textId="77777777" w:rsidR="001614AC" w:rsidRDefault="001614AC">
            <w:pPr>
              <w:keepNext/>
              <w:spacing w:before="55" w:after="30" w:line="288" w:lineRule="auto"/>
              <w:jc w:val="right"/>
            </w:pPr>
          </w:p>
        </w:tc>
        <w:tc>
          <w:tcPr>
            <w:tcW w:w="75" w:type="dxa"/>
            <w:tcBorders>
              <w:top w:val="single" w:sz="8" w:space="0" w:color="C7C9C7"/>
              <w:left w:val="nil"/>
              <w:bottom w:val="nil"/>
              <w:right w:val="nil"/>
            </w:tcBorders>
            <w:tcMar>
              <w:top w:w="0" w:type="dxa"/>
              <w:left w:w="0" w:type="dxa"/>
              <w:bottom w:w="0" w:type="dxa"/>
              <w:right w:w="0" w:type="dxa"/>
            </w:tcMar>
            <w:vAlign w:val="bottom"/>
          </w:tcPr>
          <w:p w14:paraId="4C0C33F2" w14:textId="77777777" w:rsidR="001614AC" w:rsidRDefault="001614AC">
            <w:pPr>
              <w:keepNext/>
            </w:pPr>
          </w:p>
        </w:tc>
        <w:tc>
          <w:tcPr>
            <w:tcW w:w="160" w:type="dxa"/>
            <w:tcBorders>
              <w:top w:val="single" w:sz="8" w:space="0" w:color="C7C9C7"/>
              <w:left w:val="nil"/>
              <w:bottom w:val="single" w:sz="8" w:space="0" w:color="E9E9E9"/>
              <w:right w:val="nil"/>
            </w:tcBorders>
            <w:tcMar>
              <w:top w:w="0" w:type="dxa"/>
              <w:left w:w="53" w:type="dxa"/>
              <w:bottom w:w="0" w:type="dxa"/>
              <w:right w:w="0" w:type="dxa"/>
            </w:tcMar>
            <w:vAlign w:val="bottom"/>
          </w:tcPr>
          <w:p w14:paraId="0B31B22B" w14:textId="77777777" w:rsidR="001614AC" w:rsidRDefault="004468F9">
            <w:pPr>
              <w:keepNext/>
              <w:spacing w:before="55" w:after="30" w:line="288" w:lineRule="auto"/>
            </w:pPr>
            <w:r>
              <w:rPr>
                <w:rFonts w:ascii="Arial" w:eastAsia="Arial" w:hAnsi="Arial" w:cs="Arial"/>
                <w:color w:val="000000"/>
                <w:sz w:val="18"/>
              </w:rPr>
              <w:t>$</w:t>
            </w:r>
          </w:p>
        </w:tc>
        <w:tc>
          <w:tcPr>
            <w:tcW w:w="820" w:type="dxa"/>
            <w:tcBorders>
              <w:top w:val="single" w:sz="8" w:space="0" w:color="C7C9C7"/>
              <w:left w:val="nil"/>
              <w:bottom w:val="single" w:sz="8" w:space="0" w:color="E9E9E9"/>
              <w:right w:val="nil"/>
            </w:tcBorders>
            <w:tcMar>
              <w:top w:w="0" w:type="dxa"/>
              <w:left w:w="0" w:type="dxa"/>
              <w:bottom w:w="0" w:type="dxa"/>
              <w:right w:w="0" w:type="dxa"/>
            </w:tcMar>
            <w:vAlign w:val="bottom"/>
          </w:tcPr>
          <w:p w14:paraId="0C8CDAA4" w14:textId="77777777" w:rsidR="001614AC" w:rsidRDefault="004468F9">
            <w:pPr>
              <w:keepNext/>
              <w:spacing w:before="55" w:after="30" w:line="288" w:lineRule="auto"/>
              <w:jc w:val="right"/>
            </w:pPr>
            <w:r>
              <w:rPr>
                <w:rFonts w:ascii="Arial" w:eastAsia="Arial" w:hAnsi="Arial" w:cs="Arial"/>
                <w:color w:val="000000"/>
                <w:sz w:val="18"/>
              </w:rPr>
              <w:t>59,708 </w:t>
            </w:r>
          </w:p>
        </w:tc>
        <w:tc>
          <w:tcPr>
            <w:tcW w:w="100" w:type="dxa"/>
            <w:tcBorders>
              <w:top w:val="single" w:sz="8" w:space="0" w:color="C7C9C7"/>
              <w:left w:val="nil"/>
              <w:bottom w:val="single" w:sz="8" w:space="0" w:color="E9E9E9"/>
              <w:right w:val="nil"/>
            </w:tcBorders>
            <w:tcMar>
              <w:top w:w="0" w:type="dxa"/>
              <w:left w:w="0" w:type="dxa"/>
              <w:bottom w:w="0" w:type="dxa"/>
              <w:right w:w="15" w:type="dxa"/>
            </w:tcMar>
            <w:vAlign w:val="bottom"/>
          </w:tcPr>
          <w:p w14:paraId="12AC6FD7" w14:textId="77777777" w:rsidR="001614AC" w:rsidRDefault="001614AC">
            <w:pPr>
              <w:keepNext/>
              <w:spacing w:before="55" w:after="30" w:line="288" w:lineRule="auto"/>
              <w:jc w:val="right"/>
            </w:pPr>
          </w:p>
        </w:tc>
        <w:tc>
          <w:tcPr>
            <w:tcW w:w="75" w:type="dxa"/>
            <w:tcBorders>
              <w:top w:val="single" w:sz="8" w:space="0" w:color="C7C9C7"/>
              <w:left w:val="nil"/>
              <w:bottom w:val="nil"/>
              <w:right w:val="nil"/>
            </w:tcBorders>
            <w:tcMar>
              <w:top w:w="0" w:type="dxa"/>
              <w:left w:w="0" w:type="dxa"/>
              <w:bottom w:w="0" w:type="dxa"/>
              <w:right w:w="0" w:type="dxa"/>
            </w:tcMar>
            <w:vAlign w:val="bottom"/>
          </w:tcPr>
          <w:p w14:paraId="7C4B4FA9" w14:textId="77777777" w:rsidR="001614AC" w:rsidRDefault="001614AC">
            <w:pPr>
              <w:keepNext/>
            </w:pPr>
          </w:p>
        </w:tc>
        <w:tc>
          <w:tcPr>
            <w:tcW w:w="160" w:type="dxa"/>
            <w:tcBorders>
              <w:top w:val="single" w:sz="8" w:space="0" w:color="C7C9C7"/>
              <w:left w:val="nil"/>
              <w:bottom w:val="single" w:sz="8" w:space="0" w:color="E9E9E9"/>
              <w:right w:val="nil"/>
            </w:tcBorders>
            <w:tcMar>
              <w:top w:w="0" w:type="dxa"/>
              <w:left w:w="53" w:type="dxa"/>
              <w:bottom w:w="0" w:type="dxa"/>
              <w:right w:w="0" w:type="dxa"/>
            </w:tcMar>
            <w:vAlign w:val="bottom"/>
          </w:tcPr>
          <w:p w14:paraId="703C0E50" w14:textId="77777777" w:rsidR="001614AC" w:rsidRDefault="004468F9">
            <w:pPr>
              <w:keepNext/>
              <w:spacing w:before="55" w:after="30" w:line="288" w:lineRule="auto"/>
            </w:pPr>
            <w:r>
              <w:rPr>
                <w:rFonts w:ascii="Arial" w:eastAsia="Arial" w:hAnsi="Arial" w:cs="Arial"/>
                <w:color w:val="000000"/>
                <w:sz w:val="18"/>
              </w:rPr>
              <w:t>$</w:t>
            </w:r>
          </w:p>
        </w:tc>
        <w:tc>
          <w:tcPr>
            <w:tcW w:w="640" w:type="dxa"/>
            <w:tcBorders>
              <w:top w:val="single" w:sz="8" w:space="0" w:color="C7C9C7"/>
              <w:left w:val="nil"/>
              <w:bottom w:val="single" w:sz="8" w:space="0" w:color="E9E9E9"/>
              <w:right w:val="nil"/>
            </w:tcBorders>
            <w:tcMar>
              <w:top w:w="0" w:type="dxa"/>
              <w:left w:w="0" w:type="dxa"/>
              <w:bottom w:w="0" w:type="dxa"/>
              <w:right w:w="0" w:type="dxa"/>
            </w:tcMar>
            <w:vAlign w:val="bottom"/>
          </w:tcPr>
          <w:p w14:paraId="4AFE0015" w14:textId="77777777" w:rsidR="001614AC" w:rsidRDefault="004468F9">
            <w:pPr>
              <w:keepNext/>
              <w:spacing w:before="55" w:after="30" w:line="288" w:lineRule="auto"/>
              <w:jc w:val="right"/>
            </w:pPr>
            <w:r>
              <w:rPr>
                <w:rFonts w:ascii="Arial" w:eastAsia="Arial" w:hAnsi="Arial" w:cs="Arial"/>
                <w:color w:val="000000"/>
                <w:sz w:val="18"/>
              </w:rPr>
              <w:t>(902)</w:t>
            </w:r>
          </w:p>
        </w:tc>
        <w:tc>
          <w:tcPr>
            <w:tcW w:w="100" w:type="dxa"/>
            <w:tcBorders>
              <w:top w:val="single" w:sz="8" w:space="0" w:color="C7C9C7"/>
              <w:left w:val="nil"/>
              <w:bottom w:val="single" w:sz="8" w:space="0" w:color="E9E9E9"/>
              <w:right w:val="nil"/>
            </w:tcBorders>
            <w:tcMar>
              <w:top w:w="0" w:type="dxa"/>
              <w:left w:w="0" w:type="dxa"/>
              <w:bottom w:w="0" w:type="dxa"/>
              <w:right w:w="15" w:type="dxa"/>
            </w:tcMar>
            <w:vAlign w:val="bottom"/>
          </w:tcPr>
          <w:p w14:paraId="0D560A90" w14:textId="77777777" w:rsidR="001614AC" w:rsidRDefault="001614AC">
            <w:pPr>
              <w:keepNext/>
              <w:spacing w:before="55" w:after="30" w:line="288" w:lineRule="auto"/>
              <w:jc w:val="right"/>
            </w:pPr>
          </w:p>
        </w:tc>
        <w:tc>
          <w:tcPr>
            <w:tcW w:w="75" w:type="dxa"/>
            <w:tcBorders>
              <w:top w:val="single" w:sz="8" w:space="0" w:color="C7C9C7"/>
              <w:left w:val="nil"/>
              <w:bottom w:val="nil"/>
              <w:right w:val="nil"/>
            </w:tcBorders>
            <w:tcMar>
              <w:top w:w="0" w:type="dxa"/>
              <w:left w:w="0" w:type="dxa"/>
              <w:bottom w:w="0" w:type="dxa"/>
              <w:right w:w="0" w:type="dxa"/>
            </w:tcMar>
            <w:vAlign w:val="bottom"/>
          </w:tcPr>
          <w:p w14:paraId="38DFDD20" w14:textId="77777777" w:rsidR="001614AC" w:rsidRDefault="001614AC">
            <w:pPr>
              <w:keepNext/>
            </w:pPr>
          </w:p>
        </w:tc>
        <w:tc>
          <w:tcPr>
            <w:tcW w:w="665" w:type="dxa"/>
            <w:tcBorders>
              <w:top w:val="single" w:sz="8" w:space="0" w:color="C7C9C7"/>
              <w:left w:val="nil"/>
              <w:bottom w:val="single" w:sz="8" w:space="0" w:color="E9E9E9"/>
              <w:right w:val="nil"/>
            </w:tcBorders>
            <w:tcMar>
              <w:top w:w="0" w:type="dxa"/>
              <w:left w:w="53" w:type="dxa"/>
              <w:bottom w:w="0" w:type="dxa"/>
              <w:right w:w="0" w:type="dxa"/>
            </w:tcMar>
            <w:vAlign w:val="bottom"/>
          </w:tcPr>
          <w:p w14:paraId="7F32F1E8" w14:textId="77777777" w:rsidR="001614AC" w:rsidRDefault="004468F9">
            <w:pPr>
              <w:keepNext/>
              <w:spacing w:before="55" w:after="30" w:line="288" w:lineRule="auto"/>
              <w:jc w:val="right"/>
            </w:pPr>
            <w:r>
              <w:rPr>
                <w:rFonts w:ascii="Arial" w:eastAsia="Arial" w:hAnsi="Arial" w:cs="Arial"/>
                <w:color w:val="000000"/>
                <w:sz w:val="18"/>
              </w:rPr>
              <w:t>— </w:t>
            </w:r>
          </w:p>
        </w:tc>
        <w:tc>
          <w:tcPr>
            <w:tcW w:w="100" w:type="dxa"/>
            <w:tcBorders>
              <w:top w:val="single" w:sz="8" w:space="0" w:color="C7C9C7"/>
              <w:left w:val="nil"/>
              <w:bottom w:val="single" w:sz="8" w:space="0" w:color="E9E9E9"/>
              <w:right w:val="nil"/>
            </w:tcBorders>
            <w:tcMar>
              <w:top w:w="0" w:type="dxa"/>
              <w:left w:w="0" w:type="dxa"/>
              <w:bottom w:w="0" w:type="dxa"/>
              <w:right w:w="15" w:type="dxa"/>
            </w:tcMar>
            <w:vAlign w:val="bottom"/>
          </w:tcPr>
          <w:p w14:paraId="607756F4" w14:textId="77777777" w:rsidR="001614AC" w:rsidRDefault="001614AC">
            <w:pPr>
              <w:keepNext/>
              <w:spacing w:before="55" w:after="30" w:line="288" w:lineRule="auto"/>
              <w:jc w:val="right"/>
            </w:pPr>
          </w:p>
        </w:tc>
        <w:tc>
          <w:tcPr>
            <w:tcW w:w="75" w:type="dxa"/>
            <w:tcBorders>
              <w:top w:val="single" w:sz="8" w:space="0" w:color="C7C9C7"/>
              <w:left w:val="nil"/>
              <w:bottom w:val="nil"/>
              <w:right w:val="nil"/>
            </w:tcBorders>
            <w:tcMar>
              <w:top w:w="0" w:type="dxa"/>
              <w:left w:w="0" w:type="dxa"/>
              <w:bottom w:w="0" w:type="dxa"/>
              <w:right w:w="0" w:type="dxa"/>
            </w:tcMar>
            <w:vAlign w:val="bottom"/>
          </w:tcPr>
          <w:p w14:paraId="5D4FAA47" w14:textId="77777777" w:rsidR="001614AC" w:rsidRDefault="001614AC">
            <w:pPr>
              <w:keepNext/>
            </w:pPr>
          </w:p>
        </w:tc>
        <w:tc>
          <w:tcPr>
            <w:tcW w:w="160" w:type="dxa"/>
            <w:tcBorders>
              <w:top w:val="single" w:sz="8" w:space="0" w:color="C7C9C7"/>
              <w:left w:val="nil"/>
              <w:bottom w:val="single" w:sz="8" w:space="0" w:color="E9E9E9"/>
              <w:right w:val="nil"/>
            </w:tcBorders>
            <w:tcMar>
              <w:top w:w="0" w:type="dxa"/>
              <w:left w:w="53" w:type="dxa"/>
              <w:bottom w:w="0" w:type="dxa"/>
              <w:right w:w="0" w:type="dxa"/>
            </w:tcMar>
            <w:vAlign w:val="bottom"/>
          </w:tcPr>
          <w:p w14:paraId="54444540" w14:textId="77777777" w:rsidR="001614AC" w:rsidRDefault="004468F9">
            <w:pPr>
              <w:keepNext/>
              <w:spacing w:before="55" w:after="30" w:line="288" w:lineRule="auto"/>
            </w:pPr>
            <w:r>
              <w:rPr>
                <w:rFonts w:ascii="Arial" w:eastAsia="Arial" w:hAnsi="Arial" w:cs="Arial"/>
                <w:color w:val="000000"/>
                <w:sz w:val="18"/>
              </w:rPr>
              <w:t>$</w:t>
            </w:r>
          </w:p>
        </w:tc>
        <w:tc>
          <w:tcPr>
            <w:tcW w:w="745" w:type="dxa"/>
            <w:tcBorders>
              <w:top w:val="single" w:sz="8" w:space="0" w:color="C7C9C7"/>
              <w:left w:val="nil"/>
              <w:bottom w:val="single" w:sz="8" w:space="0" w:color="E9E9E9"/>
              <w:right w:val="nil"/>
            </w:tcBorders>
            <w:tcMar>
              <w:top w:w="0" w:type="dxa"/>
              <w:left w:w="0" w:type="dxa"/>
              <w:bottom w:w="0" w:type="dxa"/>
              <w:right w:w="0" w:type="dxa"/>
            </w:tcMar>
            <w:vAlign w:val="bottom"/>
          </w:tcPr>
          <w:p w14:paraId="5A2191D3" w14:textId="77777777" w:rsidR="001614AC" w:rsidRDefault="004468F9">
            <w:pPr>
              <w:keepNext/>
              <w:spacing w:before="55" w:after="30" w:line="288" w:lineRule="auto"/>
              <w:jc w:val="right"/>
            </w:pPr>
            <w:r>
              <w:rPr>
                <w:rFonts w:ascii="Arial" w:eastAsia="Arial" w:hAnsi="Arial" w:cs="Arial"/>
                <w:color w:val="000000"/>
                <w:sz w:val="18"/>
              </w:rPr>
              <w:t>— </w:t>
            </w:r>
          </w:p>
        </w:tc>
        <w:tc>
          <w:tcPr>
            <w:tcW w:w="100" w:type="dxa"/>
            <w:tcBorders>
              <w:top w:val="single" w:sz="8" w:space="0" w:color="C7C9C7"/>
              <w:left w:val="nil"/>
              <w:bottom w:val="single" w:sz="8" w:space="0" w:color="E9E9E9"/>
              <w:right w:val="nil"/>
            </w:tcBorders>
            <w:tcMar>
              <w:top w:w="0" w:type="dxa"/>
              <w:left w:w="0" w:type="dxa"/>
              <w:bottom w:w="0" w:type="dxa"/>
              <w:right w:w="15" w:type="dxa"/>
            </w:tcMar>
            <w:vAlign w:val="bottom"/>
          </w:tcPr>
          <w:p w14:paraId="54E422DE" w14:textId="77777777" w:rsidR="001614AC" w:rsidRDefault="001614AC">
            <w:pPr>
              <w:keepNext/>
              <w:spacing w:before="55" w:after="30" w:line="288" w:lineRule="auto"/>
              <w:jc w:val="right"/>
            </w:pPr>
          </w:p>
        </w:tc>
        <w:tc>
          <w:tcPr>
            <w:tcW w:w="75" w:type="dxa"/>
            <w:tcBorders>
              <w:top w:val="single" w:sz="8" w:space="0" w:color="C7C9C7"/>
              <w:left w:val="nil"/>
              <w:bottom w:val="nil"/>
              <w:right w:val="nil"/>
            </w:tcBorders>
            <w:tcMar>
              <w:top w:w="0" w:type="dxa"/>
              <w:left w:w="0" w:type="dxa"/>
              <w:bottom w:w="0" w:type="dxa"/>
              <w:right w:w="0" w:type="dxa"/>
            </w:tcMar>
            <w:vAlign w:val="bottom"/>
          </w:tcPr>
          <w:p w14:paraId="4F1A88F9" w14:textId="77777777" w:rsidR="001614AC" w:rsidRDefault="001614AC">
            <w:pPr>
              <w:keepNext/>
            </w:pPr>
          </w:p>
        </w:tc>
        <w:tc>
          <w:tcPr>
            <w:tcW w:w="160" w:type="dxa"/>
            <w:tcBorders>
              <w:top w:val="single" w:sz="8" w:space="0" w:color="C7C9C7"/>
              <w:left w:val="nil"/>
              <w:bottom w:val="single" w:sz="8" w:space="0" w:color="E9E9E9"/>
              <w:right w:val="nil"/>
            </w:tcBorders>
            <w:tcMar>
              <w:top w:w="0" w:type="dxa"/>
              <w:left w:w="53" w:type="dxa"/>
              <w:bottom w:w="0" w:type="dxa"/>
              <w:right w:w="0" w:type="dxa"/>
            </w:tcMar>
            <w:vAlign w:val="bottom"/>
          </w:tcPr>
          <w:p w14:paraId="480588A1" w14:textId="77777777" w:rsidR="001614AC" w:rsidRDefault="004468F9">
            <w:pPr>
              <w:keepNext/>
              <w:spacing w:before="55" w:after="30" w:line="288" w:lineRule="auto"/>
            </w:pPr>
            <w:r>
              <w:rPr>
                <w:rFonts w:ascii="Arial" w:eastAsia="Arial" w:hAnsi="Arial" w:cs="Arial"/>
                <w:color w:val="000000"/>
                <w:sz w:val="18"/>
              </w:rPr>
              <w:t>$</w:t>
            </w:r>
          </w:p>
        </w:tc>
        <w:tc>
          <w:tcPr>
            <w:tcW w:w="640" w:type="dxa"/>
            <w:tcBorders>
              <w:top w:val="single" w:sz="8" w:space="0" w:color="C7C9C7"/>
              <w:left w:val="nil"/>
              <w:bottom w:val="single" w:sz="8" w:space="0" w:color="E9E9E9"/>
              <w:right w:val="nil"/>
            </w:tcBorders>
            <w:tcMar>
              <w:top w:w="0" w:type="dxa"/>
              <w:left w:w="0" w:type="dxa"/>
              <w:bottom w:w="0" w:type="dxa"/>
              <w:right w:w="0" w:type="dxa"/>
            </w:tcMar>
            <w:vAlign w:val="bottom"/>
          </w:tcPr>
          <w:p w14:paraId="17576FF8" w14:textId="77777777" w:rsidR="001614AC" w:rsidRDefault="004468F9">
            <w:pPr>
              <w:keepNext/>
              <w:spacing w:before="55" w:after="30" w:line="288" w:lineRule="auto"/>
              <w:jc w:val="right"/>
            </w:pPr>
            <w:r>
              <w:rPr>
                <w:rFonts w:ascii="Arial" w:eastAsia="Arial" w:hAnsi="Arial" w:cs="Arial"/>
                <w:color w:val="000000"/>
                <w:sz w:val="18"/>
              </w:rPr>
              <w:t>— </w:t>
            </w:r>
          </w:p>
        </w:tc>
        <w:tc>
          <w:tcPr>
            <w:tcW w:w="100" w:type="dxa"/>
            <w:tcBorders>
              <w:top w:val="single" w:sz="8" w:space="0" w:color="C7C9C7"/>
              <w:left w:val="nil"/>
              <w:bottom w:val="single" w:sz="8" w:space="0" w:color="E9E9E9"/>
              <w:right w:val="nil"/>
            </w:tcBorders>
            <w:tcMar>
              <w:top w:w="0" w:type="dxa"/>
              <w:left w:w="0" w:type="dxa"/>
              <w:bottom w:w="0" w:type="dxa"/>
              <w:right w:w="15" w:type="dxa"/>
            </w:tcMar>
            <w:vAlign w:val="bottom"/>
          </w:tcPr>
          <w:p w14:paraId="106F2AA7" w14:textId="77777777" w:rsidR="001614AC" w:rsidRDefault="001614AC">
            <w:pPr>
              <w:keepNext/>
              <w:spacing w:before="55" w:after="30" w:line="288" w:lineRule="auto"/>
              <w:jc w:val="right"/>
            </w:pPr>
          </w:p>
        </w:tc>
        <w:tc>
          <w:tcPr>
            <w:tcW w:w="75" w:type="dxa"/>
            <w:tcBorders>
              <w:top w:val="single" w:sz="8" w:space="0" w:color="C7C9C7"/>
              <w:left w:val="nil"/>
              <w:bottom w:val="nil"/>
              <w:right w:val="nil"/>
            </w:tcBorders>
            <w:tcMar>
              <w:top w:w="0" w:type="dxa"/>
              <w:left w:w="0" w:type="dxa"/>
              <w:bottom w:w="0" w:type="dxa"/>
              <w:right w:w="0" w:type="dxa"/>
            </w:tcMar>
            <w:vAlign w:val="bottom"/>
          </w:tcPr>
          <w:p w14:paraId="13C40CEE" w14:textId="77777777" w:rsidR="001614AC" w:rsidRDefault="001614AC">
            <w:pPr>
              <w:keepNext/>
            </w:pPr>
          </w:p>
        </w:tc>
        <w:tc>
          <w:tcPr>
            <w:tcW w:w="665" w:type="dxa"/>
            <w:tcBorders>
              <w:top w:val="single" w:sz="8" w:space="0" w:color="C7C9C7"/>
              <w:left w:val="nil"/>
              <w:bottom w:val="single" w:sz="8" w:space="0" w:color="E9E9E9"/>
              <w:right w:val="nil"/>
            </w:tcBorders>
            <w:tcMar>
              <w:top w:w="0" w:type="dxa"/>
              <w:left w:w="53" w:type="dxa"/>
              <w:bottom w:w="0" w:type="dxa"/>
              <w:right w:w="0" w:type="dxa"/>
            </w:tcMar>
            <w:vAlign w:val="bottom"/>
          </w:tcPr>
          <w:p w14:paraId="6330CC24" w14:textId="77777777" w:rsidR="001614AC" w:rsidRDefault="004468F9">
            <w:pPr>
              <w:keepNext/>
              <w:spacing w:before="55" w:after="30" w:line="288" w:lineRule="auto"/>
              <w:jc w:val="right"/>
            </w:pPr>
            <w:r>
              <w:rPr>
                <w:rFonts w:ascii="Arial" w:eastAsia="Arial" w:hAnsi="Arial" w:cs="Arial"/>
                <w:color w:val="000000"/>
                <w:sz w:val="18"/>
              </w:rPr>
              <w:t>6 </w:t>
            </w:r>
          </w:p>
        </w:tc>
        <w:tc>
          <w:tcPr>
            <w:tcW w:w="100" w:type="dxa"/>
            <w:tcBorders>
              <w:top w:val="single" w:sz="8" w:space="0" w:color="C7C9C7"/>
              <w:left w:val="nil"/>
              <w:bottom w:val="single" w:sz="8" w:space="0" w:color="E9E9E9"/>
              <w:right w:val="nil"/>
            </w:tcBorders>
            <w:tcMar>
              <w:top w:w="0" w:type="dxa"/>
              <w:left w:w="0" w:type="dxa"/>
              <w:bottom w:w="0" w:type="dxa"/>
              <w:right w:w="15" w:type="dxa"/>
            </w:tcMar>
            <w:vAlign w:val="bottom"/>
          </w:tcPr>
          <w:p w14:paraId="62147E6E" w14:textId="77777777" w:rsidR="001614AC" w:rsidRDefault="001614AC">
            <w:pPr>
              <w:keepNext/>
              <w:spacing w:before="55" w:after="30" w:line="288" w:lineRule="auto"/>
              <w:jc w:val="right"/>
            </w:pPr>
          </w:p>
        </w:tc>
        <w:tc>
          <w:tcPr>
            <w:tcW w:w="75" w:type="dxa"/>
            <w:tcBorders>
              <w:top w:val="single" w:sz="8" w:space="0" w:color="C7C9C7"/>
              <w:left w:val="nil"/>
              <w:bottom w:val="nil"/>
              <w:right w:val="nil"/>
            </w:tcBorders>
            <w:tcMar>
              <w:top w:w="0" w:type="dxa"/>
              <w:left w:w="0" w:type="dxa"/>
              <w:bottom w:w="0" w:type="dxa"/>
              <w:right w:w="0" w:type="dxa"/>
            </w:tcMar>
            <w:vAlign w:val="bottom"/>
          </w:tcPr>
          <w:p w14:paraId="47433DBE" w14:textId="77777777" w:rsidR="001614AC" w:rsidRDefault="001614AC">
            <w:pPr>
              <w:keepNext/>
            </w:pPr>
          </w:p>
        </w:tc>
        <w:tc>
          <w:tcPr>
            <w:tcW w:w="160" w:type="dxa"/>
            <w:tcBorders>
              <w:top w:val="single" w:sz="8" w:space="0" w:color="C7C9C7"/>
              <w:left w:val="nil"/>
              <w:bottom w:val="single" w:sz="8" w:space="0" w:color="E9E9E9"/>
              <w:right w:val="nil"/>
            </w:tcBorders>
            <w:tcMar>
              <w:top w:w="0" w:type="dxa"/>
              <w:left w:w="53" w:type="dxa"/>
              <w:bottom w:w="0" w:type="dxa"/>
              <w:right w:w="0" w:type="dxa"/>
            </w:tcMar>
            <w:vAlign w:val="bottom"/>
          </w:tcPr>
          <w:p w14:paraId="79A47E8F" w14:textId="77777777" w:rsidR="001614AC" w:rsidRDefault="004468F9">
            <w:pPr>
              <w:keepNext/>
              <w:spacing w:before="55" w:after="30" w:line="288" w:lineRule="auto"/>
            </w:pPr>
            <w:r>
              <w:rPr>
                <w:rFonts w:ascii="Arial" w:eastAsia="Arial" w:hAnsi="Arial" w:cs="Arial"/>
                <w:color w:val="000000"/>
                <w:sz w:val="18"/>
              </w:rPr>
              <w:t>$</w:t>
            </w:r>
          </w:p>
        </w:tc>
        <w:tc>
          <w:tcPr>
            <w:tcW w:w="820" w:type="dxa"/>
            <w:tcBorders>
              <w:top w:val="single" w:sz="8" w:space="0" w:color="C7C9C7"/>
              <w:left w:val="nil"/>
              <w:bottom w:val="single" w:sz="8" w:space="0" w:color="E9E9E9"/>
              <w:right w:val="nil"/>
            </w:tcBorders>
            <w:tcMar>
              <w:top w:w="0" w:type="dxa"/>
              <w:left w:w="0" w:type="dxa"/>
              <w:bottom w:w="0" w:type="dxa"/>
              <w:right w:w="0" w:type="dxa"/>
            </w:tcMar>
            <w:vAlign w:val="bottom"/>
          </w:tcPr>
          <w:p w14:paraId="36981A4D" w14:textId="77777777" w:rsidR="001614AC" w:rsidRDefault="004468F9">
            <w:pPr>
              <w:keepNext/>
              <w:spacing w:before="55" w:after="30" w:line="288" w:lineRule="auto"/>
              <w:jc w:val="right"/>
            </w:pPr>
            <w:r>
              <w:rPr>
                <w:rFonts w:ascii="Arial" w:eastAsia="Arial" w:hAnsi="Arial" w:cs="Arial"/>
                <w:color w:val="000000"/>
                <w:sz w:val="18"/>
              </w:rPr>
              <w:t>59,708 </w:t>
            </w:r>
          </w:p>
        </w:tc>
        <w:tc>
          <w:tcPr>
            <w:tcW w:w="100" w:type="dxa"/>
            <w:tcBorders>
              <w:top w:val="single" w:sz="8" w:space="0" w:color="C7C9C7"/>
              <w:left w:val="nil"/>
              <w:bottom w:val="single" w:sz="8" w:space="0" w:color="E9E9E9"/>
              <w:right w:val="nil"/>
            </w:tcBorders>
            <w:tcMar>
              <w:top w:w="0" w:type="dxa"/>
              <w:left w:w="0" w:type="dxa"/>
              <w:bottom w:w="0" w:type="dxa"/>
              <w:right w:w="15" w:type="dxa"/>
            </w:tcMar>
            <w:vAlign w:val="bottom"/>
          </w:tcPr>
          <w:p w14:paraId="0435DA9C" w14:textId="77777777" w:rsidR="001614AC" w:rsidRDefault="001614AC">
            <w:pPr>
              <w:keepNext/>
              <w:spacing w:before="55" w:after="30" w:line="288" w:lineRule="auto"/>
              <w:jc w:val="right"/>
            </w:pPr>
          </w:p>
        </w:tc>
        <w:tc>
          <w:tcPr>
            <w:tcW w:w="75" w:type="dxa"/>
            <w:tcBorders>
              <w:top w:val="single" w:sz="8" w:space="0" w:color="C7C9C7"/>
              <w:left w:val="nil"/>
              <w:bottom w:val="nil"/>
              <w:right w:val="nil"/>
            </w:tcBorders>
            <w:tcMar>
              <w:top w:w="0" w:type="dxa"/>
              <w:left w:w="0" w:type="dxa"/>
              <w:bottom w:w="0" w:type="dxa"/>
              <w:right w:w="0" w:type="dxa"/>
            </w:tcMar>
            <w:vAlign w:val="bottom"/>
          </w:tcPr>
          <w:p w14:paraId="211055F6" w14:textId="77777777" w:rsidR="001614AC" w:rsidRDefault="001614AC">
            <w:pPr>
              <w:keepNext/>
            </w:pPr>
          </w:p>
        </w:tc>
        <w:tc>
          <w:tcPr>
            <w:tcW w:w="160" w:type="dxa"/>
            <w:tcBorders>
              <w:top w:val="single" w:sz="8" w:space="0" w:color="C7C9C7"/>
              <w:left w:val="nil"/>
              <w:bottom w:val="single" w:sz="8" w:space="0" w:color="E9E9E9"/>
              <w:right w:val="nil"/>
            </w:tcBorders>
            <w:tcMar>
              <w:top w:w="0" w:type="dxa"/>
              <w:left w:w="53" w:type="dxa"/>
              <w:bottom w:w="0" w:type="dxa"/>
              <w:right w:w="0" w:type="dxa"/>
            </w:tcMar>
            <w:vAlign w:val="bottom"/>
          </w:tcPr>
          <w:p w14:paraId="0ABE7631" w14:textId="77777777" w:rsidR="001614AC" w:rsidRDefault="004468F9">
            <w:pPr>
              <w:keepNext/>
              <w:spacing w:before="55" w:after="30" w:line="288" w:lineRule="auto"/>
            </w:pPr>
            <w:r>
              <w:rPr>
                <w:rFonts w:ascii="Arial" w:eastAsia="Arial" w:hAnsi="Arial" w:cs="Arial"/>
                <w:color w:val="000000"/>
                <w:sz w:val="18"/>
              </w:rPr>
              <w:t>$</w:t>
            </w:r>
          </w:p>
        </w:tc>
        <w:tc>
          <w:tcPr>
            <w:tcW w:w="640" w:type="dxa"/>
            <w:tcBorders>
              <w:top w:val="single" w:sz="8" w:space="0" w:color="C7C9C7"/>
              <w:left w:val="nil"/>
              <w:bottom w:val="single" w:sz="8" w:space="0" w:color="E9E9E9"/>
              <w:right w:val="nil"/>
            </w:tcBorders>
            <w:tcMar>
              <w:top w:w="0" w:type="dxa"/>
              <w:left w:w="0" w:type="dxa"/>
              <w:bottom w:w="0" w:type="dxa"/>
              <w:right w:w="0" w:type="dxa"/>
            </w:tcMar>
            <w:vAlign w:val="bottom"/>
          </w:tcPr>
          <w:p w14:paraId="47C8F5A4" w14:textId="77777777" w:rsidR="001614AC" w:rsidRDefault="004468F9">
            <w:pPr>
              <w:keepNext/>
              <w:spacing w:before="55" w:after="30" w:line="288" w:lineRule="auto"/>
              <w:jc w:val="right"/>
            </w:pPr>
            <w:r>
              <w:rPr>
                <w:rFonts w:ascii="Arial" w:eastAsia="Arial" w:hAnsi="Arial" w:cs="Arial"/>
                <w:color w:val="000000"/>
                <w:sz w:val="18"/>
              </w:rPr>
              <w:t>(902)</w:t>
            </w:r>
          </w:p>
        </w:tc>
        <w:tc>
          <w:tcPr>
            <w:tcW w:w="100" w:type="dxa"/>
            <w:tcBorders>
              <w:top w:val="single" w:sz="8" w:space="0" w:color="C7C9C7"/>
              <w:left w:val="nil"/>
              <w:bottom w:val="single" w:sz="8" w:space="0" w:color="E9E9E9"/>
              <w:right w:val="nil"/>
            </w:tcBorders>
            <w:tcMar>
              <w:top w:w="0" w:type="dxa"/>
              <w:left w:w="0" w:type="dxa"/>
              <w:bottom w:w="0" w:type="dxa"/>
              <w:right w:w="15" w:type="dxa"/>
            </w:tcMar>
            <w:vAlign w:val="bottom"/>
          </w:tcPr>
          <w:p w14:paraId="03846521" w14:textId="77777777" w:rsidR="001614AC" w:rsidRDefault="001614AC">
            <w:pPr>
              <w:keepNext/>
              <w:spacing w:before="55" w:after="30" w:line="288" w:lineRule="auto"/>
              <w:jc w:val="right"/>
            </w:pPr>
          </w:p>
        </w:tc>
      </w:tr>
      <w:tr w:rsidR="001614AC" w14:paraId="02645FBC" w14:textId="77777777">
        <w:trPr>
          <w:cantSplit/>
        </w:trPr>
        <w:tc>
          <w:tcPr>
            <w:tcW w:w="1245" w:type="dxa"/>
            <w:tcBorders>
              <w:top w:val="single" w:sz="8" w:space="0" w:color="E9E9E9"/>
              <w:left w:val="nil"/>
              <w:bottom w:val="single" w:sz="8" w:space="0" w:color="E9E9E9"/>
              <w:right w:val="nil"/>
            </w:tcBorders>
            <w:tcMar>
              <w:top w:w="0" w:type="dxa"/>
              <w:left w:w="53" w:type="dxa"/>
              <w:bottom w:w="0" w:type="dxa"/>
              <w:right w:w="53" w:type="dxa"/>
            </w:tcMar>
            <w:vAlign w:val="bottom"/>
          </w:tcPr>
          <w:p w14:paraId="6D0DF371" w14:textId="77777777" w:rsidR="001614AC" w:rsidRDefault="004468F9">
            <w:pPr>
              <w:keepNext/>
              <w:spacing w:before="55" w:after="30" w:line="288" w:lineRule="auto"/>
            </w:pPr>
            <w:r>
              <w:rPr>
                <w:rFonts w:ascii="Arial" w:eastAsia="Arial" w:hAnsi="Arial" w:cs="Arial"/>
                <w:color w:val="000000"/>
                <w:sz w:val="18"/>
              </w:rPr>
              <w:t>State and municipal obligations</w:t>
            </w:r>
          </w:p>
        </w:tc>
        <w:tc>
          <w:tcPr>
            <w:tcW w:w="75" w:type="dxa"/>
            <w:tcBorders>
              <w:top w:val="nil"/>
              <w:left w:val="nil"/>
              <w:bottom w:val="nil"/>
              <w:right w:val="nil"/>
            </w:tcBorders>
            <w:tcMar>
              <w:top w:w="0" w:type="dxa"/>
              <w:left w:w="0" w:type="dxa"/>
              <w:bottom w:w="0" w:type="dxa"/>
              <w:right w:w="0" w:type="dxa"/>
            </w:tcMar>
            <w:vAlign w:val="bottom"/>
          </w:tcPr>
          <w:p w14:paraId="4B41228C" w14:textId="77777777" w:rsidR="001614AC" w:rsidRDefault="001614AC">
            <w:pPr>
              <w:keepNext/>
            </w:pPr>
          </w:p>
        </w:tc>
        <w:tc>
          <w:tcPr>
            <w:tcW w:w="665" w:type="dxa"/>
            <w:tcBorders>
              <w:top w:val="single" w:sz="8" w:space="0" w:color="E9E9E9"/>
              <w:left w:val="nil"/>
              <w:bottom w:val="single" w:sz="8" w:space="0" w:color="E9E9E9"/>
              <w:right w:val="nil"/>
            </w:tcBorders>
            <w:tcMar>
              <w:top w:w="0" w:type="dxa"/>
              <w:left w:w="53" w:type="dxa"/>
              <w:bottom w:w="0" w:type="dxa"/>
              <w:right w:w="0" w:type="dxa"/>
            </w:tcMar>
            <w:vAlign w:val="bottom"/>
          </w:tcPr>
          <w:p w14:paraId="1CD72F4D" w14:textId="77777777" w:rsidR="001614AC" w:rsidRDefault="004468F9">
            <w:pPr>
              <w:keepNext/>
              <w:spacing w:before="55" w:after="30" w:line="288" w:lineRule="auto"/>
              <w:jc w:val="right"/>
            </w:pPr>
            <w:r>
              <w:rPr>
                <w:rFonts w:ascii="Arial" w:eastAsia="Arial" w:hAnsi="Arial" w:cs="Arial"/>
                <w:color w:val="000000"/>
                <w:sz w:val="18"/>
              </w:rPr>
              <w:t>8 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063E59AB" w14:textId="77777777" w:rsidR="001614AC" w:rsidRDefault="001614AC">
            <w:pPr>
              <w:keepNext/>
              <w:spacing w:before="55" w:after="30" w:line="288" w:lineRule="auto"/>
              <w:jc w:val="right"/>
            </w:pPr>
          </w:p>
        </w:tc>
        <w:tc>
          <w:tcPr>
            <w:tcW w:w="75" w:type="dxa"/>
            <w:tcBorders>
              <w:top w:val="nil"/>
              <w:left w:val="nil"/>
              <w:bottom w:val="nil"/>
              <w:right w:val="nil"/>
            </w:tcBorders>
            <w:tcMar>
              <w:top w:w="0" w:type="dxa"/>
              <w:left w:w="0" w:type="dxa"/>
              <w:bottom w:w="0" w:type="dxa"/>
              <w:right w:w="0" w:type="dxa"/>
            </w:tcMar>
            <w:vAlign w:val="bottom"/>
          </w:tcPr>
          <w:p w14:paraId="2102AD8B" w14:textId="77777777" w:rsidR="001614AC" w:rsidRDefault="001614AC">
            <w:pPr>
              <w:keepNext/>
            </w:pPr>
          </w:p>
        </w:tc>
        <w:tc>
          <w:tcPr>
            <w:tcW w:w="980"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7EC87EB7" w14:textId="77777777" w:rsidR="001614AC" w:rsidRDefault="004468F9">
            <w:pPr>
              <w:keepNext/>
              <w:spacing w:before="55" w:after="30" w:line="288" w:lineRule="auto"/>
              <w:jc w:val="right"/>
            </w:pPr>
            <w:r>
              <w:rPr>
                <w:rFonts w:ascii="Arial" w:eastAsia="Arial" w:hAnsi="Arial" w:cs="Arial"/>
                <w:color w:val="000000"/>
                <w:sz w:val="18"/>
              </w:rPr>
              <w:t>10,034 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6CB22EC9" w14:textId="77777777" w:rsidR="001614AC" w:rsidRDefault="001614AC">
            <w:pPr>
              <w:keepNext/>
              <w:spacing w:before="55" w:after="30" w:line="288" w:lineRule="auto"/>
              <w:jc w:val="right"/>
            </w:pPr>
          </w:p>
        </w:tc>
        <w:tc>
          <w:tcPr>
            <w:tcW w:w="75" w:type="dxa"/>
            <w:tcBorders>
              <w:top w:val="nil"/>
              <w:left w:val="nil"/>
              <w:bottom w:val="nil"/>
              <w:right w:val="nil"/>
            </w:tcBorders>
            <w:tcMar>
              <w:top w:w="0" w:type="dxa"/>
              <w:left w:w="0" w:type="dxa"/>
              <w:bottom w:w="0" w:type="dxa"/>
              <w:right w:w="0" w:type="dxa"/>
            </w:tcMar>
            <w:vAlign w:val="bottom"/>
          </w:tcPr>
          <w:p w14:paraId="0AB9BC0D" w14:textId="77777777" w:rsidR="001614AC" w:rsidRDefault="001614AC">
            <w:pPr>
              <w:keepNext/>
            </w:pPr>
          </w:p>
        </w:tc>
        <w:tc>
          <w:tcPr>
            <w:tcW w:w="800"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126FE8E9" w14:textId="77777777" w:rsidR="001614AC" w:rsidRDefault="004468F9">
            <w:pPr>
              <w:keepNext/>
              <w:spacing w:before="55" w:after="30" w:line="288" w:lineRule="auto"/>
              <w:jc w:val="right"/>
            </w:pPr>
            <w:r>
              <w:rPr>
                <w:rFonts w:ascii="Arial" w:eastAsia="Arial" w:hAnsi="Arial" w:cs="Arial"/>
                <w:color w:val="000000"/>
                <w:sz w:val="18"/>
              </w:rPr>
              <w:t>(122)</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6A46F03C" w14:textId="77777777" w:rsidR="001614AC" w:rsidRDefault="001614AC">
            <w:pPr>
              <w:keepNext/>
              <w:spacing w:before="55" w:after="30" w:line="288" w:lineRule="auto"/>
              <w:jc w:val="right"/>
            </w:pPr>
          </w:p>
        </w:tc>
        <w:tc>
          <w:tcPr>
            <w:tcW w:w="75" w:type="dxa"/>
            <w:tcBorders>
              <w:top w:val="nil"/>
              <w:left w:val="nil"/>
              <w:bottom w:val="nil"/>
              <w:right w:val="nil"/>
            </w:tcBorders>
            <w:tcMar>
              <w:top w:w="0" w:type="dxa"/>
              <w:left w:w="0" w:type="dxa"/>
              <w:bottom w:w="0" w:type="dxa"/>
              <w:right w:w="0" w:type="dxa"/>
            </w:tcMar>
            <w:vAlign w:val="bottom"/>
          </w:tcPr>
          <w:p w14:paraId="3E7B137A" w14:textId="77777777" w:rsidR="001614AC" w:rsidRDefault="001614AC">
            <w:pPr>
              <w:keepNext/>
            </w:pPr>
          </w:p>
        </w:tc>
        <w:tc>
          <w:tcPr>
            <w:tcW w:w="665" w:type="dxa"/>
            <w:tcBorders>
              <w:top w:val="single" w:sz="8" w:space="0" w:color="E9E9E9"/>
              <w:left w:val="nil"/>
              <w:bottom w:val="single" w:sz="8" w:space="0" w:color="E9E9E9"/>
              <w:right w:val="nil"/>
            </w:tcBorders>
            <w:tcMar>
              <w:top w:w="0" w:type="dxa"/>
              <w:left w:w="53" w:type="dxa"/>
              <w:bottom w:w="0" w:type="dxa"/>
              <w:right w:w="0" w:type="dxa"/>
            </w:tcMar>
            <w:vAlign w:val="bottom"/>
          </w:tcPr>
          <w:p w14:paraId="12A6F575" w14:textId="77777777" w:rsidR="001614AC" w:rsidRDefault="004468F9">
            <w:pPr>
              <w:keepNext/>
              <w:spacing w:before="55" w:after="30" w:line="288" w:lineRule="auto"/>
              <w:jc w:val="right"/>
            </w:pPr>
            <w:r>
              <w:rPr>
                <w:rFonts w:ascii="Arial" w:eastAsia="Arial" w:hAnsi="Arial" w:cs="Arial"/>
                <w:color w:val="000000"/>
                <w:sz w:val="18"/>
              </w:rPr>
              <w:t>—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2A233D95" w14:textId="77777777" w:rsidR="001614AC" w:rsidRDefault="001614AC">
            <w:pPr>
              <w:keepNext/>
              <w:spacing w:before="55" w:after="30" w:line="288" w:lineRule="auto"/>
              <w:jc w:val="right"/>
            </w:pPr>
          </w:p>
        </w:tc>
        <w:tc>
          <w:tcPr>
            <w:tcW w:w="75" w:type="dxa"/>
            <w:tcBorders>
              <w:top w:val="nil"/>
              <w:left w:val="nil"/>
              <w:bottom w:val="nil"/>
              <w:right w:val="nil"/>
            </w:tcBorders>
            <w:tcMar>
              <w:top w:w="0" w:type="dxa"/>
              <w:left w:w="0" w:type="dxa"/>
              <w:bottom w:w="0" w:type="dxa"/>
              <w:right w:w="0" w:type="dxa"/>
            </w:tcMar>
            <w:vAlign w:val="bottom"/>
          </w:tcPr>
          <w:p w14:paraId="24FE39D3" w14:textId="77777777" w:rsidR="001614AC" w:rsidRDefault="001614AC">
            <w:pPr>
              <w:keepNext/>
            </w:pPr>
          </w:p>
        </w:tc>
        <w:tc>
          <w:tcPr>
            <w:tcW w:w="90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47FD0C13" w14:textId="77777777" w:rsidR="001614AC" w:rsidRDefault="004468F9">
            <w:pPr>
              <w:keepNext/>
              <w:spacing w:before="55" w:after="30" w:line="288" w:lineRule="auto"/>
              <w:jc w:val="right"/>
            </w:pPr>
            <w:r>
              <w:rPr>
                <w:rFonts w:ascii="Arial" w:eastAsia="Arial" w:hAnsi="Arial" w:cs="Arial"/>
                <w:color w:val="000000"/>
                <w:sz w:val="18"/>
              </w:rPr>
              <w:t>—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51C50620" w14:textId="77777777" w:rsidR="001614AC" w:rsidRDefault="001614AC">
            <w:pPr>
              <w:keepNext/>
              <w:spacing w:before="55" w:after="30" w:line="288" w:lineRule="auto"/>
              <w:jc w:val="right"/>
            </w:pPr>
          </w:p>
        </w:tc>
        <w:tc>
          <w:tcPr>
            <w:tcW w:w="75" w:type="dxa"/>
            <w:tcBorders>
              <w:top w:val="nil"/>
              <w:left w:val="nil"/>
              <w:bottom w:val="nil"/>
              <w:right w:val="nil"/>
            </w:tcBorders>
            <w:tcMar>
              <w:top w:w="0" w:type="dxa"/>
              <w:left w:w="0" w:type="dxa"/>
              <w:bottom w:w="0" w:type="dxa"/>
              <w:right w:w="0" w:type="dxa"/>
            </w:tcMar>
            <w:vAlign w:val="bottom"/>
          </w:tcPr>
          <w:p w14:paraId="0E88CF92" w14:textId="77777777" w:rsidR="001614AC" w:rsidRDefault="001614AC">
            <w:pPr>
              <w:keepNext/>
            </w:pPr>
          </w:p>
        </w:tc>
        <w:tc>
          <w:tcPr>
            <w:tcW w:w="800"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318FD4A1" w14:textId="77777777" w:rsidR="001614AC" w:rsidRDefault="004468F9">
            <w:pPr>
              <w:keepNext/>
              <w:spacing w:before="55" w:after="30" w:line="288" w:lineRule="auto"/>
              <w:jc w:val="right"/>
            </w:pPr>
            <w:r>
              <w:rPr>
                <w:rFonts w:ascii="Arial" w:eastAsia="Arial" w:hAnsi="Arial" w:cs="Arial"/>
                <w:color w:val="000000"/>
                <w:sz w:val="18"/>
              </w:rPr>
              <w:t>—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75DCEDFD" w14:textId="77777777" w:rsidR="001614AC" w:rsidRDefault="001614AC">
            <w:pPr>
              <w:keepNext/>
              <w:spacing w:before="55" w:after="30" w:line="288" w:lineRule="auto"/>
              <w:jc w:val="right"/>
            </w:pPr>
          </w:p>
        </w:tc>
        <w:tc>
          <w:tcPr>
            <w:tcW w:w="75" w:type="dxa"/>
            <w:tcBorders>
              <w:top w:val="nil"/>
              <w:left w:val="nil"/>
              <w:bottom w:val="nil"/>
              <w:right w:val="nil"/>
            </w:tcBorders>
            <w:tcMar>
              <w:top w:w="0" w:type="dxa"/>
              <w:left w:w="0" w:type="dxa"/>
              <w:bottom w:w="0" w:type="dxa"/>
              <w:right w:w="0" w:type="dxa"/>
            </w:tcMar>
            <w:vAlign w:val="bottom"/>
          </w:tcPr>
          <w:p w14:paraId="37A30A62" w14:textId="77777777" w:rsidR="001614AC" w:rsidRDefault="001614AC">
            <w:pPr>
              <w:keepNext/>
            </w:pPr>
          </w:p>
        </w:tc>
        <w:tc>
          <w:tcPr>
            <w:tcW w:w="665" w:type="dxa"/>
            <w:tcBorders>
              <w:top w:val="single" w:sz="8" w:space="0" w:color="E9E9E9"/>
              <w:left w:val="nil"/>
              <w:bottom w:val="single" w:sz="8" w:space="0" w:color="E9E9E9"/>
              <w:right w:val="nil"/>
            </w:tcBorders>
            <w:tcMar>
              <w:top w:w="0" w:type="dxa"/>
              <w:left w:w="53" w:type="dxa"/>
              <w:bottom w:w="0" w:type="dxa"/>
              <w:right w:w="0" w:type="dxa"/>
            </w:tcMar>
            <w:vAlign w:val="bottom"/>
          </w:tcPr>
          <w:p w14:paraId="04D214AB" w14:textId="77777777" w:rsidR="001614AC" w:rsidRDefault="004468F9">
            <w:pPr>
              <w:keepNext/>
              <w:spacing w:before="55" w:after="30" w:line="288" w:lineRule="auto"/>
              <w:jc w:val="right"/>
            </w:pPr>
            <w:r>
              <w:rPr>
                <w:rFonts w:ascii="Arial" w:eastAsia="Arial" w:hAnsi="Arial" w:cs="Arial"/>
                <w:color w:val="000000"/>
                <w:sz w:val="18"/>
              </w:rPr>
              <w:t>8 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0A6F870B" w14:textId="77777777" w:rsidR="001614AC" w:rsidRDefault="001614AC">
            <w:pPr>
              <w:keepNext/>
              <w:spacing w:before="55" w:after="30" w:line="288" w:lineRule="auto"/>
              <w:jc w:val="right"/>
            </w:pPr>
          </w:p>
        </w:tc>
        <w:tc>
          <w:tcPr>
            <w:tcW w:w="75" w:type="dxa"/>
            <w:tcBorders>
              <w:top w:val="nil"/>
              <w:left w:val="nil"/>
              <w:bottom w:val="nil"/>
              <w:right w:val="nil"/>
            </w:tcBorders>
            <w:tcMar>
              <w:top w:w="0" w:type="dxa"/>
              <w:left w:w="0" w:type="dxa"/>
              <w:bottom w:w="0" w:type="dxa"/>
              <w:right w:w="0" w:type="dxa"/>
            </w:tcMar>
            <w:vAlign w:val="bottom"/>
          </w:tcPr>
          <w:p w14:paraId="739C56D5" w14:textId="77777777" w:rsidR="001614AC" w:rsidRDefault="001614AC">
            <w:pPr>
              <w:keepNext/>
            </w:pPr>
          </w:p>
        </w:tc>
        <w:tc>
          <w:tcPr>
            <w:tcW w:w="980"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4FBC1F2A" w14:textId="77777777" w:rsidR="001614AC" w:rsidRDefault="004468F9">
            <w:pPr>
              <w:keepNext/>
              <w:spacing w:before="55" w:after="30" w:line="288" w:lineRule="auto"/>
              <w:jc w:val="right"/>
            </w:pPr>
            <w:r>
              <w:rPr>
                <w:rFonts w:ascii="Arial" w:eastAsia="Arial" w:hAnsi="Arial" w:cs="Arial"/>
                <w:color w:val="000000"/>
                <w:sz w:val="18"/>
              </w:rPr>
              <w:t>10,034 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7F047CC6" w14:textId="77777777" w:rsidR="001614AC" w:rsidRDefault="001614AC">
            <w:pPr>
              <w:keepNext/>
              <w:spacing w:before="55" w:after="30" w:line="288" w:lineRule="auto"/>
              <w:jc w:val="right"/>
            </w:pPr>
          </w:p>
        </w:tc>
        <w:tc>
          <w:tcPr>
            <w:tcW w:w="75" w:type="dxa"/>
            <w:tcBorders>
              <w:top w:val="nil"/>
              <w:left w:val="nil"/>
              <w:bottom w:val="nil"/>
              <w:right w:val="nil"/>
            </w:tcBorders>
            <w:tcMar>
              <w:top w:w="0" w:type="dxa"/>
              <w:left w:w="0" w:type="dxa"/>
              <w:bottom w:w="0" w:type="dxa"/>
              <w:right w:w="0" w:type="dxa"/>
            </w:tcMar>
            <w:vAlign w:val="bottom"/>
          </w:tcPr>
          <w:p w14:paraId="6A33B50F" w14:textId="77777777" w:rsidR="001614AC" w:rsidRDefault="001614AC">
            <w:pPr>
              <w:keepNext/>
            </w:pPr>
          </w:p>
        </w:tc>
        <w:tc>
          <w:tcPr>
            <w:tcW w:w="800"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5CB5E779" w14:textId="77777777" w:rsidR="001614AC" w:rsidRDefault="004468F9">
            <w:pPr>
              <w:keepNext/>
              <w:spacing w:before="55" w:after="30" w:line="288" w:lineRule="auto"/>
              <w:jc w:val="right"/>
            </w:pPr>
            <w:r>
              <w:rPr>
                <w:rFonts w:ascii="Arial" w:eastAsia="Arial" w:hAnsi="Arial" w:cs="Arial"/>
                <w:color w:val="000000"/>
                <w:sz w:val="18"/>
              </w:rPr>
              <w:t>(122)</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497E03CB" w14:textId="77777777" w:rsidR="001614AC" w:rsidRDefault="001614AC">
            <w:pPr>
              <w:keepNext/>
              <w:spacing w:before="55" w:after="30" w:line="288" w:lineRule="auto"/>
              <w:jc w:val="right"/>
            </w:pPr>
          </w:p>
        </w:tc>
      </w:tr>
      <w:tr w:rsidR="001614AC" w14:paraId="751D17F3" w14:textId="77777777">
        <w:trPr>
          <w:cantSplit/>
        </w:trPr>
        <w:tc>
          <w:tcPr>
            <w:tcW w:w="1245" w:type="dxa"/>
            <w:tcBorders>
              <w:top w:val="single" w:sz="8" w:space="0" w:color="E9E9E9"/>
              <w:left w:val="nil"/>
              <w:bottom w:val="single" w:sz="8" w:space="0" w:color="E9E9E9"/>
              <w:right w:val="nil"/>
            </w:tcBorders>
            <w:tcMar>
              <w:top w:w="0" w:type="dxa"/>
              <w:left w:w="53" w:type="dxa"/>
              <w:bottom w:w="0" w:type="dxa"/>
              <w:right w:w="53" w:type="dxa"/>
            </w:tcMar>
            <w:vAlign w:val="bottom"/>
          </w:tcPr>
          <w:p w14:paraId="5FB972BB" w14:textId="77777777" w:rsidR="001614AC" w:rsidRDefault="004468F9">
            <w:pPr>
              <w:keepNext/>
              <w:spacing w:before="55" w:after="30" w:line="288" w:lineRule="auto"/>
            </w:pPr>
            <w:r>
              <w:rPr>
                <w:rFonts w:ascii="Arial" w:eastAsia="Arial" w:hAnsi="Arial" w:cs="Arial"/>
                <w:color w:val="000000"/>
                <w:sz w:val="18"/>
              </w:rPr>
              <w:t>Corporate bonds and notes</w:t>
            </w:r>
          </w:p>
        </w:tc>
        <w:tc>
          <w:tcPr>
            <w:tcW w:w="75" w:type="dxa"/>
            <w:tcBorders>
              <w:top w:val="nil"/>
              <w:left w:val="nil"/>
              <w:bottom w:val="nil"/>
              <w:right w:val="nil"/>
            </w:tcBorders>
            <w:tcMar>
              <w:top w:w="0" w:type="dxa"/>
              <w:left w:w="0" w:type="dxa"/>
              <w:bottom w:w="0" w:type="dxa"/>
              <w:right w:w="0" w:type="dxa"/>
            </w:tcMar>
            <w:vAlign w:val="bottom"/>
          </w:tcPr>
          <w:p w14:paraId="68735C0E" w14:textId="77777777" w:rsidR="001614AC" w:rsidRDefault="001614AC">
            <w:pPr>
              <w:keepNext/>
            </w:pPr>
          </w:p>
        </w:tc>
        <w:tc>
          <w:tcPr>
            <w:tcW w:w="665" w:type="dxa"/>
            <w:tcBorders>
              <w:top w:val="single" w:sz="8" w:space="0" w:color="E9E9E9"/>
              <w:left w:val="nil"/>
              <w:bottom w:val="single" w:sz="8" w:space="0" w:color="E9E9E9"/>
              <w:right w:val="nil"/>
            </w:tcBorders>
            <w:tcMar>
              <w:top w:w="0" w:type="dxa"/>
              <w:left w:w="53" w:type="dxa"/>
              <w:bottom w:w="0" w:type="dxa"/>
              <w:right w:w="0" w:type="dxa"/>
            </w:tcMar>
            <w:vAlign w:val="bottom"/>
          </w:tcPr>
          <w:p w14:paraId="2C9F7A0D" w14:textId="77777777" w:rsidR="001614AC" w:rsidRDefault="004468F9">
            <w:pPr>
              <w:keepNext/>
              <w:spacing w:before="55" w:after="30" w:line="288" w:lineRule="auto"/>
              <w:jc w:val="right"/>
            </w:pPr>
            <w:r>
              <w:rPr>
                <w:rFonts w:ascii="Arial" w:eastAsia="Arial" w:hAnsi="Arial" w:cs="Arial"/>
                <w:color w:val="000000"/>
                <w:sz w:val="18"/>
              </w:rPr>
              <w:t>174 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7D1A0CF3" w14:textId="77777777" w:rsidR="001614AC" w:rsidRDefault="001614AC">
            <w:pPr>
              <w:keepNext/>
              <w:spacing w:before="55" w:after="30" w:line="288" w:lineRule="auto"/>
              <w:jc w:val="right"/>
            </w:pPr>
          </w:p>
        </w:tc>
        <w:tc>
          <w:tcPr>
            <w:tcW w:w="75" w:type="dxa"/>
            <w:tcBorders>
              <w:top w:val="nil"/>
              <w:left w:val="nil"/>
              <w:bottom w:val="nil"/>
              <w:right w:val="nil"/>
            </w:tcBorders>
            <w:tcMar>
              <w:top w:w="0" w:type="dxa"/>
              <w:left w:w="0" w:type="dxa"/>
              <w:bottom w:w="0" w:type="dxa"/>
              <w:right w:w="0" w:type="dxa"/>
            </w:tcMar>
            <w:vAlign w:val="bottom"/>
          </w:tcPr>
          <w:p w14:paraId="6B6FCA60" w14:textId="77777777" w:rsidR="001614AC" w:rsidRDefault="001614AC">
            <w:pPr>
              <w:keepNext/>
            </w:pPr>
          </w:p>
        </w:tc>
        <w:tc>
          <w:tcPr>
            <w:tcW w:w="980"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3AB3A7B5" w14:textId="77777777" w:rsidR="001614AC" w:rsidRDefault="004468F9">
            <w:pPr>
              <w:keepNext/>
              <w:spacing w:before="55" w:after="30" w:line="288" w:lineRule="auto"/>
              <w:jc w:val="right"/>
            </w:pPr>
            <w:r>
              <w:rPr>
                <w:rFonts w:ascii="Arial" w:eastAsia="Arial" w:hAnsi="Arial" w:cs="Arial"/>
                <w:color w:val="000000"/>
                <w:sz w:val="18"/>
              </w:rPr>
              <w:t>684,4</w:t>
            </w:r>
            <w:r>
              <w:rPr>
                <w:rFonts w:ascii="Arial" w:eastAsia="Arial" w:hAnsi="Arial" w:cs="Arial"/>
                <w:color w:val="000000"/>
                <w:sz w:val="18"/>
              </w:rPr>
              <w:t>01 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193594B6" w14:textId="77777777" w:rsidR="001614AC" w:rsidRDefault="001614AC">
            <w:pPr>
              <w:keepNext/>
              <w:spacing w:before="55" w:after="30" w:line="288" w:lineRule="auto"/>
              <w:jc w:val="right"/>
            </w:pPr>
          </w:p>
        </w:tc>
        <w:tc>
          <w:tcPr>
            <w:tcW w:w="75" w:type="dxa"/>
            <w:tcBorders>
              <w:top w:val="nil"/>
              <w:left w:val="nil"/>
              <w:bottom w:val="nil"/>
              <w:right w:val="nil"/>
            </w:tcBorders>
            <w:tcMar>
              <w:top w:w="0" w:type="dxa"/>
              <w:left w:w="0" w:type="dxa"/>
              <w:bottom w:w="0" w:type="dxa"/>
              <w:right w:w="0" w:type="dxa"/>
            </w:tcMar>
            <w:vAlign w:val="bottom"/>
          </w:tcPr>
          <w:p w14:paraId="3796C84F" w14:textId="77777777" w:rsidR="001614AC" w:rsidRDefault="001614AC">
            <w:pPr>
              <w:keepNext/>
            </w:pPr>
          </w:p>
        </w:tc>
        <w:tc>
          <w:tcPr>
            <w:tcW w:w="800"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2E8F4F66" w14:textId="77777777" w:rsidR="001614AC" w:rsidRDefault="004468F9">
            <w:pPr>
              <w:keepNext/>
              <w:spacing w:before="55" w:after="30" w:line="288" w:lineRule="auto"/>
              <w:jc w:val="right"/>
            </w:pPr>
            <w:r>
              <w:rPr>
                <w:rFonts w:ascii="Arial" w:eastAsia="Arial" w:hAnsi="Arial" w:cs="Arial"/>
                <w:color w:val="000000"/>
                <w:sz w:val="18"/>
              </w:rPr>
              <w:t>(19,380)</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4AE5C795" w14:textId="77777777" w:rsidR="001614AC" w:rsidRDefault="001614AC">
            <w:pPr>
              <w:keepNext/>
              <w:spacing w:before="55" w:after="30" w:line="288" w:lineRule="auto"/>
              <w:jc w:val="right"/>
            </w:pPr>
          </w:p>
        </w:tc>
        <w:tc>
          <w:tcPr>
            <w:tcW w:w="75" w:type="dxa"/>
            <w:tcBorders>
              <w:top w:val="nil"/>
              <w:left w:val="nil"/>
              <w:bottom w:val="nil"/>
              <w:right w:val="nil"/>
            </w:tcBorders>
            <w:tcMar>
              <w:top w:w="0" w:type="dxa"/>
              <w:left w:w="0" w:type="dxa"/>
              <w:bottom w:w="0" w:type="dxa"/>
              <w:right w:w="0" w:type="dxa"/>
            </w:tcMar>
            <w:vAlign w:val="bottom"/>
          </w:tcPr>
          <w:p w14:paraId="6C267C90" w14:textId="77777777" w:rsidR="001614AC" w:rsidRDefault="001614AC">
            <w:pPr>
              <w:keepNext/>
            </w:pPr>
          </w:p>
        </w:tc>
        <w:tc>
          <w:tcPr>
            <w:tcW w:w="665" w:type="dxa"/>
            <w:tcBorders>
              <w:top w:val="single" w:sz="8" w:space="0" w:color="E9E9E9"/>
              <w:left w:val="nil"/>
              <w:bottom w:val="single" w:sz="8" w:space="0" w:color="E9E9E9"/>
              <w:right w:val="nil"/>
            </w:tcBorders>
            <w:tcMar>
              <w:top w:w="0" w:type="dxa"/>
              <w:left w:w="53" w:type="dxa"/>
              <w:bottom w:w="0" w:type="dxa"/>
              <w:right w:w="0" w:type="dxa"/>
            </w:tcMar>
            <w:vAlign w:val="bottom"/>
          </w:tcPr>
          <w:p w14:paraId="1B858D8F" w14:textId="77777777" w:rsidR="001614AC" w:rsidRDefault="004468F9">
            <w:pPr>
              <w:keepNext/>
              <w:spacing w:before="55" w:after="30" w:line="288" w:lineRule="auto"/>
              <w:jc w:val="right"/>
            </w:pPr>
            <w:r>
              <w:rPr>
                <w:rFonts w:ascii="Arial" w:eastAsia="Arial" w:hAnsi="Arial" w:cs="Arial"/>
                <w:color w:val="000000"/>
                <w:sz w:val="18"/>
              </w:rPr>
              <w:t>1 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6D947A7E" w14:textId="77777777" w:rsidR="001614AC" w:rsidRDefault="001614AC">
            <w:pPr>
              <w:keepNext/>
              <w:spacing w:before="55" w:after="30" w:line="288" w:lineRule="auto"/>
              <w:jc w:val="right"/>
            </w:pPr>
          </w:p>
        </w:tc>
        <w:tc>
          <w:tcPr>
            <w:tcW w:w="75" w:type="dxa"/>
            <w:tcBorders>
              <w:top w:val="nil"/>
              <w:left w:val="nil"/>
              <w:bottom w:val="nil"/>
              <w:right w:val="nil"/>
            </w:tcBorders>
            <w:tcMar>
              <w:top w:w="0" w:type="dxa"/>
              <w:left w:w="0" w:type="dxa"/>
              <w:bottom w:w="0" w:type="dxa"/>
              <w:right w:w="0" w:type="dxa"/>
            </w:tcMar>
            <w:vAlign w:val="bottom"/>
          </w:tcPr>
          <w:p w14:paraId="742C21EA" w14:textId="77777777" w:rsidR="001614AC" w:rsidRDefault="001614AC">
            <w:pPr>
              <w:keepNext/>
            </w:pPr>
          </w:p>
        </w:tc>
        <w:tc>
          <w:tcPr>
            <w:tcW w:w="90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5C1E0ECF" w14:textId="77777777" w:rsidR="001614AC" w:rsidRDefault="004468F9">
            <w:pPr>
              <w:keepNext/>
              <w:spacing w:before="55" w:after="30" w:line="288" w:lineRule="auto"/>
              <w:jc w:val="right"/>
            </w:pPr>
            <w:r>
              <w:rPr>
                <w:rFonts w:ascii="Arial" w:eastAsia="Arial" w:hAnsi="Arial" w:cs="Arial"/>
                <w:color w:val="000000"/>
                <w:sz w:val="18"/>
              </w:rPr>
              <w:t>2,626 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082AFE55" w14:textId="77777777" w:rsidR="001614AC" w:rsidRDefault="001614AC">
            <w:pPr>
              <w:keepNext/>
              <w:spacing w:before="55" w:after="30" w:line="288" w:lineRule="auto"/>
              <w:jc w:val="right"/>
            </w:pPr>
          </w:p>
        </w:tc>
        <w:tc>
          <w:tcPr>
            <w:tcW w:w="75" w:type="dxa"/>
            <w:tcBorders>
              <w:top w:val="nil"/>
              <w:left w:val="nil"/>
              <w:bottom w:val="nil"/>
              <w:right w:val="nil"/>
            </w:tcBorders>
            <w:tcMar>
              <w:top w:w="0" w:type="dxa"/>
              <w:left w:w="0" w:type="dxa"/>
              <w:bottom w:w="0" w:type="dxa"/>
              <w:right w:w="0" w:type="dxa"/>
            </w:tcMar>
            <w:vAlign w:val="bottom"/>
          </w:tcPr>
          <w:p w14:paraId="746BC244" w14:textId="77777777" w:rsidR="001614AC" w:rsidRDefault="001614AC">
            <w:pPr>
              <w:keepNext/>
            </w:pPr>
          </w:p>
        </w:tc>
        <w:tc>
          <w:tcPr>
            <w:tcW w:w="800"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65089E2A" w14:textId="77777777" w:rsidR="001614AC" w:rsidRDefault="004468F9">
            <w:pPr>
              <w:keepNext/>
              <w:spacing w:before="55" w:after="30" w:line="288" w:lineRule="auto"/>
              <w:jc w:val="right"/>
            </w:pPr>
            <w:r>
              <w:rPr>
                <w:rFonts w:ascii="Arial" w:eastAsia="Arial" w:hAnsi="Arial" w:cs="Arial"/>
                <w:color w:val="000000"/>
                <w:sz w:val="18"/>
              </w:rPr>
              <w:t>(106)</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16A8AE04" w14:textId="77777777" w:rsidR="001614AC" w:rsidRDefault="001614AC">
            <w:pPr>
              <w:keepNext/>
              <w:spacing w:before="55" w:after="30" w:line="288" w:lineRule="auto"/>
              <w:jc w:val="right"/>
            </w:pPr>
          </w:p>
        </w:tc>
        <w:tc>
          <w:tcPr>
            <w:tcW w:w="75" w:type="dxa"/>
            <w:tcBorders>
              <w:top w:val="nil"/>
              <w:left w:val="nil"/>
              <w:bottom w:val="nil"/>
              <w:right w:val="nil"/>
            </w:tcBorders>
            <w:tcMar>
              <w:top w:w="0" w:type="dxa"/>
              <w:left w:w="0" w:type="dxa"/>
              <w:bottom w:w="0" w:type="dxa"/>
              <w:right w:w="0" w:type="dxa"/>
            </w:tcMar>
            <w:vAlign w:val="bottom"/>
          </w:tcPr>
          <w:p w14:paraId="6028937D" w14:textId="77777777" w:rsidR="001614AC" w:rsidRDefault="001614AC">
            <w:pPr>
              <w:keepNext/>
            </w:pPr>
          </w:p>
        </w:tc>
        <w:tc>
          <w:tcPr>
            <w:tcW w:w="665" w:type="dxa"/>
            <w:tcBorders>
              <w:top w:val="single" w:sz="8" w:space="0" w:color="E9E9E9"/>
              <w:left w:val="nil"/>
              <w:bottom w:val="single" w:sz="8" w:space="0" w:color="E9E9E9"/>
              <w:right w:val="nil"/>
            </w:tcBorders>
            <w:tcMar>
              <w:top w:w="0" w:type="dxa"/>
              <w:left w:w="53" w:type="dxa"/>
              <w:bottom w:w="0" w:type="dxa"/>
              <w:right w:w="0" w:type="dxa"/>
            </w:tcMar>
            <w:vAlign w:val="bottom"/>
          </w:tcPr>
          <w:p w14:paraId="0FAEF98E" w14:textId="77777777" w:rsidR="001614AC" w:rsidRDefault="004468F9">
            <w:pPr>
              <w:keepNext/>
              <w:spacing w:before="55" w:after="30" w:line="288" w:lineRule="auto"/>
              <w:jc w:val="right"/>
            </w:pPr>
            <w:r>
              <w:rPr>
                <w:rFonts w:ascii="Arial" w:eastAsia="Arial" w:hAnsi="Arial" w:cs="Arial"/>
                <w:color w:val="000000"/>
                <w:sz w:val="18"/>
              </w:rPr>
              <w:t>175 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46A87994" w14:textId="77777777" w:rsidR="001614AC" w:rsidRDefault="001614AC">
            <w:pPr>
              <w:keepNext/>
              <w:spacing w:before="55" w:after="30" w:line="288" w:lineRule="auto"/>
              <w:jc w:val="right"/>
            </w:pPr>
          </w:p>
        </w:tc>
        <w:tc>
          <w:tcPr>
            <w:tcW w:w="75" w:type="dxa"/>
            <w:tcBorders>
              <w:top w:val="nil"/>
              <w:left w:val="nil"/>
              <w:bottom w:val="nil"/>
              <w:right w:val="nil"/>
            </w:tcBorders>
            <w:tcMar>
              <w:top w:w="0" w:type="dxa"/>
              <w:left w:w="0" w:type="dxa"/>
              <w:bottom w:w="0" w:type="dxa"/>
              <w:right w:w="0" w:type="dxa"/>
            </w:tcMar>
            <w:vAlign w:val="bottom"/>
          </w:tcPr>
          <w:p w14:paraId="484CF70F" w14:textId="77777777" w:rsidR="001614AC" w:rsidRDefault="001614AC">
            <w:pPr>
              <w:keepNext/>
            </w:pPr>
          </w:p>
        </w:tc>
        <w:tc>
          <w:tcPr>
            <w:tcW w:w="980"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4BAEE18D" w14:textId="77777777" w:rsidR="001614AC" w:rsidRDefault="004468F9">
            <w:pPr>
              <w:keepNext/>
              <w:spacing w:before="55" w:after="30" w:line="288" w:lineRule="auto"/>
              <w:jc w:val="right"/>
            </w:pPr>
            <w:r>
              <w:rPr>
                <w:rFonts w:ascii="Arial" w:eastAsia="Arial" w:hAnsi="Arial" w:cs="Arial"/>
                <w:color w:val="000000"/>
                <w:sz w:val="18"/>
              </w:rPr>
              <w:t>687,027 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0F0FB5AB" w14:textId="77777777" w:rsidR="001614AC" w:rsidRDefault="001614AC">
            <w:pPr>
              <w:keepNext/>
              <w:spacing w:before="55" w:after="30" w:line="288" w:lineRule="auto"/>
              <w:jc w:val="right"/>
            </w:pPr>
          </w:p>
        </w:tc>
        <w:tc>
          <w:tcPr>
            <w:tcW w:w="75" w:type="dxa"/>
            <w:tcBorders>
              <w:top w:val="nil"/>
              <w:left w:val="nil"/>
              <w:bottom w:val="nil"/>
              <w:right w:val="nil"/>
            </w:tcBorders>
            <w:tcMar>
              <w:top w:w="0" w:type="dxa"/>
              <w:left w:w="0" w:type="dxa"/>
              <w:bottom w:w="0" w:type="dxa"/>
              <w:right w:w="0" w:type="dxa"/>
            </w:tcMar>
            <w:vAlign w:val="bottom"/>
          </w:tcPr>
          <w:p w14:paraId="68B9139F" w14:textId="77777777" w:rsidR="001614AC" w:rsidRDefault="001614AC">
            <w:pPr>
              <w:keepNext/>
            </w:pPr>
          </w:p>
        </w:tc>
        <w:tc>
          <w:tcPr>
            <w:tcW w:w="800"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1F32A4F0" w14:textId="77777777" w:rsidR="001614AC" w:rsidRDefault="004468F9">
            <w:pPr>
              <w:keepNext/>
              <w:spacing w:before="55" w:after="30" w:line="288" w:lineRule="auto"/>
              <w:jc w:val="right"/>
            </w:pPr>
            <w:r>
              <w:rPr>
                <w:rFonts w:ascii="Arial" w:eastAsia="Arial" w:hAnsi="Arial" w:cs="Arial"/>
                <w:color w:val="000000"/>
                <w:sz w:val="18"/>
              </w:rPr>
              <w:t>(19,486)</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74EE4D6C" w14:textId="77777777" w:rsidR="001614AC" w:rsidRDefault="001614AC">
            <w:pPr>
              <w:keepNext/>
              <w:spacing w:before="55" w:after="30" w:line="288" w:lineRule="auto"/>
              <w:jc w:val="right"/>
            </w:pPr>
          </w:p>
        </w:tc>
      </w:tr>
      <w:tr w:rsidR="001614AC" w14:paraId="583AE810" w14:textId="77777777">
        <w:trPr>
          <w:cantSplit/>
        </w:trPr>
        <w:tc>
          <w:tcPr>
            <w:tcW w:w="1245" w:type="dxa"/>
            <w:tcBorders>
              <w:top w:val="single" w:sz="8" w:space="0" w:color="E9E9E9"/>
              <w:left w:val="nil"/>
              <w:bottom w:val="single" w:sz="8" w:space="0" w:color="E9E9E9"/>
              <w:right w:val="nil"/>
            </w:tcBorders>
            <w:tcMar>
              <w:top w:w="0" w:type="dxa"/>
              <w:left w:w="53" w:type="dxa"/>
              <w:bottom w:w="0" w:type="dxa"/>
              <w:right w:w="53" w:type="dxa"/>
            </w:tcMar>
            <w:vAlign w:val="bottom"/>
          </w:tcPr>
          <w:p w14:paraId="782CBEE2" w14:textId="77777777" w:rsidR="001614AC" w:rsidRDefault="004468F9">
            <w:pPr>
              <w:keepNext/>
              <w:spacing w:before="55" w:after="30" w:line="288" w:lineRule="auto"/>
            </w:pPr>
            <w:r>
              <w:rPr>
                <w:rFonts w:ascii="Arial" w:eastAsia="Arial" w:hAnsi="Arial" w:cs="Arial"/>
                <w:color w:val="000000"/>
                <w:sz w:val="18"/>
              </w:rPr>
              <w:t>RMBS</w:t>
            </w:r>
          </w:p>
        </w:tc>
        <w:tc>
          <w:tcPr>
            <w:tcW w:w="75" w:type="dxa"/>
            <w:tcBorders>
              <w:top w:val="nil"/>
              <w:left w:val="nil"/>
              <w:bottom w:val="nil"/>
              <w:right w:val="nil"/>
            </w:tcBorders>
            <w:tcMar>
              <w:top w:w="0" w:type="dxa"/>
              <w:left w:w="0" w:type="dxa"/>
              <w:bottom w:w="0" w:type="dxa"/>
              <w:right w:w="0" w:type="dxa"/>
            </w:tcMar>
            <w:vAlign w:val="bottom"/>
          </w:tcPr>
          <w:p w14:paraId="67A3DCCF" w14:textId="77777777" w:rsidR="001614AC" w:rsidRDefault="001614AC">
            <w:pPr>
              <w:keepNext/>
            </w:pPr>
          </w:p>
        </w:tc>
        <w:tc>
          <w:tcPr>
            <w:tcW w:w="665" w:type="dxa"/>
            <w:tcBorders>
              <w:top w:val="single" w:sz="8" w:space="0" w:color="E9E9E9"/>
              <w:left w:val="nil"/>
              <w:bottom w:val="single" w:sz="8" w:space="0" w:color="E9E9E9"/>
              <w:right w:val="nil"/>
            </w:tcBorders>
            <w:tcMar>
              <w:top w:w="0" w:type="dxa"/>
              <w:left w:w="53" w:type="dxa"/>
              <w:bottom w:w="0" w:type="dxa"/>
              <w:right w:w="0" w:type="dxa"/>
            </w:tcMar>
            <w:vAlign w:val="bottom"/>
          </w:tcPr>
          <w:p w14:paraId="145AE305" w14:textId="77777777" w:rsidR="001614AC" w:rsidRDefault="004468F9">
            <w:pPr>
              <w:keepNext/>
              <w:spacing w:before="55" w:after="30" w:line="288" w:lineRule="auto"/>
              <w:jc w:val="right"/>
            </w:pPr>
            <w:r>
              <w:rPr>
                <w:rFonts w:ascii="Arial" w:eastAsia="Arial" w:hAnsi="Arial" w:cs="Arial"/>
                <w:color w:val="000000"/>
                <w:sz w:val="18"/>
              </w:rPr>
              <w:t>35 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7DC3E6EB" w14:textId="77777777" w:rsidR="001614AC" w:rsidRDefault="001614AC">
            <w:pPr>
              <w:keepNext/>
              <w:spacing w:before="55" w:after="30" w:line="288" w:lineRule="auto"/>
              <w:jc w:val="right"/>
            </w:pPr>
          </w:p>
        </w:tc>
        <w:tc>
          <w:tcPr>
            <w:tcW w:w="75" w:type="dxa"/>
            <w:tcBorders>
              <w:top w:val="nil"/>
              <w:left w:val="nil"/>
              <w:bottom w:val="nil"/>
              <w:right w:val="nil"/>
            </w:tcBorders>
            <w:tcMar>
              <w:top w:w="0" w:type="dxa"/>
              <w:left w:w="0" w:type="dxa"/>
              <w:bottom w:w="0" w:type="dxa"/>
              <w:right w:w="0" w:type="dxa"/>
            </w:tcMar>
            <w:vAlign w:val="bottom"/>
          </w:tcPr>
          <w:p w14:paraId="5F7EB6BC" w14:textId="77777777" w:rsidR="001614AC" w:rsidRDefault="001614AC">
            <w:pPr>
              <w:keepNext/>
            </w:pPr>
          </w:p>
        </w:tc>
        <w:tc>
          <w:tcPr>
            <w:tcW w:w="980"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1B3543C2" w14:textId="77777777" w:rsidR="001614AC" w:rsidRDefault="004468F9">
            <w:pPr>
              <w:keepNext/>
              <w:spacing w:before="55" w:after="30" w:line="288" w:lineRule="auto"/>
              <w:jc w:val="right"/>
            </w:pPr>
            <w:r>
              <w:rPr>
                <w:rFonts w:ascii="Arial" w:eastAsia="Arial" w:hAnsi="Arial" w:cs="Arial"/>
                <w:color w:val="000000"/>
                <w:sz w:val="18"/>
              </w:rPr>
              <w:t>260,712 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65752DCF" w14:textId="77777777" w:rsidR="001614AC" w:rsidRDefault="001614AC">
            <w:pPr>
              <w:keepNext/>
              <w:spacing w:before="55" w:after="30" w:line="288" w:lineRule="auto"/>
              <w:jc w:val="right"/>
            </w:pPr>
          </w:p>
        </w:tc>
        <w:tc>
          <w:tcPr>
            <w:tcW w:w="75" w:type="dxa"/>
            <w:tcBorders>
              <w:top w:val="nil"/>
              <w:left w:val="nil"/>
              <w:bottom w:val="nil"/>
              <w:right w:val="nil"/>
            </w:tcBorders>
            <w:tcMar>
              <w:top w:w="0" w:type="dxa"/>
              <w:left w:w="0" w:type="dxa"/>
              <w:bottom w:w="0" w:type="dxa"/>
              <w:right w:w="0" w:type="dxa"/>
            </w:tcMar>
            <w:vAlign w:val="bottom"/>
          </w:tcPr>
          <w:p w14:paraId="5B6B5136" w14:textId="77777777" w:rsidR="001614AC" w:rsidRDefault="001614AC">
            <w:pPr>
              <w:keepNext/>
            </w:pPr>
          </w:p>
        </w:tc>
        <w:tc>
          <w:tcPr>
            <w:tcW w:w="800"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3F177DDA" w14:textId="77777777" w:rsidR="001614AC" w:rsidRDefault="004468F9">
            <w:pPr>
              <w:keepNext/>
              <w:spacing w:before="55" w:after="30" w:line="288" w:lineRule="auto"/>
              <w:jc w:val="right"/>
            </w:pPr>
            <w:r>
              <w:rPr>
                <w:rFonts w:ascii="Arial" w:eastAsia="Arial" w:hAnsi="Arial" w:cs="Arial"/>
                <w:color w:val="000000"/>
                <w:sz w:val="18"/>
              </w:rPr>
              <w:t>(3,292)</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0343E9FE" w14:textId="77777777" w:rsidR="001614AC" w:rsidRDefault="001614AC">
            <w:pPr>
              <w:keepNext/>
              <w:spacing w:before="55" w:after="30" w:line="288" w:lineRule="auto"/>
              <w:jc w:val="right"/>
            </w:pPr>
          </w:p>
        </w:tc>
        <w:tc>
          <w:tcPr>
            <w:tcW w:w="75" w:type="dxa"/>
            <w:tcBorders>
              <w:top w:val="nil"/>
              <w:left w:val="nil"/>
              <w:bottom w:val="nil"/>
              <w:right w:val="nil"/>
            </w:tcBorders>
            <w:tcMar>
              <w:top w:w="0" w:type="dxa"/>
              <w:left w:w="0" w:type="dxa"/>
              <w:bottom w:w="0" w:type="dxa"/>
              <w:right w:w="0" w:type="dxa"/>
            </w:tcMar>
            <w:vAlign w:val="bottom"/>
          </w:tcPr>
          <w:p w14:paraId="5F7467EC" w14:textId="77777777" w:rsidR="001614AC" w:rsidRDefault="001614AC">
            <w:pPr>
              <w:keepNext/>
            </w:pPr>
          </w:p>
        </w:tc>
        <w:tc>
          <w:tcPr>
            <w:tcW w:w="665" w:type="dxa"/>
            <w:tcBorders>
              <w:top w:val="single" w:sz="8" w:space="0" w:color="E9E9E9"/>
              <w:left w:val="nil"/>
              <w:bottom w:val="single" w:sz="8" w:space="0" w:color="E9E9E9"/>
              <w:right w:val="nil"/>
            </w:tcBorders>
            <w:tcMar>
              <w:top w:w="0" w:type="dxa"/>
              <w:left w:w="53" w:type="dxa"/>
              <w:bottom w:w="0" w:type="dxa"/>
              <w:right w:w="0" w:type="dxa"/>
            </w:tcMar>
            <w:vAlign w:val="bottom"/>
          </w:tcPr>
          <w:p w14:paraId="0FC3C0DA" w14:textId="77777777" w:rsidR="001614AC" w:rsidRDefault="004468F9">
            <w:pPr>
              <w:keepNext/>
              <w:spacing w:before="55" w:after="30" w:line="288" w:lineRule="auto"/>
              <w:jc w:val="right"/>
            </w:pPr>
            <w:r>
              <w:rPr>
                <w:rFonts w:ascii="Arial" w:eastAsia="Arial" w:hAnsi="Arial" w:cs="Arial"/>
                <w:color w:val="000000"/>
                <w:sz w:val="18"/>
              </w:rPr>
              <w:t>2 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63CA15D4" w14:textId="77777777" w:rsidR="001614AC" w:rsidRDefault="001614AC">
            <w:pPr>
              <w:keepNext/>
              <w:spacing w:before="55" w:after="30" w:line="288" w:lineRule="auto"/>
              <w:jc w:val="right"/>
            </w:pPr>
          </w:p>
        </w:tc>
        <w:tc>
          <w:tcPr>
            <w:tcW w:w="75" w:type="dxa"/>
            <w:tcBorders>
              <w:top w:val="nil"/>
              <w:left w:val="nil"/>
              <w:bottom w:val="nil"/>
              <w:right w:val="nil"/>
            </w:tcBorders>
            <w:tcMar>
              <w:top w:w="0" w:type="dxa"/>
              <w:left w:w="0" w:type="dxa"/>
              <w:bottom w:w="0" w:type="dxa"/>
              <w:right w:w="0" w:type="dxa"/>
            </w:tcMar>
            <w:vAlign w:val="bottom"/>
          </w:tcPr>
          <w:p w14:paraId="5AB44D6A" w14:textId="77777777" w:rsidR="001614AC" w:rsidRDefault="001614AC">
            <w:pPr>
              <w:keepNext/>
            </w:pPr>
          </w:p>
        </w:tc>
        <w:tc>
          <w:tcPr>
            <w:tcW w:w="90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520ACED2" w14:textId="77777777" w:rsidR="001614AC" w:rsidRDefault="004468F9">
            <w:pPr>
              <w:keepNext/>
              <w:spacing w:before="55" w:after="30" w:line="288" w:lineRule="auto"/>
              <w:jc w:val="right"/>
            </w:pPr>
            <w:r>
              <w:rPr>
                <w:rFonts w:ascii="Arial" w:eastAsia="Arial" w:hAnsi="Arial" w:cs="Arial"/>
                <w:color w:val="000000"/>
                <w:sz w:val="18"/>
              </w:rPr>
              <w:t>803 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03AD3D09" w14:textId="77777777" w:rsidR="001614AC" w:rsidRDefault="001614AC">
            <w:pPr>
              <w:keepNext/>
              <w:spacing w:before="55" w:after="30" w:line="288" w:lineRule="auto"/>
              <w:jc w:val="right"/>
            </w:pPr>
          </w:p>
        </w:tc>
        <w:tc>
          <w:tcPr>
            <w:tcW w:w="75" w:type="dxa"/>
            <w:tcBorders>
              <w:top w:val="nil"/>
              <w:left w:val="nil"/>
              <w:bottom w:val="nil"/>
              <w:right w:val="nil"/>
            </w:tcBorders>
            <w:tcMar>
              <w:top w:w="0" w:type="dxa"/>
              <w:left w:w="0" w:type="dxa"/>
              <w:bottom w:w="0" w:type="dxa"/>
              <w:right w:w="0" w:type="dxa"/>
            </w:tcMar>
            <w:vAlign w:val="bottom"/>
          </w:tcPr>
          <w:p w14:paraId="280B4794" w14:textId="77777777" w:rsidR="001614AC" w:rsidRDefault="001614AC">
            <w:pPr>
              <w:keepNext/>
            </w:pPr>
          </w:p>
        </w:tc>
        <w:tc>
          <w:tcPr>
            <w:tcW w:w="800"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53C5D347" w14:textId="77777777" w:rsidR="001614AC" w:rsidRDefault="004468F9">
            <w:pPr>
              <w:keepNext/>
              <w:spacing w:before="55" w:after="30" w:line="288" w:lineRule="auto"/>
              <w:jc w:val="right"/>
            </w:pPr>
            <w:r>
              <w:rPr>
                <w:rFonts w:ascii="Arial" w:eastAsia="Arial" w:hAnsi="Arial" w:cs="Arial"/>
                <w:color w:val="000000"/>
                <w:sz w:val="18"/>
              </w:rPr>
              <w:t>(10)</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674734D0" w14:textId="77777777" w:rsidR="001614AC" w:rsidRDefault="001614AC">
            <w:pPr>
              <w:keepNext/>
              <w:spacing w:before="55" w:after="30" w:line="288" w:lineRule="auto"/>
              <w:jc w:val="right"/>
            </w:pPr>
          </w:p>
        </w:tc>
        <w:tc>
          <w:tcPr>
            <w:tcW w:w="75" w:type="dxa"/>
            <w:tcBorders>
              <w:top w:val="nil"/>
              <w:left w:val="nil"/>
              <w:bottom w:val="nil"/>
              <w:right w:val="nil"/>
            </w:tcBorders>
            <w:tcMar>
              <w:top w:w="0" w:type="dxa"/>
              <w:left w:w="0" w:type="dxa"/>
              <w:bottom w:w="0" w:type="dxa"/>
              <w:right w:w="0" w:type="dxa"/>
            </w:tcMar>
            <w:vAlign w:val="bottom"/>
          </w:tcPr>
          <w:p w14:paraId="31C21097" w14:textId="77777777" w:rsidR="001614AC" w:rsidRDefault="001614AC">
            <w:pPr>
              <w:keepNext/>
            </w:pPr>
          </w:p>
        </w:tc>
        <w:tc>
          <w:tcPr>
            <w:tcW w:w="665" w:type="dxa"/>
            <w:tcBorders>
              <w:top w:val="single" w:sz="8" w:space="0" w:color="E9E9E9"/>
              <w:left w:val="nil"/>
              <w:bottom w:val="single" w:sz="8" w:space="0" w:color="E9E9E9"/>
              <w:right w:val="nil"/>
            </w:tcBorders>
            <w:tcMar>
              <w:top w:w="0" w:type="dxa"/>
              <w:left w:w="53" w:type="dxa"/>
              <w:bottom w:w="0" w:type="dxa"/>
              <w:right w:w="0" w:type="dxa"/>
            </w:tcMar>
            <w:vAlign w:val="bottom"/>
          </w:tcPr>
          <w:p w14:paraId="7D034273" w14:textId="77777777" w:rsidR="001614AC" w:rsidRDefault="004468F9">
            <w:pPr>
              <w:keepNext/>
              <w:spacing w:before="55" w:after="30" w:line="288" w:lineRule="auto"/>
              <w:jc w:val="right"/>
            </w:pPr>
            <w:r>
              <w:rPr>
                <w:rFonts w:ascii="Arial" w:eastAsia="Arial" w:hAnsi="Arial" w:cs="Arial"/>
                <w:color w:val="000000"/>
                <w:sz w:val="18"/>
              </w:rPr>
              <w:t>37 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01192E91" w14:textId="77777777" w:rsidR="001614AC" w:rsidRDefault="001614AC">
            <w:pPr>
              <w:keepNext/>
              <w:spacing w:before="55" w:after="30" w:line="288" w:lineRule="auto"/>
              <w:jc w:val="right"/>
            </w:pPr>
          </w:p>
        </w:tc>
        <w:tc>
          <w:tcPr>
            <w:tcW w:w="75" w:type="dxa"/>
            <w:tcBorders>
              <w:top w:val="nil"/>
              <w:left w:val="nil"/>
              <w:bottom w:val="nil"/>
              <w:right w:val="nil"/>
            </w:tcBorders>
            <w:tcMar>
              <w:top w:w="0" w:type="dxa"/>
              <w:left w:w="0" w:type="dxa"/>
              <w:bottom w:w="0" w:type="dxa"/>
              <w:right w:w="0" w:type="dxa"/>
            </w:tcMar>
            <w:vAlign w:val="bottom"/>
          </w:tcPr>
          <w:p w14:paraId="3E1C1CA9" w14:textId="77777777" w:rsidR="001614AC" w:rsidRDefault="001614AC">
            <w:pPr>
              <w:keepNext/>
            </w:pPr>
          </w:p>
        </w:tc>
        <w:tc>
          <w:tcPr>
            <w:tcW w:w="980"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57844AC6" w14:textId="77777777" w:rsidR="001614AC" w:rsidRDefault="004468F9">
            <w:pPr>
              <w:keepNext/>
              <w:spacing w:before="55" w:after="30" w:line="288" w:lineRule="auto"/>
              <w:jc w:val="right"/>
            </w:pPr>
            <w:r>
              <w:rPr>
                <w:rFonts w:ascii="Arial" w:eastAsia="Arial" w:hAnsi="Arial" w:cs="Arial"/>
                <w:color w:val="000000"/>
                <w:sz w:val="18"/>
              </w:rPr>
              <w:t>261,515 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093568E5" w14:textId="77777777" w:rsidR="001614AC" w:rsidRDefault="001614AC">
            <w:pPr>
              <w:keepNext/>
              <w:spacing w:before="55" w:after="30" w:line="288" w:lineRule="auto"/>
              <w:jc w:val="right"/>
            </w:pPr>
          </w:p>
        </w:tc>
        <w:tc>
          <w:tcPr>
            <w:tcW w:w="75" w:type="dxa"/>
            <w:tcBorders>
              <w:top w:val="nil"/>
              <w:left w:val="nil"/>
              <w:bottom w:val="nil"/>
              <w:right w:val="nil"/>
            </w:tcBorders>
            <w:tcMar>
              <w:top w:w="0" w:type="dxa"/>
              <w:left w:w="0" w:type="dxa"/>
              <w:bottom w:w="0" w:type="dxa"/>
              <w:right w:w="0" w:type="dxa"/>
            </w:tcMar>
            <w:vAlign w:val="bottom"/>
          </w:tcPr>
          <w:p w14:paraId="6105E04C" w14:textId="77777777" w:rsidR="001614AC" w:rsidRDefault="001614AC">
            <w:pPr>
              <w:keepNext/>
            </w:pPr>
          </w:p>
        </w:tc>
        <w:tc>
          <w:tcPr>
            <w:tcW w:w="800"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397AABE9" w14:textId="77777777" w:rsidR="001614AC" w:rsidRDefault="004468F9">
            <w:pPr>
              <w:keepNext/>
              <w:spacing w:before="55" w:after="30" w:line="288" w:lineRule="auto"/>
              <w:jc w:val="right"/>
            </w:pPr>
            <w:r>
              <w:rPr>
                <w:rFonts w:ascii="Arial" w:eastAsia="Arial" w:hAnsi="Arial" w:cs="Arial"/>
                <w:color w:val="000000"/>
                <w:sz w:val="18"/>
              </w:rPr>
              <w:t>(3,302)</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3221DD7E" w14:textId="77777777" w:rsidR="001614AC" w:rsidRDefault="001614AC">
            <w:pPr>
              <w:keepNext/>
              <w:spacing w:before="55" w:after="30" w:line="288" w:lineRule="auto"/>
              <w:jc w:val="right"/>
            </w:pPr>
          </w:p>
        </w:tc>
      </w:tr>
      <w:tr w:rsidR="001614AC" w14:paraId="0E917B96" w14:textId="77777777">
        <w:trPr>
          <w:cantSplit/>
        </w:trPr>
        <w:tc>
          <w:tcPr>
            <w:tcW w:w="1245" w:type="dxa"/>
            <w:tcBorders>
              <w:top w:val="single" w:sz="8" w:space="0" w:color="E9E9E9"/>
              <w:left w:val="nil"/>
              <w:bottom w:val="single" w:sz="8" w:space="0" w:color="E9E9E9"/>
              <w:right w:val="nil"/>
            </w:tcBorders>
            <w:tcMar>
              <w:top w:w="0" w:type="dxa"/>
              <w:left w:w="53" w:type="dxa"/>
              <w:bottom w:w="0" w:type="dxa"/>
              <w:right w:w="53" w:type="dxa"/>
            </w:tcMar>
            <w:vAlign w:val="bottom"/>
          </w:tcPr>
          <w:p w14:paraId="66E59DFA" w14:textId="77777777" w:rsidR="001614AC" w:rsidRDefault="004468F9">
            <w:pPr>
              <w:keepNext/>
              <w:spacing w:before="55" w:after="30" w:line="288" w:lineRule="auto"/>
            </w:pPr>
            <w:r>
              <w:rPr>
                <w:rFonts w:ascii="Arial" w:eastAsia="Arial" w:hAnsi="Arial" w:cs="Arial"/>
                <w:color w:val="000000"/>
                <w:sz w:val="18"/>
              </w:rPr>
              <w:t>CMBS</w:t>
            </w:r>
          </w:p>
        </w:tc>
        <w:tc>
          <w:tcPr>
            <w:tcW w:w="75" w:type="dxa"/>
            <w:tcBorders>
              <w:top w:val="nil"/>
              <w:left w:val="nil"/>
              <w:bottom w:val="nil"/>
              <w:right w:val="nil"/>
            </w:tcBorders>
            <w:tcMar>
              <w:top w:w="0" w:type="dxa"/>
              <w:left w:w="0" w:type="dxa"/>
              <w:bottom w:w="0" w:type="dxa"/>
              <w:right w:w="0" w:type="dxa"/>
            </w:tcMar>
            <w:vAlign w:val="bottom"/>
          </w:tcPr>
          <w:p w14:paraId="11EA7CCE" w14:textId="77777777" w:rsidR="001614AC" w:rsidRDefault="001614AC">
            <w:pPr>
              <w:keepNext/>
            </w:pPr>
          </w:p>
        </w:tc>
        <w:tc>
          <w:tcPr>
            <w:tcW w:w="665" w:type="dxa"/>
            <w:tcBorders>
              <w:top w:val="single" w:sz="8" w:space="0" w:color="E9E9E9"/>
              <w:left w:val="nil"/>
              <w:bottom w:val="single" w:sz="8" w:space="0" w:color="E9E9E9"/>
              <w:right w:val="nil"/>
            </w:tcBorders>
            <w:tcMar>
              <w:top w:w="0" w:type="dxa"/>
              <w:left w:w="53" w:type="dxa"/>
              <w:bottom w:w="0" w:type="dxa"/>
              <w:right w:w="0" w:type="dxa"/>
            </w:tcMar>
            <w:vAlign w:val="bottom"/>
          </w:tcPr>
          <w:p w14:paraId="6BC29D69" w14:textId="77777777" w:rsidR="001614AC" w:rsidRDefault="004468F9">
            <w:pPr>
              <w:keepNext/>
              <w:spacing w:before="55" w:after="30" w:line="288" w:lineRule="auto"/>
              <w:jc w:val="right"/>
            </w:pPr>
            <w:r>
              <w:rPr>
                <w:rFonts w:ascii="Arial" w:eastAsia="Arial" w:hAnsi="Arial" w:cs="Arial"/>
                <w:color w:val="000000"/>
                <w:sz w:val="18"/>
              </w:rPr>
              <w:t>49 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241DB64A" w14:textId="77777777" w:rsidR="001614AC" w:rsidRDefault="001614AC">
            <w:pPr>
              <w:keepNext/>
              <w:spacing w:before="55" w:after="30" w:line="288" w:lineRule="auto"/>
              <w:jc w:val="right"/>
            </w:pPr>
          </w:p>
        </w:tc>
        <w:tc>
          <w:tcPr>
            <w:tcW w:w="75" w:type="dxa"/>
            <w:tcBorders>
              <w:top w:val="nil"/>
              <w:left w:val="nil"/>
              <w:bottom w:val="nil"/>
              <w:right w:val="nil"/>
            </w:tcBorders>
            <w:tcMar>
              <w:top w:w="0" w:type="dxa"/>
              <w:left w:w="0" w:type="dxa"/>
              <w:bottom w:w="0" w:type="dxa"/>
              <w:right w:w="0" w:type="dxa"/>
            </w:tcMar>
            <w:vAlign w:val="bottom"/>
          </w:tcPr>
          <w:p w14:paraId="22E6F326" w14:textId="77777777" w:rsidR="001614AC" w:rsidRDefault="001614AC">
            <w:pPr>
              <w:keepNext/>
            </w:pPr>
          </w:p>
        </w:tc>
        <w:tc>
          <w:tcPr>
            <w:tcW w:w="980"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110AD079" w14:textId="77777777" w:rsidR="001614AC" w:rsidRDefault="004468F9">
            <w:pPr>
              <w:keepNext/>
              <w:spacing w:before="55" w:after="30" w:line="288" w:lineRule="auto"/>
              <w:jc w:val="right"/>
            </w:pPr>
            <w:r>
              <w:rPr>
                <w:rFonts w:ascii="Arial" w:eastAsia="Arial" w:hAnsi="Arial" w:cs="Arial"/>
                <w:color w:val="000000"/>
                <w:sz w:val="18"/>
              </w:rPr>
              <w:t>106,289 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66EC795D" w14:textId="77777777" w:rsidR="001614AC" w:rsidRDefault="001614AC">
            <w:pPr>
              <w:keepNext/>
              <w:spacing w:before="55" w:after="30" w:line="288" w:lineRule="auto"/>
              <w:jc w:val="right"/>
            </w:pPr>
          </w:p>
        </w:tc>
        <w:tc>
          <w:tcPr>
            <w:tcW w:w="75" w:type="dxa"/>
            <w:tcBorders>
              <w:top w:val="nil"/>
              <w:left w:val="nil"/>
              <w:bottom w:val="nil"/>
              <w:right w:val="nil"/>
            </w:tcBorders>
            <w:tcMar>
              <w:top w:w="0" w:type="dxa"/>
              <w:left w:w="0" w:type="dxa"/>
              <w:bottom w:w="0" w:type="dxa"/>
              <w:right w:w="0" w:type="dxa"/>
            </w:tcMar>
            <w:vAlign w:val="bottom"/>
          </w:tcPr>
          <w:p w14:paraId="18F8C299" w14:textId="77777777" w:rsidR="001614AC" w:rsidRDefault="001614AC">
            <w:pPr>
              <w:keepNext/>
            </w:pPr>
          </w:p>
        </w:tc>
        <w:tc>
          <w:tcPr>
            <w:tcW w:w="800"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1A4E2AF2" w14:textId="77777777" w:rsidR="001614AC" w:rsidRDefault="004468F9">
            <w:pPr>
              <w:keepNext/>
              <w:spacing w:before="55" w:after="30" w:line="288" w:lineRule="auto"/>
              <w:jc w:val="right"/>
            </w:pPr>
            <w:r>
              <w:rPr>
                <w:rFonts w:ascii="Arial" w:eastAsia="Arial" w:hAnsi="Arial" w:cs="Arial"/>
                <w:color w:val="000000"/>
                <w:sz w:val="18"/>
              </w:rPr>
              <w:t>(1,280)</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43D244B4" w14:textId="77777777" w:rsidR="001614AC" w:rsidRDefault="001614AC">
            <w:pPr>
              <w:keepNext/>
              <w:spacing w:before="55" w:after="30" w:line="288" w:lineRule="auto"/>
              <w:jc w:val="right"/>
            </w:pPr>
          </w:p>
        </w:tc>
        <w:tc>
          <w:tcPr>
            <w:tcW w:w="75" w:type="dxa"/>
            <w:tcBorders>
              <w:top w:val="nil"/>
              <w:left w:val="nil"/>
              <w:bottom w:val="nil"/>
              <w:right w:val="nil"/>
            </w:tcBorders>
            <w:tcMar>
              <w:top w:w="0" w:type="dxa"/>
              <w:left w:w="0" w:type="dxa"/>
              <w:bottom w:w="0" w:type="dxa"/>
              <w:right w:w="0" w:type="dxa"/>
            </w:tcMar>
            <w:vAlign w:val="bottom"/>
          </w:tcPr>
          <w:p w14:paraId="74A28F78" w14:textId="77777777" w:rsidR="001614AC" w:rsidRDefault="001614AC">
            <w:pPr>
              <w:keepNext/>
            </w:pPr>
          </w:p>
        </w:tc>
        <w:tc>
          <w:tcPr>
            <w:tcW w:w="665" w:type="dxa"/>
            <w:tcBorders>
              <w:top w:val="single" w:sz="8" w:space="0" w:color="E9E9E9"/>
              <w:left w:val="nil"/>
              <w:bottom w:val="single" w:sz="8" w:space="0" w:color="E9E9E9"/>
              <w:right w:val="nil"/>
            </w:tcBorders>
            <w:tcMar>
              <w:top w:w="0" w:type="dxa"/>
              <w:left w:w="53" w:type="dxa"/>
              <w:bottom w:w="0" w:type="dxa"/>
              <w:right w:w="0" w:type="dxa"/>
            </w:tcMar>
            <w:vAlign w:val="bottom"/>
          </w:tcPr>
          <w:p w14:paraId="1B66E5E2" w14:textId="77777777" w:rsidR="001614AC" w:rsidRDefault="004468F9">
            <w:pPr>
              <w:keepNext/>
              <w:spacing w:before="55" w:after="30" w:line="288" w:lineRule="auto"/>
              <w:jc w:val="right"/>
            </w:pPr>
            <w:r>
              <w:rPr>
                <w:rFonts w:ascii="Arial" w:eastAsia="Arial" w:hAnsi="Arial" w:cs="Arial"/>
                <w:color w:val="000000"/>
                <w:sz w:val="18"/>
              </w:rPr>
              <w:t>16 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558DC92C" w14:textId="77777777" w:rsidR="001614AC" w:rsidRDefault="001614AC">
            <w:pPr>
              <w:keepNext/>
              <w:spacing w:before="55" w:after="30" w:line="288" w:lineRule="auto"/>
              <w:jc w:val="right"/>
            </w:pPr>
          </w:p>
        </w:tc>
        <w:tc>
          <w:tcPr>
            <w:tcW w:w="75" w:type="dxa"/>
            <w:tcBorders>
              <w:top w:val="nil"/>
              <w:left w:val="nil"/>
              <w:bottom w:val="nil"/>
              <w:right w:val="nil"/>
            </w:tcBorders>
            <w:tcMar>
              <w:top w:w="0" w:type="dxa"/>
              <w:left w:w="0" w:type="dxa"/>
              <w:bottom w:w="0" w:type="dxa"/>
              <w:right w:w="0" w:type="dxa"/>
            </w:tcMar>
            <w:vAlign w:val="bottom"/>
          </w:tcPr>
          <w:p w14:paraId="3B6B6E0F" w14:textId="77777777" w:rsidR="001614AC" w:rsidRDefault="001614AC">
            <w:pPr>
              <w:keepNext/>
            </w:pPr>
          </w:p>
        </w:tc>
        <w:tc>
          <w:tcPr>
            <w:tcW w:w="90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2369FD75" w14:textId="77777777" w:rsidR="001614AC" w:rsidRDefault="004468F9">
            <w:pPr>
              <w:keepNext/>
              <w:spacing w:before="55" w:after="30" w:line="288" w:lineRule="auto"/>
              <w:jc w:val="right"/>
            </w:pPr>
            <w:r>
              <w:rPr>
                <w:rFonts w:ascii="Arial" w:eastAsia="Arial" w:hAnsi="Arial" w:cs="Arial"/>
                <w:color w:val="000000"/>
                <w:sz w:val="18"/>
              </w:rPr>
              <w:t>35,577 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342D3A56" w14:textId="77777777" w:rsidR="001614AC" w:rsidRDefault="001614AC">
            <w:pPr>
              <w:keepNext/>
              <w:spacing w:before="55" w:after="30" w:line="288" w:lineRule="auto"/>
              <w:jc w:val="right"/>
            </w:pPr>
          </w:p>
        </w:tc>
        <w:tc>
          <w:tcPr>
            <w:tcW w:w="75" w:type="dxa"/>
            <w:tcBorders>
              <w:top w:val="nil"/>
              <w:left w:val="nil"/>
              <w:bottom w:val="nil"/>
              <w:right w:val="nil"/>
            </w:tcBorders>
            <w:tcMar>
              <w:top w:w="0" w:type="dxa"/>
              <w:left w:w="0" w:type="dxa"/>
              <w:bottom w:w="0" w:type="dxa"/>
              <w:right w:w="0" w:type="dxa"/>
            </w:tcMar>
            <w:vAlign w:val="bottom"/>
          </w:tcPr>
          <w:p w14:paraId="4623BDFF" w14:textId="77777777" w:rsidR="001614AC" w:rsidRDefault="001614AC">
            <w:pPr>
              <w:keepNext/>
            </w:pPr>
          </w:p>
        </w:tc>
        <w:tc>
          <w:tcPr>
            <w:tcW w:w="800"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643CC7C9" w14:textId="77777777" w:rsidR="001614AC" w:rsidRDefault="004468F9">
            <w:pPr>
              <w:keepNext/>
              <w:spacing w:before="55" w:after="30" w:line="288" w:lineRule="auto"/>
              <w:jc w:val="right"/>
            </w:pPr>
            <w:r>
              <w:rPr>
                <w:rFonts w:ascii="Arial" w:eastAsia="Arial" w:hAnsi="Arial" w:cs="Arial"/>
                <w:color w:val="000000"/>
                <w:sz w:val="18"/>
              </w:rPr>
              <w:t>(1,081)</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0AC9564B" w14:textId="77777777" w:rsidR="001614AC" w:rsidRDefault="001614AC">
            <w:pPr>
              <w:keepNext/>
              <w:spacing w:before="55" w:after="30" w:line="288" w:lineRule="auto"/>
              <w:jc w:val="right"/>
            </w:pPr>
          </w:p>
        </w:tc>
        <w:tc>
          <w:tcPr>
            <w:tcW w:w="75" w:type="dxa"/>
            <w:tcBorders>
              <w:top w:val="nil"/>
              <w:left w:val="nil"/>
              <w:bottom w:val="nil"/>
              <w:right w:val="nil"/>
            </w:tcBorders>
            <w:tcMar>
              <w:top w:w="0" w:type="dxa"/>
              <w:left w:w="0" w:type="dxa"/>
              <w:bottom w:w="0" w:type="dxa"/>
              <w:right w:w="0" w:type="dxa"/>
            </w:tcMar>
            <w:vAlign w:val="bottom"/>
          </w:tcPr>
          <w:p w14:paraId="690040C7" w14:textId="77777777" w:rsidR="001614AC" w:rsidRDefault="001614AC">
            <w:pPr>
              <w:keepNext/>
            </w:pPr>
          </w:p>
        </w:tc>
        <w:tc>
          <w:tcPr>
            <w:tcW w:w="665" w:type="dxa"/>
            <w:tcBorders>
              <w:top w:val="single" w:sz="8" w:space="0" w:color="E9E9E9"/>
              <w:left w:val="nil"/>
              <w:bottom w:val="single" w:sz="8" w:space="0" w:color="E9E9E9"/>
              <w:right w:val="nil"/>
            </w:tcBorders>
            <w:tcMar>
              <w:top w:w="0" w:type="dxa"/>
              <w:left w:w="53" w:type="dxa"/>
              <w:bottom w:w="0" w:type="dxa"/>
              <w:right w:w="0" w:type="dxa"/>
            </w:tcMar>
            <w:vAlign w:val="bottom"/>
          </w:tcPr>
          <w:p w14:paraId="49C201B6" w14:textId="77777777" w:rsidR="001614AC" w:rsidRDefault="004468F9">
            <w:pPr>
              <w:keepNext/>
              <w:spacing w:before="55" w:after="30" w:line="288" w:lineRule="auto"/>
              <w:jc w:val="right"/>
            </w:pPr>
            <w:r>
              <w:rPr>
                <w:rFonts w:ascii="Arial" w:eastAsia="Arial" w:hAnsi="Arial" w:cs="Arial"/>
                <w:color w:val="000000"/>
                <w:sz w:val="18"/>
              </w:rPr>
              <w:t>65 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32C880C7" w14:textId="77777777" w:rsidR="001614AC" w:rsidRDefault="001614AC">
            <w:pPr>
              <w:keepNext/>
              <w:spacing w:before="55" w:after="30" w:line="288" w:lineRule="auto"/>
              <w:jc w:val="right"/>
            </w:pPr>
          </w:p>
        </w:tc>
        <w:tc>
          <w:tcPr>
            <w:tcW w:w="75" w:type="dxa"/>
            <w:tcBorders>
              <w:top w:val="nil"/>
              <w:left w:val="nil"/>
              <w:bottom w:val="nil"/>
              <w:right w:val="nil"/>
            </w:tcBorders>
            <w:tcMar>
              <w:top w:w="0" w:type="dxa"/>
              <w:left w:w="0" w:type="dxa"/>
              <w:bottom w:w="0" w:type="dxa"/>
              <w:right w:w="0" w:type="dxa"/>
            </w:tcMar>
            <w:vAlign w:val="bottom"/>
          </w:tcPr>
          <w:p w14:paraId="51012E14" w14:textId="77777777" w:rsidR="001614AC" w:rsidRDefault="001614AC">
            <w:pPr>
              <w:keepNext/>
            </w:pPr>
          </w:p>
        </w:tc>
        <w:tc>
          <w:tcPr>
            <w:tcW w:w="980"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3551A2A9" w14:textId="77777777" w:rsidR="001614AC" w:rsidRDefault="004468F9">
            <w:pPr>
              <w:keepNext/>
              <w:spacing w:before="55" w:after="30" w:line="288" w:lineRule="auto"/>
              <w:jc w:val="right"/>
            </w:pPr>
            <w:r>
              <w:rPr>
                <w:rFonts w:ascii="Arial" w:eastAsia="Arial" w:hAnsi="Arial" w:cs="Arial"/>
                <w:color w:val="000000"/>
                <w:sz w:val="18"/>
              </w:rPr>
              <w:t>141,866 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17DA0EBB" w14:textId="77777777" w:rsidR="001614AC" w:rsidRDefault="001614AC">
            <w:pPr>
              <w:keepNext/>
              <w:spacing w:before="55" w:after="30" w:line="288" w:lineRule="auto"/>
              <w:jc w:val="right"/>
            </w:pPr>
          </w:p>
        </w:tc>
        <w:tc>
          <w:tcPr>
            <w:tcW w:w="75" w:type="dxa"/>
            <w:tcBorders>
              <w:top w:val="nil"/>
              <w:left w:val="nil"/>
              <w:bottom w:val="nil"/>
              <w:right w:val="nil"/>
            </w:tcBorders>
            <w:tcMar>
              <w:top w:w="0" w:type="dxa"/>
              <w:left w:w="0" w:type="dxa"/>
              <w:bottom w:w="0" w:type="dxa"/>
              <w:right w:w="0" w:type="dxa"/>
            </w:tcMar>
            <w:vAlign w:val="bottom"/>
          </w:tcPr>
          <w:p w14:paraId="2373CD8A" w14:textId="77777777" w:rsidR="001614AC" w:rsidRDefault="001614AC">
            <w:pPr>
              <w:keepNext/>
            </w:pPr>
          </w:p>
        </w:tc>
        <w:tc>
          <w:tcPr>
            <w:tcW w:w="800"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2CA0E40D" w14:textId="77777777" w:rsidR="001614AC" w:rsidRDefault="004468F9">
            <w:pPr>
              <w:keepNext/>
              <w:spacing w:before="55" w:after="30" w:line="288" w:lineRule="auto"/>
              <w:jc w:val="right"/>
            </w:pPr>
            <w:r>
              <w:rPr>
                <w:rFonts w:ascii="Arial" w:eastAsia="Arial" w:hAnsi="Arial" w:cs="Arial"/>
                <w:color w:val="000000"/>
                <w:sz w:val="18"/>
              </w:rPr>
              <w:t>(2,361)</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3359940D" w14:textId="77777777" w:rsidR="001614AC" w:rsidRDefault="001614AC">
            <w:pPr>
              <w:keepNext/>
              <w:spacing w:before="55" w:after="30" w:line="288" w:lineRule="auto"/>
              <w:jc w:val="right"/>
            </w:pPr>
          </w:p>
        </w:tc>
      </w:tr>
      <w:tr w:rsidR="001614AC" w14:paraId="57424FD9" w14:textId="77777777">
        <w:trPr>
          <w:cantSplit/>
        </w:trPr>
        <w:tc>
          <w:tcPr>
            <w:tcW w:w="1245" w:type="dxa"/>
            <w:tcBorders>
              <w:top w:val="single" w:sz="8" w:space="0" w:color="E9E9E9"/>
              <w:left w:val="nil"/>
              <w:bottom w:val="single" w:sz="8" w:space="0" w:color="E9E9E9"/>
              <w:right w:val="nil"/>
            </w:tcBorders>
            <w:tcMar>
              <w:top w:w="0" w:type="dxa"/>
              <w:left w:w="53" w:type="dxa"/>
              <w:bottom w:w="0" w:type="dxa"/>
              <w:right w:w="53" w:type="dxa"/>
            </w:tcMar>
            <w:vAlign w:val="bottom"/>
          </w:tcPr>
          <w:p w14:paraId="7E3EDA31" w14:textId="77777777" w:rsidR="001614AC" w:rsidRDefault="004468F9">
            <w:pPr>
              <w:keepNext/>
              <w:spacing w:before="55" w:after="30" w:line="288" w:lineRule="auto"/>
              <w:rPr>
                <w:rFonts w:ascii="Arial" w:eastAsia="Arial" w:hAnsi="Arial" w:cs="Arial"/>
                <w:sz w:val="18"/>
              </w:rPr>
            </w:pPr>
            <w:r>
              <w:rPr>
                <w:rFonts w:ascii="Arial" w:eastAsia="Arial" w:hAnsi="Arial" w:cs="Arial"/>
                <w:sz w:val="18"/>
              </w:rPr>
              <w:t>CLO</w:t>
            </w:r>
          </w:p>
        </w:tc>
        <w:tc>
          <w:tcPr>
            <w:tcW w:w="75" w:type="dxa"/>
            <w:tcBorders>
              <w:top w:val="nil"/>
              <w:left w:val="nil"/>
              <w:bottom w:val="nil"/>
              <w:right w:val="nil"/>
            </w:tcBorders>
            <w:tcMar>
              <w:top w:w="0" w:type="dxa"/>
              <w:left w:w="0" w:type="dxa"/>
              <w:bottom w:w="0" w:type="dxa"/>
              <w:right w:w="0" w:type="dxa"/>
            </w:tcMar>
            <w:vAlign w:val="bottom"/>
          </w:tcPr>
          <w:p w14:paraId="4C458C8D" w14:textId="77777777" w:rsidR="001614AC" w:rsidRDefault="001614AC">
            <w:pPr>
              <w:keepNext/>
            </w:pPr>
          </w:p>
        </w:tc>
        <w:tc>
          <w:tcPr>
            <w:tcW w:w="665" w:type="dxa"/>
            <w:tcBorders>
              <w:top w:val="single" w:sz="8" w:space="0" w:color="E9E9E9"/>
              <w:left w:val="nil"/>
              <w:bottom w:val="single" w:sz="8" w:space="0" w:color="E9E9E9"/>
              <w:right w:val="nil"/>
            </w:tcBorders>
            <w:tcMar>
              <w:top w:w="0" w:type="dxa"/>
              <w:left w:w="53" w:type="dxa"/>
              <w:bottom w:w="0" w:type="dxa"/>
              <w:right w:w="0" w:type="dxa"/>
            </w:tcMar>
            <w:vAlign w:val="bottom"/>
          </w:tcPr>
          <w:p w14:paraId="232DD5B7" w14:textId="77777777" w:rsidR="001614AC" w:rsidRDefault="004468F9">
            <w:pPr>
              <w:keepNext/>
              <w:spacing w:before="55" w:after="30" w:line="288" w:lineRule="auto"/>
              <w:jc w:val="right"/>
            </w:pPr>
            <w:r>
              <w:rPr>
                <w:rFonts w:ascii="Arial" w:eastAsia="Arial" w:hAnsi="Arial" w:cs="Arial"/>
                <w:color w:val="000000"/>
                <w:sz w:val="18"/>
              </w:rPr>
              <w:t>43 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306C94D0" w14:textId="77777777" w:rsidR="001614AC" w:rsidRDefault="001614AC">
            <w:pPr>
              <w:keepNext/>
              <w:spacing w:before="55" w:after="30" w:line="288" w:lineRule="auto"/>
              <w:jc w:val="right"/>
            </w:pPr>
          </w:p>
        </w:tc>
        <w:tc>
          <w:tcPr>
            <w:tcW w:w="75" w:type="dxa"/>
            <w:tcBorders>
              <w:top w:val="nil"/>
              <w:left w:val="nil"/>
              <w:bottom w:val="nil"/>
              <w:right w:val="nil"/>
            </w:tcBorders>
            <w:tcMar>
              <w:top w:w="0" w:type="dxa"/>
              <w:left w:w="0" w:type="dxa"/>
              <w:bottom w:w="0" w:type="dxa"/>
              <w:right w:w="0" w:type="dxa"/>
            </w:tcMar>
            <w:vAlign w:val="bottom"/>
          </w:tcPr>
          <w:p w14:paraId="5095C667" w14:textId="77777777" w:rsidR="001614AC" w:rsidRDefault="001614AC">
            <w:pPr>
              <w:keepNext/>
            </w:pPr>
          </w:p>
        </w:tc>
        <w:tc>
          <w:tcPr>
            <w:tcW w:w="980"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1CE94B44" w14:textId="77777777" w:rsidR="001614AC" w:rsidRDefault="004468F9">
            <w:pPr>
              <w:keepNext/>
              <w:spacing w:before="55" w:after="30" w:line="288" w:lineRule="auto"/>
              <w:jc w:val="right"/>
            </w:pPr>
            <w:r>
              <w:rPr>
                <w:rFonts w:ascii="Arial" w:eastAsia="Arial" w:hAnsi="Arial" w:cs="Arial"/>
                <w:color w:val="000000"/>
                <w:sz w:val="18"/>
              </w:rPr>
              <w:t>151,791 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3CF92E1E" w14:textId="77777777" w:rsidR="001614AC" w:rsidRDefault="001614AC">
            <w:pPr>
              <w:keepNext/>
              <w:spacing w:before="55" w:after="30" w:line="288" w:lineRule="auto"/>
              <w:jc w:val="right"/>
            </w:pPr>
          </w:p>
        </w:tc>
        <w:tc>
          <w:tcPr>
            <w:tcW w:w="75" w:type="dxa"/>
            <w:tcBorders>
              <w:top w:val="nil"/>
              <w:left w:val="nil"/>
              <w:bottom w:val="nil"/>
              <w:right w:val="nil"/>
            </w:tcBorders>
            <w:tcMar>
              <w:top w:w="0" w:type="dxa"/>
              <w:left w:w="0" w:type="dxa"/>
              <w:bottom w:w="0" w:type="dxa"/>
              <w:right w:w="0" w:type="dxa"/>
            </w:tcMar>
            <w:vAlign w:val="bottom"/>
          </w:tcPr>
          <w:p w14:paraId="3E6B1A80" w14:textId="77777777" w:rsidR="001614AC" w:rsidRDefault="001614AC">
            <w:pPr>
              <w:keepNext/>
            </w:pPr>
          </w:p>
        </w:tc>
        <w:tc>
          <w:tcPr>
            <w:tcW w:w="800"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2DE48607" w14:textId="77777777" w:rsidR="001614AC" w:rsidRDefault="004468F9">
            <w:pPr>
              <w:keepNext/>
              <w:spacing w:before="55" w:after="30" w:line="288" w:lineRule="auto"/>
              <w:jc w:val="right"/>
            </w:pPr>
            <w:r>
              <w:rPr>
                <w:rFonts w:ascii="Arial" w:eastAsia="Arial" w:hAnsi="Arial" w:cs="Arial"/>
                <w:color w:val="000000"/>
                <w:sz w:val="18"/>
              </w:rPr>
              <w:t>(242)</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32F6991B" w14:textId="77777777" w:rsidR="001614AC" w:rsidRDefault="001614AC">
            <w:pPr>
              <w:keepNext/>
              <w:spacing w:before="55" w:after="30" w:line="288" w:lineRule="auto"/>
              <w:jc w:val="right"/>
            </w:pPr>
          </w:p>
        </w:tc>
        <w:tc>
          <w:tcPr>
            <w:tcW w:w="75" w:type="dxa"/>
            <w:tcBorders>
              <w:top w:val="nil"/>
              <w:left w:val="nil"/>
              <w:bottom w:val="nil"/>
              <w:right w:val="nil"/>
            </w:tcBorders>
            <w:tcMar>
              <w:top w:w="0" w:type="dxa"/>
              <w:left w:w="0" w:type="dxa"/>
              <w:bottom w:w="0" w:type="dxa"/>
              <w:right w:w="0" w:type="dxa"/>
            </w:tcMar>
            <w:vAlign w:val="bottom"/>
          </w:tcPr>
          <w:p w14:paraId="395C5D20" w14:textId="77777777" w:rsidR="001614AC" w:rsidRDefault="001614AC">
            <w:pPr>
              <w:keepNext/>
            </w:pPr>
          </w:p>
        </w:tc>
        <w:tc>
          <w:tcPr>
            <w:tcW w:w="665" w:type="dxa"/>
            <w:tcBorders>
              <w:top w:val="single" w:sz="8" w:space="0" w:color="E9E9E9"/>
              <w:left w:val="nil"/>
              <w:bottom w:val="single" w:sz="8" w:space="0" w:color="E9E9E9"/>
              <w:right w:val="nil"/>
            </w:tcBorders>
            <w:tcMar>
              <w:top w:w="0" w:type="dxa"/>
              <w:left w:w="53" w:type="dxa"/>
              <w:bottom w:w="0" w:type="dxa"/>
              <w:right w:w="0" w:type="dxa"/>
            </w:tcMar>
            <w:vAlign w:val="bottom"/>
          </w:tcPr>
          <w:p w14:paraId="276D76EF" w14:textId="77777777" w:rsidR="001614AC" w:rsidRDefault="004468F9">
            <w:pPr>
              <w:keepNext/>
              <w:spacing w:before="55" w:after="30" w:line="288" w:lineRule="auto"/>
              <w:jc w:val="right"/>
            </w:pPr>
            <w:r>
              <w:rPr>
                <w:rFonts w:ascii="Arial" w:eastAsia="Arial" w:hAnsi="Arial" w:cs="Arial"/>
                <w:color w:val="000000"/>
                <w:sz w:val="18"/>
              </w:rPr>
              <w:t>16 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2D786E4A" w14:textId="77777777" w:rsidR="001614AC" w:rsidRDefault="001614AC">
            <w:pPr>
              <w:keepNext/>
              <w:spacing w:before="55" w:after="30" w:line="288" w:lineRule="auto"/>
              <w:jc w:val="right"/>
            </w:pPr>
          </w:p>
        </w:tc>
        <w:tc>
          <w:tcPr>
            <w:tcW w:w="75" w:type="dxa"/>
            <w:tcBorders>
              <w:top w:val="nil"/>
              <w:left w:val="nil"/>
              <w:bottom w:val="nil"/>
              <w:right w:val="nil"/>
            </w:tcBorders>
            <w:tcMar>
              <w:top w:w="0" w:type="dxa"/>
              <w:left w:w="0" w:type="dxa"/>
              <w:bottom w:w="0" w:type="dxa"/>
              <w:right w:w="0" w:type="dxa"/>
            </w:tcMar>
            <w:vAlign w:val="bottom"/>
          </w:tcPr>
          <w:p w14:paraId="002BE0F5" w14:textId="77777777" w:rsidR="001614AC" w:rsidRDefault="001614AC">
            <w:pPr>
              <w:keepNext/>
            </w:pPr>
          </w:p>
        </w:tc>
        <w:tc>
          <w:tcPr>
            <w:tcW w:w="90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2E61C2D7" w14:textId="77777777" w:rsidR="001614AC" w:rsidRDefault="004468F9">
            <w:pPr>
              <w:keepNext/>
              <w:spacing w:before="55" w:after="30" w:line="288" w:lineRule="auto"/>
              <w:jc w:val="right"/>
            </w:pPr>
            <w:r>
              <w:rPr>
                <w:rFonts w:ascii="Arial" w:eastAsia="Arial" w:hAnsi="Arial" w:cs="Arial"/>
                <w:color w:val="000000"/>
                <w:sz w:val="18"/>
              </w:rPr>
              <w:t>76,845 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777C6F8C" w14:textId="77777777" w:rsidR="001614AC" w:rsidRDefault="001614AC">
            <w:pPr>
              <w:keepNext/>
              <w:spacing w:before="55" w:after="30" w:line="288" w:lineRule="auto"/>
              <w:jc w:val="right"/>
            </w:pPr>
          </w:p>
        </w:tc>
        <w:tc>
          <w:tcPr>
            <w:tcW w:w="75" w:type="dxa"/>
            <w:tcBorders>
              <w:top w:val="nil"/>
              <w:left w:val="nil"/>
              <w:bottom w:val="nil"/>
              <w:right w:val="nil"/>
            </w:tcBorders>
            <w:tcMar>
              <w:top w:w="0" w:type="dxa"/>
              <w:left w:w="0" w:type="dxa"/>
              <w:bottom w:w="0" w:type="dxa"/>
              <w:right w:w="0" w:type="dxa"/>
            </w:tcMar>
            <w:vAlign w:val="bottom"/>
          </w:tcPr>
          <w:p w14:paraId="7BD033FC" w14:textId="77777777" w:rsidR="001614AC" w:rsidRDefault="001614AC">
            <w:pPr>
              <w:keepNext/>
            </w:pPr>
          </w:p>
        </w:tc>
        <w:tc>
          <w:tcPr>
            <w:tcW w:w="800"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7D673A90" w14:textId="77777777" w:rsidR="001614AC" w:rsidRDefault="004468F9">
            <w:pPr>
              <w:keepNext/>
              <w:spacing w:before="55" w:after="30" w:line="288" w:lineRule="auto"/>
              <w:jc w:val="right"/>
            </w:pPr>
            <w:r>
              <w:rPr>
                <w:rFonts w:ascii="Arial" w:eastAsia="Arial" w:hAnsi="Arial" w:cs="Arial"/>
                <w:color w:val="000000"/>
                <w:sz w:val="18"/>
              </w:rPr>
              <w:t>(365)</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7C3E956E" w14:textId="77777777" w:rsidR="001614AC" w:rsidRDefault="001614AC">
            <w:pPr>
              <w:keepNext/>
              <w:spacing w:before="55" w:after="30" w:line="288" w:lineRule="auto"/>
              <w:jc w:val="right"/>
            </w:pPr>
          </w:p>
        </w:tc>
        <w:tc>
          <w:tcPr>
            <w:tcW w:w="75" w:type="dxa"/>
            <w:tcBorders>
              <w:top w:val="nil"/>
              <w:left w:val="nil"/>
              <w:bottom w:val="nil"/>
              <w:right w:val="nil"/>
            </w:tcBorders>
            <w:tcMar>
              <w:top w:w="0" w:type="dxa"/>
              <w:left w:w="0" w:type="dxa"/>
              <w:bottom w:w="0" w:type="dxa"/>
              <w:right w:w="0" w:type="dxa"/>
            </w:tcMar>
            <w:vAlign w:val="bottom"/>
          </w:tcPr>
          <w:p w14:paraId="07F78531" w14:textId="77777777" w:rsidR="001614AC" w:rsidRDefault="001614AC">
            <w:pPr>
              <w:keepNext/>
            </w:pPr>
          </w:p>
        </w:tc>
        <w:tc>
          <w:tcPr>
            <w:tcW w:w="665" w:type="dxa"/>
            <w:tcBorders>
              <w:top w:val="single" w:sz="8" w:space="0" w:color="E9E9E9"/>
              <w:left w:val="nil"/>
              <w:bottom w:val="single" w:sz="8" w:space="0" w:color="E9E9E9"/>
              <w:right w:val="nil"/>
            </w:tcBorders>
            <w:tcMar>
              <w:top w:w="0" w:type="dxa"/>
              <w:left w:w="53" w:type="dxa"/>
              <w:bottom w:w="0" w:type="dxa"/>
              <w:right w:w="0" w:type="dxa"/>
            </w:tcMar>
            <w:vAlign w:val="bottom"/>
          </w:tcPr>
          <w:p w14:paraId="3DBD4F64" w14:textId="77777777" w:rsidR="001614AC" w:rsidRDefault="004468F9">
            <w:pPr>
              <w:keepNext/>
              <w:spacing w:before="55" w:after="30" w:line="288" w:lineRule="auto"/>
              <w:jc w:val="right"/>
            </w:pPr>
            <w:r>
              <w:rPr>
                <w:rFonts w:ascii="Arial" w:eastAsia="Arial" w:hAnsi="Arial" w:cs="Arial"/>
                <w:color w:val="000000"/>
                <w:sz w:val="18"/>
              </w:rPr>
              <w:t>59 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229B77B6" w14:textId="77777777" w:rsidR="001614AC" w:rsidRDefault="001614AC">
            <w:pPr>
              <w:keepNext/>
              <w:spacing w:before="55" w:after="30" w:line="288" w:lineRule="auto"/>
              <w:jc w:val="right"/>
            </w:pPr>
          </w:p>
        </w:tc>
        <w:tc>
          <w:tcPr>
            <w:tcW w:w="75" w:type="dxa"/>
            <w:tcBorders>
              <w:top w:val="nil"/>
              <w:left w:val="nil"/>
              <w:bottom w:val="nil"/>
              <w:right w:val="nil"/>
            </w:tcBorders>
            <w:tcMar>
              <w:top w:w="0" w:type="dxa"/>
              <w:left w:w="0" w:type="dxa"/>
              <w:bottom w:w="0" w:type="dxa"/>
              <w:right w:w="0" w:type="dxa"/>
            </w:tcMar>
            <w:vAlign w:val="bottom"/>
          </w:tcPr>
          <w:p w14:paraId="414C466D" w14:textId="77777777" w:rsidR="001614AC" w:rsidRDefault="001614AC">
            <w:pPr>
              <w:keepNext/>
            </w:pPr>
          </w:p>
        </w:tc>
        <w:tc>
          <w:tcPr>
            <w:tcW w:w="980"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26369E1D" w14:textId="77777777" w:rsidR="001614AC" w:rsidRDefault="004468F9">
            <w:pPr>
              <w:keepNext/>
              <w:spacing w:before="55" w:after="30" w:line="288" w:lineRule="auto"/>
              <w:jc w:val="right"/>
            </w:pPr>
            <w:r>
              <w:rPr>
                <w:rFonts w:ascii="Arial" w:eastAsia="Arial" w:hAnsi="Arial" w:cs="Arial"/>
                <w:color w:val="000000"/>
                <w:sz w:val="18"/>
              </w:rPr>
              <w:t>228,636 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185C8233" w14:textId="77777777" w:rsidR="001614AC" w:rsidRDefault="001614AC">
            <w:pPr>
              <w:keepNext/>
              <w:spacing w:before="55" w:after="30" w:line="288" w:lineRule="auto"/>
              <w:jc w:val="right"/>
            </w:pPr>
          </w:p>
        </w:tc>
        <w:tc>
          <w:tcPr>
            <w:tcW w:w="75" w:type="dxa"/>
            <w:tcBorders>
              <w:top w:val="nil"/>
              <w:left w:val="nil"/>
              <w:bottom w:val="nil"/>
              <w:right w:val="nil"/>
            </w:tcBorders>
            <w:tcMar>
              <w:top w:w="0" w:type="dxa"/>
              <w:left w:w="0" w:type="dxa"/>
              <w:bottom w:w="0" w:type="dxa"/>
              <w:right w:w="0" w:type="dxa"/>
            </w:tcMar>
            <w:vAlign w:val="bottom"/>
          </w:tcPr>
          <w:p w14:paraId="2FFB92D4" w14:textId="77777777" w:rsidR="001614AC" w:rsidRDefault="001614AC">
            <w:pPr>
              <w:keepNext/>
            </w:pPr>
          </w:p>
        </w:tc>
        <w:tc>
          <w:tcPr>
            <w:tcW w:w="800"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613CA09C" w14:textId="77777777" w:rsidR="001614AC" w:rsidRDefault="004468F9">
            <w:pPr>
              <w:keepNext/>
              <w:spacing w:before="55" w:after="30" w:line="288" w:lineRule="auto"/>
              <w:jc w:val="right"/>
            </w:pPr>
            <w:r>
              <w:rPr>
                <w:rFonts w:ascii="Arial" w:eastAsia="Arial" w:hAnsi="Arial" w:cs="Arial"/>
                <w:color w:val="000000"/>
                <w:sz w:val="18"/>
              </w:rPr>
              <w:t>(607)</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6DEA7974" w14:textId="77777777" w:rsidR="001614AC" w:rsidRDefault="001614AC">
            <w:pPr>
              <w:keepNext/>
              <w:spacing w:before="55" w:after="30" w:line="288" w:lineRule="auto"/>
              <w:jc w:val="right"/>
            </w:pPr>
          </w:p>
        </w:tc>
      </w:tr>
      <w:tr w:rsidR="001614AC" w14:paraId="68510066" w14:textId="77777777">
        <w:trPr>
          <w:cantSplit/>
        </w:trPr>
        <w:tc>
          <w:tcPr>
            <w:tcW w:w="1245" w:type="dxa"/>
            <w:tcBorders>
              <w:top w:val="single" w:sz="8" w:space="0" w:color="E9E9E9"/>
              <w:left w:val="nil"/>
              <w:bottom w:val="nil"/>
              <w:right w:val="nil"/>
            </w:tcBorders>
            <w:tcMar>
              <w:top w:w="0" w:type="dxa"/>
              <w:left w:w="53" w:type="dxa"/>
              <w:bottom w:w="0" w:type="dxa"/>
              <w:right w:w="53" w:type="dxa"/>
            </w:tcMar>
            <w:vAlign w:val="bottom"/>
          </w:tcPr>
          <w:p w14:paraId="25FE29A6" w14:textId="77777777" w:rsidR="001614AC" w:rsidRDefault="004468F9">
            <w:pPr>
              <w:keepNext/>
              <w:spacing w:before="55" w:after="30" w:line="288" w:lineRule="auto"/>
            </w:pPr>
            <w:r>
              <w:rPr>
                <w:rFonts w:ascii="Arial" w:eastAsia="Arial" w:hAnsi="Arial" w:cs="Arial"/>
                <w:color w:val="000000"/>
                <w:sz w:val="18"/>
              </w:rPr>
              <w:t>Other ABS</w:t>
            </w:r>
          </w:p>
        </w:tc>
        <w:tc>
          <w:tcPr>
            <w:tcW w:w="75" w:type="dxa"/>
            <w:tcBorders>
              <w:top w:val="nil"/>
              <w:left w:val="nil"/>
              <w:bottom w:val="nil"/>
              <w:right w:val="nil"/>
            </w:tcBorders>
            <w:tcMar>
              <w:top w:w="0" w:type="dxa"/>
              <w:left w:w="0" w:type="dxa"/>
              <w:bottom w:w="0" w:type="dxa"/>
              <w:right w:w="0" w:type="dxa"/>
            </w:tcMar>
            <w:vAlign w:val="bottom"/>
          </w:tcPr>
          <w:p w14:paraId="22909BC6" w14:textId="77777777" w:rsidR="001614AC" w:rsidRDefault="001614AC">
            <w:pPr>
              <w:keepNext/>
            </w:pPr>
          </w:p>
        </w:tc>
        <w:tc>
          <w:tcPr>
            <w:tcW w:w="665" w:type="dxa"/>
            <w:tcBorders>
              <w:top w:val="single" w:sz="8" w:space="0" w:color="E9E9E9"/>
              <w:left w:val="nil"/>
              <w:bottom w:val="nil"/>
              <w:right w:val="nil"/>
            </w:tcBorders>
            <w:tcMar>
              <w:top w:w="0" w:type="dxa"/>
              <w:left w:w="53" w:type="dxa"/>
              <w:bottom w:w="0" w:type="dxa"/>
              <w:right w:w="0" w:type="dxa"/>
            </w:tcMar>
            <w:vAlign w:val="bottom"/>
          </w:tcPr>
          <w:p w14:paraId="20B4C5EF" w14:textId="77777777" w:rsidR="001614AC" w:rsidRDefault="004468F9">
            <w:pPr>
              <w:keepNext/>
              <w:spacing w:before="55" w:after="30" w:line="288" w:lineRule="auto"/>
              <w:jc w:val="right"/>
            </w:pPr>
            <w:r>
              <w:rPr>
                <w:rFonts w:ascii="Arial" w:eastAsia="Arial" w:hAnsi="Arial" w:cs="Arial"/>
                <w:color w:val="000000"/>
                <w:sz w:val="18"/>
              </w:rPr>
              <w:t>45 </w:t>
            </w:r>
          </w:p>
        </w:tc>
        <w:tc>
          <w:tcPr>
            <w:tcW w:w="100" w:type="dxa"/>
            <w:tcBorders>
              <w:top w:val="single" w:sz="8" w:space="0" w:color="E9E9E9"/>
              <w:left w:val="nil"/>
              <w:bottom w:val="nil"/>
              <w:right w:val="nil"/>
            </w:tcBorders>
            <w:tcMar>
              <w:top w:w="0" w:type="dxa"/>
              <w:left w:w="0" w:type="dxa"/>
              <w:bottom w:w="0" w:type="dxa"/>
              <w:right w:w="15" w:type="dxa"/>
            </w:tcMar>
            <w:vAlign w:val="bottom"/>
          </w:tcPr>
          <w:p w14:paraId="521A34D8" w14:textId="77777777" w:rsidR="001614AC" w:rsidRDefault="001614AC">
            <w:pPr>
              <w:keepNext/>
              <w:spacing w:before="55" w:after="30" w:line="288" w:lineRule="auto"/>
              <w:jc w:val="right"/>
            </w:pPr>
          </w:p>
        </w:tc>
        <w:tc>
          <w:tcPr>
            <w:tcW w:w="75" w:type="dxa"/>
            <w:tcBorders>
              <w:top w:val="nil"/>
              <w:left w:val="nil"/>
              <w:bottom w:val="nil"/>
              <w:right w:val="nil"/>
            </w:tcBorders>
            <w:tcMar>
              <w:top w:w="0" w:type="dxa"/>
              <w:left w:w="0" w:type="dxa"/>
              <w:bottom w:w="0" w:type="dxa"/>
              <w:right w:w="0" w:type="dxa"/>
            </w:tcMar>
            <w:vAlign w:val="bottom"/>
          </w:tcPr>
          <w:p w14:paraId="526A2633" w14:textId="77777777" w:rsidR="001614AC" w:rsidRDefault="001614AC">
            <w:pPr>
              <w:keepNext/>
            </w:pPr>
          </w:p>
        </w:tc>
        <w:tc>
          <w:tcPr>
            <w:tcW w:w="980" w:type="dxa"/>
            <w:gridSpan w:val="2"/>
            <w:tcBorders>
              <w:top w:val="single" w:sz="8" w:space="0" w:color="E9E9E9"/>
              <w:left w:val="nil"/>
              <w:bottom w:val="nil"/>
              <w:right w:val="nil"/>
            </w:tcBorders>
            <w:tcMar>
              <w:top w:w="0" w:type="dxa"/>
              <w:left w:w="53" w:type="dxa"/>
              <w:bottom w:w="0" w:type="dxa"/>
              <w:right w:w="0" w:type="dxa"/>
            </w:tcMar>
            <w:vAlign w:val="bottom"/>
          </w:tcPr>
          <w:p w14:paraId="4D48434D" w14:textId="77777777" w:rsidR="001614AC" w:rsidRDefault="004468F9">
            <w:pPr>
              <w:keepNext/>
              <w:spacing w:before="55" w:after="30" w:line="288" w:lineRule="auto"/>
              <w:jc w:val="right"/>
            </w:pPr>
            <w:r>
              <w:rPr>
                <w:rFonts w:ascii="Arial" w:eastAsia="Arial" w:hAnsi="Arial" w:cs="Arial"/>
                <w:color w:val="000000"/>
                <w:sz w:val="18"/>
              </w:rPr>
              <w:t>93,360 </w:t>
            </w:r>
          </w:p>
        </w:tc>
        <w:tc>
          <w:tcPr>
            <w:tcW w:w="100" w:type="dxa"/>
            <w:tcBorders>
              <w:top w:val="single" w:sz="8" w:space="0" w:color="E9E9E9"/>
              <w:left w:val="nil"/>
              <w:bottom w:val="nil"/>
              <w:right w:val="nil"/>
            </w:tcBorders>
            <w:tcMar>
              <w:top w:w="0" w:type="dxa"/>
              <w:left w:w="0" w:type="dxa"/>
              <w:bottom w:w="0" w:type="dxa"/>
              <w:right w:w="15" w:type="dxa"/>
            </w:tcMar>
            <w:vAlign w:val="bottom"/>
          </w:tcPr>
          <w:p w14:paraId="684AB377" w14:textId="77777777" w:rsidR="001614AC" w:rsidRDefault="001614AC">
            <w:pPr>
              <w:keepNext/>
              <w:spacing w:before="55" w:after="30" w:line="288" w:lineRule="auto"/>
              <w:jc w:val="right"/>
            </w:pPr>
          </w:p>
        </w:tc>
        <w:tc>
          <w:tcPr>
            <w:tcW w:w="75" w:type="dxa"/>
            <w:tcBorders>
              <w:top w:val="nil"/>
              <w:left w:val="nil"/>
              <w:bottom w:val="nil"/>
              <w:right w:val="nil"/>
            </w:tcBorders>
            <w:tcMar>
              <w:top w:w="0" w:type="dxa"/>
              <w:left w:w="0" w:type="dxa"/>
              <w:bottom w:w="0" w:type="dxa"/>
              <w:right w:w="0" w:type="dxa"/>
            </w:tcMar>
            <w:vAlign w:val="bottom"/>
          </w:tcPr>
          <w:p w14:paraId="14D3DBE9" w14:textId="77777777" w:rsidR="001614AC" w:rsidRDefault="001614AC">
            <w:pPr>
              <w:keepNext/>
            </w:pPr>
          </w:p>
        </w:tc>
        <w:tc>
          <w:tcPr>
            <w:tcW w:w="800" w:type="dxa"/>
            <w:gridSpan w:val="2"/>
            <w:tcBorders>
              <w:top w:val="single" w:sz="8" w:space="0" w:color="E9E9E9"/>
              <w:left w:val="nil"/>
              <w:bottom w:val="nil"/>
              <w:right w:val="nil"/>
            </w:tcBorders>
            <w:tcMar>
              <w:top w:w="0" w:type="dxa"/>
              <w:left w:w="53" w:type="dxa"/>
              <w:bottom w:w="0" w:type="dxa"/>
              <w:right w:w="0" w:type="dxa"/>
            </w:tcMar>
            <w:vAlign w:val="bottom"/>
          </w:tcPr>
          <w:p w14:paraId="1EA840E7" w14:textId="77777777" w:rsidR="001614AC" w:rsidRDefault="004468F9">
            <w:pPr>
              <w:keepNext/>
              <w:spacing w:before="55" w:after="30" w:line="288" w:lineRule="auto"/>
              <w:jc w:val="right"/>
            </w:pPr>
            <w:r>
              <w:rPr>
                <w:rFonts w:ascii="Arial" w:eastAsia="Arial" w:hAnsi="Arial" w:cs="Arial"/>
                <w:color w:val="000000"/>
                <w:sz w:val="18"/>
              </w:rPr>
              <w:t>(210)</w:t>
            </w:r>
          </w:p>
        </w:tc>
        <w:tc>
          <w:tcPr>
            <w:tcW w:w="100" w:type="dxa"/>
            <w:tcBorders>
              <w:top w:val="single" w:sz="8" w:space="0" w:color="E9E9E9"/>
              <w:left w:val="nil"/>
              <w:bottom w:val="nil"/>
              <w:right w:val="nil"/>
            </w:tcBorders>
            <w:tcMar>
              <w:top w:w="0" w:type="dxa"/>
              <w:left w:w="0" w:type="dxa"/>
              <w:bottom w:w="0" w:type="dxa"/>
              <w:right w:w="15" w:type="dxa"/>
            </w:tcMar>
            <w:vAlign w:val="bottom"/>
          </w:tcPr>
          <w:p w14:paraId="37CEADCB" w14:textId="77777777" w:rsidR="001614AC" w:rsidRDefault="001614AC">
            <w:pPr>
              <w:keepNext/>
              <w:spacing w:before="55" w:after="30" w:line="288" w:lineRule="auto"/>
              <w:jc w:val="right"/>
            </w:pPr>
          </w:p>
        </w:tc>
        <w:tc>
          <w:tcPr>
            <w:tcW w:w="75" w:type="dxa"/>
            <w:tcBorders>
              <w:top w:val="nil"/>
              <w:left w:val="nil"/>
              <w:bottom w:val="nil"/>
              <w:right w:val="nil"/>
            </w:tcBorders>
            <w:tcMar>
              <w:top w:w="0" w:type="dxa"/>
              <w:left w:w="0" w:type="dxa"/>
              <w:bottom w:w="0" w:type="dxa"/>
              <w:right w:w="0" w:type="dxa"/>
            </w:tcMar>
            <w:vAlign w:val="bottom"/>
          </w:tcPr>
          <w:p w14:paraId="0EEE105A" w14:textId="77777777" w:rsidR="001614AC" w:rsidRDefault="001614AC">
            <w:pPr>
              <w:keepNext/>
            </w:pPr>
          </w:p>
        </w:tc>
        <w:tc>
          <w:tcPr>
            <w:tcW w:w="665" w:type="dxa"/>
            <w:tcBorders>
              <w:top w:val="single" w:sz="8" w:space="0" w:color="E9E9E9"/>
              <w:left w:val="nil"/>
              <w:bottom w:val="nil"/>
              <w:right w:val="nil"/>
            </w:tcBorders>
            <w:tcMar>
              <w:top w:w="0" w:type="dxa"/>
              <w:left w:w="53" w:type="dxa"/>
              <w:bottom w:w="0" w:type="dxa"/>
              <w:right w:w="0" w:type="dxa"/>
            </w:tcMar>
            <w:vAlign w:val="bottom"/>
          </w:tcPr>
          <w:p w14:paraId="5DF60ABC" w14:textId="77777777" w:rsidR="001614AC" w:rsidRDefault="004468F9">
            <w:pPr>
              <w:keepNext/>
              <w:spacing w:before="55" w:after="30" w:line="288" w:lineRule="auto"/>
              <w:jc w:val="right"/>
            </w:pPr>
            <w:r>
              <w:rPr>
                <w:rFonts w:ascii="Arial" w:eastAsia="Arial" w:hAnsi="Arial" w:cs="Arial"/>
                <w:color w:val="000000"/>
                <w:sz w:val="18"/>
              </w:rPr>
              <w:t>1 </w:t>
            </w:r>
          </w:p>
        </w:tc>
        <w:tc>
          <w:tcPr>
            <w:tcW w:w="100" w:type="dxa"/>
            <w:tcBorders>
              <w:top w:val="single" w:sz="8" w:space="0" w:color="E9E9E9"/>
              <w:left w:val="nil"/>
              <w:bottom w:val="nil"/>
              <w:right w:val="nil"/>
            </w:tcBorders>
            <w:tcMar>
              <w:top w:w="0" w:type="dxa"/>
              <w:left w:w="0" w:type="dxa"/>
              <w:bottom w:w="0" w:type="dxa"/>
              <w:right w:w="15" w:type="dxa"/>
            </w:tcMar>
            <w:vAlign w:val="bottom"/>
          </w:tcPr>
          <w:p w14:paraId="4306B76C" w14:textId="77777777" w:rsidR="001614AC" w:rsidRDefault="001614AC">
            <w:pPr>
              <w:keepNext/>
              <w:spacing w:before="55" w:after="30" w:line="288" w:lineRule="auto"/>
              <w:jc w:val="right"/>
            </w:pPr>
          </w:p>
        </w:tc>
        <w:tc>
          <w:tcPr>
            <w:tcW w:w="75" w:type="dxa"/>
            <w:tcBorders>
              <w:top w:val="nil"/>
              <w:left w:val="nil"/>
              <w:bottom w:val="nil"/>
              <w:right w:val="nil"/>
            </w:tcBorders>
            <w:tcMar>
              <w:top w:w="0" w:type="dxa"/>
              <w:left w:w="0" w:type="dxa"/>
              <w:bottom w:w="0" w:type="dxa"/>
              <w:right w:w="0" w:type="dxa"/>
            </w:tcMar>
            <w:vAlign w:val="bottom"/>
          </w:tcPr>
          <w:p w14:paraId="73B77E00" w14:textId="77777777" w:rsidR="001614AC" w:rsidRDefault="001614AC">
            <w:pPr>
              <w:keepNext/>
            </w:pPr>
          </w:p>
        </w:tc>
        <w:tc>
          <w:tcPr>
            <w:tcW w:w="905" w:type="dxa"/>
            <w:gridSpan w:val="2"/>
            <w:tcBorders>
              <w:top w:val="single" w:sz="8" w:space="0" w:color="E9E9E9"/>
              <w:left w:val="nil"/>
              <w:bottom w:val="nil"/>
              <w:right w:val="nil"/>
            </w:tcBorders>
            <w:tcMar>
              <w:top w:w="0" w:type="dxa"/>
              <w:left w:w="53" w:type="dxa"/>
              <w:bottom w:w="0" w:type="dxa"/>
              <w:right w:w="0" w:type="dxa"/>
            </w:tcMar>
            <w:vAlign w:val="bottom"/>
          </w:tcPr>
          <w:p w14:paraId="6169C90C" w14:textId="77777777" w:rsidR="001614AC" w:rsidRDefault="004468F9">
            <w:pPr>
              <w:keepNext/>
              <w:spacing w:before="55" w:after="30" w:line="288" w:lineRule="auto"/>
              <w:jc w:val="right"/>
            </w:pPr>
            <w:r>
              <w:rPr>
                <w:rFonts w:ascii="Arial" w:eastAsia="Arial" w:hAnsi="Arial" w:cs="Arial"/>
                <w:color w:val="000000"/>
                <w:sz w:val="18"/>
              </w:rPr>
              <w:t>677 </w:t>
            </w:r>
          </w:p>
        </w:tc>
        <w:tc>
          <w:tcPr>
            <w:tcW w:w="100" w:type="dxa"/>
            <w:tcBorders>
              <w:top w:val="single" w:sz="8" w:space="0" w:color="E9E9E9"/>
              <w:left w:val="nil"/>
              <w:bottom w:val="nil"/>
              <w:right w:val="nil"/>
            </w:tcBorders>
            <w:tcMar>
              <w:top w:w="0" w:type="dxa"/>
              <w:left w:w="0" w:type="dxa"/>
              <w:bottom w:w="0" w:type="dxa"/>
              <w:right w:w="15" w:type="dxa"/>
            </w:tcMar>
            <w:vAlign w:val="bottom"/>
          </w:tcPr>
          <w:p w14:paraId="3252C5B9" w14:textId="77777777" w:rsidR="001614AC" w:rsidRDefault="001614AC">
            <w:pPr>
              <w:keepNext/>
              <w:spacing w:before="55" w:after="30" w:line="288" w:lineRule="auto"/>
              <w:jc w:val="right"/>
            </w:pPr>
          </w:p>
        </w:tc>
        <w:tc>
          <w:tcPr>
            <w:tcW w:w="75" w:type="dxa"/>
            <w:tcBorders>
              <w:top w:val="nil"/>
              <w:left w:val="nil"/>
              <w:bottom w:val="nil"/>
              <w:right w:val="nil"/>
            </w:tcBorders>
            <w:tcMar>
              <w:top w:w="0" w:type="dxa"/>
              <w:left w:w="0" w:type="dxa"/>
              <w:bottom w:w="0" w:type="dxa"/>
              <w:right w:w="0" w:type="dxa"/>
            </w:tcMar>
            <w:vAlign w:val="bottom"/>
          </w:tcPr>
          <w:p w14:paraId="2C78276B" w14:textId="77777777" w:rsidR="001614AC" w:rsidRDefault="001614AC">
            <w:pPr>
              <w:keepNext/>
            </w:pPr>
          </w:p>
        </w:tc>
        <w:tc>
          <w:tcPr>
            <w:tcW w:w="800" w:type="dxa"/>
            <w:gridSpan w:val="2"/>
            <w:tcBorders>
              <w:top w:val="single" w:sz="8" w:space="0" w:color="E9E9E9"/>
              <w:left w:val="nil"/>
              <w:bottom w:val="nil"/>
              <w:right w:val="nil"/>
            </w:tcBorders>
            <w:tcMar>
              <w:top w:w="0" w:type="dxa"/>
              <w:left w:w="53" w:type="dxa"/>
              <w:bottom w:w="0" w:type="dxa"/>
              <w:right w:w="0" w:type="dxa"/>
            </w:tcMar>
            <w:vAlign w:val="bottom"/>
          </w:tcPr>
          <w:p w14:paraId="188D0C37" w14:textId="77777777" w:rsidR="001614AC" w:rsidRDefault="004468F9">
            <w:pPr>
              <w:keepNext/>
              <w:spacing w:before="55" w:after="30" w:line="288" w:lineRule="auto"/>
              <w:jc w:val="right"/>
            </w:pPr>
            <w:r>
              <w:rPr>
                <w:rFonts w:ascii="Arial" w:eastAsia="Arial" w:hAnsi="Arial" w:cs="Arial"/>
                <w:color w:val="000000"/>
                <w:sz w:val="18"/>
              </w:rPr>
              <w:t>(24)</w:t>
            </w:r>
          </w:p>
        </w:tc>
        <w:tc>
          <w:tcPr>
            <w:tcW w:w="100" w:type="dxa"/>
            <w:tcBorders>
              <w:top w:val="single" w:sz="8" w:space="0" w:color="E9E9E9"/>
              <w:left w:val="nil"/>
              <w:bottom w:val="nil"/>
              <w:right w:val="nil"/>
            </w:tcBorders>
            <w:tcMar>
              <w:top w:w="0" w:type="dxa"/>
              <w:left w:w="0" w:type="dxa"/>
              <w:bottom w:w="0" w:type="dxa"/>
              <w:right w:w="15" w:type="dxa"/>
            </w:tcMar>
            <w:vAlign w:val="bottom"/>
          </w:tcPr>
          <w:p w14:paraId="761A535F" w14:textId="77777777" w:rsidR="001614AC" w:rsidRDefault="001614AC">
            <w:pPr>
              <w:keepNext/>
              <w:spacing w:before="55" w:after="30" w:line="288" w:lineRule="auto"/>
              <w:jc w:val="right"/>
            </w:pPr>
          </w:p>
        </w:tc>
        <w:tc>
          <w:tcPr>
            <w:tcW w:w="75" w:type="dxa"/>
            <w:tcBorders>
              <w:top w:val="nil"/>
              <w:left w:val="nil"/>
              <w:bottom w:val="nil"/>
              <w:right w:val="nil"/>
            </w:tcBorders>
            <w:tcMar>
              <w:top w:w="0" w:type="dxa"/>
              <w:left w:w="0" w:type="dxa"/>
              <w:bottom w:w="0" w:type="dxa"/>
              <w:right w:w="0" w:type="dxa"/>
            </w:tcMar>
            <w:vAlign w:val="bottom"/>
          </w:tcPr>
          <w:p w14:paraId="6AFD68F5" w14:textId="77777777" w:rsidR="001614AC" w:rsidRDefault="001614AC">
            <w:pPr>
              <w:keepNext/>
            </w:pPr>
          </w:p>
        </w:tc>
        <w:tc>
          <w:tcPr>
            <w:tcW w:w="665" w:type="dxa"/>
            <w:tcBorders>
              <w:top w:val="single" w:sz="8" w:space="0" w:color="E9E9E9"/>
              <w:left w:val="nil"/>
              <w:bottom w:val="nil"/>
              <w:right w:val="nil"/>
            </w:tcBorders>
            <w:tcMar>
              <w:top w:w="0" w:type="dxa"/>
              <w:left w:w="53" w:type="dxa"/>
              <w:bottom w:w="0" w:type="dxa"/>
              <w:right w:w="0" w:type="dxa"/>
            </w:tcMar>
            <w:vAlign w:val="bottom"/>
          </w:tcPr>
          <w:p w14:paraId="16B06C2D" w14:textId="77777777" w:rsidR="001614AC" w:rsidRDefault="004468F9">
            <w:pPr>
              <w:keepNext/>
              <w:spacing w:before="55" w:after="30" w:line="288" w:lineRule="auto"/>
              <w:jc w:val="right"/>
            </w:pPr>
            <w:r>
              <w:rPr>
                <w:rFonts w:ascii="Arial" w:eastAsia="Arial" w:hAnsi="Arial" w:cs="Arial"/>
                <w:color w:val="000000"/>
                <w:sz w:val="18"/>
              </w:rPr>
              <w:t>46 </w:t>
            </w:r>
          </w:p>
        </w:tc>
        <w:tc>
          <w:tcPr>
            <w:tcW w:w="100" w:type="dxa"/>
            <w:tcBorders>
              <w:top w:val="single" w:sz="8" w:space="0" w:color="E9E9E9"/>
              <w:left w:val="nil"/>
              <w:bottom w:val="nil"/>
              <w:right w:val="nil"/>
            </w:tcBorders>
            <w:tcMar>
              <w:top w:w="0" w:type="dxa"/>
              <w:left w:w="0" w:type="dxa"/>
              <w:bottom w:w="0" w:type="dxa"/>
              <w:right w:w="15" w:type="dxa"/>
            </w:tcMar>
            <w:vAlign w:val="bottom"/>
          </w:tcPr>
          <w:p w14:paraId="0932C6DA" w14:textId="77777777" w:rsidR="001614AC" w:rsidRDefault="001614AC">
            <w:pPr>
              <w:keepNext/>
              <w:spacing w:before="55" w:after="30" w:line="288" w:lineRule="auto"/>
              <w:jc w:val="right"/>
            </w:pPr>
          </w:p>
        </w:tc>
        <w:tc>
          <w:tcPr>
            <w:tcW w:w="75" w:type="dxa"/>
            <w:tcBorders>
              <w:top w:val="nil"/>
              <w:left w:val="nil"/>
              <w:bottom w:val="nil"/>
              <w:right w:val="nil"/>
            </w:tcBorders>
            <w:tcMar>
              <w:top w:w="0" w:type="dxa"/>
              <w:left w:w="0" w:type="dxa"/>
              <w:bottom w:w="0" w:type="dxa"/>
              <w:right w:w="0" w:type="dxa"/>
            </w:tcMar>
            <w:vAlign w:val="bottom"/>
          </w:tcPr>
          <w:p w14:paraId="7C035E20" w14:textId="77777777" w:rsidR="001614AC" w:rsidRDefault="001614AC">
            <w:pPr>
              <w:keepNext/>
            </w:pPr>
          </w:p>
        </w:tc>
        <w:tc>
          <w:tcPr>
            <w:tcW w:w="980" w:type="dxa"/>
            <w:gridSpan w:val="2"/>
            <w:tcBorders>
              <w:top w:val="single" w:sz="8" w:space="0" w:color="E9E9E9"/>
              <w:left w:val="nil"/>
              <w:bottom w:val="nil"/>
              <w:right w:val="nil"/>
            </w:tcBorders>
            <w:tcMar>
              <w:top w:w="0" w:type="dxa"/>
              <w:left w:w="53" w:type="dxa"/>
              <w:bottom w:w="0" w:type="dxa"/>
              <w:right w:w="0" w:type="dxa"/>
            </w:tcMar>
            <w:vAlign w:val="bottom"/>
          </w:tcPr>
          <w:p w14:paraId="283EF606" w14:textId="77777777" w:rsidR="001614AC" w:rsidRDefault="004468F9">
            <w:pPr>
              <w:keepNext/>
              <w:spacing w:before="55" w:after="30" w:line="288" w:lineRule="auto"/>
              <w:jc w:val="right"/>
            </w:pPr>
            <w:r>
              <w:rPr>
                <w:rFonts w:ascii="Arial" w:eastAsia="Arial" w:hAnsi="Arial" w:cs="Arial"/>
                <w:color w:val="000000"/>
                <w:sz w:val="18"/>
              </w:rPr>
              <w:t>94,037 </w:t>
            </w:r>
          </w:p>
        </w:tc>
        <w:tc>
          <w:tcPr>
            <w:tcW w:w="100" w:type="dxa"/>
            <w:tcBorders>
              <w:top w:val="single" w:sz="8" w:space="0" w:color="E9E9E9"/>
              <w:left w:val="nil"/>
              <w:bottom w:val="nil"/>
              <w:right w:val="nil"/>
            </w:tcBorders>
            <w:tcMar>
              <w:top w:w="0" w:type="dxa"/>
              <w:left w:w="0" w:type="dxa"/>
              <w:bottom w:w="0" w:type="dxa"/>
              <w:right w:w="15" w:type="dxa"/>
            </w:tcMar>
            <w:vAlign w:val="bottom"/>
          </w:tcPr>
          <w:p w14:paraId="12711C86" w14:textId="77777777" w:rsidR="001614AC" w:rsidRDefault="001614AC">
            <w:pPr>
              <w:keepNext/>
              <w:spacing w:before="55" w:after="30" w:line="288" w:lineRule="auto"/>
              <w:jc w:val="right"/>
            </w:pPr>
          </w:p>
        </w:tc>
        <w:tc>
          <w:tcPr>
            <w:tcW w:w="75" w:type="dxa"/>
            <w:tcBorders>
              <w:top w:val="nil"/>
              <w:left w:val="nil"/>
              <w:bottom w:val="nil"/>
              <w:right w:val="nil"/>
            </w:tcBorders>
            <w:tcMar>
              <w:top w:w="0" w:type="dxa"/>
              <w:left w:w="0" w:type="dxa"/>
              <w:bottom w:w="0" w:type="dxa"/>
              <w:right w:w="0" w:type="dxa"/>
            </w:tcMar>
            <w:vAlign w:val="bottom"/>
          </w:tcPr>
          <w:p w14:paraId="185FFA14" w14:textId="77777777" w:rsidR="001614AC" w:rsidRDefault="001614AC">
            <w:pPr>
              <w:keepNext/>
            </w:pPr>
          </w:p>
        </w:tc>
        <w:tc>
          <w:tcPr>
            <w:tcW w:w="800" w:type="dxa"/>
            <w:gridSpan w:val="2"/>
            <w:tcBorders>
              <w:top w:val="single" w:sz="8" w:space="0" w:color="E9E9E9"/>
              <w:left w:val="nil"/>
              <w:bottom w:val="nil"/>
              <w:right w:val="nil"/>
            </w:tcBorders>
            <w:tcMar>
              <w:top w:w="0" w:type="dxa"/>
              <w:left w:w="53" w:type="dxa"/>
              <w:bottom w:w="0" w:type="dxa"/>
              <w:right w:w="0" w:type="dxa"/>
            </w:tcMar>
            <w:vAlign w:val="bottom"/>
          </w:tcPr>
          <w:p w14:paraId="350989FD" w14:textId="77777777" w:rsidR="001614AC" w:rsidRDefault="004468F9">
            <w:pPr>
              <w:keepNext/>
              <w:spacing w:before="55" w:after="30" w:line="288" w:lineRule="auto"/>
              <w:jc w:val="right"/>
            </w:pPr>
            <w:r>
              <w:rPr>
                <w:rFonts w:ascii="Arial" w:eastAsia="Arial" w:hAnsi="Arial" w:cs="Arial"/>
                <w:color w:val="000000"/>
                <w:sz w:val="18"/>
              </w:rPr>
              <w:t>(234)</w:t>
            </w:r>
          </w:p>
        </w:tc>
        <w:tc>
          <w:tcPr>
            <w:tcW w:w="100" w:type="dxa"/>
            <w:tcBorders>
              <w:top w:val="single" w:sz="8" w:space="0" w:color="E9E9E9"/>
              <w:left w:val="nil"/>
              <w:bottom w:val="nil"/>
              <w:right w:val="nil"/>
            </w:tcBorders>
            <w:tcMar>
              <w:top w:w="0" w:type="dxa"/>
              <w:left w:w="0" w:type="dxa"/>
              <w:bottom w:w="0" w:type="dxa"/>
              <w:right w:w="15" w:type="dxa"/>
            </w:tcMar>
            <w:vAlign w:val="bottom"/>
          </w:tcPr>
          <w:p w14:paraId="49FF75A4" w14:textId="77777777" w:rsidR="001614AC" w:rsidRDefault="001614AC">
            <w:pPr>
              <w:keepNext/>
              <w:spacing w:before="55" w:after="30" w:line="288" w:lineRule="auto"/>
              <w:jc w:val="right"/>
            </w:pPr>
          </w:p>
        </w:tc>
      </w:tr>
      <w:tr w:rsidR="008455C6" w14:paraId="3BDEC1E4" w14:textId="77777777">
        <w:trPr>
          <w:cantSplit/>
        </w:trPr>
        <w:tc>
          <w:tcPr>
            <w:tcW w:w="1245" w:type="dxa"/>
            <w:tcBorders>
              <w:top w:val="nil"/>
              <w:left w:val="nil"/>
              <w:bottom w:val="nil"/>
              <w:right w:val="nil"/>
            </w:tcBorders>
            <w:shd w:val="clear" w:color="auto" w:fill="F4F4F4"/>
            <w:tcMar>
              <w:top w:w="0" w:type="dxa"/>
              <w:left w:w="53" w:type="dxa"/>
              <w:bottom w:w="0" w:type="dxa"/>
              <w:right w:w="53" w:type="dxa"/>
            </w:tcMar>
            <w:vAlign w:val="bottom"/>
          </w:tcPr>
          <w:p w14:paraId="06893182" w14:textId="77777777" w:rsidR="001614AC" w:rsidRDefault="004468F9">
            <w:pPr>
              <w:spacing w:before="75" w:after="30" w:line="288" w:lineRule="auto"/>
            </w:pPr>
            <w:r>
              <w:rPr>
                <w:rFonts w:ascii="Arial" w:eastAsia="Arial" w:hAnsi="Arial" w:cs="Arial"/>
                <w:color w:val="000000"/>
                <w:sz w:val="18"/>
              </w:rPr>
              <w:t>Total</w:t>
            </w:r>
          </w:p>
        </w:tc>
        <w:tc>
          <w:tcPr>
            <w:tcW w:w="75" w:type="dxa"/>
            <w:tcBorders>
              <w:top w:val="single" w:sz="8" w:space="0" w:color="FFFFFF"/>
              <w:left w:val="nil"/>
              <w:bottom w:val="nil"/>
              <w:right w:val="nil"/>
            </w:tcBorders>
            <w:shd w:val="clear" w:color="auto" w:fill="F4F4F4"/>
            <w:tcMar>
              <w:top w:w="0" w:type="dxa"/>
              <w:left w:w="0" w:type="dxa"/>
              <w:bottom w:w="0" w:type="dxa"/>
              <w:right w:w="0" w:type="dxa"/>
            </w:tcMar>
            <w:vAlign w:val="bottom"/>
          </w:tcPr>
          <w:p w14:paraId="583D03A5" w14:textId="77777777" w:rsidR="001614AC" w:rsidRDefault="001614AC"/>
        </w:tc>
        <w:tc>
          <w:tcPr>
            <w:tcW w:w="665" w:type="dxa"/>
            <w:tcBorders>
              <w:top w:val="single" w:sz="8" w:space="0" w:color="C7C9C7"/>
              <w:left w:val="nil"/>
              <w:bottom w:val="double" w:sz="8" w:space="0" w:color="C7C9C7"/>
              <w:right w:val="nil"/>
            </w:tcBorders>
            <w:shd w:val="clear" w:color="auto" w:fill="F4F4F4"/>
            <w:tcMar>
              <w:top w:w="0" w:type="dxa"/>
              <w:left w:w="53" w:type="dxa"/>
              <w:bottom w:w="0" w:type="dxa"/>
              <w:right w:w="0" w:type="dxa"/>
            </w:tcMar>
            <w:vAlign w:val="bottom"/>
          </w:tcPr>
          <w:p w14:paraId="37C1AC5B" w14:textId="77777777" w:rsidR="001614AC" w:rsidRDefault="004468F9">
            <w:pPr>
              <w:spacing w:before="55" w:after="30" w:line="288" w:lineRule="auto"/>
              <w:jc w:val="right"/>
            </w:pPr>
            <w:r>
              <w:rPr>
                <w:rFonts w:ascii="Arial" w:eastAsia="Arial" w:hAnsi="Arial" w:cs="Arial"/>
                <w:color w:val="000000"/>
                <w:sz w:val="18"/>
              </w:rPr>
              <w:t>360 </w:t>
            </w:r>
          </w:p>
        </w:tc>
        <w:tc>
          <w:tcPr>
            <w:tcW w:w="100" w:type="dxa"/>
            <w:tcBorders>
              <w:top w:val="single" w:sz="8" w:space="0" w:color="C7C9C7"/>
              <w:left w:val="nil"/>
              <w:bottom w:val="double" w:sz="8" w:space="0" w:color="C7C9C7"/>
              <w:right w:val="nil"/>
            </w:tcBorders>
            <w:shd w:val="clear" w:color="auto" w:fill="F4F4F4"/>
            <w:tcMar>
              <w:top w:w="0" w:type="dxa"/>
              <w:left w:w="0" w:type="dxa"/>
              <w:bottom w:w="0" w:type="dxa"/>
              <w:right w:w="15" w:type="dxa"/>
            </w:tcMar>
            <w:vAlign w:val="bottom"/>
          </w:tcPr>
          <w:p w14:paraId="1BFDE99D" w14:textId="77777777" w:rsidR="001614AC" w:rsidRDefault="001614AC">
            <w:pPr>
              <w:spacing w:before="55" w:after="30" w:line="288" w:lineRule="auto"/>
              <w:jc w:val="right"/>
            </w:pPr>
          </w:p>
        </w:tc>
        <w:tc>
          <w:tcPr>
            <w:tcW w:w="75" w:type="dxa"/>
            <w:tcBorders>
              <w:top w:val="single" w:sz="8" w:space="0" w:color="FFFFFF"/>
              <w:left w:val="nil"/>
              <w:bottom w:val="nil"/>
              <w:right w:val="nil"/>
            </w:tcBorders>
            <w:shd w:val="clear" w:color="auto" w:fill="F4F4F4"/>
            <w:tcMar>
              <w:top w:w="0" w:type="dxa"/>
              <w:left w:w="0" w:type="dxa"/>
              <w:bottom w:w="0" w:type="dxa"/>
              <w:right w:w="0" w:type="dxa"/>
            </w:tcMar>
            <w:vAlign w:val="bottom"/>
          </w:tcPr>
          <w:p w14:paraId="76F7FB9B" w14:textId="77777777" w:rsidR="001614AC" w:rsidRDefault="001614AC"/>
        </w:tc>
        <w:tc>
          <w:tcPr>
            <w:tcW w:w="160" w:type="dxa"/>
            <w:tcBorders>
              <w:top w:val="single" w:sz="8" w:space="0" w:color="C7C9C7"/>
              <w:left w:val="nil"/>
              <w:bottom w:val="double" w:sz="8" w:space="0" w:color="C7C9C7"/>
              <w:right w:val="nil"/>
            </w:tcBorders>
            <w:shd w:val="clear" w:color="auto" w:fill="F4F4F4"/>
            <w:tcMar>
              <w:top w:w="0" w:type="dxa"/>
              <w:left w:w="53" w:type="dxa"/>
              <w:bottom w:w="0" w:type="dxa"/>
              <w:right w:w="0" w:type="dxa"/>
            </w:tcMar>
            <w:vAlign w:val="bottom"/>
          </w:tcPr>
          <w:p w14:paraId="227C65C4" w14:textId="77777777" w:rsidR="001614AC" w:rsidRDefault="004468F9">
            <w:pPr>
              <w:spacing w:before="55" w:after="30" w:line="288" w:lineRule="auto"/>
            </w:pPr>
            <w:r>
              <w:rPr>
                <w:rFonts w:ascii="Arial" w:eastAsia="Arial" w:hAnsi="Arial" w:cs="Arial"/>
                <w:color w:val="000000"/>
                <w:sz w:val="18"/>
              </w:rPr>
              <w:t>$</w:t>
            </w:r>
          </w:p>
        </w:tc>
        <w:tc>
          <w:tcPr>
            <w:tcW w:w="820" w:type="dxa"/>
            <w:tcBorders>
              <w:top w:val="single" w:sz="8" w:space="0" w:color="C7C9C7"/>
              <w:left w:val="nil"/>
              <w:bottom w:val="double" w:sz="8" w:space="0" w:color="C7C9C7"/>
              <w:right w:val="nil"/>
            </w:tcBorders>
            <w:shd w:val="clear" w:color="auto" w:fill="F4F4F4"/>
            <w:tcMar>
              <w:top w:w="0" w:type="dxa"/>
              <w:left w:w="0" w:type="dxa"/>
              <w:bottom w:w="0" w:type="dxa"/>
              <w:right w:w="0" w:type="dxa"/>
            </w:tcMar>
            <w:vAlign w:val="bottom"/>
          </w:tcPr>
          <w:p w14:paraId="1958DECE" w14:textId="77777777" w:rsidR="001614AC" w:rsidRDefault="004468F9">
            <w:pPr>
              <w:spacing w:before="55" w:after="30" w:line="288" w:lineRule="auto"/>
              <w:jc w:val="right"/>
            </w:pPr>
            <w:r>
              <w:rPr>
                <w:rFonts w:ascii="Arial" w:eastAsia="Arial" w:hAnsi="Arial" w:cs="Arial"/>
                <w:color w:val="000000"/>
                <w:sz w:val="18"/>
              </w:rPr>
              <w:t>1,366,295 </w:t>
            </w:r>
          </w:p>
        </w:tc>
        <w:tc>
          <w:tcPr>
            <w:tcW w:w="100" w:type="dxa"/>
            <w:tcBorders>
              <w:top w:val="single" w:sz="8" w:space="0" w:color="C7C9C7"/>
              <w:left w:val="nil"/>
              <w:bottom w:val="double" w:sz="8" w:space="0" w:color="C7C9C7"/>
              <w:right w:val="nil"/>
            </w:tcBorders>
            <w:shd w:val="clear" w:color="auto" w:fill="F4F4F4"/>
            <w:tcMar>
              <w:top w:w="0" w:type="dxa"/>
              <w:left w:w="0" w:type="dxa"/>
              <w:bottom w:w="0" w:type="dxa"/>
              <w:right w:w="15" w:type="dxa"/>
            </w:tcMar>
            <w:vAlign w:val="bottom"/>
          </w:tcPr>
          <w:p w14:paraId="01684D12" w14:textId="77777777" w:rsidR="001614AC" w:rsidRDefault="001614AC">
            <w:pPr>
              <w:spacing w:before="55" w:after="30" w:line="288" w:lineRule="auto"/>
              <w:jc w:val="right"/>
            </w:pPr>
          </w:p>
        </w:tc>
        <w:tc>
          <w:tcPr>
            <w:tcW w:w="75" w:type="dxa"/>
            <w:tcBorders>
              <w:top w:val="single" w:sz="8" w:space="0" w:color="FFFFFF"/>
              <w:left w:val="nil"/>
              <w:bottom w:val="nil"/>
              <w:right w:val="nil"/>
            </w:tcBorders>
            <w:shd w:val="clear" w:color="auto" w:fill="F4F4F4"/>
            <w:tcMar>
              <w:top w:w="0" w:type="dxa"/>
              <w:left w:w="0" w:type="dxa"/>
              <w:bottom w:w="0" w:type="dxa"/>
              <w:right w:w="0" w:type="dxa"/>
            </w:tcMar>
            <w:vAlign w:val="bottom"/>
          </w:tcPr>
          <w:p w14:paraId="196162EA" w14:textId="77777777" w:rsidR="001614AC" w:rsidRDefault="001614AC"/>
        </w:tc>
        <w:tc>
          <w:tcPr>
            <w:tcW w:w="160" w:type="dxa"/>
            <w:tcBorders>
              <w:top w:val="single" w:sz="8" w:space="0" w:color="C7C9C7"/>
              <w:left w:val="nil"/>
              <w:bottom w:val="double" w:sz="8" w:space="0" w:color="C7C9C7"/>
              <w:right w:val="nil"/>
            </w:tcBorders>
            <w:shd w:val="clear" w:color="auto" w:fill="F4F4F4"/>
            <w:tcMar>
              <w:top w:w="0" w:type="dxa"/>
              <w:left w:w="53" w:type="dxa"/>
              <w:bottom w:w="0" w:type="dxa"/>
              <w:right w:w="0" w:type="dxa"/>
            </w:tcMar>
            <w:vAlign w:val="bottom"/>
          </w:tcPr>
          <w:p w14:paraId="481C6767" w14:textId="77777777" w:rsidR="001614AC" w:rsidRDefault="004468F9">
            <w:pPr>
              <w:spacing w:before="55" w:after="30" w:line="288" w:lineRule="auto"/>
            </w:pPr>
            <w:r>
              <w:rPr>
                <w:rFonts w:ascii="Arial" w:eastAsia="Arial" w:hAnsi="Arial" w:cs="Arial"/>
                <w:color w:val="000000"/>
                <w:sz w:val="18"/>
              </w:rPr>
              <w:t>$</w:t>
            </w:r>
          </w:p>
        </w:tc>
        <w:tc>
          <w:tcPr>
            <w:tcW w:w="640" w:type="dxa"/>
            <w:tcBorders>
              <w:top w:val="single" w:sz="8" w:space="0" w:color="C7C9C7"/>
              <w:left w:val="nil"/>
              <w:bottom w:val="double" w:sz="8" w:space="0" w:color="C7C9C7"/>
              <w:right w:val="nil"/>
            </w:tcBorders>
            <w:shd w:val="clear" w:color="auto" w:fill="F4F4F4"/>
            <w:tcMar>
              <w:top w:w="0" w:type="dxa"/>
              <w:left w:w="0" w:type="dxa"/>
              <w:bottom w:w="0" w:type="dxa"/>
              <w:right w:w="0" w:type="dxa"/>
            </w:tcMar>
            <w:vAlign w:val="bottom"/>
          </w:tcPr>
          <w:p w14:paraId="04B7A8D6" w14:textId="77777777" w:rsidR="001614AC" w:rsidRDefault="004468F9">
            <w:pPr>
              <w:spacing w:before="55" w:after="30" w:line="288" w:lineRule="auto"/>
              <w:jc w:val="right"/>
            </w:pPr>
            <w:r>
              <w:rPr>
                <w:rFonts w:ascii="Arial" w:eastAsia="Arial" w:hAnsi="Arial" w:cs="Arial"/>
                <w:color w:val="000000"/>
                <w:sz w:val="18"/>
              </w:rPr>
              <w:t>(25,428)</w:t>
            </w:r>
          </w:p>
        </w:tc>
        <w:tc>
          <w:tcPr>
            <w:tcW w:w="100" w:type="dxa"/>
            <w:tcBorders>
              <w:top w:val="single" w:sz="8" w:space="0" w:color="C7C9C7"/>
              <w:left w:val="nil"/>
              <w:bottom w:val="double" w:sz="8" w:space="0" w:color="C7C9C7"/>
              <w:right w:val="nil"/>
            </w:tcBorders>
            <w:shd w:val="clear" w:color="auto" w:fill="F4F4F4"/>
            <w:tcMar>
              <w:top w:w="0" w:type="dxa"/>
              <w:left w:w="0" w:type="dxa"/>
              <w:bottom w:w="0" w:type="dxa"/>
              <w:right w:w="15" w:type="dxa"/>
            </w:tcMar>
            <w:vAlign w:val="bottom"/>
          </w:tcPr>
          <w:p w14:paraId="14D4BD69" w14:textId="77777777" w:rsidR="001614AC" w:rsidRDefault="001614AC">
            <w:pPr>
              <w:spacing w:before="55" w:after="30" w:line="288" w:lineRule="auto"/>
              <w:jc w:val="right"/>
            </w:pPr>
          </w:p>
        </w:tc>
        <w:tc>
          <w:tcPr>
            <w:tcW w:w="75" w:type="dxa"/>
            <w:tcBorders>
              <w:top w:val="single" w:sz="8" w:space="0" w:color="FFFFFF"/>
              <w:left w:val="nil"/>
              <w:bottom w:val="nil"/>
              <w:right w:val="nil"/>
            </w:tcBorders>
            <w:shd w:val="clear" w:color="auto" w:fill="F4F4F4"/>
            <w:tcMar>
              <w:top w:w="0" w:type="dxa"/>
              <w:left w:w="0" w:type="dxa"/>
              <w:bottom w:w="0" w:type="dxa"/>
              <w:right w:w="0" w:type="dxa"/>
            </w:tcMar>
            <w:vAlign w:val="bottom"/>
          </w:tcPr>
          <w:p w14:paraId="40732A4E" w14:textId="77777777" w:rsidR="001614AC" w:rsidRDefault="001614AC"/>
        </w:tc>
        <w:tc>
          <w:tcPr>
            <w:tcW w:w="665" w:type="dxa"/>
            <w:tcBorders>
              <w:top w:val="single" w:sz="8" w:space="0" w:color="C7C9C7"/>
              <w:left w:val="nil"/>
              <w:bottom w:val="double" w:sz="8" w:space="0" w:color="C7C9C7"/>
              <w:right w:val="nil"/>
            </w:tcBorders>
            <w:shd w:val="clear" w:color="auto" w:fill="F4F4F4"/>
            <w:tcMar>
              <w:top w:w="0" w:type="dxa"/>
              <w:left w:w="53" w:type="dxa"/>
              <w:bottom w:w="0" w:type="dxa"/>
              <w:right w:w="0" w:type="dxa"/>
            </w:tcMar>
            <w:vAlign w:val="bottom"/>
          </w:tcPr>
          <w:p w14:paraId="1D2ABEEA" w14:textId="77777777" w:rsidR="001614AC" w:rsidRDefault="004468F9">
            <w:pPr>
              <w:spacing w:before="55" w:after="30" w:line="288" w:lineRule="auto"/>
              <w:jc w:val="right"/>
            </w:pPr>
            <w:r>
              <w:rPr>
                <w:rFonts w:ascii="Arial" w:eastAsia="Arial" w:hAnsi="Arial" w:cs="Arial"/>
                <w:color w:val="000000"/>
                <w:sz w:val="18"/>
              </w:rPr>
              <w:t>36 </w:t>
            </w:r>
          </w:p>
        </w:tc>
        <w:tc>
          <w:tcPr>
            <w:tcW w:w="100" w:type="dxa"/>
            <w:tcBorders>
              <w:top w:val="single" w:sz="8" w:space="0" w:color="C7C9C7"/>
              <w:left w:val="nil"/>
              <w:bottom w:val="double" w:sz="8" w:space="0" w:color="C7C9C7"/>
              <w:right w:val="nil"/>
            </w:tcBorders>
            <w:shd w:val="clear" w:color="auto" w:fill="F4F4F4"/>
            <w:tcMar>
              <w:top w:w="0" w:type="dxa"/>
              <w:left w:w="0" w:type="dxa"/>
              <w:bottom w:w="0" w:type="dxa"/>
              <w:right w:w="15" w:type="dxa"/>
            </w:tcMar>
            <w:vAlign w:val="bottom"/>
          </w:tcPr>
          <w:p w14:paraId="0BEAE2EA" w14:textId="77777777" w:rsidR="001614AC" w:rsidRDefault="001614AC">
            <w:pPr>
              <w:spacing w:before="55" w:after="30" w:line="288" w:lineRule="auto"/>
              <w:jc w:val="right"/>
            </w:pPr>
          </w:p>
        </w:tc>
        <w:tc>
          <w:tcPr>
            <w:tcW w:w="75" w:type="dxa"/>
            <w:tcBorders>
              <w:top w:val="single" w:sz="8" w:space="0" w:color="FFFFFF"/>
              <w:left w:val="nil"/>
              <w:bottom w:val="nil"/>
              <w:right w:val="nil"/>
            </w:tcBorders>
            <w:shd w:val="clear" w:color="auto" w:fill="F4F4F4"/>
            <w:tcMar>
              <w:top w:w="0" w:type="dxa"/>
              <w:left w:w="0" w:type="dxa"/>
              <w:bottom w:w="0" w:type="dxa"/>
              <w:right w:w="0" w:type="dxa"/>
            </w:tcMar>
            <w:vAlign w:val="bottom"/>
          </w:tcPr>
          <w:p w14:paraId="4D0FDE8F" w14:textId="77777777" w:rsidR="001614AC" w:rsidRDefault="001614AC"/>
        </w:tc>
        <w:tc>
          <w:tcPr>
            <w:tcW w:w="160" w:type="dxa"/>
            <w:tcBorders>
              <w:top w:val="single" w:sz="8" w:space="0" w:color="C7C9C7"/>
              <w:left w:val="nil"/>
              <w:bottom w:val="double" w:sz="8" w:space="0" w:color="C7C9C7"/>
              <w:right w:val="nil"/>
            </w:tcBorders>
            <w:shd w:val="clear" w:color="auto" w:fill="F4F4F4"/>
            <w:tcMar>
              <w:top w:w="0" w:type="dxa"/>
              <w:left w:w="53" w:type="dxa"/>
              <w:bottom w:w="0" w:type="dxa"/>
              <w:right w:w="0" w:type="dxa"/>
            </w:tcMar>
            <w:vAlign w:val="bottom"/>
          </w:tcPr>
          <w:p w14:paraId="74D9EC96" w14:textId="77777777" w:rsidR="001614AC" w:rsidRDefault="004468F9">
            <w:pPr>
              <w:spacing w:before="55" w:after="30" w:line="288" w:lineRule="auto"/>
            </w:pPr>
            <w:r>
              <w:rPr>
                <w:rFonts w:ascii="Arial" w:eastAsia="Arial" w:hAnsi="Arial" w:cs="Arial"/>
                <w:color w:val="000000"/>
                <w:sz w:val="18"/>
              </w:rPr>
              <w:t>$</w:t>
            </w:r>
          </w:p>
        </w:tc>
        <w:tc>
          <w:tcPr>
            <w:tcW w:w="745" w:type="dxa"/>
            <w:tcBorders>
              <w:top w:val="single" w:sz="8" w:space="0" w:color="C7C9C7"/>
              <w:left w:val="nil"/>
              <w:bottom w:val="double" w:sz="8" w:space="0" w:color="C7C9C7"/>
              <w:right w:val="nil"/>
            </w:tcBorders>
            <w:shd w:val="clear" w:color="auto" w:fill="F4F4F4"/>
            <w:tcMar>
              <w:top w:w="0" w:type="dxa"/>
              <w:left w:w="0" w:type="dxa"/>
              <w:bottom w:w="0" w:type="dxa"/>
              <w:right w:w="0" w:type="dxa"/>
            </w:tcMar>
            <w:vAlign w:val="bottom"/>
          </w:tcPr>
          <w:p w14:paraId="6756321F" w14:textId="77777777" w:rsidR="001614AC" w:rsidRDefault="004468F9">
            <w:pPr>
              <w:spacing w:before="55" w:after="30" w:line="288" w:lineRule="auto"/>
              <w:jc w:val="right"/>
            </w:pPr>
            <w:r>
              <w:rPr>
                <w:rFonts w:ascii="Arial" w:eastAsia="Arial" w:hAnsi="Arial" w:cs="Arial"/>
                <w:color w:val="000000"/>
                <w:sz w:val="18"/>
              </w:rPr>
              <w:t>116,528 </w:t>
            </w:r>
          </w:p>
        </w:tc>
        <w:tc>
          <w:tcPr>
            <w:tcW w:w="100" w:type="dxa"/>
            <w:tcBorders>
              <w:top w:val="single" w:sz="8" w:space="0" w:color="C7C9C7"/>
              <w:left w:val="nil"/>
              <w:bottom w:val="double" w:sz="8" w:space="0" w:color="C7C9C7"/>
              <w:right w:val="nil"/>
            </w:tcBorders>
            <w:shd w:val="clear" w:color="auto" w:fill="F4F4F4"/>
            <w:tcMar>
              <w:top w:w="0" w:type="dxa"/>
              <w:left w:w="0" w:type="dxa"/>
              <w:bottom w:w="0" w:type="dxa"/>
              <w:right w:w="15" w:type="dxa"/>
            </w:tcMar>
            <w:vAlign w:val="bottom"/>
          </w:tcPr>
          <w:p w14:paraId="70CDC45F" w14:textId="77777777" w:rsidR="001614AC" w:rsidRDefault="001614AC">
            <w:pPr>
              <w:spacing w:before="55" w:after="30" w:line="288" w:lineRule="auto"/>
              <w:jc w:val="right"/>
            </w:pPr>
          </w:p>
        </w:tc>
        <w:tc>
          <w:tcPr>
            <w:tcW w:w="75" w:type="dxa"/>
            <w:tcBorders>
              <w:top w:val="single" w:sz="8" w:space="0" w:color="FFFFFF"/>
              <w:left w:val="nil"/>
              <w:bottom w:val="nil"/>
              <w:right w:val="nil"/>
            </w:tcBorders>
            <w:shd w:val="clear" w:color="auto" w:fill="F4F4F4"/>
            <w:tcMar>
              <w:top w:w="0" w:type="dxa"/>
              <w:left w:w="0" w:type="dxa"/>
              <w:bottom w:w="0" w:type="dxa"/>
              <w:right w:w="0" w:type="dxa"/>
            </w:tcMar>
            <w:vAlign w:val="bottom"/>
          </w:tcPr>
          <w:p w14:paraId="20F36D0B" w14:textId="77777777" w:rsidR="001614AC" w:rsidRDefault="001614AC"/>
        </w:tc>
        <w:tc>
          <w:tcPr>
            <w:tcW w:w="160" w:type="dxa"/>
            <w:tcBorders>
              <w:top w:val="single" w:sz="8" w:space="0" w:color="C7C9C7"/>
              <w:left w:val="nil"/>
              <w:bottom w:val="double" w:sz="8" w:space="0" w:color="C7C9C7"/>
              <w:right w:val="nil"/>
            </w:tcBorders>
            <w:shd w:val="clear" w:color="auto" w:fill="F4F4F4"/>
            <w:tcMar>
              <w:top w:w="0" w:type="dxa"/>
              <w:left w:w="53" w:type="dxa"/>
              <w:bottom w:w="0" w:type="dxa"/>
              <w:right w:w="0" w:type="dxa"/>
            </w:tcMar>
            <w:vAlign w:val="bottom"/>
          </w:tcPr>
          <w:p w14:paraId="35AB14A4" w14:textId="77777777" w:rsidR="001614AC" w:rsidRDefault="004468F9">
            <w:pPr>
              <w:spacing w:before="55" w:after="30" w:line="288" w:lineRule="auto"/>
            </w:pPr>
            <w:r>
              <w:rPr>
                <w:rFonts w:ascii="Arial" w:eastAsia="Arial" w:hAnsi="Arial" w:cs="Arial"/>
                <w:color w:val="000000"/>
                <w:sz w:val="18"/>
              </w:rPr>
              <w:t>$</w:t>
            </w:r>
          </w:p>
        </w:tc>
        <w:tc>
          <w:tcPr>
            <w:tcW w:w="640" w:type="dxa"/>
            <w:tcBorders>
              <w:top w:val="single" w:sz="8" w:space="0" w:color="C7C9C7"/>
              <w:left w:val="nil"/>
              <w:bottom w:val="double" w:sz="8" w:space="0" w:color="C7C9C7"/>
              <w:right w:val="nil"/>
            </w:tcBorders>
            <w:shd w:val="clear" w:color="auto" w:fill="F4F4F4"/>
            <w:tcMar>
              <w:top w:w="0" w:type="dxa"/>
              <w:left w:w="0" w:type="dxa"/>
              <w:bottom w:w="0" w:type="dxa"/>
              <w:right w:w="0" w:type="dxa"/>
            </w:tcMar>
            <w:vAlign w:val="bottom"/>
          </w:tcPr>
          <w:p w14:paraId="7F43A2A7" w14:textId="77777777" w:rsidR="001614AC" w:rsidRDefault="004468F9">
            <w:pPr>
              <w:spacing w:before="55" w:after="30" w:line="288" w:lineRule="auto"/>
              <w:jc w:val="right"/>
            </w:pPr>
            <w:r>
              <w:rPr>
                <w:rFonts w:ascii="Arial" w:eastAsia="Arial" w:hAnsi="Arial" w:cs="Arial"/>
                <w:color w:val="000000"/>
                <w:sz w:val="18"/>
              </w:rPr>
              <w:t>(1,586)</w:t>
            </w:r>
          </w:p>
        </w:tc>
        <w:tc>
          <w:tcPr>
            <w:tcW w:w="100" w:type="dxa"/>
            <w:tcBorders>
              <w:top w:val="single" w:sz="8" w:space="0" w:color="C7C9C7"/>
              <w:left w:val="nil"/>
              <w:bottom w:val="double" w:sz="8" w:space="0" w:color="C7C9C7"/>
              <w:right w:val="nil"/>
            </w:tcBorders>
            <w:shd w:val="clear" w:color="auto" w:fill="F4F4F4"/>
            <w:tcMar>
              <w:top w:w="0" w:type="dxa"/>
              <w:left w:w="0" w:type="dxa"/>
              <w:bottom w:w="0" w:type="dxa"/>
              <w:right w:w="15" w:type="dxa"/>
            </w:tcMar>
            <w:vAlign w:val="bottom"/>
          </w:tcPr>
          <w:p w14:paraId="60C3E105" w14:textId="77777777" w:rsidR="001614AC" w:rsidRDefault="001614AC">
            <w:pPr>
              <w:spacing w:before="55" w:after="30" w:line="288" w:lineRule="auto"/>
              <w:jc w:val="right"/>
            </w:pPr>
          </w:p>
        </w:tc>
        <w:tc>
          <w:tcPr>
            <w:tcW w:w="75" w:type="dxa"/>
            <w:tcBorders>
              <w:top w:val="single" w:sz="8" w:space="0" w:color="FFFFFF"/>
              <w:left w:val="nil"/>
              <w:bottom w:val="nil"/>
              <w:right w:val="nil"/>
            </w:tcBorders>
            <w:shd w:val="clear" w:color="auto" w:fill="F4F4F4"/>
            <w:tcMar>
              <w:top w:w="0" w:type="dxa"/>
              <w:left w:w="0" w:type="dxa"/>
              <w:bottom w:w="0" w:type="dxa"/>
              <w:right w:w="0" w:type="dxa"/>
            </w:tcMar>
            <w:vAlign w:val="bottom"/>
          </w:tcPr>
          <w:p w14:paraId="559C5C80" w14:textId="77777777" w:rsidR="001614AC" w:rsidRDefault="001614AC"/>
        </w:tc>
        <w:tc>
          <w:tcPr>
            <w:tcW w:w="665" w:type="dxa"/>
            <w:tcBorders>
              <w:top w:val="single" w:sz="8" w:space="0" w:color="C7C9C7"/>
              <w:left w:val="nil"/>
              <w:bottom w:val="double" w:sz="8" w:space="0" w:color="C7C9C7"/>
              <w:right w:val="nil"/>
            </w:tcBorders>
            <w:shd w:val="clear" w:color="auto" w:fill="F4F4F4"/>
            <w:tcMar>
              <w:top w:w="0" w:type="dxa"/>
              <w:left w:w="53" w:type="dxa"/>
              <w:bottom w:w="0" w:type="dxa"/>
              <w:right w:w="0" w:type="dxa"/>
            </w:tcMar>
            <w:vAlign w:val="bottom"/>
          </w:tcPr>
          <w:p w14:paraId="6A95729D" w14:textId="77777777" w:rsidR="001614AC" w:rsidRDefault="004468F9">
            <w:pPr>
              <w:spacing w:before="55" w:after="30" w:line="288" w:lineRule="auto"/>
              <w:jc w:val="right"/>
            </w:pPr>
            <w:r>
              <w:rPr>
                <w:rFonts w:ascii="Arial" w:eastAsia="Arial" w:hAnsi="Arial" w:cs="Arial"/>
                <w:color w:val="000000"/>
                <w:sz w:val="18"/>
              </w:rPr>
              <w:t>396 </w:t>
            </w:r>
          </w:p>
        </w:tc>
        <w:tc>
          <w:tcPr>
            <w:tcW w:w="100" w:type="dxa"/>
            <w:tcBorders>
              <w:top w:val="single" w:sz="8" w:space="0" w:color="C7C9C7"/>
              <w:left w:val="nil"/>
              <w:bottom w:val="double" w:sz="8" w:space="0" w:color="C7C9C7"/>
              <w:right w:val="nil"/>
            </w:tcBorders>
            <w:shd w:val="clear" w:color="auto" w:fill="F4F4F4"/>
            <w:tcMar>
              <w:top w:w="0" w:type="dxa"/>
              <w:left w:w="0" w:type="dxa"/>
              <w:bottom w:w="0" w:type="dxa"/>
              <w:right w:w="15" w:type="dxa"/>
            </w:tcMar>
            <w:vAlign w:val="bottom"/>
          </w:tcPr>
          <w:p w14:paraId="025AE242" w14:textId="77777777" w:rsidR="001614AC" w:rsidRDefault="001614AC">
            <w:pPr>
              <w:spacing w:before="55" w:after="30" w:line="288" w:lineRule="auto"/>
              <w:jc w:val="right"/>
            </w:pPr>
          </w:p>
        </w:tc>
        <w:tc>
          <w:tcPr>
            <w:tcW w:w="75" w:type="dxa"/>
            <w:tcBorders>
              <w:top w:val="single" w:sz="8" w:space="0" w:color="FFFFFF"/>
              <w:left w:val="nil"/>
              <w:bottom w:val="nil"/>
              <w:right w:val="nil"/>
            </w:tcBorders>
            <w:shd w:val="clear" w:color="auto" w:fill="F4F4F4"/>
            <w:tcMar>
              <w:top w:w="0" w:type="dxa"/>
              <w:left w:w="0" w:type="dxa"/>
              <w:bottom w:w="0" w:type="dxa"/>
              <w:right w:w="0" w:type="dxa"/>
            </w:tcMar>
            <w:vAlign w:val="bottom"/>
          </w:tcPr>
          <w:p w14:paraId="73A69CB2" w14:textId="77777777" w:rsidR="001614AC" w:rsidRDefault="001614AC"/>
        </w:tc>
        <w:tc>
          <w:tcPr>
            <w:tcW w:w="160" w:type="dxa"/>
            <w:tcBorders>
              <w:top w:val="single" w:sz="8" w:space="0" w:color="C7C9C7"/>
              <w:left w:val="nil"/>
              <w:bottom w:val="double" w:sz="8" w:space="0" w:color="C7C9C7"/>
              <w:right w:val="nil"/>
            </w:tcBorders>
            <w:shd w:val="clear" w:color="auto" w:fill="F4F4F4"/>
            <w:tcMar>
              <w:top w:w="0" w:type="dxa"/>
              <w:left w:w="53" w:type="dxa"/>
              <w:bottom w:w="0" w:type="dxa"/>
              <w:right w:w="0" w:type="dxa"/>
            </w:tcMar>
            <w:vAlign w:val="bottom"/>
          </w:tcPr>
          <w:p w14:paraId="59D644A3" w14:textId="77777777" w:rsidR="001614AC" w:rsidRDefault="004468F9">
            <w:pPr>
              <w:spacing w:before="55" w:after="30" w:line="288" w:lineRule="auto"/>
            </w:pPr>
            <w:r>
              <w:rPr>
                <w:rFonts w:ascii="Arial" w:eastAsia="Arial" w:hAnsi="Arial" w:cs="Arial"/>
                <w:color w:val="000000"/>
                <w:sz w:val="18"/>
              </w:rPr>
              <w:t>$</w:t>
            </w:r>
          </w:p>
        </w:tc>
        <w:tc>
          <w:tcPr>
            <w:tcW w:w="820" w:type="dxa"/>
            <w:tcBorders>
              <w:top w:val="single" w:sz="8" w:space="0" w:color="C7C9C7"/>
              <w:left w:val="nil"/>
              <w:bottom w:val="double" w:sz="8" w:space="0" w:color="C7C9C7"/>
              <w:right w:val="nil"/>
            </w:tcBorders>
            <w:shd w:val="clear" w:color="auto" w:fill="F4F4F4"/>
            <w:tcMar>
              <w:top w:w="0" w:type="dxa"/>
              <w:left w:w="0" w:type="dxa"/>
              <w:bottom w:w="0" w:type="dxa"/>
              <w:right w:w="0" w:type="dxa"/>
            </w:tcMar>
            <w:vAlign w:val="bottom"/>
          </w:tcPr>
          <w:p w14:paraId="0C14083F" w14:textId="77777777" w:rsidR="001614AC" w:rsidRDefault="004468F9">
            <w:pPr>
              <w:spacing w:before="55" w:after="30" w:line="288" w:lineRule="auto"/>
              <w:jc w:val="right"/>
            </w:pPr>
            <w:r>
              <w:rPr>
                <w:rFonts w:ascii="Arial" w:eastAsia="Arial" w:hAnsi="Arial" w:cs="Arial"/>
                <w:color w:val="000000"/>
                <w:sz w:val="18"/>
              </w:rPr>
              <w:t>1,482,823 </w:t>
            </w:r>
          </w:p>
        </w:tc>
        <w:tc>
          <w:tcPr>
            <w:tcW w:w="100" w:type="dxa"/>
            <w:tcBorders>
              <w:top w:val="single" w:sz="8" w:space="0" w:color="C7C9C7"/>
              <w:left w:val="nil"/>
              <w:bottom w:val="double" w:sz="8" w:space="0" w:color="C7C9C7"/>
              <w:right w:val="nil"/>
            </w:tcBorders>
            <w:shd w:val="clear" w:color="auto" w:fill="F4F4F4"/>
            <w:tcMar>
              <w:top w:w="0" w:type="dxa"/>
              <w:left w:w="0" w:type="dxa"/>
              <w:bottom w:w="0" w:type="dxa"/>
              <w:right w:w="15" w:type="dxa"/>
            </w:tcMar>
            <w:vAlign w:val="bottom"/>
          </w:tcPr>
          <w:p w14:paraId="778D02FE" w14:textId="77777777" w:rsidR="001614AC" w:rsidRDefault="001614AC">
            <w:pPr>
              <w:spacing w:before="55" w:after="30" w:line="288" w:lineRule="auto"/>
              <w:jc w:val="right"/>
            </w:pPr>
          </w:p>
        </w:tc>
        <w:tc>
          <w:tcPr>
            <w:tcW w:w="75" w:type="dxa"/>
            <w:tcBorders>
              <w:top w:val="single" w:sz="8" w:space="0" w:color="FFFFFF"/>
              <w:left w:val="nil"/>
              <w:bottom w:val="nil"/>
              <w:right w:val="nil"/>
            </w:tcBorders>
            <w:shd w:val="clear" w:color="auto" w:fill="F4F4F4"/>
            <w:tcMar>
              <w:top w:w="0" w:type="dxa"/>
              <w:left w:w="0" w:type="dxa"/>
              <w:bottom w:w="0" w:type="dxa"/>
              <w:right w:w="0" w:type="dxa"/>
            </w:tcMar>
            <w:vAlign w:val="bottom"/>
          </w:tcPr>
          <w:p w14:paraId="77B8CD9F" w14:textId="77777777" w:rsidR="001614AC" w:rsidRDefault="001614AC"/>
        </w:tc>
        <w:tc>
          <w:tcPr>
            <w:tcW w:w="160" w:type="dxa"/>
            <w:tcBorders>
              <w:top w:val="single" w:sz="8" w:space="0" w:color="C7C9C7"/>
              <w:left w:val="nil"/>
              <w:bottom w:val="double" w:sz="8" w:space="0" w:color="C7C9C7"/>
              <w:right w:val="nil"/>
            </w:tcBorders>
            <w:shd w:val="clear" w:color="auto" w:fill="F4F4F4"/>
            <w:tcMar>
              <w:top w:w="0" w:type="dxa"/>
              <w:left w:w="53" w:type="dxa"/>
              <w:bottom w:w="0" w:type="dxa"/>
              <w:right w:w="0" w:type="dxa"/>
            </w:tcMar>
            <w:vAlign w:val="bottom"/>
          </w:tcPr>
          <w:p w14:paraId="07B536A4" w14:textId="77777777" w:rsidR="001614AC" w:rsidRDefault="004468F9">
            <w:pPr>
              <w:spacing w:before="55" w:after="30" w:line="288" w:lineRule="auto"/>
            </w:pPr>
            <w:r>
              <w:rPr>
                <w:rFonts w:ascii="Arial" w:eastAsia="Arial" w:hAnsi="Arial" w:cs="Arial"/>
                <w:color w:val="000000"/>
                <w:sz w:val="18"/>
              </w:rPr>
              <w:t>$</w:t>
            </w:r>
          </w:p>
        </w:tc>
        <w:tc>
          <w:tcPr>
            <w:tcW w:w="640" w:type="dxa"/>
            <w:tcBorders>
              <w:top w:val="single" w:sz="8" w:space="0" w:color="C7C9C7"/>
              <w:left w:val="nil"/>
              <w:bottom w:val="double" w:sz="8" w:space="0" w:color="C7C9C7"/>
              <w:right w:val="nil"/>
            </w:tcBorders>
            <w:shd w:val="clear" w:color="auto" w:fill="F4F4F4"/>
            <w:tcMar>
              <w:top w:w="0" w:type="dxa"/>
              <w:left w:w="0" w:type="dxa"/>
              <w:bottom w:w="0" w:type="dxa"/>
              <w:right w:w="0" w:type="dxa"/>
            </w:tcMar>
            <w:vAlign w:val="bottom"/>
          </w:tcPr>
          <w:p w14:paraId="4DFDD804" w14:textId="77777777" w:rsidR="001614AC" w:rsidRDefault="004468F9">
            <w:pPr>
              <w:spacing w:before="55" w:after="30" w:line="288" w:lineRule="auto"/>
              <w:jc w:val="right"/>
            </w:pPr>
            <w:r>
              <w:rPr>
                <w:rFonts w:ascii="Arial" w:eastAsia="Arial" w:hAnsi="Arial" w:cs="Arial"/>
                <w:color w:val="000000"/>
                <w:sz w:val="18"/>
              </w:rPr>
              <w:t>(27,014)</w:t>
            </w:r>
          </w:p>
        </w:tc>
        <w:tc>
          <w:tcPr>
            <w:tcW w:w="100" w:type="dxa"/>
            <w:tcBorders>
              <w:top w:val="single" w:sz="8" w:space="0" w:color="C7C9C7"/>
              <w:left w:val="nil"/>
              <w:bottom w:val="double" w:sz="8" w:space="0" w:color="C7C9C7"/>
              <w:right w:val="nil"/>
            </w:tcBorders>
            <w:shd w:val="clear" w:color="auto" w:fill="F4F4F4"/>
            <w:tcMar>
              <w:top w:w="0" w:type="dxa"/>
              <w:left w:w="0" w:type="dxa"/>
              <w:bottom w:w="0" w:type="dxa"/>
              <w:right w:w="15" w:type="dxa"/>
            </w:tcMar>
            <w:vAlign w:val="bottom"/>
          </w:tcPr>
          <w:p w14:paraId="1E54F243" w14:textId="77777777" w:rsidR="001614AC" w:rsidRDefault="001614AC">
            <w:pPr>
              <w:spacing w:before="55" w:after="30" w:line="288" w:lineRule="auto"/>
              <w:jc w:val="right"/>
            </w:pPr>
          </w:p>
        </w:tc>
      </w:tr>
    </w:tbl>
    <w:p w14:paraId="6BC12197" w14:textId="77777777" w:rsidR="001614AC" w:rsidRDefault="001614AC">
      <w:pPr>
        <w:spacing w:before="120" w:line="288" w:lineRule="auto"/>
        <w:rPr>
          <w:rFonts w:ascii="Arial" w:eastAsia="Arial" w:hAnsi="Arial" w:cs="Arial"/>
          <w:b/>
          <w:color w:val="002B49"/>
          <w:sz w:val="10"/>
        </w:rPr>
      </w:pPr>
    </w:p>
    <w:tbl>
      <w:tblPr>
        <w:tblW w:w="102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3"/>
        <w:gridCol w:w="77"/>
        <w:gridCol w:w="675"/>
        <w:gridCol w:w="102"/>
        <w:gridCol w:w="77"/>
        <w:gridCol w:w="163"/>
        <w:gridCol w:w="832"/>
        <w:gridCol w:w="101"/>
        <w:gridCol w:w="76"/>
        <w:gridCol w:w="162"/>
        <w:gridCol w:w="680"/>
        <w:gridCol w:w="101"/>
        <w:gridCol w:w="76"/>
        <w:gridCol w:w="674"/>
        <w:gridCol w:w="101"/>
        <w:gridCol w:w="76"/>
        <w:gridCol w:w="162"/>
        <w:gridCol w:w="755"/>
        <w:gridCol w:w="101"/>
        <w:gridCol w:w="76"/>
        <w:gridCol w:w="162"/>
        <w:gridCol w:w="649"/>
        <w:gridCol w:w="101"/>
        <w:gridCol w:w="76"/>
        <w:gridCol w:w="674"/>
        <w:gridCol w:w="101"/>
        <w:gridCol w:w="76"/>
        <w:gridCol w:w="162"/>
        <w:gridCol w:w="831"/>
        <w:gridCol w:w="101"/>
        <w:gridCol w:w="76"/>
        <w:gridCol w:w="162"/>
        <w:gridCol w:w="680"/>
        <w:gridCol w:w="101"/>
      </w:tblGrid>
      <w:tr w:rsidR="001614AC" w14:paraId="48150AB2" w14:textId="77777777">
        <w:trPr>
          <w:cantSplit/>
        </w:trPr>
        <w:tc>
          <w:tcPr>
            <w:tcW w:w="1245" w:type="dxa"/>
            <w:tcBorders>
              <w:top w:val="nil"/>
              <w:left w:val="nil"/>
              <w:bottom w:val="nil"/>
              <w:right w:val="nil"/>
            </w:tcBorders>
            <w:tcMar>
              <w:top w:w="0" w:type="dxa"/>
              <w:left w:w="0" w:type="dxa"/>
              <w:bottom w:w="0" w:type="dxa"/>
              <w:right w:w="0" w:type="dxa"/>
            </w:tcMar>
            <w:vAlign w:val="bottom"/>
          </w:tcPr>
          <w:p w14:paraId="6B328EEC" w14:textId="77777777" w:rsidR="001614AC" w:rsidRDefault="001614AC">
            <w:pPr>
              <w:keepNext/>
            </w:pPr>
          </w:p>
        </w:tc>
        <w:tc>
          <w:tcPr>
            <w:tcW w:w="75" w:type="dxa"/>
            <w:tcBorders>
              <w:top w:val="nil"/>
              <w:left w:val="nil"/>
              <w:bottom w:val="nil"/>
              <w:right w:val="nil"/>
            </w:tcBorders>
            <w:tcMar>
              <w:top w:w="0" w:type="dxa"/>
              <w:left w:w="0" w:type="dxa"/>
              <w:bottom w:w="0" w:type="dxa"/>
              <w:right w:w="0" w:type="dxa"/>
            </w:tcMar>
            <w:vAlign w:val="bottom"/>
          </w:tcPr>
          <w:p w14:paraId="0DA1D153" w14:textId="77777777" w:rsidR="001614AC" w:rsidRDefault="001614AC">
            <w:pPr>
              <w:keepNext/>
            </w:pPr>
          </w:p>
        </w:tc>
        <w:tc>
          <w:tcPr>
            <w:tcW w:w="8760" w:type="dxa"/>
            <w:gridSpan w:val="32"/>
            <w:tcBorders>
              <w:top w:val="nil"/>
              <w:left w:val="nil"/>
              <w:bottom w:val="single" w:sz="8" w:space="0" w:color="FFFFFF"/>
              <w:right w:val="nil"/>
            </w:tcBorders>
            <w:shd w:val="clear" w:color="auto" w:fill="F4F4F4"/>
            <w:tcMar>
              <w:top w:w="0" w:type="dxa"/>
              <w:left w:w="53" w:type="dxa"/>
              <w:bottom w:w="0" w:type="dxa"/>
              <w:right w:w="53" w:type="dxa"/>
            </w:tcMar>
            <w:vAlign w:val="bottom"/>
          </w:tcPr>
          <w:p w14:paraId="13E80BB0" w14:textId="77777777" w:rsidR="001614AC" w:rsidRDefault="004468F9">
            <w:pPr>
              <w:keepNext/>
              <w:spacing w:before="75" w:after="30" w:line="288" w:lineRule="auto"/>
              <w:jc w:val="center"/>
            </w:pPr>
            <w:r>
              <w:rPr>
                <w:rFonts w:ascii="Arial" w:eastAsia="Arial" w:hAnsi="Arial" w:cs="Arial"/>
                <w:b/>
                <w:color w:val="00BAB3"/>
                <w:sz w:val="18"/>
              </w:rPr>
              <w:t>December 31, 2020</w:t>
            </w:r>
          </w:p>
        </w:tc>
      </w:tr>
      <w:tr w:rsidR="001614AC" w14:paraId="00EF2B49" w14:textId="77777777">
        <w:trPr>
          <w:cantSplit/>
        </w:trPr>
        <w:tc>
          <w:tcPr>
            <w:tcW w:w="1245" w:type="dxa"/>
            <w:tcBorders>
              <w:top w:val="nil"/>
              <w:left w:val="nil"/>
              <w:bottom w:val="nil"/>
              <w:right w:val="nil"/>
            </w:tcBorders>
            <w:tcMar>
              <w:top w:w="0" w:type="dxa"/>
              <w:left w:w="53" w:type="dxa"/>
              <w:bottom w:w="0" w:type="dxa"/>
              <w:right w:w="53" w:type="dxa"/>
            </w:tcMar>
            <w:vAlign w:val="bottom"/>
          </w:tcPr>
          <w:p w14:paraId="6A482B7F" w14:textId="77777777" w:rsidR="001614AC" w:rsidRDefault="004468F9">
            <w:pPr>
              <w:keepNext/>
              <w:spacing w:before="75" w:after="30" w:line="288" w:lineRule="auto"/>
            </w:pPr>
            <w:r>
              <w:rPr>
                <w:rFonts w:ascii="Arial" w:eastAsia="Arial" w:hAnsi="Arial" w:cs="Arial"/>
                <w:color w:val="8B8886"/>
                <w:sz w:val="14"/>
              </w:rPr>
              <w:t>($ in thousands)</w:t>
            </w:r>
          </w:p>
        </w:tc>
        <w:tc>
          <w:tcPr>
            <w:tcW w:w="75" w:type="dxa"/>
            <w:tcBorders>
              <w:top w:val="nil"/>
              <w:left w:val="nil"/>
              <w:bottom w:val="nil"/>
              <w:right w:val="nil"/>
            </w:tcBorders>
            <w:tcMar>
              <w:top w:w="0" w:type="dxa"/>
              <w:left w:w="0" w:type="dxa"/>
              <w:bottom w:w="0" w:type="dxa"/>
              <w:right w:w="0" w:type="dxa"/>
            </w:tcMar>
            <w:vAlign w:val="bottom"/>
          </w:tcPr>
          <w:p w14:paraId="6DB9A95C" w14:textId="77777777" w:rsidR="001614AC" w:rsidRDefault="001614AC">
            <w:pPr>
              <w:keepNext/>
            </w:pPr>
          </w:p>
        </w:tc>
        <w:tc>
          <w:tcPr>
            <w:tcW w:w="2895" w:type="dxa"/>
            <w:gridSpan w:val="10"/>
            <w:tcBorders>
              <w:top w:val="nil"/>
              <w:left w:val="nil"/>
              <w:bottom w:val="single" w:sz="8" w:space="0" w:color="C7C9C7"/>
              <w:right w:val="nil"/>
            </w:tcBorders>
            <w:tcMar>
              <w:top w:w="0" w:type="dxa"/>
              <w:left w:w="53" w:type="dxa"/>
              <w:bottom w:w="0" w:type="dxa"/>
              <w:right w:w="53" w:type="dxa"/>
            </w:tcMar>
            <w:vAlign w:val="bottom"/>
          </w:tcPr>
          <w:p w14:paraId="06A322CA" w14:textId="77777777" w:rsidR="001614AC" w:rsidRDefault="004468F9">
            <w:pPr>
              <w:keepNext/>
              <w:spacing w:before="55" w:after="30" w:line="288" w:lineRule="auto"/>
              <w:jc w:val="center"/>
            </w:pPr>
            <w:r>
              <w:rPr>
                <w:rFonts w:ascii="Arial" w:eastAsia="Arial" w:hAnsi="Arial" w:cs="Arial"/>
                <w:b/>
                <w:color w:val="000000"/>
                <w:sz w:val="18"/>
              </w:rPr>
              <w:t>Less Than 12 Months</w:t>
            </w:r>
          </w:p>
        </w:tc>
        <w:tc>
          <w:tcPr>
            <w:tcW w:w="75" w:type="dxa"/>
            <w:tcBorders>
              <w:top w:val="single" w:sz="8" w:space="0" w:color="FFFFFF"/>
              <w:left w:val="nil"/>
              <w:bottom w:val="single" w:sz="8" w:space="0" w:color="FFFFFF"/>
              <w:right w:val="nil"/>
            </w:tcBorders>
            <w:tcMar>
              <w:top w:w="0" w:type="dxa"/>
              <w:left w:w="0" w:type="dxa"/>
              <w:bottom w:w="0" w:type="dxa"/>
              <w:right w:w="0" w:type="dxa"/>
            </w:tcMar>
            <w:vAlign w:val="bottom"/>
          </w:tcPr>
          <w:p w14:paraId="3B7A564E" w14:textId="77777777" w:rsidR="001614AC" w:rsidRDefault="001614AC">
            <w:pPr>
              <w:keepNext/>
            </w:pPr>
          </w:p>
        </w:tc>
        <w:tc>
          <w:tcPr>
            <w:tcW w:w="2820" w:type="dxa"/>
            <w:gridSpan w:val="10"/>
            <w:tcBorders>
              <w:top w:val="nil"/>
              <w:left w:val="nil"/>
              <w:bottom w:val="single" w:sz="8" w:space="0" w:color="C7C9C7"/>
              <w:right w:val="nil"/>
            </w:tcBorders>
            <w:tcMar>
              <w:top w:w="0" w:type="dxa"/>
              <w:left w:w="53" w:type="dxa"/>
              <w:bottom w:w="0" w:type="dxa"/>
              <w:right w:w="53" w:type="dxa"/>
            </w:tcMar>
            <w:vAlign w:val="bottom"/>
          </w:tcPr>
          <w:p w14:paraId="5F4DCDA5" w14:textId="77777777" w:rsidR="001614AC" w:rsidRDefault="004468F9">
            <w:pPr>
              <w:keepNext/>
              <w:spacing w:before="55" w:after="30" w:line="288" w:lineRule="auto"/>
              <w:jc w:val="center"/>
            </w:pPr>
            <w:r>
              <w:rPr>
                <w:rFonts w:ascii="Arial" w:eastAsia="Arial" w:hAnsi="Arial" w:cs="Arial"/>
                <w:b/>
                <w:color w:val="000000"/>
                <w:sz w:val="18"/>
              </w:rPr>
              <w:t>12 Months or Greater</w:t>
            </w:r>
          </w:p>
        </w:tc>
        <w:tc>
          <w:tcPr>
            <w:tcW w:w="75" w:type="dxa"/>
            <w:tcBorders>
              <w:top w:val="single" w:sz="8" w:space="0" w:color="FFFFFF"/>
              <w:left w:val="nil"/>
              <w:bottom w:val="single" w:sz="8" w:space="0" w:color="FFFFFF"/>
              <w:right w:val="nil"/>
            </w:tcBorders>
            <w:tcMar>
              <w:top w:w="0" w:type="dxa"/>
              <w:left w:w="0" w:type="dxa"/>
              <w:bottom w:w="0" w:type="dxa"/>
              <w:right w:w="0" w:type="dxa"/>
            </w:tcMar>
            <w:vAlign w:val="bottom"/>
          </w:tcPr>
          <w:p w14:paraId="46D70E94" w14:textId="77777777" w:rsidR="001614AC" w:rsidRDefault="001614AC">
            <w:pPr>
              <w:keepNext/>
            </w:pPr>
          </w:p>
        </w:tc>
        <w:tc>
          <w:tcPr>
            <w:tcW w:w="2895" w:type="dxa"/>
            <w:gridSpan w:val="10"/>
            <w:tcBorders>
              <w:top w:val="nil"/>
              <w:left w:val="nil"/>
              <w:bottom w:val="single" w:sz="8" w:space="0" w:color="C7C9C7"/>
              <w:right w:val="nil"/>
            </w:tcBorders>
            <w:tcMar>
              <w:top w:w="0" w:type="dxa"/>
              <w:left w:w="53" w:type="dxa"/>
              <w:bottom w:w="0" w:type="dxa"/>
              <w:right w:w="53" w:type="dxa"/>
            </w:tcMar>
            <w:vAlign w:val="bottom"/>
          </w:tcPr>
          <w:p w14:paraId="43572339" w14:textId="77777777" w:rsidR="001614AC" w:rsidRDefault="004468F9">
            <w:pPr>
              <w:keepNext/>
              <w:spacing w:before="55" w:after="30" w:line="288" w:lineRule="auto"/>
              <w:jc w:val="center"/>
            </w:pPr>
            <w:r>
              <w:rPr>
                <w:rFonts w:ascii="Arial" w:eastAsia="Arial" w:hAnsi="Arial" w:cs="Arial"/>
                <w:b/>
                <w:color w:val="000000"/>
                <w:sz w:val="18"/>
              </w:rPr>
              <w:t>Total</w:t>
            </w:r>
          </w:p>
        </w:tc>
      </w:tr>
      <w:tr w:rsidR="001614AC" w14:paraId="2B3A4ECC" w14:textId="77777777">
        <w:trPr>
          <w:cantSplit/>
        </w:trPr>
        <w:tc>
          <w:tcPr>
            <w:tcW w:w="1245" w:type="dxa"/>
            <w:tcBorders>
              <w:top w:val="nil"/>
              <w:left w:val="nil"/>
              <w:bottom w:val="single" w:sz="8" w:space="0" w:color="C7C9C7"/>
              <w:right w:val="nil"/>
            </w:tcBorders>
            <w:tcMar>
              <w:top w:w="0" w:type="dxa"/>
              <w:left w:w="53" w:type="dxa"/>
              <w:bottom w:w="0" w:type="dxa"/>
              <w:right w:w="53" w:type="dxa"/>
            </w:tcMar>
            <w:vAlign w:val="bottom"/>
          </w:tcPr>
          <w:p w14:paraId="725C405F" w14:textId="77777777" w:rsidR="001614AC" w:rsidRDefault="004468F9">
            <w:pPr>
              <w:keepNext/>
              <w:spacing w:before="75" w:after="30" w:line="288" w:lineRule="auto"/>
            </w:pPr>
            <w:r>
              <w:rPr>
                <w:rFonts w:ascii="Arial" w:eastAsia="Arial" w:hAnsi="Arial" w:cs="Arial"/>
                <w:b/>
                <w:color w:val="000000"/>
                <w:sz w:val="16"/>
              </w:rPr>
              <w:t>Description of Securities</w:t>
            </w:r>
          </w:p>
        </w:tc>
        <w:tc>
          <w:tcPr>
            <w:tcW w:w="75" w:type="dxa"/>
            <w:tcBorders>
              <w:top w:val="nil"/>
              <w:left w:val="nil"/>
              <w:bottom w:val="single" w:sz="8" w:space="0" w:color="C7C9C7"/>
              <w:right w:val="nil"/>
            </w:tcBorders>
            <w:tcMar>
              <w:top w:w="0" w:type="dxa"/>
              <w:left w:w="0" w:type="dxa"/>
              <w:bottom w:w="0" w:type="dxa"/>
              <w:right w:w="0" w:type="dxa"/>
            </w:tcMar>
            <w:vAlign w:val="bottom"/>
          </w:tcPr>
          <w:p w14:paraId="581E66D6" w14:textId="77777777" w:rsidR="001614AC" w:rsidRDefault="001614AC">
            <w:pPr>
              <w:keepNext/>
            </w:pPr>
          </w:p>
        </w:tc>
        <w:tc>
          <w:tcPr>
            <w:tcW w:w="765" w:type="dxa"/>
            <w:gridSpan w:val="2"/>
            <w:tcBorders>
              <w:top w:val="nil"/>
              <w:left w:val="nil"/>
              <w:bottom w:val="single" w:sz="8" w:space="0" w:color="C7C9C7"/>
              <w:right w:val="nil"/>
            </w:tcBorders>
            <w:shd w:val="clear" w:color="auto" w:fill="F4F4F4"/>
            <w:tcMar>
              <w:top w:w="0" w:type="dxa"/>
              <w:left w:w="53" w:type="dxa"/>
              <w:bottom w:w="0" w:type="dxa"/>
              <w:right w:w="53" w:type="dxa"/>
            </w:tcMar>
            <w:vAlign w:val="bottom"/>
          </w:tcPr>
          <w:p w14:paraId="215BFB88" w14:textId="77777777" w:rsidR="001614AC" w:rsidRDefault="004468F9">
            <w:pPr>
              <w:keepNext/>
              <w:spacing w:before="55" w:line="288" w:lineRule="auto"/>
              <w:jc w:val="center"/>
            </w:pPr>
            <w:r>
              <w:rPr>
                <w:rFonts w:ascii="Arial" w:eastAsia="Arial" w:hAnsi="Arial" w:cs="Arial"/>
                <w:b/>
                <w:color w:val="000000"/>
                <w:sz w:val="14"/>
              </w:rPr>
              <w:t># of</w:t>
            </w:r>
          </w:p>
          <w:p w14:paraId="60CD5770" w14:textId="77777777" w:rsidR="001614AC" w:rsidRDefault="004468F9">
            <w:pPr>
              <w:spacing w:after="30" w:line="288" w:lineRule="auto"/>
              <w:jc w:val="center"/>
            </w:pPr>
            <w:r>
              <w:rPr>
                <w:rFonts w:ascii="Arial" w:eastAsia="Arial" w:hAnsi="Arial" w:cs="Arial"/>
                <w:b/>
                <w:color w:val="000000"/>
                <w:sz w:val="14"/>
              </w:rPr>
              <w:t>securities</w:t>
            </w:r>
          </w:p>
        </w:tc>
        <w:tc>
          <w:tcPr>
            <w:tcW w:w="75" w:type="dxa"/>
            <w:tcBorders>
              <w:top w:val="single" w:sz="8" w:space="0" w:color="C7C9C7"/>
              <w:left w:val="nil"/>
              <w:bottom w:val="single" w:sz="8" w:space="0" w:color="C7C9C7"/>
              <w:right w:val="nil"/>
            </w:tcBorders>
            <w:tcMar>
              <w:top w:w="0" w:type="dxa"/>
              <w:left w:w="0" w:type="dxa"/>
              <w:bottom w:w="0" w:type="dxa"/>
              <w:right w:w="0" w:type="dxa"/>
            </w:tcMar>
            <w:vAlign w:val="bottom"/>
          </w:tcPr>
          <w:p w14:paraId="40A04505" w14:textId="77777777" w:rsidR="001614AC" w:rsidRDefault="001614AC">
            <w:pPr>
              <w:keepNext/>
            </w:pPr>
          </w:p>
        </w:tc>
        <w:tc>
          <w:tcPr>
            <w:tcW w:w="1080" w:type="dxa"/>
            <w:gridSpan w:val="3"/>
            <w:tcBorders>
              <w:top w:val="single" w:sz="8" w:space="0" w:color="C7C9C7"/>
              <w:left w:val="nil"/>
              <w:bottom w:val="single" w:sz="8" w:space="0" w:color="C7C9C7"/>
              <w:right w:val="nil"/>
            </w:tcBorders>
            <w:shd w:val="clear" w:color="auto" w:fill="F4F4F4"/>
            <w:tcMar>
              <w:top w:w="0" w:type="dxa"/>
              <w:left w:w="53" w:type="dxa"/>
              <w:bottom w:w="0" w:type="dxa"/>
              <w:right w:w="53" w:type="dxa"/>
            </w:tcMar>
            <w:vAlign w:val="bottom"/>
          </w:tcPr>
          <w:p w14:paraId="5F84A8C8" w14:textId="77777777" w:rsidR="001614AC" w:rsidRDefault="004468F9">
            <w:pPr>
              <w:keepNext/>
              <w:spacing w:before="55" w:after="30" w:line="288" w:lineRule="auto"/>
              <w:jc w:val="center"/>
            </w:pPr>
            <w:r>
              <w:rPr>
                <w:rFonts w:ascii="Arial" w:eastAsia="Arial" w:hAnsi="Arial" w:cs="Arial"/>
                <w:b/>
                <w:color w:val="000000"/>
                <w:sz w:val="14"/>
              </w:rPr>
              <w:t>Fair Value</w:t>
            </w:r>
          </w:p>
        </w:tc>
        <w:tc>
          <w:tcPr>
            <w:tcW w:w="75" w:type="dxa"/>
            <w:tcBorders>
              <w:top w:val="single" w:sz="8" w:space="0" w:color="C7C9C7"/>
              <w:left w:val="nil"/>
              <w:bottom w:val="single" w:sz="8" w:space="0" w:color="C7C9C7"/>
              <w:right w:val="nil"/>
            </w:tcBorders>
            <w:tcMar>
              <w:top w:w="0" w:type="dxa"/>
              <w:left w:w="0" w:type="dxa"/>
              <w:bottom w:w="0" w:type="dxa"/>
              <w:right w:w="0" w:type="dxa"/>
            </w:tcMar>
            <w:vAlign w:val="bottom"/>
          </w:tcPr>
          <w:p w14:paraId="7F4BE3EF" w14:textId="77777777" w:rsidR="001614AC" w:rsidRDefault="001614AC">
            <w:pPr>
              <w:keepNext/>
            </w:pPr>
          </w:p>
        </w:tc>
        <w:tc>
          <w:tcPr>
            <w:tcW w:w="900" w:type="dxa"/>
            <w:gridSpan w:val="3"/>
            <w:tcBorders>
              <w:top w:val="single" w:sz="8" w:space="0" w:color="C7C9C7"/>
              <w:left w:val="nil"/>
              <w:bottom w:val="single" w:sz="8" w:space="0" w:color="C7C9C7"/>
              <w:right w:val="nil"/>
            </w:tcBorders>
            <w:shd w:val="clear" w:color="auto" w:fill="F4F4F4"/>
            <w:tcMar>
              <w:top w:w="0" w:type="dxa"/>
              <w:left w:w="53" w:type="dxa"/>
              <w:bottom w:w="0" w:type="dxa"/>
              <w:right w:w="53" w:type="dxa"/>
            </w:tcMar>
            <w:vAlign w:val="bottom"/>
          </w:tcPr>
          <w:p w14:paraId="1D743B84" w14:textId="77777777" w:rsidR="001614AC" w:rsidRDefault="004468F9">
            <w:pPr>
              <w:keepNext/>
              <w:spacing w:before="55" w:line="288" w:lineRule="auto"/>
              <w:jc w:val="center"/>
            </w:pPr>
            <w:r>
              <w:rPr>
                <w:rFonts w:ascii="Arial" w:eastAsia="Arial" w:hAnsi="Arial" w:cs="Arial"/>
                <w:b/>
                <w:color w:val="000000"/>
                <w:sz w:val="14"/>
              </w:rPr>
              <w:t>Unrealized</w:t>
            </w:r>
          </w:p>
          <w:p w14:paraId="0F1BFBD1" w14:textId="77777777" w:rsidR="001614AC" w:rsidRDefault="004468F9">
            <w:pPr>
              <w:spacing w:after="30" w:line="288" w:lineRule="auto"/>
              <w:jc w:val="center"/>
            </w:pPr>
            <w:r>
              <w:rPr>
                <w:rFonts w:ascii="Arial" w:eastAsia="Arial" w:hAnsi="Arial" w:cs="Arial"/>
                <w:b/>
                <w:color w:val="000000"/>
                <w:sz w:val="14"/>
              </w:rPr>
              <w:t>Losses</w:t>
            </w:r>
          </w:p>
        </w:tc>
        <w:tc>
          <w:tcPr>
            <w:tcW w:w="75" w:type="dxa"/>
            <w:tcBorders>
              <w:top w:val="single" w:sz="8" w:space="0" w:color="FFFFFF"/>
              <w:left w:val="nil"/>
              <w:bottom w:val="single" w:sz="8" w:space="0" w:color="C7C9C7"/>
              <w:right w:val="nil"/>
            </w:tcBorders>
            <w:tcMar>
              <w:top w:w="0" w:type="dxa"/>
              <w:left w:w="0" w:type="dxa"/>
              <w:bottom w:w="0" w:type="dxa"/>
              <w:right w:w="0" w:type="dxa"/>
            </w:tcMar>
            <w:vAlign w:val="bottom"/>
          </w:tcPr>
          <w:p w14:paraId="3F9831A1" w14:textId="77777777" w:rsidR="001614AC" w:rsidRDefault="001614AC">
            <w:pPr>
              <w:keepNext/>
            </w:pPr>
          </w:p>
        </w:tc>
        <w:tc>
          <w:tcPr>
            <w:tcW w:w="765" w:type="dxa"/>
            <w:gridSpan w:val="2"/>
            <w:tcBorders>
              <w:top w:val="nil"/>
              <w:left w:val="nil"/>
              <w:bottom w:val="single" w:sz="8" w:space="0" w:color="C7C9C7"/>
              <w:right w:val="nil"/>
            </w:tcBorders>
            <w:shd w:val="clear" w:color="auto" w:fill="F4F4F4"/>
            <w:tcMar>
              <w:top w:w="0" w:type="dxa"/>
              <w:left w:w="53" w:type="dxa"/>
              <w:bottom w:w="0" w:type="dxa"/>
              <w:right w:w="53" w:type="dxa"/>
            </w:tcMar>
            <w:vAlign w:val="bottom"/>
          </w:tcPr>
          <w:p w14:paraId="4CB4C9E0" w14:textId="77777777" w:rsidR="001614AC" w:rsidRDefault="004468F9">
            <w:pPr>
              <w:keepNext/>
              <w:spacing w:before="55" w:line="288" w:lineRule="auto"/>
              <w:jc w:val="center"/>
            </w:pPr>
            <w:r>
              <w:rPr>
                <w:rFonts w:ascii="Arial" w:eastAsia="Arial" w:hAnsi="Arial" w:cs="Arial"/>
                <w:b/>
                <w:color w:val="000000"/>
                <w:sz w:val="14"/>
              </w:rPr>
              <w:t># of</w:t>
            </w:r>
          </w:p>
          <w:p w14:paraId="4EB16ECA" w14:textId="77777777" w:rsidR="001614AC" w:rsidRDefault="004468F9">
            <w:pPr>
              <w:spacing w:after="30" w:line="288" w:lineRule="auto"/>
              <w:jc w:val="center"/>
            </w:pPr>
            <w:r>
              <w:rPr>
                <w:rFonts w:ascii="Arial" w:eastAsia="Arial" w:hAnsi="Arial" w:cs="Arial"/>
                <w:b/>
                <w:color w:val="000000"/>
                <w:sz w:val="14"/>
              </w:rPr>
              <w:t>securities</w:t>
            </w:r>
          </w:p>
        </w:tc>
        <w:tc>
          <w:tcPr>
            <w:tcW w:w="75" w:type="dxa"/>
            <w:tcBorders>
              <w:top w:val="single" w:sz="8" w:space="0" w:color="C7C9C7"/>
              <w:left w:val="nil"/>
              <w:bottom w:val="single" w:sz="8" w:space="0" w:color="C7C9C7"/>
              <w:right w:val="nil"/>
            </w:tcBorders>
            <w:tcMar>
              <w:top w:w="0" w:type="dxa"/>
              <w:left w:w="0" w:type="dxa"/>
              <w:bottom w:w="0" w:type="dxa"/>
              <w:right w:w="0" w:type="dxa"/>
            </w:tcMar>
            <w:vAlign w:val="bottom"/>
          </w:tcPr>
          <w:p w14:paraId="07F4221D" w14:textId="77777777" w:rsidR="001614AC" w:rsidRDefault="001614AC">
            <w:pPr>
              <w:keepNext/>
            </w:pPr>
          </w:p>
        </w:tc>
        <w:tc>
          <w:tcPr>
            <w:tcW w:w="1005" w:type="dxa"/>
            <w:gridSpan w:val="3"/>
            <w:tcBorders>
              <w:top w:val="single" w:sz="8" w:space="0" w:color="C7C9C7"/>
              <w:left w:val="nil"/>
              <w:bottom w:val="single" w:sz="8" w:space="0" w:color="C7C9C7"/>
              <w:right w:val="nil"/>
            </w:tcBorders>
            <w:shd w:val="clear" w:color="auto" w:fill="F4F4F4"/>
            <w:tcMar>
              <w:top w:w="0" w:type="dxa"/>
              <w:left w:w="53" w:type="dxa"/>
              <w:bottom w:w="0" w:type="dxa"/>
              <w:right w:w="53" w:type="dxa"/>
            </w:tcMar>
            <w:vAlign w:val="bottom"/>
          </w:tcPr>
          <w:p w14:paraId="3BCD6723" w14:textId="77777777" w:rsidR="001614AC" w:rsidRDefault="004468F9">
            <w:pPr>
              <w:keepNext/>
              <w:spacing w:before="55" w:after="30" w:line="288" w:lineRule="auto"/>
              <w:jc w:val="center"/>
            </w:pPr>
            <w:r>
              <w:rPr>
                <w:rFonts w:ascii="Arial" w:eastAsia="Arial" w:hAnsi="Arial" w:cs="Arial"/>
                <w:b/>
                <w:color w:val="000000"/>
                <w:sz w:val="14"/>
              </w:rPr>
              <w:t>Fair Value</w:t>
            </w:r>
          </w:p>
        </w:tc>
        <w:tc>
          <w:tcPr>
            <w:tcW w:w="75" w:type="dxa"/>
            <w:tcBorders>
              <w:top w:val="single" w:sz="8" w:space="0" w:color="C7C9C7"/>
              <w:left w:val="nil"/>
              <w:bottom w:val="single" w:sz="8" w:space="0" w:color="C7C9C7"/>
              <w:right w:val="nil"/>
            </w:tcBorders>
            <w:tcMar>
              <w:top w:w="0" w:type="dxa"/>
              <w:left w:w="0" w:type="dxa"/>
              <w:bottom w:w="0" w:type="dxa"/>
              <w:right w:w="0" w:type="dxa"/>
            </w:tcMar>
            <w:vAlign w:val="bottom"/>
          </w:tcPr>
          <w:p w14:paraId="51FA70D2" w14:textId="77777777" w:rsidR="001614AC" w:rsidRDefault="001614AC">
            <w:pPr>
              <w:keepNext/>
            </w:pPr>
          </w:p>
        </w:tc>
        <w:tc>
          <w:tcPr>
            <w:tcW w:w="900" w:type="dxa"/>
            <w:gridSpan w:val="3"/>
            <w:tcBorders>
              <w:top w:val="single" w:sz="8" w:space="0" w:color="C7C9C7"/>
              <w:left w:val="nil"/>
              <w:bottom w:val="single" w:sz="8" w:space="0" w:color="C7C9C7"/>
              <w:right w:val="nil"/>
            </w:tcBorders>
            <w:shd w:val="clear" w:color="auto" w:fill="F4F4F4"/>
            <w:tcMar>
              <w:top w:w="0" w:type="dxa"/>
              <w:left w:w="53" w:type="dxa"/>
              <w:bottom w:w="0" w:type="dxa"/>
              <w:right w:w="53" w:type="dxa"/>
            </w:tcMar>
            <w:vAlign w:val="bottom"/>
          </w:tcPr>
          <w:p w14:paraId="0FC71098" w14:textId="77777777" w:rsidR="001614AC" w:rsidRDefault="004468F9">
            <w:pPr>
              <w:keepNext/>
              <w:spacing w:before="55" w:line="288" w:lineRule="auto"/>
              <w:jc w:val="center"/>
            </w:pPr>
            <w:r>
              <w:rPr>
                <w:rFonts w:ascii="Arial" w:eastAsia="Arial" w:hAnsi="Arial" w:cs="Arial"/>
                <w:b/>
                <w:color w:val="000000"/>
                <w:sz w:val="14"/>
              </w:rPr>
              <w:t>Unrealized</w:t>
            </w:r>
          </w:p>
          <w:p w14:paraId="62D444B3" w14:textId="77777777" w:rsidR="001614AC" w:rsidRDefault="004468F9">
            <w:pPr>
              <w:spacing w:after="30" w:line="288" w:lineRule="auto"/>
              <w:jc w:val="center"/>
            </w:pPr>
            <w:r>
              <w:rPr>
                <w:rFonts w:ascii="Arial" w:eastAsia="Arial" w:hAnsi="Arial" w:cs="Arial"/>
                <w:b/>
                <w:color w:val="000000"/>
                <w:sz w:val="14"/>
              </w:rPr>
              <w:t>Losses</w:t>
            </w:r>
          </w:p>
        </w:tc>
        <w:tc>
          <w:tcPr>
            <w:tcW w:w="75" w:type="dxa"/>
            <w:tcBorders>
              <w:top w:val="single" w:sz="8" w:space="0" w:color="FFFFFF"/>
              <w:left w:val="nil"/>
              <w:bottom w:val="single" w:sz="8" w:space="0" w:color="C7C9C7"/>
              <w:right w:val="nil"/>
            </w:tcBorders>
            <w:tcMar>
              <w:top w:w="0" w:type="dxa"/>
              <w:left w:w="0" w:type="dxa"/>
              <w:bottom w:w="0" w:type="dxa"/>
              <w:right w:w="0" w:type="dxa"/>
            </w:tcMar>
            <w:vAlign w:val="bottom"/>
          </w:tcPr>
          <w:p w14:paraId="045C6AB0" w14:textId="77777777" w:rsidR="001614AC" w:rsidRDefault="001614AC">
            <w:pPr>
              <w:keepNext/>
            </w:pPr>
          </w:p>
        </w:tc>
        <w:tc>
          <w:tcPr>
            <w:tcW w:w="765" w:type="dxa"/>
            <w:gridSpan w:val="2"/>
            <w:tcBorders>
              <w:top w:val="nil"/>
              <w:left w:val="nil"/>
              <w:bottom w:val="single" w:sz="8" w:space="0" w:color="C7C9C7"/>
              <w:right w:val="nil"/>
            </w:tcBorders>
            <w:shd w:val="clear" w:color="auto" w:fill="F4F4F4"/>
            <w:tcMar>
              <w:top w:w="0" w:type="dxa"/>
              <w:left w:w="53" w:type="dxa"/>
              <w:bottom w:w="0" w:type="dxa"/>
              <w:right w:w="53" w:type="dxa"/>
            </w:tcMar>
            <w:vAlign w:val="bottom"/>
          </w:tcPr>
          <w:p w14:paraId="68758560" w14:textId="77777777" w:rsidR="001614AC" w:rsidRDefault="004468F9">
            <w:pPr>
              <w:keepNext/>
              <w:spacing w:before="55" w:line="288" w:lineRule="auto"/>
              <w:jc w:val="center"/>
            </w:pPr>
            <w:r>
              <w:rPr>
                <w:rFonts w:ascii="Arial" w:eastAsia="Arial" w:hAnsi="Arial" w:cs="Arial"/>
                <w:b/>
                <w:color w:val="000000"/>
                <w:sz w:val="14"/>
              </w:rPr>
              <w:t># of</w:t>
            </w:r>
          </w:p>
          <w:p w14:paraId="7F8AB0DA" w14:textId="77777777" w:rsidR="001614AC" w:rsidRDefault="004468F9">
            <w:pPr>
              <w:spacing w:after="30" w:line="288" w:lineRule="auto"/>
              <w:jc w:val="center"/>
            </w:pPr>
            <w:r>
              <w:rPr>
                <w:rFonts w:ascii="Arial" w:eastAsia="Arial" w:hAnsi="Arial" w:cs="Arial"/>
                <w:b/>
                <w:color w:val="000000"/>
                <w:sz w:val="14"/>
              </w:rPr>
              <w:t>securities</w:t>
            </w:r>
          </w:p>
        </w:tc>
        <w:tc>
          <w:tcPr>
            <w:tcW w:w="75" w:type="dxa"/>
            <w:tcBorders>
              <w:top w:val="single" w:sz="8" w:space="0" w:color="C7C9C7"/>
              <w:left w:val="nil"/>
              <w:bottom w:val="single" w:sz="8" w:space="0" w:color="C7C9C7"/>
              <w:right w:val="nil"/>
            </w:tcBorders>
            <w:tcMar>
              <w:top w:w="0" w:type="dxa"/>
              <w:left w:w="0" w:type="dxa"/>
              <w:bottom w:w="0" w:type="dxa"/>
              <w:right w:w="0" w:type="dxa"/>
            </w:tcMar>
            <w:vAlign w:val="bottom"/>
          </w:tcPr>
          <w:p w14:paraId="06AF9A81" w14:textId="77777777" w:rsidR="001614AC" w:rsidRDefault="001614AC">
            <w:pPr>
              <w:keepNext/>
            </w:pPr>
          </w:p>
        </w:tc>
        <w:tc>
          <w:tcPr>
            <w:tcW w:w="1080" w:type="dxa"/>
            <w:gridSpan w:val="3"/>
            <w:tcBorders>
              <w:top w:val="single" w:sz="8" w:space="0" w:color="C7C9C7"/>
              <w:left w:val="nil"/>
              <w:bottom w:val="single" w:sz="8" w:space="0" w:color="C7C9C7"/>
              <w:right w:val="nil"/>
            </w:tcBorders>
            <w:shd w:val="clear" w:color="auto" w:fill="F4F4F4"/>
            <w:tcMar>
              <w:top w:w="0" w:type="dxa"/>
              <w:left w:w="53" w:type="dxa"/>
              <w:bottom w:w="0" w:type="dxa"/>
              <w:right w:w="53" w:type="dxa"/>
            </w:tcMar>
            <w:vAlign w:val="bottom"/>
          </w:tcPr>
          <w:p w14:paraId="19C6EB5B" w14:textId="77777777" w:rsidR="001614AC" w:rsidRDefault="004468F9">
            <w:pPr>
              <w:keepNext/>
              <w:spacing w:before="55" w:after="30" w:line="288" w:lineRule="auto"/>
              <w:jc w:val="center"/>
            </w:pPr>
            <w:r>
              <w:rPr>
                <w:rFonts w:ascii="Arial" w:eastAsia="Arial" w:hAnsi="Arial" w:cs="Arial"/>
                <w:b/>
                <w:color w:val="000000"/>
                <w:sz w:val="14"/>
              </w:rPr>
              <w:t>Fair Value</w:t>
            </w:r>
          </w:p>
        </w:tc>
        <w:tc>
          <w:tcPr>
            <w:tcW w:w="75" w:type="dxa"/>
            <w:tcBorders>
              <w:top w:val="single" w:sz="8" w:space="0" w:color="C7C9C7"/>
              <w:left w:val="nil"/>
              <w:bottom w:val="single" w:sz="8" w:space="0" w:color="C7C9C7"/>
              <w:right w:val="nil"/>
            </w:tcBorders>
            <w:tcMar>
              <w:top w:w="0" w:type="dxa"/>
              <w:left w:w="0" w:type="dxa"/>
              <w:bottom w:w="0" w:type="dxa"/>
              <w:right w:w="0" w:type="dxa"/>
            </w:tcMar>
            <w:vAlign w:val="bottom"/>
          </w:tcPr>
          <w:p w14:paraId="7F3FC724" w14:textId="77777777" w:rsidR="001614AC" w:rsidRDefault="001614AC">
            <w:pPr>
              <w:keepNext/>
            </w:pPr>
          </w:p>
        </w:tc>
        <w:tc>
          <w:tcPr>
            <w:tcW w:w="900" w:type="dxa"/>
            <w:gridSpan w:val="3"/>
            <w:tcBorders>
              <w:top w:val="single" w:sz="8" w:space="0" w:color="C7C9C7"/>
              <w:left w:val="nil"/>
              <w:bottom w:val="single" w:sz="8" w:space="0" w:color="C7C9C7"/>
              <w:right w:val="nil"/>
            </w:tcBorders>
            <w:shd w:val="clear" w:color="auto" w:fill="F4F4F4"/>
            <w:tcMar>
              <w:top w:w="0" w:type="dxa"/>
              <w:left w:w="53" w:type="dxa"/>
              <w:bottom w:w="0" w:type="dxa"/>
              <w:right w:w="53" w:type="dxa"/>
            </w:tcMar>
            <w:vAlign w:val="bottom"/>
          </w:tcPr>
          <w:p w14:paraId="4CC79C0D" w14:textId="77777777" w:rsidR="001614AC" w:rsidRDefault="004468F9">
            <w:pPr>
              <w:keepNext/>
              <w:spacing w:before="55" w:line="288" w:lineRule="auto"/>
              <w:jc w:val="center"/>
            </w:pPr>
            <w:r>
              <w:rPr>
                <w:rFonts w:ascii="Arial" w:eastAsia="Arial" w:hAnsi="Arial" w:cs="Arial"/>
                <w:b/>
                <w:color w:val="000000"/>
                <w:sz w:val="14"/>
              </w:rPr>
              <w:t>Unrealized</w:t>
            </w:r>
          </w:p>
          <w:p w14:paraId="20BA6ED3" w14:textId="77777777" w:rsidR="001614AC" w:rsidRDefault="004468F9">
            <w:pPr>
              <w:spacing w:after="30" w:line="288" w:lineRule="auto"/>
              <w:jc w:val="center"/>
            </w:pPr>
            <w:r>
              <w:rPr>
                <w:rFonts w:ascii="Arial" w:eastAsia="Arial" w:hAnsi="Arial" w:cs="Arial"/>
                <w:b/>
                <w:color w:val="000000"/>
                <w:sz w:val="14"/>
              </w:rPr>
              <w:t>Losses</w:t>
            </w:r>
          </w:p>
        </w:tc>
      </w:tr>
      <w:tr w:rsidR="001614AC" w14:paraId="45631BD6" w14:textId="77777777">
        <w:trPr>
          <w:cantSplit/>
        </w:trPr>
        <w:tc>
          <w:tcPr>
            <w:tcW w:w="1245" w:type="dxa"/>
            <w:tcBorders>
              <w:top w:val="single" w:sz="8" w:space="0" w:color="C7C9C7"/>
              <w:left w:val="nil"/>
              <w:bottom w:val="single" w:sz="8" w:space="0" w:color="E9E9E9"/>
              <w:right w:val="nil"/>
            </w:tcBorders>
            <w:tcMar>
              <w:top w:w="0" w:type="dxa"/>
              <w:left w:w="53" w:type="dxa"/>
              <w:bottom w:w="0" w:type="dxa"/>
              <w:right w:w="53" w:type="dxa"/>
            </w:tcMar>
            <w:vAlign w:val="bottom"/>
          </w:tcPr>
          <w:p w14:paraId="76EDC026" w14:textId="77777777" w:rsidR="001614AC" w:rsidRDefault="004468F9">
            <w:pPr>
              <w:keepNext/>
              <w:spacing w:before="55" w:after="30" w:line="288" w:lineRule="auto"/>
            </w:pPr>
            <w:r>
              <w:rPr>
                <w:rFonts w:ascii="Arial" w:eastAsia="Arial" w:hAnsi="Arial" w:cs="Arial"/>
                <w:color w:val="000000"/>
                <w:sz w:val="18"/>
              </w:rPr>
              <w:t>U.S. government and agency securities</w:t>
            </w:r>
          </w:p>
        </w:tc>
        <w:tc>
          <w:tcPr>
            <w:tcW w:w="75" w:type="dxa"/>
            <w:tcBorders>
              <w:top w:val="single" w:sz="8" w:space="0" w:color="C7C9C7"/>
              <w:left w:val="nil"/>
              <w:bottom w:val="nil"/>
              <w:right w:val="nil"/>
            </w:tcBorders>
            <w:tcMar>
              <w:top w:w="0" w:type="dxa"/>
              <w:left w:w="0" w:type="dxa"/>
              <w:bottom w:w="0" w:type="dxa"/>
              <w:right w:w="0" w:type="dxa"/>
            </w:tcMar>
            <w:vAlign w:val="bottom"/>
          </w:tcPr>
          <w:p w14:paraId="19F15C0E" w14:textId="77777777" w:rsidR="001614AC" w:rsidRDefault="001614AC">
            <w:pPr>
              <w:keepNext/>
            </w:pPr>
          </w:p>
        </w:tc>
        <w:tc>
          <w:tcPr>
            <w:tcW w:w="665" w:type="dxa"/>
            <w:tcBorders>
              <w:top w:val="single" w:sz="8" w:space="0" w:color="C7C9C7"/>
              <w:left w:val="nil"/>
              <w:bottom w:val="single" w:sz="8" w:space="0" w:color="E9E9E9"/>
              <w:right w:val="nil"/>
            </w:tcBorders>
            <w:tcMar>
              <w:top w:w="0" w:type="dxa"/>
              <w:left w:w="53" w:type="dxa"/>
              <w:bottom w:w="0" w:type="dxa"/>
              <w:right w:w="0" w:type="dxa"/>
            </w:tcMar>
            <w:vAlign w:val="bottom"/>
          </w:tcPr>
          <w:p w14:paraId="5B654E70" w14:textId="77777777" w:rsidR="001614AC" w:rsidRDefault="004468F9">
            <w:pPr>
              <w:keepNext/>
              <w:spacing w:before="55" w:after="30" w:line="288" w:lineRule="auto"/>
              <w:jc w:val="right"/>
            </w:pPr>
            <w:r>
              <w:rPr>
                <w:rFonts w:ascii="Arial" w:eastAsia="Arial" w:hAnsi="Arial" w:cs="Arial"/>
                <w:color w:val="000000"/>
                <w:sz w:val="18"/>
              </w:rPr>
              <w:t>4 </w:t>
            </w:r>
          </w:p>
        </w:tc>
        <w:tc>
          <w:tcPr>
            <w:tcW w:w="100" w:type="dxa"/>
            <w:tcBorders>
              <w:top w:val="single" w:sz="8" w:space="0" w:color="C7C9C7"/>
              <w:left w:val="nil"/>
              <w:bottom w:val="single" w:sz="8" w:space="0" w:color="E9E9E9"/>
              <w:right w:val="nil"/>
            </w:tcBorders>
            <w:tcMar>
              <w:top w:w="0" w:type="dxa"/>
              <w:left w:w="0" w:type="dxa"/>
              <w:bottom w:w="0" w:type="dxa"/>
              <w:right w:w="15" w:type="dxa"/>
            </w:tcMar>
            <w:vAlign w:val="bottom"/>
          </w:tcPr>
          <w:p w14:paraId="587F1838" w14:textId="77777777" w:rsidR="001614AC" w:rsidRDefault="001614AC">
            <w:pPr>
              <w:keepNext/>
              <w:spacing w:before="55" w:after="30" w:line="288" w:lineRule="auto"/>
              <w:jc w:val="right"/>
            </w:pPr>
          </w:p>
        </w:tc>
        <w:tc>
          <w:tcPr>
            <w:tcW w:w="75" w:type="dxa"/>
            <w:tcBorders>
              <w:top w:val="single" w:sz="8" w:space="0" w:color="C7C9C7"/>
              <w:left w:val="nil"/>
              <w:bottom w:val="nil"/>
              <w:right w:val="nil"/>
            </w:tcBorders>
            <w:tcMar>
              <w:top w:w="0" w:type="dxa"/>
              <w:left w:w="0" w:type="dxa"/>
              <w:bottom w:w="0" w:type="dxa"/>
              <w:right w:w="0" w:type="dxa"/>
            </w:tcMar>
            <w:vAlign w:val="bottom"/>
          </w:tcPr>
          <w:p w14:paraId="1ED10E03" w14:textId="77777777" w:rsidR="001614AC" w:rsidRDefault="001614AC">
            <w:pPr>
              <w:keepNext/>
            </w:pPr>
          </w:p>
        </w:tc>
        <w:tc>
          <w:tcPr>
            <w:tcW w:w="160" w:type="dxa"/>
            <w:tcBorders>
              <w:top w:val="single" w:sz="8" w:space="0" w:color="C7C9C7"/>
              <w:left w:val="nil"/>
              <w:bottom w:val="single" w:sz="8" w:space="0" w:color="E9E9E9"/>
              <w:right w:val="nil"/>
            </w:tcBorders>
            <w:tcMar>
              <w:top w:w="0" w:type="dxa"/>
              <w:left w:w="53" w:type="dxa"/>
              <w:bottom w:w="0" w:type="dxa"/>
              <w:right w:w="0" w:type="dxa"/>
            </w:tcMar>
            <w:vAlign w:val="bottom"/>
          </w:tcPr>
          <w:p w14:paraId="5513519F" w14:textId="77777777" w:rsidR="001614AC" w:rsidRDefault="004468F9">
            <w:pPr>
              <w:keepNext/>
              <w:spacing w:before="55" w:after="30" w:line="288" w:lineRule="auto"/>
            </w:pPr>
            <w:r>
              <w:rPr>
                <w:rFonts w:ascii="Arial" w:eastAsia="Arial" w:hAnsi="Arial" w:cs="Arial"/>
                <w:color w:val="000000"/>
                <w:sz w:val="18"/>
              </w:rPr>
              <w:t>$</w:t>
            </w:r>
          </w:p>
        </w:tc>
        <w:tc>
          <w:tcPr>
            <w:tcW w:w="820" w:type="dxa"/>
            <w:tcBorders>
              <w:top w:val="single" w:sz="8" w:space="0" w:color="C7C9C7"/>
              <w:left w:val="nil"/>
              <w:bottom w:val="single" w:sz="8" w:space="0" w:color="E9E9E9"/>
              <w:right w:val="nil"/>
            </w:tcBorders>
            <w:tcMar>
              <w:top w:w="0" w:type="dxa"/>
              <w:left w:w="0" w:type="dxa"/>
              <w:bottom w:w="0" w:type="dxa"/>
              <w:right w:w="0" w:type="dxa"/>
            </w:tcMar>
            <w:vAlign w:val="bottom"/>
          </w:tcPr>
          <w:p w14:paraId="612F1401" w14:textId="77777777" w:rsidR="001614AC" w:rsidRDefault="004468F9">
            <w:pPr>
              <w:keepNext/>
              <w:spacing w:before="55" w:after="30" w:line="288" w:lineRule="auto"/>
              <w:jc w:val="right"/>
            </w:pPr>
            <w:r>
              <w:rPr>
                <w:rFonts w:ascii="Arial" w:eastAsia="Arial" w:hAnsi="Arial" w:cs="Arial"/>
                <w:color w:val="000000"/>
                <w:sz w:val="18"/>
              </w:rPr>
              <w:t>90,591 </w:t>
            </w:r>
          </w:p>
        </w:tc>
        <w:tc>
          <w:tcPr>
            <w:tcW w:w="100" w:type="dxa"/>
            <w:tcBorders>
              <w:top w:val="single" w:sz="8" w:space="0" w:color="C7C9C7"/>
              <w:left w:val="nil"/>
              <w:bottom w:val="single" w:sz="8" w:space="0" w:color="E9E9E9"/>
              <w:right w:val="nil"/>
            </w:tcBorders>
            <w:tcMar>
              <w:top w:w="0" w:type="dxa"/>
              <w:left w:w="0" w:type="dxa"/>
              <w:bottom w:w="0" w:type="dxa"/>
              <w:right w:w="15" w:type="dxa"/>
            </w:tcMar>
            <w:vAlign w:val="bottom"/>
          </w:tcPr>
          <w:p w14:paraId="661F62FF" w14:textId="77777777" w:rsidR="001614AC" w:rsidRDefault="001614AC">
            <w:pPr>
              <w:keepNext/>
              <w:spacing w:before="55" w:after="30" w:line="288" w:lineRule="auto"/>
              <w:jc w:val="right"/>
            </w:pPr>
          </w:p>
        </w:tc>
        <w:tc>
          <w:tcPr>
            <w:tcW w:w="75" w:type="dxa"/>
            <w:tcBorders>
              <w:top w:val="single" w:sz="8" w:space="0" w:color="C7C9C7"/>
              <w:left w:val="nil"/>
              <w:bottom w:val="nil"/>
              <w:right w:val="nil"/>
            </w:tcBorders>
            <w:tcMar>
              <w:top w:w="0" w:type="dxa"/>
              <w:left w:w="0" w:type="dxa"/>
              <w:bottom w:w="0" w:type="dxa"/>
              <w:right w:w="0" w:type="dxa"/>
            </w:tcMar>
            <w:vAlign w:val="bottom"/>
          </w:tcPr>
          <w:p w14:paraId="5D25BB68" w14:textId="77777777" w:rsidR="001614AC" w:rsidRDefault="001614AC">
            <w:pPr>
              <w:keepNext/>
            </w:pPr>
          </w:p>
        </w:tc>
        <w:tc>
          <w:tcPr>
            <w:tcW w:w="160" w:type="dxa"/>
            <w:tcBorders>
              <w:top w:val="single" w:sz="8" w:space="0" w:color="C7C9C7"/>
              <w:left w:val="nil"/>
              <w:bottom w:val="single" w:sz="8" w:space="0" w:color="E9E9E9"/>
              <w:right w:val="nil"/>
            </w:tcBorders>
            <w:tcMar>
              <w:top w:w="0" w:type="dxa"/>
              <w:left w:w="53" w:type="dxa"/>
              <w:bottom w:w="0" w:type="dxa"/>
              <w:right w:w="0" w:type="dxa"/>
            </w:tcMar>
            <w:vAlign w:val="bottom"/>
          </w:tcPr>
          <w:p w14:paraId="0B937EC5" w14:textId="77777777" w:rsidR="001614AC" w:rsidRDefault="004468F9">
            <w:pPr>
              <w:keepNext/>
              <w:spacing w:before="55" w:after="30" w:line="288" w:lineRule="auto"/>
            </w:pPr>
            <w:r>
              <w:rPr>
                <w:rFonts w:ascii="Arial" w:eastAsia="Arial" w:hAnsi="Arial" w:cs="Arial"/>
                <w:color w:val="000000"/>
                <w:sz w:val="18"/>
              </w:rPr>
              <w:t>$</w:t>
            </w:r>
          </w:p>
        </w:tc>
        <w:tc>
          <w:tcPr>
            <w:tcW w:w="640" w:type="dxa"/>
            <w:tcBorders>
              <w:top w:val="single" w:sz="8" w:space="0" w:color="C7C9C7"/>
              <w:left w:val="nil"/>
              <w:bottom w:val="single" w:sz="8" w:space="0" w:color="E9E9E9"/>
              <w:right w:val="nil"/>
            </w:tcBorders>
            <w:tcMar>
              <w:top w:w="0" w:type="dxa"/>
              <w:left w:w="0" w:type="dxa"/>
              <w:bottom w:w="0" w:type="dxa"/>
              <w:right w:w="0" w:type="dxa"/>
            </w:tcMar>
            <w:vAlign w:val="bottom"/>
          </w:tcPr>
          <w:p w14:paraId="3472F3F4" w14:textId="77777777" w:rsidR="001614AC" w:rsidRDefault="004468F9">
            <w:pPr>
              <w:keepNext/>
              <w:spacing w:before="55" w:after="30" w:line="288" w:lineRule="auto"/>
              <w:jc w:val="right"/>
            </w:pPr>
            <w:r>
              <w:rPr>
                <w:rFonts w:ascii="Arial" w:eastAsia="Arial" w:hAnsi="Arial" w:cs="Arial"/>
                <w:color w:val="000000"/>
                <w:sz w:val="18"/>
              </w:rPr>
              <w:t>(3,611)</w:t>
            </w:r>
          </w:p>
        </w:tc>
        <w:tc>
          <w:tcPr>
            <w:tcW w:w="100" w:type="dxa"/>
            <w:tcBorders>
              <w:top w:val="single" w:sz="8" w:space="0" w:color="C7C9C7"/>
              <w:left w:val="nil"/>
              <w:bottom w:val="single" w:sz="8" w:space="0" w:color="E9E9E9"/>
              <w:right w:val="nil"/>
            </w:tcBorders>
            <w:tcMar>
              <w:top w:w="0" w:type="dxa"/>
              <w:left w:w="0" w:type="dxa"/>
              <w:bottom w:w="0" w:type="dxa"/>
              <w:right w:w="15" w:type="dxa"/>
            </w:tcMar>
            <w:vAlign w:val="bottom"/>
          </w:tcPr>
          <w:p w14:paraId="3905ADCF" w14:textId="77777777" w:rsidR="001614AC" w:rsidRDefault="001614AC">
            <w:pPr>
              <w:keepNext/>
              <w:spacing w:before="55" w:after="30" w:line="288" w:lineRule="auto"/>
              <w:jc w:val="right"/>
            </w:pPr>
          </w:p>
        </w:tc>
        <w:tc>
          <w:tcPr>
            <w:tcW w:w="75" w:type="dxa"/>
            <w:tcBorders>
              <w:top w:val="single" w:sz="8" w:space="0" w:color="C7C9C7"/>
              <w:left w:val="nil"/>
              <w:bottom w:val="nil"/>
              <w:right w:val="nil"/>
            </w:tcBorders>
            <w:tcMar>
              <w:top w:w="0" w:type="dxa"/>
              <w:left w:w="0" w:type="dxa"/>
              <w:bottom w:w="0" w:type="dxa"/>
              <w:right w:w="0" w:type="dxa"/>
            </w:tcMar>
            <w:vAlign w:val="bottom"/>
          </w:tcPr>
          <w:p w14:paraId="29E9B3B2" w14:textId="77777777" w:rsidR="001614AC" w:rsidRDefault="001614AC">
            <w:pPr>
              <w:keepNext/>
            </w:pPr>
          </w:p>
        </w:tc>
        <w:tc>
          <w:tcPr>
            <w:tcW w:w="665" w:type="dxa"/>
            <w:tcBorders>
              <w:top w:val="single" w:sz="8" w:space="0" w:color="C7C9C7"/>
              <w:left w:val="nil"/>
              <w:bottom w:val="single" w:sz="8" w:space="0" w:color="E9E9E9"/>
              <w:right w:val="nil"/>
            </w:tcBorders>
            <w:tcMar>
              <w:top w:w="0" w:type="dxa"/>
              <w:left w:w="53" w:type="dxa"/>
              <w:bottom w:w="0" w:type="dxa"/>
              <w:right w:w="0" w:type="dxa"/>
            </w:tcMar>
            <w:vAlign w:val="bottom"/>
          </w:tcPr>
          <w:p w14:paraId="059F70CF" w14:textId="77777777" w:rsidR="001614AC" w:rsidRDefault="004468F9">
            <w:pPr>
              <w:keepNext/>
              <w:spacing w:before="55" w:after="30" w:line="288" w:lineRule="auto"/>
              <w:jc w:val="right"/>
            </w:pPr>
            <w:r>
              <w:rPr>
                <w:rFonts w:ascii="Arial" w:eastAsia="Arial" w:hAnsi="Arial" w:cs="Arial"/>
                <w:color w:val="000000"/>
                <w:sz w:val="18"/>
              </w:rPr>
              <w:t>— </w:t>
            </w:r>
          </w:p>
        </w:tc>
        <w:tc>
          <w:tcPr>
            <w:tcW w:w="100" w:type="dxa"/>
            <w:tcBorders>
              <w:top w:val="single" w:sz="8" w:space="0" w:color="C7C9C7"/>
              <w:left w:val="nil"/>
              <w:bottom w:val="single" w:sz="8" w:space="0" w:color="E9E9E9"/>
              <w:right w:val="nil"/>
            </w:tcBorders>
            <w:tcMar>
              <w:top w:w="0" w:type="dxa"/>
              <w:left w:w="0" w:type="dxa"/>
              <w:bottom w:w="0" w:type="dxa"/>
              <w:right w:w="15" w:type="dxa"/>
            </w:tcMar>
            <w:vAlign w:val="bottom"/>
          </w:tcPr>
          <w:p w14:paraId="50B77111" w14:textId="77777777" w:rsidR="001614AC" w:rsidRDefault="001614AC">
            <w:pPr>
              <w:keepNext/>
              <w:spacing w:before="55" w:after="30" w:line="288" w:lineRule="auto"/>
              <w:jc w:val="right"/>
            </w:pPr>
          </w:p>
        </w:tc>
        <w:tc>
          <w:tcPr>
            <w:tcW w:w="75" w:type="dxa"/>
            <w:tcBorders>
              <w:top w:val="single" w:sz="8" w:space="0" w:color="C7C9C7"/>
              <w:left w:val="nil"/>
              <w:bottom w:val="nil"/>
              <w:right w:val="nil"/>
            </w:tcBorders>
            <w:tcMar>
              <w:top w:w="0" w:type="dxa"/>
              <w:left w:w="0" w:type="dxa"/>
              <w:bottom w:w="0" w:type="dxa"/>
              <w:right w:w="0" w:type="dxa"/>
            </w:tcMar>
            <w:vAlign w:val="bottom"/>
          </w:tcPr>
          <w:p w14:paraId="28797809" w14:textId="77777777" w:rsidR="001614AC" w:rsidRDefault="001614AC">
            <w:pPr>
              <w:keepNext/>
            </w:pPr>
          </w:p>
        </w:tc>
        <w:tc>
          <w:tcPr>
            <w:tcW w:w="160" w:type="dxa"/>
            <w:tcBorders>
              <w:top w:val="single" w:sz="8" w:space="0" w:color="C7C9C7"/>
              <w:left w:val="nil"/>
              <w:bottom w:val="single" w:sz="8" w:space="0" w:color="E9E9E9"/>
              <w:right w:val="nil"/>
            </w:tcBorders>
            <w:tcMar>
              <w:top w:w="0" w:type="dxa"/>
              <w:left w:w="53" w:type="dxa"/>
              <w:bottom w:w="0" w:type="dxa"/>
              <w:right w:w="0" w:type="dxa"/>
            </w:tcMar>
            <w:vAlign w:val="bottom"/>
          </w:tcPr>
          <w:p w14:paraId="56FEC976" w14:textId="77777777" w:rsidR="001614AC" w:rsidRDefault="004468F9">
            <w:pPr>
              <w:keepNext/>
              <w:spacing w:before="55" w:after="30" w:line="288" w:lineRule="auto"/>
            </w:pPr>
            <w:r>
              <w:rPr>
                <w:rFonts w:ascii="Arial" w:eastAsia="Arial" w:hAnsi="Arial" w:cs="Arial"/>
                <w:color w:val="000000"/>
                <w:sz w:val="18"/>
              </w:rPr>
              <w:t>$</w:t>
            </w:r>
          </w:p>
        </w:tc>
        <w:tc>
          <w:tcPr>
            <w:tcW w:w="745" w:type="dxa"/>
            <w:tcBorders>
              <w:top w:val="single" w:sz="8" w:space="0" w:color="C7C9C7"/>
              <w:left w:val="nil"/>
              <w:bottom w:val="single" w:sz="8" w:space="0" w:color="E9E9E9"/>
              <w:right w:val="nil"/>
            </w:tcBorders>
            <w:tcMar>
              <w:top w:w="0" w:type="dxa"/>
              <w:left w:w="0" w:type="dxa"/>
              <w:bottom w:w="0" w:type="dxa"/>
              <w:right w:w="0" w:type="dxa"/>
            </w:tcMar>
            <w:vAlign w:val="bottom"/>
          </w:tcPr>
          <w:p w14:paraId="078385B1" w14:textId="77777777" w:rsidR="001614AC" w:rsidRDefault="004468F9">
            <w:pPr>
              <w:keepNext/>
              <w:spacing w:before="55" w:after="30" w:line="288" w:lineRule="auto"/>
              <w:jc w:val="right"/>
            </w:pPr>
            <w:r>
              <w:rPr>
                <w:rFonts w:ascii="Arial" w:eastAsia="Arial" w:hAnsi="Arial" w:cs="Arial"/>
                <w:color w:val="000000"/>
                <w:sz w:val="18"/>
              </w:rPr>
              <w:t>— </w:t>
            </w:r>
          </w:p>
        </w:tc>
        <w:tc>
          <w:tcPr>
            <w:tcW w:w="100" w:type="dxa"/>
            <w:tcBorders>
              <w:top w:val="single" w:sz="8" w:space="0" w:color="C7C9C7"/>
              <w:left w:val="nil"/>
              <w:bottom w:val="single" w:sz="8" w:space="0" w:color="E9E9E9"/>
              <w:right w:val="nil"/>
            </w:tcBorders>
            <w:tcMar>
              <w:top w:w="0" w:type="dxa"/>
              <w:left w:w="0" w:type="dxa"/>
              <w:bottom w:w="0" w:type="dxa"/>
              <w:right w:w="15" w:type="dxa"/>
            </w:tcMar>
            <w:vAlign w:val="bottom"/>
          </w:tcPr>
          <w:p w14:paraId="5BAC9843" w14:textId="77777777" w:rsidR="001614AC" w:rsidRDefault="001614AC">
            <w:pPr>
              <w:keepNext/>
              <w:spacing w:before="55" w:after="30" w:line="288" w:lineRule="auto"/>
              <w:jc w:val="right"/>
            </w:pPr>
          </w:p>
        </w:tc>
        <w:tc>
          <w:tcPr>
            <w:tcW w:w="75" w:type="dxa"/>
            <w:tcBorders>
              <w:top w:val="single" w:sz="8" w:space="0" w:color="C7C9C7"/>
              <w:left w:val="nil"/>
              <w:bottom w:val="nil"/>
              <w:right w:val="nil"/>
            </w:tcBorders>
            <w:tcMar>
              <w:top w:w="0" w:type="dxa"/>
              <w:left w:w="0" w:type="dxa"/>
              <w:bottom w:w="0" w:type="dxa"/>
              <w:right w:w="0" w:type="dxa"/>
            </w:tcMar>
            <w:vAlign w:val="bottom"/>
          </w:tcPr>
          <w:p w14:paraId="075A2EB1" w14:textId="77777777" w:rsidR="001614AC" w:rsidRDefault="001614AC">
            <w:pPr>
              <w:keepNext/>
            </w:pPr>
          </w:p>
        </w:tc>
        <w:tc>
          <w:tcPr>
            <w:tcW w:w="160" w:type="dxa"/>
            <w:tcBorders>
              <w:top w:val="single" w:sz="8" w:space="0" w:color="C7C9C7"/>
              <w:left w:val="nil"/>
              <w:bottom w:val="single" w:sz="8" w:space="0" w:color="E9E9E9"/>
              <w:right w:val="nil"/>
            </w:tcBorders>
            <w:tcMar>
              <w:top w:w="0" w:type="dxa"/>
              <w:left w:w="53" w:type="dxa"/>
              <w:bottom w:w="0" w:type="dxa"/>
              <w:right w:w="0" w:type="dxa"/>
            </w:tcMar>
            <w:vAlign w:val="bottom"/>
          </w:tcPr>
          <w:p w14:paraId="29BDE271" w14:textId="77777777" w:rsidR="001614AC" w:rsidRDefault="004468F9">
            <w:pPr>
              <w:keepNext/>
              <w:spacing w:before="55" w:after="30" w:line="288" w:lineRule="auto"/>
            </w:pPr>
            <w:r>
              <w:rPr>
                <w:rFonts w:ascii="Arial" w:eastAsia="Arial" w:hAnsi="Arial" w:cs="Arial"/>
                <w:color w:val="000000"/>
                <w:sz w:val="18"/>
              </w:rPr>
              <w:t>$</w:t>
            </w:r>
          </w:p>
        </w:tc>
        <w:tc>
          <w:tcPr>
            <w:tcW w:w="640" w:type="dxa"/>
            <w:tcBorders>
              <w:top w:val="single" w:sz="8" w:space="0" w:color="C7C9C7"/>
              <w:left w:val="nil"/>
              <w:bottom w:val="single" w:sz="8" w:space="0" w:color="E9E9E9"/>
              <w:right w:val="nil"/>
            </w:tcBorders>
            <w:tcMar>
              <w:top w:w="0" w:type="dxa"/>
              <w:left w:w="0" w:type="dxa"/>
              <w:bottom w:w="0" w:type="dxa"/>
              <w:right w:w="0" w:type="dxa"/>
            </w:tcMar>
            <w:vAlign w:val="bottom"/>
          </w:tcPr>
          <w:p w14:paraId="74A4CDFB" w14:textId="77777777" w:rsidR="001614AC" w:rsidRDefault="004468F9">
            <w:pPr>
              <w:keepNext/>
              <w:spacing w:before="55" w:after="30" w:line="288" w:lineRule="auto"/>
              <w:jc w:val="right"/>
            </w:pPr>
            <w:r>
              <w:rPr>
                <w:rFonts w:ascii="Arial" w:eastAsia="Arial" w:hAnsi="Arial" w:cs="Arial"/>
                <w:color w:val="000000"/>
                <w:sz w:val="18"/>
              </w:rPr>
              <w:t>— </w:t>
            </w:r>
          </w:p>
        </w:tc>
        <w:tc>
          <w:tcPr>
            <w:tcW w:w="100" w:type="dxa"/>
            <w:tcBorders>
              <w:top w:val="single" w:sz="8" w:space="0" w:color="C7C9C7"/>
              <w:left w:val="nil"/>
              <w:bottom w:val="single" w:sz="8" w:space="0" w:color="E9E9E9"/>
              <w:right w:val="nil"/>
            </w:tcBorders>
            <w:tcMar>
              <w:top w:w="0" w:type="dxa"/>
              <w:left w:w="0" w:type="dxa"/>
              <w:bottom w:w="0" w:type="dxa"/>
              <w:right w:w="15" w:type="dxa"/>
            </w:tcMar>
            <w:vAlign w:val="bottom"/>
          </w:tcPr>
          <w:p w14:paraId="717F1A94" w14:textId="77777777" w:rsidR="001614AC" w:rsidRDefault="001614AC">
            <w:pPr>
              <w:keepNext/>
              <w:spacing w:before="55" w:after="30" w:line="288" w:lineRule="auto"/>
              <w:jc w:val="right"/>
            </w:pPr>
          </w:p>
        </w:tc>
        <w:tc>
          <w:tcPr>
            <w:tcW w:w="75" w:type="dxa"/>
            <w:tcBorders>
              <w:top w:val="single" w:sz="8" w:space="0" w:color="C7C9C7"/>
              <w:left w:val="nil"/>
              <w:bottom w:val="nil"/>
              <w:right w:val="nil"/>
            </w:tcBorders>
            <w:tcMar>
              <w:top w:w="0" w:type="dxa"/>
              <w:left w:w="0" w:type="dxa"/>
              <w:bottom w:w="0" w:type="dxa"/>
              <w:right w:w="0" w:type="dxa"/>
            </w:tcMar>
            <w:vAlign w:val="bottom"/>
          </w:tcPr>
          <w:p w14:paraId="342B9E78" w14:textId="77777777" w:rsidR="001614AC" w:rsidRDefault="001614AC">
            <w:pPr>
              <w:keepNext/>
            </w:pPr>
          </w:p>
        </w:tc>
        <w:tc>
          <w:tcPr>
            <w:tcW w:w="665" w:type="dxa"/>
            <w:tcBorders>
              <w:top w:val="single" w:sz="8" w:space="0" w:color="C7C9C7"/>
              <w:left w:val="nil"/>
              <w:bottom w:val="single" w:sz="8" w:space="0" w:color="E9E9E9"/>
              <w:right w:val="nil"/>
            </w:tcBorders>
            <w:tcMar>
              <w:top w:w="0" w:type="dxa"/>
              <w:left w:w="53" w:type="dxa"/>
              <w:bottom w:w="0" w:type="dxa"/>
              <w:right w:w="0" w:type="dxa"/>
            </w:tcMar>
            <w:vAlign w:val="bottom"/>
          </w:tcPr>
          <w:p w14:paraId="086B416E" w14:textId="77777777" w:rsidR="001614AC" w:rsidRDefault="004468F9">
            <w:pPr>
              <w:keepNext/>
              <w:spacing w:before="55" w:after="30" w:line="288" w:lineRule="auto"/>
              <w:jc w:val="right"/>
            </w:pPr>
            <w:r>
              <w:rPr>
                <w:rFonts w:ascii="Arial" w:eastAsia="Arial" w:hAnsi="Arial" w:cs="Arial"/>
                <w:color w:val="000000"/>
                <w:sz w:val="18"/>
              </w:rPr>
              <w:t>4 </w:t>
            </w:r>
          </w:p>
        </w:tc>
        <w:tc>
          <w:tcPr>
            <w:tcW w:w="100" w:type="dxa"/>
            <w:tcBorders>
              <w:top w:val="single" w:sz="8" w:space="0" w:color="C7C9C7"/>
              <w:left w:val="nil"/>
              <w:bottom w:val="single" w:sz="8" w:space="0" w:color="E9E9E9"/>
              <w:right w:val="nil"/>
            </w:tcBorders>
            <w:tcMar>
              <w:top w:w="0" w:type="dxa"/>
              <w:left w:w="0" w:type="dxa"/>
              <w:bottom w:w="0" w:type="dxa"/>
              <w:right w:w="15" w:type="dxa"/>
            </w:tcMar>
            <w:vAlign w:val="bottom"/>
          </w:tcPr>
          <w:p w14:paraId="15B9D8A7" w14:textId="77777777" w:rsidR="001614AC" w:rsidRDefault="001614AC">
            <w:pPr>
              <w:keepNext/>
              <w:spacing w:before="55" w:after="30" w:line="288" w:lineRule="auto"/>
              <w:jc w:val="right"/>
            </w:pPr>
          </w:p>
        </w:tc>
        <w:tc>
          <w:tcPr>
            <w:tcW w:w="75" w:type="dxa"/>
            <w:tcBorders>
              <w:top w:val="single" w:sz="8" w:space="0" w:color="C7C9C7"/>
              <w:left w:val="nil"/>
              <w:bottom w:val="nil"/>
              <w:right w:val="nil"/>
            </w:tcBorders>
            <w:tcMar>
              <w:top w:w="0" w:type="dxa"/>
              <w:left w:w="0" w:type="dxa"/>
              <w:bottom w:w="0" w:type="dxa"/>
              <w:right w:w="0" w:type="dxa"/>
            </w:tcMar>
            <w:vAlign w:val="bottom"/>
          </w:tcPr>
          <w:p w14:paraId="15B94148" w14:textId="77777777" w:rsidR="001614AC" w:rsidRDefault="001614AC">
            <w:pPr>
              <w:keepNext/>
            </w:pPr>
          </w:p>
        </w:tc>
        <w:tc>
          <w:tcPr>
            <w:tcW w:w="160" w:type="dxa"/>
            <w:tcBorders>
              <w:top w:val="single" w:sz="8" w:space="0" w:color="C7C9C7"/>
              <w:left w:val="nil"/>
              <w:bottom w:val="single" w:sz="8" w:space="0" w:color="E9E9E9"/>
              <w:right w:val="nil"/>
            </w:tcBorders>
            <w:tcMar>
              <w:top w:w="0" w:type="dxa"/>
              <w:left w:w="53" w:type="dxa"/>
              <w:bottom w:w="0" w:type="dxa"/>
              <w:right w:w="0" w:type="dxa"/>
            </w:tcMar>
            <w:vAlign w:val="bottom"/>
          </w:tcPr>
          <w:p w14:paraId="7F0A2CFC" w14:textId="77777777" w:rsidR="001614AC" w:rsidRDefault="004468F9">
            <w:pPr>
              <w:keepNext/>
              <w:spacing w:before="55" w:after="30" w:line="288" w:lineRule="auto"/>
            </w:pPr>
            <w:r>
              <w:rPr>
                <w:rFonts w:ascii="Arial" w:eastAsia="Arial" w:hAnsi="Arial" w:cs="Arial"/>
                <w:color w:val="000000"/>
                <w:sz w:val="18"/>
              </w:rPr>
              <w:t>$</w:t>
            </w:r>
          </w:p>
        </w:tc>
        <w:tc>
          <w:tcPr>
            <w:tcW w:w="820" w:type="dxa"/>
            <w:tcBorders>
              <w:top w:val="single" w:sz="8" w:space="0" w:color="C7C9C7"/>
              <w:left w:val="nil"/>
              <w:bottom w:val="single" w:sz="8" w:space="0" w:color="E9E9E9"/>
              <w:right w:val="nil"/>
            </w:tcBorders>
            <w:tcMar>
              <w:top w:w="0" w:type="dxa"/>
              <w:left w:w="0" w:type="dxa"/>
              <w:bottom w:w="0" w:type="dxa"/>
              <w:right w:w="0" w:type="dxa"/>
            </w:tcMar>
            <w:vAlign w:val="bottom"/>
          </w:tcPr>
          <w:p w14:paraId="446CCAD7" w14:textId="77777777" w:rsidR="001614AC" w:rsidRDefault="004468F9">
            <w:pPr>
              <w:keepNext/>
              <w:spacing w:before="55" w:after="30" w:line="288" w:lineRule="auto"/>
              <w:jc w:val="right"/>
            </w:pPr>
            <w:r>
              <w:rPr>
                <w:rFonts w:ascii="Arial" w:eastAsia="Arial" w:hAnsi="Arial" w:cs="Arial"/>
                <w:color w:val="000000"/>
                <w:sz w:val="18"/>
              </w:rPr>
              <w:t>90,591 </w:t>
            </w:r>
          </w:p>
        </w:tc>
        <w:tc>
          <w:tcPr>
            <w:tcW w:w="100" w:type="dxa"/>
            <w:tcBorders>
              <w:top w:val="single" w:sz="8" w:space="0" w:color="C7C9C7"/>
              <w:left w:val="nil"/>
              <w:bottom w:val="single" w:sz="8" w:space="0" w:color="E9E9E9"/>
              <w:right w:val="nil"/>
            </w:tcBorders>
            <w:tcMar>
              <w:top w:w="0" w:type="dxa"/>
              <w:left w:w="0" w:type="dxa"/>
              <w:bottom w:w="0" w:type="dxa"/>
              <w:right w:w="15" w:type="dxa"/>
            </w:tcMar>
            <w:vAlign w:val="bottom"/>
          </w:tcPr>
          <w:p w14:paraId="1CAE675C" w14:textId="77777777" w:rsidR="001614AC" w:rsidRDefault="001614AC">
            <w:pPr>
              <w:keepNext/>
              <w:spacing w:before="55" w:after="30" w:line="288" w:lineRule="auto"/>
              <w:jc w:val="right"/>
            </w:pPr>
          </w:p>
        </w:tc>
        <w:tc>
          <w:tcPr>
            <w:tcW w:w="75" w:type="dxa"/>
            <w:tcBorders>
              <w:top w:val="single" w:sz="8" w:space="0" w:color="C7C9C7"/>
              <w:left w:val="nil"/>
              <w:bottom w:val="nil"/>
              <w:right w:val="nil"/>
            </w:tcBorders>
            <w:tcMar>
              <w:top w:w="0" w:type="dxa"/>
              <w:left w:w="0" w:type="dxa"/>
              <w:bottom w:w="0" w:type="dxa"/>
              <w:right w:w="0" w:type="dxa"/>
            </w:tcMar>
            <w:vAlign w:val="bottom"/>
          </w:tcPr>
          <w:p w14:paraId="69BFF24F" w14:textId="77777777" w:rsidR="001614AC" w:rsidRDefault="001614AC">
            <w:pPr>
              <w:keepNext/>
            </w:pPr>
          </w:p>
        </w:tc>
        <w:tc>
          <w:tcPr>
            <w:tcW w:w="160" w:type="dxa"/>
            <w:tcBorders>
              <w:top w:val="single" w:sz="8" w:space="0" w:color="C7C9C7"/>
              <w:left w:val="nil"/>
              <w:bottom w:val="single" w:sz="8" w:space="0" w:color="E9E9E9"/>
              <w:right w:val="nil"/>
            </w:tcBorders>
            <w:tcMar>
              <w:top w:w="0" w:type="dxa"/>
              <w:left w:w="53" w:type="dxa"/>
              <w:bottom w:w="0" w:type="dxa"/>
              <w:right w:w="0" w:type="dxa"/>
            </w:tcMar>
            <w:vAlign w:val="bottom"/>
          </w:tcPr>
          <w:p w14:paraId="03BFC241" w14:textId="77777777" w:rsidR="001614AC" w:rsidRDefault="004468F9">
            <w:pPr>
              <w:keepNext/>
              <w:spacing w:before="55" w:after="30" w:line="288" w:lineRule="auto"/>
            </w:pPr>
            <w:r>
              <w:rPr>
                <w:rFonts w:ascii="Arial" w:eastAsia="Arial" w:hAnsi="Arial" w:cs="Arial"/>
                <w:color w:val="000000"/>
                <w:sz w:val="18"/>
              </w:rPr>
              <w:t>$</w:t>
            </w:r>
          </w:p>
        </w:tc>
        <w:tc>
          <w:tcPr>
            <w:tcW w:w="640" w:type="dxa"/>
            <w:tcBorders>
              <w:top w:val="single" w:sz="8" w:space="0" w:color="C7C9C7"/>
              <w:left w:val="nil"/>
              <w:bottom w:val="single" w:sz="8" w:space="0" w:color="E9E9E9"/>
              <w:right w:val="nil"/>
            </w:tcBorders>
            <w:tcMar>
              <w:top w:w="0" w:type="dxa"/>
              <w:left w:w="0" w:type="dxa"/>
              <w:bottom w:w="0" w:type="dxa"/>
              <w:right w:w="0" w:type="dxa"/>
            </w:tcMar>
            <w:vAlign w:val="bottom"/>
          </w:tcPr>
          <w:p w14:paraId="6E8BED42" w14:textId="77777777" w:rsidR="001614AC" w:rsidRDefault="004468F9">
            <w:pPr>
              <w:keepNext/>
              <w:spacing w:before="55" w:after="30" w:line="288" w:lineRule="auto"/>
              <w:jc w:val="right"/>
            </w:pPr>
            <w:r>
              <w:rPr>
                <w:rFonts w:ascii="Arial" w:eastAsia="Arial" w:hAnsi="Arial" w:cs="Arial"/>
                <w:color w:val="000000"/>
                <w:sz w:val="18"/>
              </w:rPr>
              <w:t>(3,611)</w:t>
            </w:r>
          </w:p>
        </w:tc>
        <w:tc>
          <w:tcPr>
            <w:tcW w:w="100" w:type="dxa"/>
            <w:tcBorders>
              <w:top w:val="single" w:sz="8" w:space="0" w:color="C7C9C7"/>
              <w:left w:val="nil"/>
              <w:bottom w:val="single" w:sz="8" w:space="0" w:color="E9E9E9"/>
              <w:right w:val="nil"/>
            </w:tcBorders>
            <w:tcMar>
              <w:top w:w="0" w:type="dxa"/>
              <w:left w:w="0" w:type="dxa"/>
              <w:bottom w:w="0" w:type="dxa"/>
              <w:right w:w="15" w:type="dxa"/>
            </w:tcMar>
            <w:vAlign w:val="bottom"/>
          </w:tcPr>
          <w:p w14:paraId="0919FF48" w14:textId="77777777" w:rsidR="001614AC" w:rsidRDefault="001614AC">
            <w:pPr>
              <w:keepNext/>
              <w:spacing w:before="55" w:after="30" w:line="288" w:lineRule="auto"/>
              <w:jc w:val="right"/>
            </w:pPr>
          </w:p>
        </w:tc>
      </w:tr>
      <w:tr w:rsidR="001614AC" w14:paraId="5433822C" w14:textId="77777777">
        <w:trPr>
          <w:cantSplit/>
        </w:trPr>
        <w:tc>
          <w:tcPr>
            <w:tcW w:w="1245" w:type="dxa"/>
            <w:tcBorders>
              <w:top w:val="single" w:sz="8" w:space="0" w:color="E9E9E9"/>
              <w:left w:val="nil"/>
              <w:bottom w:val="single" w:sz="8" w:space="0" w:color="E9E9E9"/>
              <w:right w:val="nil"/>
            </w:tcBorders>
            <w:tcMar>
              <w:top w:w="0" w:type="dxa"/>
              <w:left w:w="53" w:type="dxa"/>
              <w:bottom w:w="0" w:type="dxa"/>
              <w:right w:w="53" w:type="dxa"/>
            </w:tcMar>
            <w:vAlign w:val="bottom"/>
          </w:tcPr>
          <w:p w14:paraId="062FC0CE" w14:textId="77777777" w:rsidR="001614AC" w:rsidRDefault="004468F9">
            <w:pPr>
              <w:keepNext/>
              <w:spacing w:before="55" w:after="30" w:line="288" w:lineRule="auto"/>
            </w:pPr>
            <w:r>
              <w:rPr>
                <w:rFonts w:ascii="Arial" w:eastAsia="Arial" w:hAnsi="Arial" w:cs="Arial"/>
                <w:color w:val="000000"/>
                <w:sz w:val="18"/>
              </w:rPr>
              <w:t>State and municipal obligations</w:t>
            </w:r>
          </w:p>
        </w:tc>
        <w:tc>
          <w:tcPr>
            <w:tcW w:w="75" w:type="dxa"/>
            <w:tcBorders>
              <w:top w:val="nil"/>
              <w:left w:val="nil"/>
              <w:bottom w:val="nil"/>
              <w:right w:val="nil"/>
            </w:tcBorders>
            <w:tcMar>
              <w:top w:w="0" w:type="dxa"/>
              <w:left w:w="0" w:type="dxa"/>
              <w:bottom w:w="0" w:type="dxa"/>
              <w:right w:w="0" w:type="dxa"/>
            </w:tcMar>
            <w:vAlign w:val="bottom"/>
          </w:tcPr>
          <w:p w14:paraId="71044D10" w14:textId="77777777" w:rsidR="001614AC" w:rsidRDefault="001614AC">
            <w:pPr>
              <w:keepNext/>
            </w:pPr>
          </w:p>
        </w:tc>
        <w:tc>
          <w:tcPr>
            <w:tcW w:w="665" w:type="dxa"/>
            <w:tcBorders>
              <w:top w:val="single" w:sz="8" w:space="0" w:color="E9E9E9"/>
              <w:left w:val="nil"/>
              <w:bottom w:val="single" w:sz="8" w:space="0" w:color="E9E9E9"/>
              <w:right w:val="nil"/>
            </w:tcBorders>
            <w:tcMar>
              <w:top w:w="0" w:type="dxa"/>
              <w:left w:w="53" w:type="dxa"/>
              <w:bottom w:w="0" w:type="dxa"/>
              <w:right w:w="0" w:type="dxa"/>
            </w:tcMar>
            <w:vAlign w:val="bottom"/>
          </w:tcPr>
          <w:p w14:paraId="4D0D61C9" w14:textId="77777777" w:rsidR="001614AC" w:rsidRDefault="004468F9">
            <w:pPr>
              <w:keepNext/>
              <w:spacing w:before="55" w:after="30" w:line="288" w:lineRule="auto"/>
              <w:jc w:val="right"/>
            </w:pPr>
            <w:r>
              <w:rPr>
                <w:rFonts w:ascii="Arial" w:eastAsia="Arial" w:hAnsi="Arial" w:cs="Arial"/>
                <w:color w:val="000000"/>
                <w:sz w:val="18"/>
              </w:rPr>
              <w:t>4 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156D4958" w14:textId="77777777" w:rsidR="001614AC" w:rsidRDefault="001614AC">
            <w:pPr>
              <w:keepNext/>
              <w:spacing w:before="55" w:after="30" w:line="288" w:lineRule="auto"/>
              <w:jc w:val="right"/>
            </w:pPr>
          </w:p>
        </w:tc>
        <w:tc>
          <w:tcPr>
            <w:tcW w:w="75" w:type="dxa"/>
            <w:tcBorders>
              <w:top w:val="nil"/>
              <w:left w:val="nil"/>
              <w:bottom w:val="nil"/>
              <w:right w:val="nil"/>
            </w:tcBorders>
            <w:tcMar>
              <w:top w:w="0" w:type="dxa"/>
              <w:left w:w="0" w:type="dxa"/>
              <w:bottom w:w="0" w:type="dxa"/>
              <w:right w:w="0" w:type="dxa"/>
            </w:tcMar>
            <w:vAlign w:val="bottom"/>
          </w:tcPr>
          <w:p w14:paraId="1CA368F9" w14:textId="77777777" w:rsidR="001614AC" w:rsidRDefault="001614AC">
            <w:pPr>
              <w:keepNext/>
            </w:pPr>
          </w:p>
        </w:tc>
        <w:tc>
          <w:tcPr>
            <w:tcW w:w="980"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43FECE2E" w14:textId="77777777" w:rsidR="001614AC" w:rsidRDefault="004468F9">
            <w:pPr>
              <w:keepNext/>
              <w:spacing w:before="55" w:after="30" w:line="288" w:lineRule="auto"/>
              <w:jc w:val="right"/>
            </w:pPr>
            <w:r>
              <w:rPr>
                <w:rFonts w:ascii="Arial" w:eastAsia="Arial" w:hAnsi="Arial" w:cs="Arial"/>
                <w:color w:val="000000"/>
                <w:sz w:val="18"/>
              </w:rPr>
              <w:t>9,626 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21389D9E" w14:textId="77777777" w:rsidR="001614AC" w:rsidRDefault="001614AC">
            <w:pPr>
              <w:keepNext/>
              <w:spacing w:before="55" w:after="30" w:line="288" w:lineRule="auto"/>
              <w:jc w:val="right"/>
            </w:pPr>
          </w:p>
        </w:tc>
        <w:tc>
          <w:tcPr>
            <w:tcW w:w="75" w:type="dxa"/>
            <w:tcBorders>
              <w:top w:val="nil"/>
              <w:left w:val="nil"/>
              <w:bottom w:val="nil"/>
              <w:right w:val="nil"/>
            </w:tcBorders>
            <w:tcMar>
              <w:top w:w="0" w:type="dxa"/>
              <w:left w:w="0" w:type="dxa"/>
              <w:bottom w:w="0" w:type="dxa"/>
              <w:right w:w="0" w:type="dxa"/>
            </w:tcMar>
            <w:vAlign w:val="bottom"/>
          </w:tcPr>
          <w:p w14:paraId="14038740" w14:textId="77777777" w:rsidR="001614AC" w:rsidRDefault="001614AC">
            <w:pPr>
              <w:keepNext/>
            </w:pPr>
          </w:p>
        </w:tc>
        <w:tc>
          <w:tcPr>
            <w:tcW w:w="800"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66685559" w14:textId="77777777" w:rsidR="001614AC" w:rsidRDefault="004468F9">
            <w:pPr>
              <w:keepNext/>
              <w:spacing w:before="55" w:after="30" w:line="288" w:lineRule="auto"/>
              <w:jc w:val="right"/>
            </w:pPr>
            <w:r>
              <w:rPr>
                <w:rFonts w:ascii="Arial" w:eastAsia="Arial" w:hAnsi="Arial" w:cs="Arial"/>
                <w:color w:val="000000"/>
                <w:sz w:val="18"/>
              </w:rPr>
              <w:t>(100)</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4B9F32E3" w14:textId="77777777" w:rsidR="001614AC" w:rsidRDefault="001614AC">
            <w:pPr>
              <w:keepNext/>
              <w:spacing w:before="55" w:after="30" w:line="288" w:lineRule="auto"/>
              <w:jc w:val="right"/>
            </w:pPr>
          </w:p>
        </w:tc>
        <w:tc>
          <w:tcPr>
            <w:tcW w:w="75" w:type="dxa"/>
            <w:tcBorders>
              <w:top w:val="nil"/>
              <w:left w:val="nil"/>
              <w:bottom w:val="nil"/>
              <w:right w:val="nil"/>
            </w:tcBorders>
            <w:tcMar>
              <w:top w:w="0" w:type="dxa"/>
              <w:left w:w="0" w:type="dxa"/>
              <w:bottom w:w="0" w:type="dxa"/>
              <w:right w:w="0" w:type="dxa"/>
            </w:tcMar>
            <w:vAlign w:val="bottom"/>
          </w:tcPr>
          <w:p w14:paraId="35701C76" w14:textId="77777777" w:rsidR="001614AC" w:rsidRDefault="001614AC">
            <w:pPr>
              <w:keepNext/>
            </w:pPr>
          </w:p>
        </w:tc>
        <w:tc>
          <w:tcPr>
            <w:tcW w:w="665" w:type="dxa"/>
            <w:tcBorders>
              <w:top w:val="single" w:sz="8" w:space="0" w:color="E9E9E9"/>
              <w:left w:val="nil"/>
              <w:bottom w:val="single" w:sz="8" w:space="0" w:color="E9E9E9"/>
              <w:right w:val="nil"/>
            </w:tcBorders>
            <w:tcMar>
              <w:top w:w="0" w:type="dxa"/>
              <w:left w:w="53" w:type="dxa"/>
              <w:bottom w:w="0" w:type="dxa"/>
              <w:right w:w="0" w:type="dxa"/>
            </w:tcMar>
            <w:vAlign w:val="bottom"/>
          </w:tcPr>
          <w:p w14:paraId="2900A739" w14:textId="77777777" w:rsidR="001614AC" w:rsidRDefault="004468F9">
            <w:pPr>
              <w:keepNext/>
              <w:spacing w:before="55" w:after="30" w:line="288" w:lineRule="auto"/>
              <w:jc w:val="right"/>
            </w:pPr>
            <w:r>
              <w:rPr>
                <w:rFonts w:ascii="Arial" w:eastAsia="Arial" w:hAnsi="Arial" w:cs="Arial"/>
                <w:color w:val="000000"/>
                <w:sz w:val="18"/>
              </w:rPr>
              <w:t>—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191BECB5" w14:textId="77777777" w:rsidR="001614AC" w:rsidRDefault="001614AC">
            <w:pPr>
              <w:keepNext/>
              <w:spacing w:before="55" w:after="30" w:line="288" w:lineRule="auto"/>
              <w:jc w:val="right"/>
            </w:pPr>
          </w:p>
        </w:tc>
        <w:tc>
          <w:tcPr>
            <w:tcW w:w="75" w:type="dxa"/>
            <w:tcBorders>
              <w:top w:val="nil"/>
              <w:left w:val="nil"/>
              <w:bottom w:val="nil"/>
              <w:right w:val="nil"/>
            </w:tcBorders>
            <w:tcMar>
              <w:top w:w="0" w:type="dxa"/>
              <w:left w:w="0" w:type="dxa"/>
              <w:bottom w:w="0" w:type="dxa"/>
              <w:right w:w="0" w:type="dxa"/>
            </w:tcMar>
            <w:vAlign w:val="bottom"/>
          </w:tcPr>
          <w:p w14:paraId="5F549BAB" w14:textId="77777777" w:rsidR="001614AC" w:rsidRDefault="001614AC">
            <w:pPr>
              <w:keepNext/>
            </w:pPr>
          </w:p>
        </w:tc>
        <w:tc>
          <w:tcPr>
            <w:tcW w:w="90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4BE4C6A3" w14:textId="77777777" w:rsidR="001614AC" w:rsidRDefault="004468F9">
            <w:pPr>
              <w:keepNext/>
              <w:spacing w:before="55" w:after="30" w:line="288" w:lineRule="auto"/>
              <w:jc w:val="right"/>
            </w:pPr>
            <w:r>
              <w:rPr>
                <w:rFonts w:ascii="Arial" w:eastAsia="Arial" w:hAnsi="Arial" w:cs="Arial"/>
                <w:color w:val="000000"/>
                <w:sz w:val="18"/>
              </w:rPr>
              <w:t>—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22A53B0D" w14:textId="77777777" w:rsidR="001614AC" w:rsidRDefault="001614AC">
            <w:pPr>
              <w:keepNext/>
              <w:spacing w:before="55" w:after="30" w:line="288" w:lineRule="auto"/>
              <w:jc w:val="right"/>
            </w:pPr>
          </w:p>
        </w:tc>
        <w:tc>
          <w:tcPr>
            <w:tcW w:w="75" w:type="dxa"/>
            <w:tcBorders>
              <w:top w:val="nil"/>
              <w:left w:val="nil"/>
              <w:bottom w:val="nil"/>
              <w:right w:val="nil"/>
            </w:tcBorders>
            <w:tcMar>
              <w:top w:w="0" w:type="dxa"/>
              <w:left w:w="0" w:type="dxa"/>
              <w:bottom w:w="0" w:type="dxa"/>
              <w:right w:w="0" w:type="dxa"/>
            </w:tcMar>
            <w:vAlign w:val="bottom"/>
          </w:tcPr>
          <w:p w14:paraId="37D7216A" w14:textId="77777777" w:rsidR="001614AC" w:rsidRDefault="001614AC">
            <w:pPr>
              <w:keepNext/>
            </w:pPr>
          </w:p>
        </w:tc>
        <w:tc>
          <w:tcPr>
            <w:tcW w:w="800"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5329A21E" w14:textId="77777777" w:rsidR="001614AC" w:rsidRDefault="004468F9">
            <w:pPr>
              <w:keepNext/>
              <w:spacing w:before="55" w:after="30" w:line="288" w:lineRule="auto"/>
              <w:jc w:val="right"/>
            </w:pPr>
            <w:r>
              <w:rPr>
                <w:rFonts w:ascii="Arial" w:eastAsia="Arial" w:hAnsi="Arial" w:cs="Arial"/>
                <w:color w:val="000000"/>
                <w:sz w:val="18"/>
              </w:rPr>
              <w:t>—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7F3D4517" w14:textId="77777777" w:rsidR="001614AC" w:rsidRDefault="001614AC">
            <w:pPr>
              <w:keepNext/>
              <w:spacing w:before="55" w:after="30" w:line="288" w:lineRule="auto"/>
              <w:jc w:val="right"/>
            </w:pPr>
          </w:p>
        </w:tc>
        <w:tc>
          <w:tcPr>
            <w:tcW w:w="75" w:type="dxa"/>
            <w:tcBorders>
              <w:top w:val="nil"/>
              <w:left w:val="nil"/>
              <w:bottom w:val="nil"/>
              <w:right w:val="nil"/>
            </w:tcBorders>
            <w:tcMar>
              <w:top w:w="0" w:type="dxa"/>
              <w:left w:w="0" w:type="dxa"/>
              <w:bottom w:w="0" w:type="dxa"/>
              <w:right w:w="0" w:type="dxa"/>
            </w:tcMar>
            <w:vAlign w:val="bottom"/>
          </w:tcPr>
          <w:p w14:paraId="6C908EA5" w14:textId="77777777" w:rsidR="001614AC" w:rsidRDefault="001614AC">
            <w:pPr>
              <w:keepNext/>
            </w:pPr>
          </w:p>
        </w:tc>
        <w:tc>
          <w:tcPr>
            <w:tcW w:w="665" w:type="dxa"/>
            <w:tcBorders>
              <w:top w:val="single" w:sz="8" w:space="0" w:color="E9E9E9"/>
              <w:left w:val="nil"/>
              <w:bottom w:val="single" w:sz="8" w:space="0" w:color="E9E9E9"/>
              <w:right w:val="nil"/>
            </w:tcBorders>
            <w:tcMar>
              <w:top w:w="0" w:type="dxa"/>
              <w:left w:w="53" w:type="dxa"/>
              <w:bottom w:w="0" w:type="dxa"/>
              <w:right w:w="0" w:type="dxa"/>
            </w:tcMar>
            <w:vAlign w:val="bottom"/>
          </w:tcPr>
          <w:p w14:paraId="00BD438F" w14:textId="77777777" w:rsidR="001614AC" w:rsidRDefault="004468F9">
            <w:pPr>
              <w:keepNext/>
              <w:spacing w:before="55" w:after="30" w:line="288" w:lineRule="auto"/>
              <w:jc w:val="right"/>
            </w:pPr>
            <w:r>
              <w:rPr>
                <w:rFonts w:ascii="Arial" w:eastAsia="Arial" w:hAnsi="Arial" w:cs="Arial"/>
                <w:color w:val="000000"/>
                <w:sz w:val="18"/>
              </w:rPr>
              <w:t>4 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77D582E9" w14:textId="77777777" w:rsidR="001614AC" w:rsidRDefault="001614AC">
            <w:pPr>
              <w:keepNext/>
              <w:spacing w:before="55" w:after="30" w:line="288" w:lineRule="auto"/>
              <w:jc w:val="right"/>
            </w:pPr>
          </w:p>
        </w:tc>
        <w:tc>
          <w:tcPr>
            <w:tcW w:w="75" w:type="dxa"/>
            <w:tcBorders>
              <w:top w:val="nil"/>
              <w:left w:val="nil"/>
              <w:bottom w:val="nil"/>
              <w:right w:val="nil"/>
            </w:tcBorders>
            <w:tcMar>
              <w:top w:w="0" w:type="dxa"/>
              <w:left w:w="0" w:type="dxa"/>
              <w:bottom w:w="0" w:type="dxa"/>
              <w:right w:w="0" w:type="dxa"/>
            </w:tcMar>
            <w:vAlign w:val="bottom"/>
          </w:tcPr>
          <w:p w14:paraId="550C2D2A" w14:textId="77777777" w:rsidR="001614AC" w:rsidRDefault="001614AC">
            <w:pPr>
              <w:keepNext/>
            </w:pPr>
          </w:p>
        </w:tc>
        <w:tc>
          <w:tcPr>
            <w:tcW w:w="980"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4F2D87B0" w14:textId="77777777" w:rsidR="001614AC" w:rsidRDefault="004468F9">
            <w:pPr>
              <w:keepNext/>
              <w:spacing w:before="55" w:after="30" w:line="288" w:lineRule="auto"/>
              <w:jc w:val="right"/>
            </w:pPr>
            <w:r>
              <w:rPr>
                <w:rFonts w:ascii="Arial" w:eastAsia="Arial" w:hAnsi="Arial" w:cs="Arial"/>
                <w:color w:val="000000"/>
                <w:sz w:val="18"/>
              </w:rPr>
              <w:t>9,626 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20BB4634" w14:textId="77777777" w:rsidR="001614AC" w:rsidRDefault="001614AC">
            <w:pPr>
              <w:keepNext/>
              <w:spacing w:before="55" w:after="30" w:line="288" w:lineRule="auto"/>
              <w:jc w:val="right"/>
            </w:pPr>
          </w:p>
        </w:tc>
        <w:tc>
          <w:tcPr>
            <w:tcW w:w="75" w:type="dxa"/>
            <w:tcBorders>
              <w:top w:val="nil"/>
              <w:left w:val="nil"/>
              <w:bottom w:val="nil"/>
              <w:right w:val="nil"/>
            </w:tcBorders>
            <w:tcMar>
              <w:top w:w="0" w:type="dxa"/>
              <w:left w:w="0" w:type="dxa"/>
              <w:bottom w:w="0" w:type="dxa"/>
              <w:right w:w="0" w:type="dxa"/>
            </w:tcMar>
            <w:vAlign w:val="bottom"/>
          </w:tcPr>
          <w:p w14:paraId="4B80F582" w14:textId="77777777" w:rsidR="001614AC" w:rsidRDefault="001614AC">
            <w:pPr>
              <w:keepNext/>
            </w:pPr>
          </w:p>
        </w:tc>
        <w:tc>
          <w:tcPr>
            <w:tcW w:w="800"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2D57540B" w14:textId="77777777" w:rsidR="001614AC" w:rsidRDefault="004468F9">
            <w:pPr>
              <w:keepNext/>
              <w:spacing w:before="55" w:after="30" w:line="288" w:lineRule="auto"/>
              <w:jc w:val="right"/>
            </w:pPr>
            <w:r>
              <w:rPr>
                <w:rFonts w:ascii="Arial" w:eastAsia="Arial" w:hAnsi="Arial" w:cs="Arial"/>
                <w:color w:val="000000"/>
                <w:sz w:val="18"/>
              </w:rPr>
              <w:t>(100)</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0A3FFF58" w14:textId="77777777" w:rsidR="001614AC" w:rsidRDefault="001614AC">
            <w:pPr>
              <w:keepNext/>
              <w:spacing w:before="55" w:after="30" w:line="288" w:lineRule="auto"/>
              <w:jc w:val="right"/>
            </w:pPr>
          </w:p>
        </w:tc>
      </w:tr>
      <w:tr w:rsidR="001614AC" w14:paraId="081DE3D2" w14:textId="77777777">
        <w:trPr>
          <w:cantSplit/>
        </w:trPr>
        <w:tc>
          <w:tcPr>
            <w:tcW w:w="1245" w:type="dxa"/>
            <w:tcBorders>
              <w:top w:val="single" w:sz="8" w:space="0" w:color="E9E9E9"/>
              <w:left w:val="nil"/>
              <w:bottom w:val="single" w:sz="8" w:space="0" w:color="E9E9E9"/>
              <w:right w:val="nil"/>
            </w:tcBorders>
            <w:tcMar>
              <w:top w:w="0" w:type="dxa"/>
              <w:left w:w="53" w:type="dxa"/>
              <w:bottom w:w="0" w:type="dxa"/>
              <w:right w:w="53" w:type="dxa"/>
            </w:tcMar>
            <w:vAlign w:val="bottom"/>
          </w:tcPr>
          <w:p w14:paraId="5715BC75" w14:textId="77777777" w:rsidR="001614AC" w:rsidRDefault="004468F9">
            <w:pPr>
              <w:keepNext/>
              <w:spacing w:before="55" w:after="30" w:line="288" w:lineRule="auto"/>
            </w:pPr>
            <w:r>
              <w:rPr>
                <w:rFonts w:ascii="Arial" w:eastAsia="Arial" w:hAnsi="Arial" w:cs="Arial"/>
                <w:color w:val="000000"/>
                <w:sz w:val="18"/>
              </w:rPr>
              <w:t>Corporate bonds and notes</w:t>
            </w:r>
          </w:p>
        </w:tc>
        <w:tc>
          <w:tcPr>
            <w:tcW w:w="75" w:type="dxa"/>
            <w:tcBorders>
              <w:top w:val="nil"/>
              <w:left w:val="nil"/>
              <w:bottom w:val="nil"/>
              <w:right w:val="nil"/>
            </w:tcBorders>
            <w:tcMar>
              <w:top w:w="0" w:type="dxa"/>
              <w:left w:w="0" w:type="dxa"/>
              <w:bottom w:w="0" w:type="dxa"/>
              <w:right w:w="0" w:type="dxa"/>
            </w:tcMar>
            <w:vAlign w:val="bottom"/>
          </w:tcPr>
          <w:p w14:paraId="77EBB29C" w14:textId="77777777" w:rsidR="001614AC" w:rsidRDefault="001614AC">
            <w:pPr>
              <w:keepNext/>
            </w:pPr>
          </w:p>
        </w:tc>
        <w:tc>
          <w:tcPr>
            <w:tcW w:w="665" w:type="dxa"/>
            <w:tcBorders>
              <w:top w:val="single" w:sz="8" w:space="0" w:color="E9E9E9"/>
              <w:left w:val="nil"/>
              <w:bottom w:val="single" w:sz="8" w:space="0" w:color="E9E9E9"/>
              <w:right w:val="nil"/>
            </w:tcBorders>
            <w:tcMar>
              <w:top w:w="0" w:type="dxa"/>
              <w:left w:w="53" w:type="dxa"/>
              <w:bottom w:w="0" w:type="dxa"/>
              <w:right w:w="0" w:type="dxa"/>
            </w:tcMar>
            <w:vAlign w:val="bottom"/>
          </w:tcPr>
          <w:p w14:paraId="28301045" w14:textId="77777777" w:rsidR="001614AC" w:rsidRDefault="004468F9">
            <w:pPr>
              <w:keepNext/>
              <w:spacing w:before="55" w:after="30" w:line="288" w:lineRule="auto"/>
              <w:jc w:val="right"/>
            </w:pPr>
            <w:r>
              <w:rPr>
                <w:rFonts w:ascii="Arial" w:eastAsia="Arial" w:hAnsi="Arial" w:cs="Arial"/>
                <w:color w:val="000000"/>
                <w:sz w:val="18"/>
              </w:rPr>
              <w:t>60 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56ECFBCF" w14:textId="77777777" w:rsidR="001614AC" w:rsidRDefault="001614AC">
            <w:pPr>
              <w:keepNext/>
              <w:spacing w:before="55" w:after="30" w:line="288" w:lineRule="auto"/>
              <w:jc w:val="right"/>
            </w:pPr>
          </w:p>
        </w:tc>
        <w:tc>
          <w:tcPr>
            <w:tcW w:w="75" w:type="dxa"/>
            <w:tcBorders>
              <w:top w:val="nil"/>
              <w:left w:val="nil"/>
              <w:bottom w:val="nil"/>
              <w:right w:val="nil"/>
            </w:tcBorders>
            <w:tcMar>
              <w:top w:w="0" w:type="dxa"/>
              <w:left w:w="0" w:type="dxa"/>
              <w:bottom w:w="0" w:type="dxa"/>
              <w:right w:w="0" w:type="dxa"/>
            </w:tcMar>
            <w:vAlign w:val="bottom"/>
          </w:tcPr>
          <w:p w14:paraId="5C851EBF" w14:textId="77777777" w:rsidR="001614AC" w:rsidRDefault="001614AC">
            <w:pPr>
              <w:keepNext/>
            </w:pPr>
          </w:p>
        </w:tc>
        <w:tc>
          <w:tcPr>
            <w:tcW w:w="980"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79F96A76" w14:textId="77777777" w:rsidR="001614AC" w:rsidRDefault="004468F9">
            <w:pPr>
              <w:keepNext/>
              <w:spacing w:before="55" w:after="30" w:line="288" w:lineRule="auto"/>
              <w:jc w:val="right"/>
            </w:pPr>
            <w:r>
              <w:rPr>
                <w:rFonts w:ascii="Arial" w:eastAsia="Arial" w:hAnsi="Arial" w:cs="Arial"/>
                <w:color w:val="000000"/>
                <w:sz w:val="18"/>
              </w:rPr>
              <w:t>174,84</w:t>
            </w:r>
            <w:r>
              <w:rPr>
                <w:rFonts w:ascii="Arial" w:eastAsia="Arial" w:hAnsi="Arial" w:cs="Arial"/>
                <w:color w:val="000000"/>
                <w:sz w:val="18"/>
              </w:rPr>
              <w:t>8 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70763257" w14:textId="77777777" w:rsidR="001614AC" w:rsidRDefault="001614AC">
            <w:pPr>
              <w:keepNext/>
              <w:spacing w:before="55" w:after="30" w:line="288" w:lineRule="auto"/>
              <w:jc w:val="right"/>
            </w:pPr>
          </w:p>
        </w:tc>
        <w:tc>
          <w:tcPr>
            <w:tcW w:w="75" w:type="dxa"/>
            <w:tcBorders>
              <w:top w:val="nil"/>
              <w:left w:val="nil"/>
              <w:bottom w:val="nil"/>
              <w:right w:val="nil"/>
            </w:tcBorders>
            <w:tcMar>
              <w:top w:w="0" w:type="dxa"/>
              <w:left w:w="0" w:type="dxa"/>
              <w:bottom w:w="0" w:type="dxa"/>
              <w:right w:w="0" w:type="dxa"/>
            </w:tcMar>
            <w:vAlign w:val="bottom"/>
          </w:tcPr>
          <w:p w14:paraId="01762F04" w14:textId="77777777" w:rsidR="001614AC" w:rsidRDefault="001614AC">
            <w:pPr>
              <w:keepNext/>
            </w:pPr>
          </w:p>
        </w:tc>
        <w:tc>
          <w:tcPr>
            <w:tcW w:w="800"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2DF66639" w14:textId="77777777" w:rsidR="001614AC" w:rsidRDefault="004468F9">
            <w:pPr>
              <w:keepNext/>
              <w:spacing w:before="55" w:after="30" w:line="288" w:lineRule="auto"/>
              <w:jc w:val="right"/>
            </w:pPr>
            <w:r>
              <w:rPr>
                <w:rFonts w:ascii="Arial" w:eastAsia="Arial" w:hAnsi="Arial" w:cs="Arial"/>
                <w:color w:val="000000"/>
                <w:sz w:val="18"/>
              </w:rPr>
              <w:t>(3,758)</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60BC7445" w14:textId="77777777" w:rsidR="001614AC" w:rsidRDefault="001614AC">
            <w:pPr>
              <w:keepNext/>
              <w:spacing w:before="55" w:after="30" w:line="288" w:lineRule="auto"/>
              <w:jc w:val="right"/>
            </w:pPr>
          </w:p>
        </w:tc>
        <w:tc>
          <w:tcPr>
            <w:tcW w:w="75" w:type="dxa"/>
            <w:tcBorders>
              <w:top w:val="nil"/>
              <w:left w:val="nil"/>
              <w:bottom w:val="nil"/>
              <w:right w:val="nil"/>
            </w:tcBorders>
            <w:tcMar>
              <w:top w:w="0" w:type="dxa"/>
              <w:left w:w="0" w:type="dxa"/>
              <w:bottom w:w="0" w:type="dxa"/>
              <w:right w:w="0" w:type="dxa"/>
            </w:tcMar>
            <w:vAlign w:val="bottom"/>
          </w:tcPr>
          <w:p w14:paraId="38C55F0F" w14:textId="77777777" w:rsidR="001614AC" w:rsidRDefault="001614AC">
            <w:pPr>
              <w:keepNext/>
            </w:pPr>
          </w:p>
        </w:tc>
        <w:tc>
          <w:tcPr>
            <w:tcW w:w="665" w:type="dxa"/>
            <w:tcBorders>
              <w:top w:val="single" w:sz="8" w:space="0" w:color="E9E9E9"/>
              <w:left w:val="nil"/>
              <w:bottom w:val="single" w:sz="8" w:space="0" w:color="E9E9E9"/>
              <w:right w:val="nil"/>
            </w:tcBorders>
            <w:tcMar>
              <w:top w:w="0" w:type="dxa"/>
              <w:left w:w="53" w:type="dxa"/>
              <w:bottom w:w="0" w:type="dxa"/>
              <w:right w:w="0" w:type="dxa"/>
            </w:tcMar>
            <w:vAlign w:val="bottom"/>
          </w:tcPr>
          <w:p w14:paraId="06DC9879" w14:textId="77777777" w:rsidR="001614AC" w:rsidRDefault="004468F9">
            <w:pPr>
              <w:keepNext/>
              <w:spacing w:before="55" w:after="30" w:line="288" w:lineRule="auto"/>
              <w:jc w:val="right"/>
            </w:pPr>
            <w:r>
              <w:rPr>
                <w:rFonts w:ascii="Arial" w:eastAsia="Arial" w:hAnsi="Arial" w:cs="Arial"/>
                <w:color w:val="000000"/>
                <w:sz w:val="18"/>
              </w:rPr>
              <w:t>—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57D1FB26" w14:textId="77777777" w:rsidR="001614AC" w:rsidRDefault="001614AC">
            <w:pPr>
              <w:keepNext/>
              <w:spacing w:before="55" w:after="30" w:line="288" w:lineRule="auto"/>
              <w:jc w:val="right"/>
            </w:pPr>
          </w:p>
        </w:tc>
        <w:tc>
          <w:tcPr>
            <w:tcW w:w="75" w:type="dxa"/>
            <w:tcBorders>
              <w:top w:val="nil"/>
              <w:left w:val="nil"/>
              <w:bottom w:val="nil"/>
              <w:right w:val="nil"/>
            </w:tcBorders>
            <w:tcMar>
              <w:top w:w="0" w:type="dxa"/>
              <w:left w:w="0" w:type="dxa"/>
              <w:bottom w:w="0" w:type="dxa"/>
              <w:right w:w="0" w:type="dxa"/>
            </w:tcMar>
            <w:vAlign w:val="bottom"/>
          </w:tcPr>
          <w:p w14:paraId="2D9CCC8E" w14:textId="77777777" w:rsidR="001614AC" w:rsidRDefault="001614AC">
            <w:pPr>
              <w:keepNext/>
            </w:pPr>
          </w:p>
        </w:tc>
        <w:tc>
          <w:tcPr>
            <w:tcW w:w="90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73601EB4" w14:textId="77777777" w:rsidR="001614AC" w:rsidRDefault="004468F9">
            <w:pPr>
              <w:keepNext/>
              <w:spacing w:before="55" w:after="30" w:line="288" w:lineRule="auto"/>
              <w:jc w:val="right"/>
            </w:pPr>
            <w:r>
              <w:rPr>
                <w:rFonts w:ascii="Arial" w:eastAsia="Arial" w:hAnsi="Arial" w:cs="Arial"/>
                <w:color w:val="000000"/>
                <w:sz w:val="18"/>
              </w:rPr>
              <w:t>—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4986C54B" w14:textId="77777777" w:rsidR="001614AC" w:rsidRDefault="001614AC">
            <w:pPr>
              <w:keepNext/>
              <w:spacing w:before="55" w:after="30" w:line="288" w:lineRule="auto"/>
              <w:jc w:val="right"/>
            </w:pPr>
          </w:p>
        </w:tc>
        <w:tc>
          <w:tcPr>
            <w:tcW w:w="75" w:type="dxa"/>
            <w:tcBorders>
              <w:top w:val="nil"/>
              <w:left w:val="nil"/>
              <w:bottom w:val="nil"/>
              <w:right w:val="nil"/>
            </w:tcBorders>
            <w:tcMar>
              <w:top w:w="0" w:type="dxa"/>
              <w:left w:w="0" w:type="dxa"/>
              <w:bottom w:w="0" w:type="dxa"/>
              <w:right w:w="0" w:type="dxa"/>
            </w:tcMar>
            <w:vAlign w:val="bottom"/>
          </w:tcPr>
          <w:p w14:paraId="524BA948" w14:textId="77777777" w:rsidR="001614AC" w:rsidRDefault="001614AC">
            <w:pPr>
              <w:keepNext/>
            </w:pPr>
          </w:p>
        </w:tc>
        <w:tc>
          <w:tcPr>
            <w:tcW w:w="800"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3BAA2398" w14:textId="77777777" w:rsidR="001614AC" w:rsidRDefault="004468F9">
            <w:pPr>
              <w:keepNext/>
              <w:spacing w:before="55" w:after="30" w:line="288" w:lineRule="auto"/>
              <w:jc w:val="right"/>
            </w:pPr>
            <w:r>
              <w:rPr>
                <w:rFonts w:ascii="Arial" w:eastAsia="Arial" w:hAnsi="Arial" w:cs="Arial"/>
                <w:color w:val="000000"/>
                <w:sz w:val="18"/>
              </w:rPr>
              <w:t>—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09246267" w14:textId="77777777" w:rsidR="001614AC" w:rsidRDefault="001614AC">
            <w:pPr>
              <w:keepNext/>
              <w:spacing w:before="55" w:after="30" w:line="288" w:lineRule="auto"/>
              <w:jc w:val="right"/>
            </w:pPr>
          </w:p>
        </w:tc>
        <w:tc>
          <w:tcPr>
            <w:tcW w:w="75" w:type="dxa"/>
            <w:tcBorders>
              <w:top w:val="nil"/>
              <w:left w:val="nil"/>
              <w:bottom w:val="nil"/>
              <w:right w:val="nil"/>
            </w:tcBorders>
            <w:tcMar>
              <w:top w:w="0" w:type="dxa"/>
              <w:left w:w="0" w:type="dxa"/>
              <w:bottom w:w="0" w:type="dxa"/>
              <w:right w:w="0" w:type="dxa"/>
            </w:tcMar>
            <w:vAlign w:val="bottom"/>
          </w:tcPr>
          <w:p w14:paraId="53DFB746" w14:textId="77777777" w:rsidR="001614AC" w:rsidRDefault="001614AC">
            <w:pPr>
              <w:keepNext/>
            </w:pPr>
          </w:p>
        </w:tc>
        <w:tc>
          <w:tcPr>
            <w:tcW w:w="665" w:type="dxa"/>
            <w:tcBorders>
              <w:top w:val="single" w:sz="8" w:space="0" w:color="E9E9E9"/>
              <w:left w:val="nil"/>
              <w:bottom w:val="single" w:sz="8" w:space="0" w:color="E9E9E9"/>
              <w:right w:val="nil"/>
            </w:tcBorders>
            <w:tcMar>
              <w:top w:w="0" w:type="dxa"/>
              <w:left w:w="53" w:type="dxa"/>
              <w:bottom w:w="0" w:type="dxa"/>
              <w:right w:w="0" w:type="dxa"/>
            </w:tcMar>
            <w:vAlign w:val="bottom"/>
          </w:tcPr>
          <w:p w14:paraId="4886D890" w14:textId="77777777" w:rsidR="001614AC" w:rsidRDefault="004468F9">
            <w:pPr>
              <w:keepNext/>
              <w:spacing w:before="55" w:after="30" w:line="288" w:lineRule="auto"/>
              <w:jc w:val="right"/>
            </w:pPr>
            <w:r>
              <w:rPr>
                <w:rFonts w:ascii="Arial" w:eastAsia="Arial" w:hAnsi="Arial" w:cs="Arial"/>
                <w:color w:val="000000"/>
                <w:sz w:val="18"/>
              </w:rPr>
              <w:t>60 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782EE7DF" w14:textId="77777777" w:rsidR="001614AC" w:rsidRDefault="001614AC">
            <w:pPr>
              <w:keepNext/>
              <w:spacing w:before="55" w:after="30" w:line="288" w:lineRule="auto"/>
              <w:jc w:val="right"/>
            </w:pPr>
          </w:p>
        </w:tc>
        <w:tc>
          <w:tcPr>
            <w:tcW w:w="75" w:type="dxa"/>
            <w:tcBorders>
              <w:top w:val="nil"/>
              <w:left w:val="nil"/>
              <w:bottom w:val="nil"/>
              <w:right w:val="nil"/>
            </w:tcBorders>
            <w:tcMar>
              <w:top w:w="0" w:type="dxa"/>
              <w:left w:w="0" w:type="dxa"/>
              <w:bottom w:w="0" w:type="dxa"/>
              <w:right w:w="0" w:type="dxa"/>
            </w:tcMar>
            <w:vAlign w:val="bottom"/>
          </w:tcPr>
          <w:p w14:paraId="3A8254DE" w14:textId="77777777" w:rsidR="001614AC" w:rsidRDefault="001614AC">
            <w:pPr>
              <w:keepNext/>
            </w:pPr>
          </w:p>
        </w:tc>
        <w:tc>
          <w:tcPr>
            <w:tcW w:w="980"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34FE900E" w14:textId="77777777" w:rsidR="001614AC" w:rsidRDefault="004468F9">
            <w:pPr>
              <w:keepNext/>
              <w:spacing w:before="55" w:after="30" w:line="288" w:lineRule="auto"/>
              <w:jc w:val="right"/>
            </w:pPr>
            <w:r>
              <w:rPr>
                <w:rFonts w:ascii="Arial" w:eastAsia="Arial" w:hAnsi="Arial" w:cs="Arial"/>
                <w:color w:val="000000"/>
                <w:sz w:val="18"/>
              </w:rPr>
              <w:t>174,848 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24E946E6" w14:textId="77777777" w:rsidR="001614AC" w:rsidRDefault="001614AC">
            <w:pPr>
              <w:keepNext/>
              <w:spacing w:before="55" w:after="30" w:line="288" w:lineRule="auto"/>
              <w:jc w:val="right"/>
            </w:pPr>
          </w:p>
        </w:tc>
        <w:tc>
          <w:tcPr>
            <w:tcW w:w="75" w:type="dxa"/>
            <w:tcBorders>
              <w:top w:val="nil"/>
              <w:left w:val="nil"/>
              <w:bottom w:val="nil"/>
              <w:right w:val="nil"/>
            </w:tcBorders>
            <w:tcMar>
              <w:top w:w="0" w:type="dxa"/>
              <w:left w:w="0" w:type="dxa"/>
              <w:bottom w:w="0" w:type="dxa"/>
              <w:right w:w="0" w:type="dxa"/>
            </w:tcMar>
            <w:vAlign w:val="bottom"/>
          </w:tcPr>
          <w:p w14:paraId="2451A8EB" w14:textId="77777777" w:rsidR="001614AC" w:rsidRDefault="001614AC">
            <w:pPr>
              <w:keepNext/>
            </w:pPr>
          </w:p>
        </w:tc>
        <w:tc>
          <w:tcPr>
            <w:tcW w:w="800"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6BC9FE29" w14:textId="77777777" w:rsidR="001614AC" w:rsidRDefault="004468F9">
            <w:pPr>
              <w:keepNext/>
              <w:spacing w:before="55" w:after="30" w:line="288" w:lineRule="auto"/>
              <w:jc w:val="right"/>
            </w:pPr>
            <w:r>
              <w:rPr>
                <w:rFonts w:ascii="Arial" w:eastAsia="Arial" w:hAnsi="Arial" w:cs="Arial"/>
                <w:color w:val="000000"/>
                <w:sz w:val="18"/>
              </w:rPr>
              <w:t>(3,758)</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3F284CFA" w14:textId="77777777" w:rsidR="001614AC" w:rsidRDefault="001614AC">
            <w:pPr>
              <w:keepNext/>
              <w:spacing w:before="55" w:after="30" w:line="288" w:lineRule="auto"/>
              <w:jc w:val="right"/>
            </w:pPr>
          </w:p>
        </w:tc>
      </w:tr>
      <w:tr w:rsidR="001614AC" w14:paraId="633AC28A" w14:textId="77777777">
        <w:trPr>
          <w:cantSplit/>
        </w:trPr>
        <w:tc>
          <w:tcPr>
            <w:tcW w:w="1245" w:type="dxa"/>
            <w:tcBorders>
              <w:top w:val="single" w:sz="8" w:space="0" w:color="E9E9E9"/>
              <w:left w:val="nil"/>
              <w:bottom w:val="single" w:sz="8" w:space="0" w:color="E9E9E9"/>
              <w:right w:val="nil"/>
            </w:tcBorders>
            <w:tcMar>
              <w:top w:w="0" w:type="dxa"/>
              <w:left w:w="53" w:type="dxa"/>
              <w:bottom w:w="0" w:type="dxa"/>
              <w:right w:w="53" w:type="dxa"/>
            </w:tcMar>
            <w:vAlign w:val="bottom"/>
          </w:tcPr>
          <w:p w14:paraId="7DB9B053" w14:textId="77777777" w:rsidR="001614AC" w:rsidRDefault="004468F9">
            <w:pPr>
              <w:keepNext/>
              <w:spacing w:before="55" w:after="30" w:line="288" w:lineRule="auto"/>
            </w:pPr>
            <w:r>
              <w:rPr>
                <w:rFonts w:ascii="Arial" w:eastAsia="Arial" w:hAnsi="Arial" w:cs="Arial"/>
                <w:color w:val="000000"/>
                <w:sz w:val="18"/>
              </w:rPr>
              <w:t>RMBS</w:t>
            </w:r>
          </w:p>
        </w:tc>
        <w:tc>
          <w:tcPr>
            <w:tcW w:w="75" w:type="dxa"/>
            <w:tcBorders>
              <w:top w:val="nil"/>
              <w:left w:val="nil"/>
              <w:bottom w:val="nil"/>
              <w:right w:val="nil"/>
            </w:tcBorders>
            <w:tcMar>
              <w:top w:w="0" w:type="dxa"/>
              <w:left w:w="0" w:type="dxa"/>
              <w:bottom w:w="0" w:type="dxa"/>
              <w:right w:w="0" w:type="dxa"/>
            </w:tcMar>
            <w:vAlign w:val="bottom"/>
          </w:tcPr>
          <w:p w14:paraId="57AE5377" w14:textId="77777777" w:rsidR="001614AC" w:rsidRDefault="001614AC">
            <w:pPr>
              <w:keepNext/>
            </w:pPr>
          </w:p>
        </w:tc>
        <w:tc>
          <w:tcPr>
            <w:tcW w:w="665" w:type="dxa"/>
            <w:tcBorders>
              <w:top w:val="single" w:sz="8" w:space="0" w:color="E9E9E9"/>
              <w:left w:val="nil"/>
              <w:bottom w:val="single" w:sz="8" w:space="0" w:color="E9E9E9"/>
              <w:right w:val="nil"/>
            </w:tcBorders>
            <w:tcMar>
              <w:top w:w="0" w:type="dxa"/>
              <w:left w:w="53" w:type="dxa"/>
              <w:bottom w:w="0" w:type="dxa"/>
              <w:right w:w="0" w:type="dxa"/>
            </w:tcMar>
            <w:vAlign w:val="bottom"/>
          </w:tcPr>
          <w:p w14:paraId="55C4EB0C" w14:textId="77777777" w:rsidR="001614AC" w:rsidRDefault="004468F9">
            <w:pPr>
              <w:keepNext/>
              <w:spacing w:before="55" w:after="30" w:line="288" w:lineRule="auto"/>
              <w:jc w:val="right"/>
            </w:pPr>
            <w:r>
              <w:rPr>
                <w:rFonts w:ascii="Arial" w:eastAsia="Arial" w:hAnsi="Arial" w:cs="Arial"/>
                <w:color w:val="000000"/>
                <w:sz w:val="18"/>
              </w:rPr>
              <w:t>5 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7E7A1DFF" w14:textId="77777777" w:rsidR="001614AC" w:rsidRDefault="001614AC">
            <w:pPr>
              <w:keepNext/>
              <w:spacing w:before="55" w:after="30" w:line="288" w:lineRule="auto"/>
              <w:jc w:val="right"/>
            </w:pPr>
          </w:p>
        </w:tc>
        <w:tc>
          <w:tcPr>
            <w:tcW w:w="75" w:type="dxa"/>
            <w:tcBorders>
              <w:top w:val="nil"/>
              <w:left w:val="nil"/>
              <w:bottom w:val="nil"/>
              <w:right w:val="nil"/>
            </w:tcBorders>
            <w:tcMar>
              <w:top w:w="0" w:type="dxa"/>
              <w:left w:w="0" w:type="dxa"/>
              <w:bottom w:w="0" w:type="dxa"/>
              <w:right w:w="0" w:type="dxa"/>
            </w:tcMar>
            <w:vAlign w:val="bottom"/>
          </w:tcPr>
          <w:p w14:paraId="2DDDBC65" w14:textId="77777777" w:rsidR="001614AC" w:rsidRDefault="001614AC">
            <w:pPr>
              <w:keepNext/>
            </w:pPr>
          </w:p>
        </w:tc>
        <w:tc>
          <w:tcPr>
            <w:tcW w:w="980"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2E9132CD" w14:textId="77777777" w:rsidR="001614AC" w:rsidRDefault="004468F9">
            <w:pPr>
              <w:keepNext/>
              <w:spacing w:before="55" w:after="30" w:line="288" w:lineRule="auto"/>
              <w:jc w:val="right"/>
            </w:pPr>
            <w:r>
              <w:rPr>
                <w:rFonts w:ascii="Arial" w:eastAsia="Arial" w:hAnsi="Arial" w:cs="Arial"/>
                <w:color w:val="000000"/>
                <w:sz w:val="18"/>
              </w:rPr>
              <w:t>42,003 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1356C096" w14:textId="77777777" w:rsidR="001614AC" w:rsidRDefault="001614AC">
            <w:pPr>
              <w:keepNext/>
              <w:spacing w:before="55" w:after="30" w:line="288" w:lineRule="auto"/>
              <w:jc w:val="right"/>
            </w:pPr>
          </w:p>
        </w:tc>
        <w:tc>
          <w:tcPr>
            <w:tcW w:w="75" w:type="dxa"/>
            <w:tcBorders>
              <w:top w:val="nil"/>
              <w:left w:val="nil"/>
              <w:bottom w:val="nil"/>
              <w:right w:val="nil"/>
            </w:tcBorders>
            <w:tcMar>
              <w:top w:w="0" w:type="dxa"/>
              <w:left w:w="0" w:type="dxa"/>
              <w:bottom w:w="0" w:type="dxa"/>
              <w:right w:w="0" w:type="dxa"/>
            </w:tcMar>
            <w:vAlign w:val="bottom"/>
          </w:tcPr>
          <w:p w14:paraId="0226F35E" w14:textId="77777777" w:rsidR="001614AC" w:rsidRDefault="001614AC">
            <w:pPr>
              <w:keepNext/>
            </w:pPr>
          </w:p>
        </w:tc>
        <w:tc>
          <w:tcPr>
            <w:tcW w:w="800"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2B530B75" w14:textId="77777777" w:rsidR="001614AC" w:rsidRDefault="004468F9">
            <w:pPr>
              <w:keepNext/>
              <w:spacing w:before="55" w:after="30" w:line="288" w:lineRule="auto"/>
              <w:jc w:val="right"/>
            </w:pPr>
            <w:r>
              <w:rPr>
                <w:rFonts w:ascii="Arial" w:eastAsia="Arial" w:hAnsi="Arial" w:cs="Arial"/>
                <w:color w:val="000000"/>
                <w:sz w:val="18"/>
              </w:rPr>
              <w:t>(305)</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2BEB44B9" w14:textId="77777777" w:rsidR="001614AC" w:rsidRDefault="001614AC">
            <w:pPr>
              <w:keepNext/>
              <w:spacing w:before="55" w:after="30" w:line="288" w:lineRule="auto"/>
              <w:jc w:val="right"/>
            </w:pPr>
          </w:p>
        </w:tc>
        <w:tc>
          <w:tcPr>
            <w:tcW w:w="75" w:type="dxa"/>
            <w:tcBorders>
              <w:top w:val="nil"/>
              <w:left w:val="nil"/>
              <w:bottom w:val="nil"/>
              <w:right w:val="nil"/>
            </w:tcBorders>
            <w:tcMar>
              <w:top w:w="0" w:type="dxa"/>
              <w:left w:w="0" w:type="dxa"/>
              <w:bottom w:w="0" w:type="dxa"/>
              <w:right w:w="0" w:type="dxa"/>
            </w:tcMar>
            <w:vAlign w:val="bottom"/>
          </w:tcPr>
          <w:p w14:paraId="7BB8470B" w14:textId="77777777" w:rsidR="001614AC" w:rsidRDefault="001614AC">
            <w:pPr>
              <w:keepNext/>
            </w:pPr>
          </w:p>
        </w:tc>
        <w:tc>
          <w:tcPr>
            <w:tcW w:w="665" w:type="dxa"/>
            <w:tcBorders>
              <w:top w:val="single" w:sz="8" w:space="0" w:color="E9E9E9"/>
              <w:left w:val="nil"/>
              <w:bottom w:val="single" w:sz="8" w:space="0" w:color="E9E9E9"/>
              <w:right w:val="nil"/>
            </w:tcBorders>
            <w:tcMar>
              <w:top w:w="0" w:type="dxa"/>
              <w:left w:w="53" w:type="dxa"/>
              <w:bottom w:w="0" w:type="dxa"/>
              <w:right w:w="0" w:type="dxa"/>
            </w:tcMar>
            <w:vAlign w:val="bottom"/>
          </w:tcPr>
          <w:p w14:paraId="678A6907" w14:textId="77777777" w:rsidR="001614AC" w:rsidRDefault="004468F9">
            <w:pPr>
              <w:keepNext/>
              <w:spacing w:before="55" w:after="30" w:line="288" w:lineRule="auto"/>
              <w:jc w:val="right"/>
            </w:pPr>
            <w:r>
              <w:rPr>
                <w:rFonts w:ascii="Arial" w:eastAsia="Arial" w:hAnsi="Arial" w:cs="Arial"/>
                <w:color w:val="000000"/>
                <w:sz w:val="18"/>
              </w:rPr>
              <w:t>2 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43EC3172" w14:textId="77777777" w:rsidR="001614AC" w:rsidRDefault="001614AC">
            <w:pPr>
              <w:keepNext/>
              <w:spacing w:before="55" w:after="30" w:line="288" w:lineRule="auto"/>
              <w:jc w:val="right"/>
            </w:pPr>
          </w:p>
        </w:tc>
        <w:tc>
          <w:tcPr>
            <w:tcW w:w="75" w:type="dxa"/>
            <w:tcBorders>
              <w:top w:val="nil"/>
              <w:left w:val="nil"/>
              <w:bottom w:val="nil"/>
              <w:right w:val="nil"/>
            </w:tcBorders>
            <w:tcMar>
              <w:top w:w="0" w:type="dxa"/>
              <w:left w:w="0" w:type="dxa"/>
              <w:bottom w:w="0" w:type="dxa"/>
              <w:right w:w="0" w:type="dxa"/>
            </w:tcMar>
            <w:vAlign w:val="bottom"/>
          </w:tcPr>
          <w:p w14:paraId="5731BE93" w14:textId="77777777" w:rsidR="001614AC" w:rsidRDefault="001614AC">
            <w:pPr>
              <w:keepNext/>
            </w:pPr>
          </w:p>
        </w:tc>
        <w:tc>
          <w:tcPr>
            <w:tcW w:w="90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2A68F747" w14:textId="77777777" w:rsidR="001614AC" w:rsidRDefault="004468F9">
            <w:pPr>
              <w:keepNext/>
              <w:spacing w:before="55" w:after="30" w:line="288" w:lineRule="auto"/>
              <w:jc w:val="right"/>
            </w:pPr>
            <w:r>
              <w:rPr>
                <w:rFonts w:ascii="Arial" w:eastAsia="Arial" w:hAnsi="Arial" w:cs="Arial"/>
                <w:color w:val="000000"/>
                <w:sz w:val="18"/>
              </w:rPr>
              <w:t>915 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17E32B86" w14:textId="77777777" w:rsidR="001614AC" w:rsidRDefault="001614AC">
            <w:pPr>
              <w:keepNext/>
              <w:spacing w:before="55" w:after="30" w:line="288" w:lineRule="auto"/>
              <w:jc w:val="right"/>
            </w:pPr>
          </w:p>
        </w:tc>
        <w:tc>
          <w:tcPr>
            <w:tcW w:w="75" w:type="dxa"/>
            <w:tcBorders>
              <w:top w:val="nil"/>
              <w:left w:val="nil"/>
              <w:bottom w:val="nil"/>
              <w:right w:val="nil"/>
            </w:tcBorders>
            <w:tcMar>
              <w:top w:w="0" w:type="dxa"/>
              <w:left w:w="0" w:type="dxa"/>
              <w:bottom w:w="0" w:type="dxa"/>
              <w:right w:w="0" w:type="dxa"/>
            </w:tcMar>
            <w:vAlign w:val="bottom"/>
          </w:tcPr>
          <w:p w14:paraId="01096729" w14:textId="77777777" w:rsidR="001614AC" w:rsidRDefault="001614AC">
            <w:pPr>
              <w:keepNext/>
            </w:pPr>
          </w:p>
        </w:tc>
        <w:tc>
          <w:tcPr>
            <w:tcW w:w="800"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60C73B34" w14:textId="77777777" w:rsidR="001614AC" w:rsidRDefault="004468F9">
            <w:pPr>
              <w:keepNext/>
              <w:spacing w:before="55" w:after="30" w:line="288" w:lineRule="auto"/>
              <w:jc w:val="right"/>
            </w:pPr>
            <w:r>
              <w:rPr>
                <w:rFonts w:ascii="Arial" w:eastAsia="Arial" w:hAnsi="Arial" w:cs="Arial"/>
                <w:color w:val="000000"/>
                <w:sz w:val="18"/>
              </w:rPr>
              <w:t>(9)</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56371348" w14:textId="77777777" w:rsidR="001614AC" w:rsidRDefault="001614AC">
            <w:pPr>
              <w:keepNext/>
              <w:spacing w:before="55" w:after="30" w:line="288" w:lineRule="auto"/>
              <w:jc w:val="right"/>
            </w:pPr>
          </w:p>
        </w:tc>
        <w:tc>
          <w:tcPr>
            <w:tcW w:w="75" w:type="dxa"/>
            <w:tcBorders>
              <w:top w:val="nil"/>
              <w:left w:val="nil"/>
              <w:bottom w:val="nil"/>
              <w:right w:val="nil"/>
            </w:tcBorders>
            <w:tcMar>
              <w:top w:w="0" w:type="dxa"/>
              <w:left w:w="0" w:type="dxa"/>
              <w:bottom w:w="0" w:type="dxa"/>
              <w:right w:w="0" w:type="dxa"/>
            </w:tcMar>
            <w:vAlign w:val="bottom"/>
          </w:tcPr>
          <w:p w14:paraId="19EB8AD9" w14:textId="77777777" w:rsidR="001614AC" w:rsidRDefault="001614AC">
            <w:pPr>
              <w:keepNext/>
            </w:pPr>
          </w:p>
        </w:tc>
        <w:tc>
          <w:tcPr>
            <w:tcW w:w="665" w:type="dxa"/>
            <w:tcBorders>
              <w:top w:val="single" w:sz="8" w:space="0" w:color="E9E9E9"/>
              <w:left w:val="nil"/>
              <w:bottom w:val="single" w:sz="8" w:space="0" w:color="E9E9E9"/>
              <w:right w:val="nil"/>
            </w:tcBorders>
            <w:tcMar>
              <w:top w:w="0" w:type="dxa"/>
              <w:left w:w="53" w:type="dxa"/>
              <w:bottom w:w="0" w:type="dxa"/>
              <w:right w:w="0" w:type="dxa"/>
            </w:tcMar>
            <w:vAlign w:val="bottom"/>
          </w:tcPr>
          <w:p w14:paraId="7C3A6A90" w14:textId="77777777" w:rsidR="001614AC" w:rsidRDefault="004468F9">
            <w:pPr>
              <w:keepNext/>
              <w:spacing w:before="55" w:after="30" w:line="288" w:lineRule="auto"/>
              <w:jc w:val="right"/>
            </w:pPr>
            <w:r>
              <w:rPr>
                <w:rFonts w:ascii="Arial" w:eastAsia="Arial" w:hAnsi="Arial" w:cs="Arial"/>
                <w:color w:val="000000"/>
                <w:sz w:val="18"/>
              </w:rPr>
              <w:t>7 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68171E4E" w14:textId="77777777" w:rsidR="001614AC" w:rsidRDefault="001614AC">
            <w:pPr>
              <w:keepNext/>
              <w:spacing w:before="55" w:after="30" w:line="288" w:lineRule="auto"/>
              <w:jc w:val="right"/>
            </w:pPr>
          </w:p>
        </w:tc>
        <w:tc>
          <w:tcPr>
            <w:tcW w:w="75" w:type="dxa"/>
            <w:tcBorders>
              <w:top w:val="nil"/>
              <w:left w:val="nil"/>
              <w:bottom w:val="nil"/>
              <w:right w:val="nil"/>
            </w:tcBorders>
            <w:tcMar>
              <w:top w:w="0" w:type="dxa"/>
              <w:left w:w="0" w:type="dxa"/>
              <w:bottom w:w="0" w:type="dxa"/>
              <w:right w:w="0" w:type="dxa"/>
            </w:tcMar>
            <w:vAlign w:val="bottom"/>
          </w:tcPr>
          <w:p w14:paraId="59F28A40" w14:textId="77777777" w:rsidR="001614AC" w:rsidRDefault="001614AC">
            <w:pPr>
              <w:keepNext/>
            </w:pPr>
          </w:p>
        </w:tc>
        <w:tc>
          <w:tcPr>
            <w:tcW w:w="980"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48AE9304" w14:textId="77777777" w:rsidR="001614AC" w:rsidRDefault="004468F9">
            <w:pPr>
              <w:keepNext/>
              <w:spacing w:before="55" w:after="30" w:line="288" w:lineRule="auto"/>
              <w:jc w:val="right"/>
            </w:pPr>
            <w:r>
              <w:rPr>
                <w:rFonts w:ascii="Arial" w:eastAsia="Arial" w:hAnsi="Arial" w:cs="Arial"/>
                <w:color w:val="000000"/>
                <w:sz w:val="18"/>
              </w:rPr>
              <w:t>42,918 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6C4ACB27" w14:textId="77777777" w:rsidR="001614AC" w:rsidRDefault="001614AC">
            <w:pPr>
              <w:keepNext/>
              <w:spacing w:before="55" w:after="30" w:line="288" w:lineRule="auto"/>
              <w:jc w:val="right"/>
            </w:pPr>
          </w:p>
        </w:tc>
        <w:tc>
          <w:tcPr>
            <w:tcW w:w="75" w:type="dxa"/>
            <w:tcBorders>
              <w:top w:val="nil"/>
              <w:left w:val="nil"/>
              <w:bottom w:val="nil"/>
              <w:right w:val="nil"/>
            </w:tcBorders>
            <w:tcMar>
              <w:top w:w="0" w:type="dxa"/>
              <w:left w:w="0" w:type="dxa"/>
              <w:bottom w:w="0" w:type="dxa"/>
              <w:right w:w="0" w:type="dxa"/>
            </w:tcMar>
            <w:vAlign w:val="bottom"/>
          </w:tcPr>
          <w:p w14:paraId="0C609B0C" w14:textId="77777777" w:rsidR="001614AC" w:rsidRDefault="001614AC">
            <w:pPr>
              <w:keepNext/>
            </w:pPr>
          </w:p>
        </w:tc>
        <w:tc>
          <w:tcPr>
            <w:tcW w:w="800"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7128C2D8" w14:textId="77777777" w:rsidR="001614AC" w:rsidRDefault="004468F9">
            <w:pPr>
              <w:keepNext/>
              <w:spacing w:before="55" w:after="30" w:line="288" w:lineRule="auto"/>
              <w:jc w:val="right"/>
            </w:pPr>
            <w:r>
              <w:rPr>
                <w:rFonts w:ascii="Arial" w:eastAsia="Arial" w:hAnsi="Arial" w:cs="Arial"/>
                <w:color w:val="000000"/>
                <w:sz w:val="18"/>
              </w:rPr>
              <w:t>(314)</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43C7CE1B" w14:textId="77777777" w:rsidR="001614AC" w:rsidRDefault="001614AC">
            <w:pPr>
              <w:keepNext/>
              <w:spacing w:before="55" w:after="30" w:line="288" w:lineRule="auto"/>
              <w:jc w:val="right"/>
            </w:pPr>
          </w:p>
        </w:tc>
      </w:tr>
      <w:tr w:rsidR="001614AC" w14:paraId="26E00A59" w14:textId="77777777">
        <w:trPr>
          <w:cantSplit/>
        </w:trPr>
        <w:tc>
          <w:tcPr>
            <w:tcW w:w="1245" w:type="dxa"/>
            <w:tcBorders>
              <w:top w:val="single" w:sz="8" w:space="0" w:color="E9E9E9"/>
              <w:left w:val="nil"/>
              <w:bottom w:val="single" w:sz="8" w:space="0" w:color="E9E9E9"/>
              <w:right w:val="nil"/>
            </w:tcBorders>
            <w:tcMar>
              <w:top w:w="0" w:type="dxa"/>
              <w:left w:w="53" w:type="dxa"/>
              <w:bottom w:w="0" w:type="dxa"/>
              <w:right w:w="53" w:type="dxa"/>
            </w:tcMar>
            <w:vAlign w:val="bottom"/>
          </w:tcPr>
          <w:p w14:paraId="60461514" w14:textId="77777777" w:rsidR="001614AC" w:rsidRDefault="004468F9">
            <w:pPr>
              <w:keepNext/>
              <w:spacing w:before="55" w:after="30" w:line="288" w:lineRule="auto"/>
            </w:pPr>
            <w:r>
              <w:rPr>
                <w:rFonts w:ascii="Arial" w:eastAsia="Arial" w:hAnsi="Arial" w:cs="Arial"/>
                <w:color w:val="000000"/>
                <w:sz w:val="18"/>
              </w:rPr>
              <w:t>CMBS</w:t>
            </w:r>
          </w:p>
        </w:tc>
        <w:tc>
          <w:tcPr>
            <w:tcW w:w="75" w:type="dxa"/>
            <w:tcBorders>
              <w:top w:val="nil"/>
              <w:left w:val="nil"/>
              <w:bottom w:val="nil"/>
              <w:right w:val="nil"/>
            </w:tcBorders>
            <w:tcMar>
              <w:top w:w="0" w:type="dxa"/>
              <w:left w:w="0" w:type="dxa"/>
              <w:bottom w:w="0" w:type="dxa"/>
              <w:right w:w="0" w:type="dxa"/>
            </w:tcMar>
            <w:vAlign w:val="bottom"/>
          </w:tcPr>
          <w:p w14:paraId="7BA37E26" w14:textId="77777777" w:rsidR="001614AC" w:rsidRDefault="001614AC">
            <w:pPr>
              <w:keepNext/>
            </w:pPr>
          </w:p>
        </w:tc>
        <w:tc>
          <w:tcPr>
            <w:tcW w:w="665" w:type="dxa"/>
            <w:tcBorders>
              <w:top w:val="single" w:sz="8" w:space="0" w:color="E9E9E9"/>
              <w:left w:val="nil"/>
              <w:bottom w:val="single" w:sz="8" w:space="0" w:color="E9E9E9"/>
              <w:right w:val="nil"/>
            </w:tcBorders>
            <w:tcMar>
              <w:top w:w="0" w:type="dxa"/>
              <w:left w:w="53" w:type="dxa"/>
              <w:bottom w:w="0" w:type="dxa"/>
              <w:right w:w="0" w:type="dxa"/>
            </w:tcMar>
            <w:vAlign w:val="bottom"/>
          </w:tcPr>
          <w:p w14:paraId="4A2B687F" w14:textId="77777777" w:rsidR="001614AC" w:rsidRDefault="004468F9">
            <w:pPr>
              <w:keepNext/>
              <w:spacing w:before="55" w:after="30" w:line="288" w:lineRule="auto"/>
              <w:jc w:val="right"/>
            </w:pPr>
            <w:r>
              <w:rPr>
                <w:rFonts w:ascii="Arial" w:eastAsia="Arial" w:hAnsi="Arial" w:cs="Arial"/>
                <w:color w:val="000000"/>
                <w:sz w:val="18"/>
              </w:rPr>
              <w:t>43 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7E54B12A" w14:textId="77777777" w:rsidR="001614AC" w:rsidRDefault="001614AC">
            <w:pPr>
              <w:keepNext/>
              <w:spacing w:before="55" w:after="30" w:line="288" w:lineRule="auto"/>
              <w:jc w:val="right"/>
            </w:pPr>
          </w:p>
        </w:tc>
        <w:tc>
          <w:tcPr>
            <w:tcW w:w="75" w:type="dxa"/>
            <w:tcBorders>
              <w:top w:val="nil"/>
              <w:left w:val="nil"/>
              <w:bottom w:val="nil"/>
              <w:right w:val="nil"/>
            </w:tcBorders>
            <w:tcMar>
              <w:top w:w="0" w:type="dxa"/>
              <w:left w:w="0" w:type="dxa"/>
              <w:bottom w:w="0" w:type="dxa"/>
              <w:right w:w="0" w:type="dxa"/>
            </w:tcMar>
            <w:vAlign w:val="bottom"/>
          </w:tcPr>
          <w:p w14:paraId="121DA114" w14:textId="77777777" w:rsidR="001614AC" w:rsidRDefault="001614AC">
            <w:pPr>
              <w:keepNext/>
            </w:pPr>
          </w:p>
        </w:tc>
        <w:tc>
          <w:tcPr>
            <w:tcW w:w="980"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15B949D2" w14:textId="77777777" w:rsidR="001614AC" w:rsidRDefault="004468F9">
            <w:pPr>
              <w:keepNext/>
              <w:spacing w:before="55" w:after="30" w:line="288" w:lineRule="auto"/>
              <w:jc w:val="right"/>
            </w:pPr>
            <w:r>
              <w:rPr>
                <w:rFonts w:ascii="Arial" w:eastAsia="Arial" w:hAnsi="Arial" w:cs="Arial"/>
                <w:color w:val="000000"/>
                <w:sz w:val="18"/>
              </w:rPr>
              <w:t>118,345 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0051B0B2" w14:textId="77777777" w:rsidR="001614AC" w:rsidRDefault="001614AC">
            <w:pPr>
              <w:keepNext/>
              <w:spacing w:before="55" w:after="30" w:line="288" w:lineRule="auto"/>
              <w:jc w:val="right"/>
            </w:pPr>
          </w:p>
        </w:tc>
        <w:tc>
          <w:tcPr>
            <w:tcW w:w="75" w:type="dxa"/>
            <w:tcBorders>
              <w:top w:val="nil"/>
              <w:left w:val="nil"/>
              <w:bottom w:val="nil"/>
              <w:right w:val="nil"/>
            </w:tcBorders>
            <w:tcMar>
              <w:top w:w="0" w:type="dxa"/>
              <w:left w:w="0" w:type="dxa"/>
              <w:bottom w:w="0" w:type="dxa"/>
              <w:right w:w="0" w:type="dxa"/>
            </w:tcMar>
            <w:vAlign w:val="bottom"/>
          </w:tcPr>
          <w:p w14:paraId="58F44101" w14:textId="77777777" w:rsidR="001614AC" w:rsidRDefault="001614AC">
            <w:pPr>
              <w:keepNext/>
            </w:pPr>
          </w:p>
        </w:tc>
        <w:tc>
          <w:tcPr>
            <w:tcW w:w="800"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2D6EA0E0" w14:textId="77777777" w:rsidR="001614AC" w:rsidRDefault="004468F9">
            <w:pPr>
              <w:keepNext/>
              <w:spacing w:before="55" w:after="30" w:line="288" w:lineRule="auto"/>
              <w:jc w:val="right"/>
            </w:pPr>
            <w:r>
              <w:rPr>
                <w:rFonts w:ascii="Arial" w:eastAsia="Arial" w:hAnsi="Arial" w:cs="Arial"/>
                <w:color w:val="000000"/>
                <w:sz w:val="18"/>
              </w:rPr>
              <w:t>(3,035)</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081E8D9E" w14:textId="77777777" w:rsidR="001614AC" w:rsidRDefault="001614AC">
            <w:pPr>
              <w:keepNext/>
              <w:spacing w:before="55" w:after="30" w:line="288" w:lineRule="auto"/>
              <w:jc w:val="right"/>
            </w:pPr>
          </w:p>
        </w:tc>
        <w:tc>
          <w:tcPr>
            <w:tcW w:w="75" w:type="dxa"/>
            <w:tcBorders>
              <w:top w:val="nil"/>
              <w:left w:val="nil"/>
              <w:bottom w:val="nil"/>
              <w:right w:val="nil"/>
            </w:tcBorders>
            <w:tcMar>
              <w:top w:w="0" w:type="dxa"/>
              <w:left w:w="0" w:type="dxa"/>
              <w:bottom w:w="0" w:type="dxa"/>
              <w:right w:w="0" w:type="dxa"/>
            </w:tcMar>
            <w:vAlign w:val="bottom"/>
          </w:tcPr>
          <w:p w14:paraId="172B8A84" w14:textId="77777777" w:rsidR="001614AC" w:rsidRDefault="001614AC">
            <w:pPr>
              <w:keepNext/>
            </w:pPr>
          </w:p>
        </w:tc>
        <w:tc>
          <w:tcPr>
            <w:tcW w:w="665" w:type="dxa"/>
            <w:tcBorders>
              <w:top w:val="single" w:sz="8" w:space="0" w:color="E9E9E9"/>
              <w:left w:val="nil"/>
              <w:bottom w:val="single" w:sz="8" w:space="0" w:color="E9E9E9"/>
              <w:right w:val="nil"/>
            </w:tcBorders>
            <w:tcMar>
              <w:top w:w="0" w:type="dxa"/>
              <w:left w:w="53" w:type="dxa"/>
              <w:bottom w:w="0" w:type="dxa"/>
              <w:right w:w="0" w:type="dxa"/>
            </w:tcMar>
            <w:vAlign w:val="bottom"/>
          </w:tcPr>
          <w:p w14:paraId="7C6DB28E" w14:textId="77777777" w:rsidR="001614AC" w:rsidRDefault="004468F9">
            <w:pPr>
              <w:keepNext/>
              <w:spacing w:before="55" w:after="30" w:line="288" w:lineRule="auto"/>
              <w:jc w:val="right"/>
            </w:pPr>
            <w:r>
              <w:rPr>
                <w:rFonts w:ascii="Arial" w:eastAsia="Arial" w:hAnsi="Arial" w:cs="Arial"/>
                <w:color w:val="000000"/>
                <w:sz w:val="18"/>
              </w:rPr>
              <w:t>6 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1767F22A" w14:textId="77777777" w:rsidR="001614AC" w:rsidRDefault="001614AC">
            <w:pPr>
              <w:keepNext/>
              <w:spacing w:before="55" w:after="30" w:line="288" w:lineRule="auto"/>
              <w:jc w:val="right"/>
            </w:pPr>
          </w:p>
        </w:tc>
        <w:tc>
          <w:tcPr>
            <w:tcW w:w="75" w:type="dxa"/>
            <w:tcBorders>
              <w:top w:val="nil"/>
              <w:left w:val="nil"/>
              <w:bottom w:val="nil"/>
              <w:right w:val="nil"/>
            </w:tcBorders>
            <w:tcMar>
              <w:top w:w="0" w:type="dxa"/>
              <w:left w:w="0" w:type="dxa"/>
              <w:bottom w:w="0" w:type="dxa"/>
              <w:right w:w="0" w:type="dxa"/>
            </w:tcMar>
            <w:vAlign w:val="bottom"/>
          </w:tcPr>
          <w:p w14:paraId="09C20369" w14:textId="77777777" w:rsidR="001614AC" w:rsidRDefault="001614AC">
            <w:pPr>
              <w:keepNext/>
            </w:pPr>
          </w:p>
        </w:tc>
        <w:tc>
          <w:tcPr>
            <w:tcW w:w="90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730997ED" w14:textId="77777777" w:rsidR="001614AC" w:rsidRDefault="004468F9">
            <w:pPr>
              <w:keepNext/>
              <w:spacing w:before="55" w:after="30" w:line="288" w:lineRule="auto"/>
              <w:jc w:val="right"/>
            </w:pPr>
            <w:r>
              <w:rPr>
                <w:rFonts w:ascii="Arial" w:eastAsia="Arial" w:hAnsi="Arial" w:cs="Arial"/>
                <w:color w:val="000000"/>
                <w:sz w:val="18"/>
              </w:rPr>
              <w:t>8</w:t>
            </w:r>
            <w:r>
              <w:rPr>
                <w:rFonts w:ascii="Arial" w:eastAsia="Arial" w:hAnsi="Arial" w:cs="Arial"/>
                <w:color w:val="000000"/>
                <w:sz w:val="18"/>
              </w:rPr>
              <w:t>,312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5216558F" w14:textId="77777777" w:rsidR="001614AC" w:rsidRDefault="001614AC">
            <w:pPr>
              <w:keepNext/>
              <w:spacing w:before="55" w:after="30" w:line="288" w:lineRule="auto"/>
              <w:jc w:val="right"/>
            </w:pPr>
          </w:p>
        </w:tc>
        <w:tc>
          <w:tcPr>
            <w:tcW w:w="75" w:type="dxa"/>
            <w:tcBorders>
              <w:top w:val="nil"/>
              <w:left w:val="nil"/>
              <w:bottom w:val="nil"/>
              <w:right w:val="nil"/>
            </w:tcBorders>
            <w:tcMar>
              <w:top w:w="0" w:type="dxa"/>
              <w:left w:w="0" w:type="dxa"/>
              <w:bottom w:w="0" w:type="dxa"/>
              <w:right w:w="0" w:type="dxa"/>
            </w:tcMar>
            <w:vAlign w:val="bottom"/>
          </w:tcPr>
          <w:p w14:paraId="3DDD2F88" w14:textId="77777777" w:rsidR="001614AC" w:rsidRDefault="001614AC">
            <w:pPr>
              <w:keepNext/>
            </w:pPr>
          </w:p>
        </w:tc>
        <w:tc>
          <w:tcPr>
            <w:tcW w:w="800"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6975536A" w14:textId="77777777" w:rsidR="001614AC" w:rsidRDefault="004468F9">
            <w:pPr>
              <w:keepNext/>
              <w:spacing w:before="55" w:after="30" w:line="288" w:lineRule="auto"/>
              <w:jc w:val="right"/>
            </w:pPr>
            <w:r>
              <w:rPr>
                <w:rFonts w:ascii="Arial" w:eastAsia="Arial" w:hAnsi="Arial" w:cs="Arial"/>
                <w:color w:val="000000"/>
                <w:sz w:val="18"/>
              </w:rPr>
              <w:t>(266)</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550DEFA2" w14:textId="77777777" w:rsidR="001614AC" w:rsidRDefault="001614AC">
            <w:pPr>
              <w:keepNext/>
              <w:spacing w:before="55" w:after="30" w:line="288" w:lineRule="auto"/>
              <w:jc w:val="right"/>
            </w:pPr>
          </w:p>
        </w:tc>
        <w:tc>
          <w:tcPr>
            <w:tcW w:w="75" w:type="dxa"/>
            <w:tcBorders>
              <w:top w:val="nil"/>
              <w:left w:val="nil"/>
              <w:bottom w:val="nil"/>
              <w:right w:val="nil"/>
            </w:tcBorders>
            <w:tcMar>
              <w:top w:w="0" w:type="dxa"/>
              <w:left w:w="0" w:type="dxa"/>
              <w:bottom w:w="0" w:type="dxa"/>
              <w:right w:w="0" w:type="dxa"/>
            </w:tcMar>
            <w:vAlign w:val="bottom"/>
          </w:tcPr>
          <w:p w14:paraId="12AF09CC" w14:textId="77777777" w:rsidR="001614AC" w:rsidRDefault="001614AC">
            <w:pPr>
              <w:keepNext/>
            </w:pPr>
          </w:p>
        </w:tc>
        <w:tc>
          <w:tcPr>
            <w:tcW w:w="665" w:type="dxa"/>
            <w:tcBorders>
              <w:top w:val="single" w:sz="8" w:space="0" w:color="E9E9E9"/>
              <w:left w:val="nil"/>
              <w:bottom w:val="single" w:sz="8" w:space="0" w:color="E9E9E9"/>
              <w:right w:val="nil"/>
            </w:tcBorders>
            <w:tcMar>
              <w:top w:w="0" w:type="dxa"/>
              <w:left w:w="53" w:type="dxa"/>
              <w:bottom w:w="0" w:type="dxa"/>
              <w:right w:w="0" w:type="dxa"/>
            </w:tcMar>
            <w:vAlign w:val="bottom"/>
          </w:tcPr>
          <w:p w14:paraId="601798D2" w14:textId="77777777" w:rsidR="001614AC" w:rsidRDefault="004468F9">
            <w:pPr>
              <w:keepNext/>
              <w:spacing w:before="55" w:after="30" w:line="288" w:lineRule="auto"/>
              <w:jc w:val="right"/>
            </w:pPr>
            <w:r>
              <w:rPr>
                <w:rFonts w:ascii="Arial" w:eastAsia="Arial" w:hAnsi="Arial" w:cs="Arial"/>
                <w:color w:val="000000"/>
                <w:sz w:val="18"/>
              </w:rPr>
              <w:t>49 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044E9599" w14:textId="77777777" w:rsidR="001614AC" w:rsidRDefault="001614AC">
            <w:pPr>
              <w:keepNext/>
              <w:spacing w:before="55" w:after="30" w:line="288" w:lineRule="auto"/>
              <w:jc w:val="right"/>
            </w:pPr>
          </w:p>
        </w:tc>
        <w:tc>
          <w:tcPr>
            <w:tcW w:w="75" w:type="dxa"/>
            <w:tcBorders>
              <w:top w:val="nil"/>
              <w:left w:val="nil"/>
              <w:bottom w:val="nil"/>
              <w:right w:val="nil"/>
            </w:tcBorders>
            <w:tcMar>
              <w:top w:w="0" w:type="dxa"/>
              <w:left w:w="0" w:type="dxa"/>
              <w:bottom w:w="0" w:type="dxa"/>
              <w:right w:w="0" w:type="dxa"/>
            </w:tcMar>
            <w:vAlign w:val="bottom"/>
          </w:tcPr>
          <w:p w14:paraId="55CDB1DF" w14:textId="77777777" w:rsidR="001614AC" w:rsidRDefault="001614AC">
            <w:pPr>
              <w:keepNext/>
            </w:pPr>
          </w:p>
        </w:tc>
        <w:tc>
          <w:tcPr>
            <w:tcW w:w="980"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4F2DA70E" w14:textId="77777777" w:rsidR="001614AC" w:rsidRDefault="004468F9">
            <w:pPr>
              <w:keepNext/>
              <w:spacing w:before="55" w:after="30" w:line="288" w:lineRule="auto"/>
              <w:jc w:val="right"/>
            </w:pPr>
            <w:r>
              <w:rPr>
                <w:rFonts w:ascii="Arial" w:eastAsia="Arial" w:hAnsi="Arial" w:cs="Arial"/>
                <w:color w:val="000000"/>
                <w:sz w:val="18"/>
              </w:rPr>
              <w:t>126,657 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256EA545" w14:textId="77777777" w:rsidR="001614AC" w:rsidRDefault="001614AC">
            <w:pPr>
              <w:keepNext/>
              <w:spacing w:before="55" w:after="30" w:line="288" w:lineRule="auto"/>
              <w:jc w:val="right"/>
            </w:pPr>
          </w:p>
        </w:tc>
        <w:tc>
          <w:tcPr>
            <w:tcW w:w="75" w:type="dxa"/>
            <w:tcBorders>
              <w:top w:val="nil"/>
              <w:left w:val="nil"/>
              <w:bottom w:val="nil"/>
              <w:right w:val="nil"/>
            </w:tcBorders>
            <w:tcMar>
              <w:top w:w="0" w:type="dxa"/>
              <w:left w:w="0" w:type="dxa"/>
              <w:bottom w:w="0" w:type="dxa"/>
              <w:right w:w="0" w:type="dxa"/>
            </w:tcMar>
            <w:vAlign w:val="bottom"/>
          </w:tcPr>
          <w:p w14:paraId="20C71219" w14:textId="77777777" w:rsidR="001614AC" w:rsidRDefault="001614AC">
            <w:pPr>
              <w:keepNext/>
            </w:pPr>
          </w:p>
        </w:tc>
        <w:tc>
          <w:tcPr>
            <w:tcW w:w="800"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100E0E3E" w14:textId="77777777" w:rsidR="001614AC" w:rsidRDefault="004468F9">
            <w:pPr>
              <w:keepNext/>
              <w:spacing w:before="55" w:after="30" w:line="288" w:lineRule="auto"/>
              <w:jc w:val="right"/>
            </w:pPr>
            <w:r>
              <w:rPr>
                <w:rFonts w:ascii="Arial" w:eastAsia="Arial" w:hAnsi="Arial" w:cs="Arial"/>
                <w:color w:val="000000"/>
                <w:sz w:val="18"/>
              </w:rPr>
              <w:t>(3,301)</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06452D1B" w14:textId="77777777" w:rsidR="001614AC" w:rsidRDefault="001614AC">
            <w:pPr>
              <w:keepNext/>
              <w:spacing w:before="55" w:after="30" w:line="288" w:lineRule="auto"/>
              <w:jc w:val="right"/>
            </w:pPr>
          </w:p>
        </w:tc>
      </w:tr>
      <w:tr w:rsidR="001614AC" w14:paraId="76DBA7DC" w14:textId="77777777">
        <w:trPr>
          <w:cantSplit/>
        </w:trPr>
        <w:tc>
          <w:tcPr>
            <w:tcW w:w="1245" w:type="dxa"/>
            <w:tcBorders>
              <w:top w:val="single" w:sz="8" w:space="0" w:color="E9E9E9"/>
              <w:left w:val="nil"/>
              <w:bottom w:val="single" w:sz="8" w:space="0" w:color="E9E9E9"/>
              <w:right w:val="nil"/>
            </w:tcBorders>
            <w:tcMar>
              <w:top w:w="0" w:type="dxa"/>
              <w:left w:w="53" w:type="dxa"/>
              <w:bottom w:w="0" w:type="dxa"/>
              <w:right w:w="53" w:type="dxa"/>
            </w:tcMar>
            <w:vAlign w:val="bottom"/>
          </w:tcPr>
          <w:p w14:paraId="7BF9D23E" w14:textId="77777777" w:rsidR="001614AC" w:rsidRDefault="004468F9">
            <w:pPr>
              <w:keepNext/>
              <w:spacing w:before="55" w:after="30" w:line="288" w:lineRule="auto"/>
            </w:pPr>
            <w:r>
              <w:rPr>
                <w:rFonts w:ascii="Arial" w:eastAsia="Arial" w:hAnsi="Arial" w:cs="Arial"/>
                <w:color w:val="000000"/>
                <w:sz w:val="18"/>
              </w:rPr>
              <w:t>CLO</w:t>
            </w:r>
          </w:p>
        </w:tc>
        <w:tc>
          <w:tcPr>
            <w:tcW w:w="75" w:type="dxa"/>
            <w:tcBorders>
              <w:top w:val="nil"/>
              <w:left w:val="nil"/>
              <w:bottom w:val="nil"/>
              <w:right w:val="nil"/>
            </w:tcBorders>
            <w:tcMar>
              <w:top w:w="0" w:type="dxa"/>
              <w:left w:w="0" w:type="dxa"/>
              <w:bottom w:w="0" w:type="dxa"/>
              <w:right w:w="0" w:type="dxa"/>
            </w:tcMar>
            <w:vAlign w:val="bottom"/>
          </w:tcPr>
          <w:p w14:paraId="3A039387" w14:textId="77777777" w:rsidR="001614AC" w:rsidRDefault="001614AC">
            <w:pPr>
              <w:keepNext/>
            </w:pPr>
          </w:p>
        </w:tc>
        <w:tc>
          <w:tcPr>
            <w:tcW w:w="665" w:type="dxa"/>
            <w:tcBorders>
              <w:top w:val="single" w:sz="8" w:space="0" w:color="E9E9E9"/>
              <w:left w:val="nil"/>
              <w:bottom w:val="single" w:sz="8" w:space="0" w:color="E9E9E9"/>
              <w:right w:val="nil"/>
            </w:tcBorders>
            <w:tcMar>
              <w:top w:w="0" w:type="dxa"/>
              <w:left w:w="53" w:type="dxa"/>
              <w:bottom w:w="0" w:type="dxa"/>
              <w:right w:w="0" w:type="dxa"/>
            </w:tcMar>
            <w:vAlign w:val="bottom"/>
          </w:tcPr>
          <w:p w14:paraId="363F7763" w14:textId="77777777" w:rsidR="001614AC" w:rsidRDefault="004468F9">
            <w:pPr>
              <w:keepNext/>
              <w:spacing w:before="55" w:after="30" w:line="288" w:lineRule="auto"/>
              <w:jc w:val="right"/>
            </w:pPr>
            <w:r>
              <w:rPr>
                <w:rFonts w:ascii="Arial" w:eastAsia="Arial" w:hAnsi="Arial" w:cs="Arial"/>
                <w:color w:val="000000"/>
                <w:sz w:val="18"/>
              </w:rPr>
              <w:t>52 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3BD3E689" w14:textId="77777777" w:rsidR="001614AC" w:rsidRDefault="001614AC">
            <w:pPr>
              <w:keepNext/>
              <w:spacing w:before="55" w:after="30" w:line="288" w:lineRule="auto"/>
              <w:jc w:val="right"/>
            </w:pPr>
          </w:p>
        </w:tc>
        <w:tc>
          <w:tcPr>
            <w:tcW w:w="75" w:type="dxa"/>
            <w:tcBorders>
              <w:top w:val="nil"/>
              <w:left w:val="nil"/>
              <w:bottom w:val="nil"/>
              <w:right w:val="nil"/>
            </w:tcBorders>
            <w:tcMar>
              <w:top w:w="0" w:type="dxa"/>
              <w:left w:w="0" w:type="dxa"/>
              <w:bottom w:w="0" w:type="dxa"/>
              <w:right w:w="0" w:type="dxa"/>
            </w:tcMar>
            <w:vAlign w:val="bottom"/>
          </w:tcPr>
          <w:p w14:paraId="4B3FD9E1" w14:textId="77777777" w:rsidR="001614AC" w:rsidRDefault="001614AC">
            <w:pPr>
              <w:keepNext/>
            </w:pPr>
          </w:p>
        </w:tc>
        <w:tc>
          <w:tcPr>
            <w:tcW w:w="980"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6B966AD9" w14:textId="77777777" w:rsidR="001614AC" w:rsidRDefault="004468F9">
            <w:pPr>
              <w:keepNext/>
              <w:spacing w:before="55" w:after="30" w:line="288" w:lineRule="auto"/>
              <w:jc w:val="right"/>
            </w:pPr>
            <w:r>
              <w:rPr>
                <w:rFonts w:ascii="Arial" w:eastAsia="Arial" w:hAnsi="Arial" w:cs="Arial"/>
                <w:color w:val="000000"/>
                <w:sz w:val="18"/>
              </w:rPr>
              <w:t>173,459 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048DE612" w14:textId="77777777" w:rsidR="001614AC" w:rsidRDefault="001614AC">
            <w:pPr>
              <w:keepNext/>
              <w:spacing w:before="55" w:after="30" w:line="288" w:lineRule="auto"/>
              <w:jc w:val="right"/>
            </w:pPr>
          </w:p>
        </w:tc>
        <w:tc>
          <w:tcPr>
            <w:tcW w:w="75" w:type="dxa"/>
            <w:tcBorders>
              <w:top w:val="nil"/>
              <w:left w:val="nil"/>
              <w:bottom w:val="nil"/>
              <w:right w:val="nil"/>
            </w:tcBorders>
            <w:tcMar>
              <w:top w:w="0" w:type="dxa"/>
              <w:left w:w="0" w:type="dxa"/>
              <w:bottom w:w="0" w:type="dxa"/>
              <w:right w:w="0" w:type="dxa"/>
            </w:tcMar>
            <w:vAlign w:val="bottom"/>
          </w:tcPr>
          <w:p w14:paraId="52BFEEEB" w14:textId="77777777" w:rsidR="001614AC" w:rsidRDefault="001614AC">
            <w:pPr>
              <w:keepNext/>
            </w:pPr>
          </w:p>
        </w:tc>
        <w:tc>
          <w:tcPr>
            <w:tcW w:w="800"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283D97EC" w14:textId="77777777" w:rsidR="001614AC" w:rsidRDefault="004468F9">
            <w:pPr>
              <w:keepNext/>
              <w:spacing w:before="55" w:after="30" w:line="288" w:lineRule="auto"/>
              <w:jc w:val="right"/>
            </w:pPr>
            <w:r>
              <w:rPr>
                <w:rFonts w:ascii="Arial" w:eastAsia="Arial" w:hAnsi="Arial" w:cs="Arial"/>
                <w:color w:val="000000"/>
                <w:sz w:val="18"/>
              </w:rPr>
              <w:t>(970)</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5DF9F773" w14:textId="77777777" w:rsidR="001614AC" w:rsidRDefault="001614AC">
            <w:pPr>
              <w:keepNext/>
              <w:spacing w:before="55" w:after="30" w:line="288" w:lineRule="auto"/>
              <w:jc w:val="right"/>
            </w:pPr>
          </w:p>
        </w:tc>
        <w:tc>
          <w:tcPr>
            <w:tcW w:w="75" w:type="dxa"/>
            <w:tcBorders>
              <w:top w:val="nil"/>
              <w:left w:val="nil"/>
              <w:bottom w:val="nil"/>
              <w:right w:val="nil"/>
            </w:tcBorders>
            <w:tcMar>
              <w:top w:w="0" w:type="dxa"/>
              <w:left w:w="0" w:type="dxa"/>
              <w:bottom w:w="0" w:type="dxa"/>
              <w:right w:w="0" w:type="dxa"/>
            </w:tcMar>
            <w:vAlign w:val="bottom"/>
          </w:tcPr>
          <w:p w14:paraId="5996D1E4" w14:textId="77777777" w:rsidR="001614AC" w:rsidRDefault="001614AC">
            <w:pPr>
              <w:keepNext/>
            </w:pPr>
          </w:p>
        </w:tc>
        <w:tc>
          <w:tcPr>
            <w:tcW w:w="665" w:type="dxa"/>
            <w:tcBorders>
              <w:top w:val="single" w:sz="8" w:space="0" w:color="E9E9E9"/>
              <w:left w:val="nil"/>
              <w:bottom w:val="single" w:sz="8" w:space="0" w:color="E9E9E9"/>
              <w:right w:val="nil"/>
            </w:tcBorders>
            <w:tcMar>
              <w:top w:w="0" w:type="dxa"/>
              <w:left w:w="53" w:type="dxa"/>
              <w:bottom w:w="0" w:type="dxa"/>
              <w:right w:w="0" w:type="dxa"/>
            </w:tcMar>
            <w:vAlign w:val="bottom"/>
          </w:tcPr>
          <w:p w14:paraId="09FEECE0" w14:textId="77777777" w:rsidR="001614AC" w:rsidRDefault="004468F9">
            <w:pPr>
              <w:keepNext/>
              <w:spacing w:before="55" w:after="30" w:line="288" w:lineRule="auto"/>
              <w:jc w:val="right"/>
            </w:pPr>
            <w:r>
              <w:rPr>
                <w:rFonts w:ascii="Arial" w:eastAsia="Arial" w:hAnsi="Arial" w:cs="Arial"/>
                <w:color w:val="000000"/>
                <w:sz w:val="18"/>
              </w:rPr>
              <w:t>25 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13D20713" w14:textId="77777777" w:rsidR="001614AC" w:rsidRDefault="001614AC">
            <w:pPr>
              <w:keepNext/>
              <w:spacing w:before="55" w:after="30" w:line="288" w:lineRule="auto"/>
              <w:jc w:val="right"/>
            </w:pPr>
          </w:p>
        </w:tc>
        <w:tc>
          <w:tcPr>
            <w:tcW w:w="75" w:type="dxa"/>
            <w:tcBorders>
              <w:top w:val="nil"/>
              <w:left w:val="nil"/>
              <w:bottom w:val="nil"/>
              <w:right w:val="nil"/>
            </w:tcBorders>
            <w:tcMar>
              <w:top w:w="0" w:type="dxa"/>
              <w:left w:w="0" w:type="dxa"/>
              <w:bottom w:w="0" w:type="dxa"/>
              <w:right w:w="0" w:type="dxa"/>
            </w:tcMar>
            <w:vAlign w:val="bottom"/>
          </w:tcPr>
          <w:p w14:paraId="7B661221" w14:textId="77777777" w:rsidR="001614AC" w:rsidRDefault="001614AC">
            <w:pPr>
              <w:keepNext/>
            </w:pPr>
          </w:p>
        </w:tc>
        <w:tc>
          <w:tcPr>
            <w:tcW w:w="90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15D27EF7" w14:textId="77777777" w:rsidR="001614AC" w:rsidRDefault="004468F9">
            <w:pPr>
              <w:keepNext/>
              <w:spacing w:before="55" w:after="30" w:line="288" w:lineRule="auto"/>
              <w:jc w:val="right"/>
            </w:pPr>
            <w:r>
              <w:rPr>
                <w:rFonts w:ascii="Arial" w:eastAsia="Arial" w:hAnsi="Arial" w:cs="Arial"/>
                <w:color w:val="000000"/>
                <w:sz w:val="18"/>
              </w:rPr>
              <w:t>137,506 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475D90B0" w14:textId="77777777" w:rsidR="001614AC" w:rsidRDefault="001614AC">
            <w:pPr>
              <w:keepNext/>
              <w:spacing w:before="55" w:after="30" w:line="288" w:lineRule="auto"/>
              <w:jc w:val="right"/>
            </w:pPr>
          </w:p>
        </w:tc>
        <w:tc>
          <w:tcPr>
            <w:tcW w:w="75" w:type="dxa"/>
            <w:tcBorders>
              <w:top w:val="nil"/>
              <w:left w:val="nil"/>
              <w:bottom w:val="nil"/>
              <w:right w:val="nil"/>
            </w:tcBorders>
            <w:tcMar>
              <w:top w:w="0" w:type="dxa"/>
              <w:left w:w="0" w:type="dxa"/>
              <w:bottom w:w="0" w:type="dxa"/>
              <w:right w:w="0" w:type="dxa"/>
            </w:tcMar>
            <w:vAlign w:val="bottom"/>
          </w:tcPr>
          <w:p w14:paraId="6B848A4C" w14:textId="77777777" w:rsidR="001614AC" w:rsidRDefault="001614AC">
            <w:pPr>
              <w:keepNext/>
            </w:pPr>
          </w:p>
        </w:tc>
        <w:tc>
          <w:tcPr>
            <w:tcW w:w="800"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56BA880F" w14:textId="77777777" w:rsidR="001614AC" w:rsidRDefault="004468F9">
            <w:pPr>
              <w:keepNext/>
              <w:spacing w:before="55" w:after="30" w:line="288" w:lineRule="auto"/>
              <w:jc w:val="right"/>
            </w:pPr>
            <w:r>
              <w:rPr>
                <w:rFonts w:ascii="Arial" w:eastAsia="Arial" w:hAnsi="Arial" w:cs="Arial"/>
                <w:color w:val="000000"/>
                <w:sz w:val="18"/>
              </w:rPr>
              <w:t>(1,671)</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4D028A6E" w14:textId="77777777" w:rsidR="001614AC" w:rsidRDefault="001614AC">
            <w:pPr>
              <w:keepNext/>
              <w:spacing w:before="55" w:after="30" w:line="288" w:lineRule="auto"/>
              <w:jc w:val="right"/>
            </w:pPr>
          </w:p>
        </w:tc>
        <w:tc>
          <w:tcPr>
            <w:tcW w:w="75" w:type="dxa"/>
            <w:tcBorders>
              <w:top w:val="nil"/>
              <w:left w:val="nil"/>
              <w:bottom w:val="nil"/>
              <w:right w:val="nil"/>
            </w:tcBorders>
            <w:tcMar>
              <w:top w:w="0" w:type="dxa"/>
              <w:left w:w="0" w:type="dxa"/>
              <w:bottom w:w="0" w:type="dxa"/>
              <w:right w:w="0" w:type="dxa"/>
            </w:tcMar>
            <w:vAlign w:val="bottom"/>
          </w:tcPr>
          <w:p w14:paraId="758575C6" w14:textId="77777777" w:rsidR="001614AC" w:rsidRDefault="001614AC">
            <w:pPr>
              <w:keepNext/>
            </w:pPr>
          </w:p>
        </w:tc>
        <w:tc>
          <w:tcPr>
            <w:tcW w:w="665" w:type="dxa"/>
            <w:tcBorders>
              <w:top w:val="single" w:sz="8" w:space="0" w:color="E9E9E9"/>
              <w:left w:val="nil"/>
              <w:bottom w:val="single" w:sz="8" w:space="0" w:color="E9E9E9"/>
              <w:right w:val="nil"/>
            </w:tcBorders>
            <w:tcMar>
              <w:top w:w="0" w:type="dxa"/>
              <w:left w:w="53" w:type="dxa"/>
              <w:bottom w:w="0" w:type="dxa"/>
              <w:right w:w="0" w:type="dxa"/>
            </w:tcMar>
            <w:vAlign w:val="bottom"/>
          </w:tcPr>
          <w:p w14:paraId="1C0428A4" w14:textId="77777777" w:rsidR="001614AC" w:rsidRDefault="004468F9">
            <w:pPr>
              <w:keepNext/>
              <w:spacing w:before="55" w:after="30" w:line="288" w:lineRule="auto"/>
              <w:jc w:val="right"/>
            </w:pPr>
            <w:r>
              <w:rPr>
                <w:rFonts w:ascii="Arial" w:eastAsia="Arial" w:hAnsi="Arial" w:cs="Arial"/>
                <w:color w:val="000000"/>
                <w:sz w:val="18"/>
              </w:rPr>
              <w:t>77 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6697CADB" w14:textId="77777777" w:rsidR="001614AC" w:rsidRDefault="001614AC">
            <w:pPr>
              <w:keepNext/>
              <w:spacing w:before="55" w:after="30" w:line="288" w:lineRule="auto"/>
              <w:jc w:val="right"/>
            </w:pPr>
          </w:p>
        </w:tc>
        <w:tc>
          <w:tcPr>
            <w:tcW w:w="75" w:type="dxa"/>
            <w:tcBorders>
              <w:top w:val="nil"/>
              <w:left w:val="nil"/>
              <w:bottom w:val="nil"/>
              <w:right w:val="nil"/>
            </w:tcBorders>
            <w:tcMar>
              <w:top w:w="0" w:type="dxa"/>
              <w:left w:w="0" w:type="dxa"/>
              <w:bottom w:w="0" w:type="dxa"/>
              <w:right w:w="0" w:type="dxa"/>
            </w:tcMar>
            <w:vAlign w:val="bottom"/>
          </w:tcPr>
          <w:p w14:paraId="684E24FF" w14:textId="77777777" w:rsidR="001614AC" w:rsidRDefault="001614AC">
            <w:pPr>
              <w:keepNext/>
            </w:pPr>
          </w:p>
        </w:tc>
        <w:tc>
          <w:tcPr>
            <w:tcW w:w="980"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18EE4AFE" w14:textId="77777777" w:rsidR="001614AC" w:rsidRDefault="004468F9">
            <w:pPr>
              <w:keepNext/>
              <w:spacing w:before="55" w:after="30" w:line="288" w:lineRule="auto"/>
              <w:jc w:val="right"/>
            </w:pPr>
            <w:r>
              <w:rPr>
                <w:rFonts w:ascii="Arial" w:eastAsia="Arial" w:hAnsi="Arial" w:cs="Arial"/>
                <w:color w:val="000000"/>
                <w:sz w:val="18"/>
              </w:rPr>
              <w:t>310,965 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08BFAB86" w14:textId="77777777" w:rsidR="001614AC" w:rsidRDefault="001614AC">
            <w:pPr>
              <w:keepNext/>
              <w:spacing w:before="55" w:after="30" w:line="288" w:lineRule="auto"/>
              <w:jc w:val="right"/>
            </w:pPr>
          </w:p>
        </w:tc>
        <w:tc>
          <w:tcPr>
            <w:tcW w:w="75" w:type="dxa"/>
            <w:tcBorders>
              <w:top w:val="nil"/>
              <w:left w:val="nil"/>
              <w:bottom w:val="nil"/>
              <w:right w:val="nil"/>
            </w:tcBorders>
            <w:tcMar>
              <w:top w:w="0" w:type="dxa"/>
              <w:left w:w="0" w:type="dxa"/>
              <w:bottom w:w="0" w:type="dxa"/>
              <w:right w:w="0" w:type="dxa"/>
            </w:tcMar>
            <w:vAlign w:val="bottom"/>
          </w:tcPr>
          <w:p w14:paraId="3C23DE77" w14:textId="77777777" w:rsidR="001614AC" w:rsidRDefault="001614AC">
            <w:pPr>
              <w:keepNext/>
            </w:pPr>
          </w:p>
        </w:tc>
        <w:tc>
          <w:tcPr>
            <w:tcW w:w="800"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471A4A34" w14:textId="77777777" w:rsidR="001614AC" w:rsidRDefault="004468F9">
            <w:pPr>
              <w:keepNext/>
              <w:spacing w:before="55" w:after="30" w:line="288" w:lineRule="auto"/>
              <w:jc w:val="right"/>
            </w:pPr>
            <w:r>
              <w:rPr>
                <w:rFonts w:ascii="Arial" w:eastAsia="Arial" w:hAnsi="Arial" w:cs="Arial"/>
                <w:color w:val="000000"/>
                <w:sz w:val="18"/>
              </w:rPr>
              <w:t>(2,641)</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569D97F6" w14:textId="77777777" w:rsidR="001614AC" w:rsidRDefault="001614AC">
            <w:pPr>
              <w:keepNext/>
              <w:spacing w:before="55" w:after="30" w:line="288" w:lineRule="auto"/>
              <w:jc w:val="right"/>
            </w:pPr>
          </w:p>
        </w:tc>
      </w:tr>
      <w:tr w:rsidR="001614AC" w14:paraId="5EA3CAF2" w14:textId="77777777">
        <w:trPr>
          <w:cantSplit/>
        </w:trPr>
        <w:tc>
          <w:tcPr>
            <w:tcW w:w="1245" w:type="dxa"/>
            <w:tcBorders>
              <w:top w:val="single" w:sz="8" w:space="0" w:color="E9E9E9"/>
              <w:left w:val="nil"/>
              <w:bottom w:val="nil"/>
              <w:right w:val="nil"/>
            </w:tcBorders>
            <w:tcMar>
              <w:top w:w="0" w:type="dxa"/>
              <w:left w:w="53" w:type="dxa"/>
              <w:bottom w:w="0" w:type="dxa"/>
              <w:right w:w="53" w:type="dxa"/>
            </w:tcMar>
            <w:vAlign w:val="bottom"/>
          </w:tcPr>
          <w:p w14:paraId="63C3878C" w14:textId="77777777" w:rsidR="001614AC" w:rsidRDefault="004468F9">
            <w:pPr>
              <w:keepNext/>
              <w:spacing w:before="55" w:after="30" w:line="288" w:lineRule="auto"/>
            </w:pPr>
            <w:r>
              <w:rPr>
                <w:rFonts w:ascii="Arial" w:eastAsia="Arial" w:hAnsi="Arial" w:cs="Arial"/>
                <w:color w:val="000000"/>
                <w:sz w:val="18"/>
              </w:rPr>
              <w:t>Other ABS</w:t>
            </w:r>
          </w:p>
        </w:tc>
        <w:tc>
          <w:tcPr>
            <w:tcW w:w="75" w:type="dxa"/>
            <w:tcBorders>
              <w:top w:val="nil"/>
              <w:left w:val="nil"/>
              <w:bottom w:val="nil"/>
              <w:right w:val="nil"/>
            </w:tcBorders>
            <w:tcMar>
              <w:top w:w="0" w:type="dxa"/>
              <w:left w:w="0" w:type="dxa"/>
              <w:bottom w:w="0" w:type="dxa"/>
              <w:right w:w="0" w:type="dxa"/>
            </w:tcMar>
            <w:vAlign w:val="bottom"/>
          </w:tcPr>
          <w:p w14:paraId="5F3403F6" w14:textId="77777777" w:rsidR="001614AC" w:rsidRDefault="001614AC">
            <w:pPr>
              <w:keepNext/>
            </w:pPr>
          </w:p>
        </w:tc>
        <w:tc>
          <w:tcPr>
            <w:tcW w:w="665" w:type="dxa"/>
            <w:tcBorders>
              <w:top w:val="single" w:sz="8" w:space="0" w:color="E9E9E9"/>
              <w:left w:val="nil"/>
              <w:bottom w:val="nil"/>
              <w:right w:val="nil"/>
            </w:tcBorders>
            <w:tcMar>
              <w:top w:w="0" w:type="dxa"/>
              <w:left w:w="53" w:type="dxa"/>
              <w:bottom w:w="0" w:type="dxa"/>
              <w:right w:w="0" w:type="dxa"/>
            </w:tcMar>
            <w:vAlign w:val="bottom"/>
          </w:tcPr>
          <w:p w14:paraId="6988E91A" w14:textId="77777777" w:rsidR="001614AC" w:rsidRDefault="004468F9">
            <w:pPr>
              <w:keepNext/>
              <w:spacing w:before="55" w:after="30" w:line="288" w:lineRule="auto"/>
              <w:jc w:val="right"/>
            </w:pPr>
            <w:r>
              <w:rPr>
                <w:rFonts w:ascii="Arial" w:eastAsia="Arial" w:hAnsi="Arial" w:cs="Arial"/>
                <w:color w:val="000000"/>
                <w:sz w:val="18"/>
              </w:rPr>
              <w:t>26 </w:t>
            </w:r>
          </w:p>
        </w:tc>
        <w:tc>
          <w:tcPr>
            <w:tcW w:w="100" w:type="dxa"/>
            <w:tcBorders>
              <w:top w:val="single" w:sz="8" w:space="0" w:color="E9E9E9"/>
              <w:left w:val="nil"/>
              <w:bottom w:val="nil"/>
              <w:right w:val="nil"/>
            </w:tcBorders>
            <w:tcMar>
              <w:top w:w="0" w:type="dxa"/>
              <w:left w:w="0" w:type="dxa"/>
              <w:bottom w:w="0" w:type="dxa"/>
              <w:right w:w="15" w:type="dxa"/>
            </w:tcMar>
            <w:vAlign w:val="bottom"/>
          </w:tcPr>
          <w:p w14:paraId="44638A7F" w14:textId="77777777" w:rsidR="001614AC" w:rsidRDefault="001614AC">
            <w:pPr>
              <w:keepNext/>
              <w:spacing w:before="55" w:after="30" w:line="288" w:lineRule="auto"/>
              <w:jc w:val="right"/>
            </w:pPr>
          </w:p>
        </w:tc>
        <w:tc>
          <w:tcPr>
            <w:tcW w:w="75" w:type="dxa"/>
            <w:tcBorders>
              <w:top w:val="nil"/>
              <w:left w:val="nil"/>
              <w:bottom w:val="nil"/>
              <w:right w:val="nil"/>
            </w:tcBorders>
            <w:tcMar>
              <w:top w:w="0" w:type="dxa"/>
              <w:left w:w="0" w:type="dxa"/>
              <w:bottom w:w="0" w:type="dxa"/>
              <w:right w:w="0" w:type="dxa"/>
            </w:tcMar>
            <w:vAlign w:val="bottom"/>
          </w:tcPr>
          <w:p w14:paraId="39C5143C" w14:textId="77777777" w:rsidR="001614AC" w:rsidRDefault="001614AC">
            <w:pPr>
              <w:keepNext/>
            </w:pPr>
          </w:p>
        </w:tc>
        <w:tc>
          <w:tcPr>
            <w:tcW w:w="980" w:type="dxa"/>
            <w:gridSpan w:val="2"/>
            <w:tcBorders>
              <w:top w:val="single" w:sz="8" w:space="0" w:color="E9E9E9"/>
              <w:left w:val="nil"/>
              <w:bottom w:val="nil"/>
              <w:right w:val="nil"/>
            </w:tcBorders>
            <w:tcMar>
              <w:top w:w="0" w:type="dxa"/>
              <w:left w:w="53" w:type="dxa"/>
              <w:bottom w:w="0" w:type="dxa"/>
              <w:right w:w="0" w:type="dxa"/>
            </w:tcMar>
            <w:vAlign w:val="bottom"/>
          </w:tcPr>
          <w:p w14:paraId="58A6236D" w14:textId="77777777" w:rsidR="001614AC" w:rsidRDefault="004468F9">
            <w:pPr>
              <w:keepNext/>
              <w:spacing w:before="55" w:after="30" w:line="288" w:lineRule="auto"/>
              <w:jc w:val="right"/>
            </w:pPr>
            <w:r>
              <w:rPr>
                <w:rFonts w:ascii="Arial" w:eastAsia="Arial" w:hAnsi="Arial" w:cs="Arial"/>
                <w:color w:val="000000"/>
                <w:sz w:val="18"/>
              </w:rPr>
              <w:t>70,759 </w:t>
            </w:r>
          </w:p>
        </w:tc>
        <w:tc>
          <w:tcPr>
            <w:tcW w:w="100" w:type="dxa"/>
            <w:tcBorders>
              <w:top w:val="single" w:sz="8" w:space="0" w:color="E9E9E9"/>
              <w:left w:val="nil"/>
              <w:bottom w:val="nil"/>
              <w:right w:val="nil"/>
            </w:tcBorders>
            <w:tcMar>
              <w:top w:w="0" w:type="dxa"/>
              <w:left w:w="0" w:type="dxa"/>
              <w:bottom w:w="0" w:type="dxa"/>
              <w:right w:w="15" w:type="dxa"/>
            </w:tcMar>
            <w:vAlign w:val="bottom"/>
          </w:tcPr>
          <w:p w14:paraId="78AA006F" w14:textId="77777777" w:rsidR="001614AC" w:rsidRDefault="001614AC">
            <w:pPr>
              <w:keepNext/>
              <w:spacing w:before="55" w:after="30" w:line="288" w:lineRule="auto"/>
              <w:jc w:val="right"/>
            </w:pPr>
          </w:p>
        </w:tc>
        <w:tc>
          <w:tcPr>
            <w:tcW w:w="75" w:type="dxa"/>
            <w:tcBorders>
              <w:top w:val="nil"/>
              <w:left w:val="nil"/>
              <w:bottom w:val="nil"/>
              <w:right w:val="nil"/>
            </w:tcBorders>
            <w:tcMar>
              <w:top w:w="0" w:type="dxa"/>
              <w:left w:w="0" w:type="dxa"/>
              <w:bottom w:w="0" w:type="dxa"/>
              <w:right w:w="0" w:type="dxa"/>
            </w:tcMar>
            <w:vAlign w:val="bottom"/>
          </w:tcPr>
          <w:p w14:paraId="2CDF9B7C" w14:textId="77777777" w:rsidR="001614AC" w:rsidRDefault="001614AC">
            <w:pPr>
              <w:keepNext/>
            </w:pPr>
          </w:p>
        </w:tc>
        <w:tc>
          <w:tcPr>
            <w:tcW w:w="800" w:type="dxa"/>
            <w:gridSpan w:val="2"/>
            <w:tcBorders>
              <w:top w:val="single" w:sz="8" w:space="0" w:color="E9E9E9"/>
              <w:left w:val="nil"/>
              <w:bottom w:val="nil"/>
              <w:right w:val="nil"/>
            </w:tcBorders>
            <w:tcMar>
              <w:top w:w="0" w:type="dxa"/>
              <w:left w:w="53" w:type="dxa"/>
              <w:bottom w:w="0" w:type="dxa"/>
              <w:right w:w="0" w:type="dxa"/>
            </w:tcMar>
            <w:vAlign w:val="bottom"/>
          </w:tcPr>
          <w:p w14:paraId="195CB2F3" w14:textId="77777777" w:rsidR="001614AC" w:rsidRDefault="004468F9">
            <w:pPr>
              <w:keepNext/>
              <w:spacing w:before="55" w:after="30" w:line="288" w:lineRule="auto"/>
              <w:jc w:val="right"/>
            </w:pPr>
            <w:r>
              <w:rPr>
                <w:rFonts w:ascii="Arial" w:eastAsia="Arial" w:hAnsi="Arial" w:cs="Arial"/>
                <w:color w:val="000000"/>
                <w:sz w:val="18"/>
              </w:rPr>
              <w:t>(322)</w:t>
            </w:r>
          </w:p>
        </w:tc>
        <w:tc>
          <w:tcPr>
            <w:tcW w:w="100" w:type="dxa"/>
            <w:tcBorders>
              <w:top w:val="single" w:sz="8" w:space="0" w:color="E9E9E9"/>
              <w:left w:val="nil"/>
              <w:bottom w:val="nil"/>
              <w:right w:val="nil"/>
            </w:tcBorders>
            <w:tcMar>
              <w:top w:w="0" w:type="dxa"/>
              <w:left w:w="0" w:type="dxa"/>
              <w:bottom w:w="0" w:type="dxa"/>
              <w:right w:w="15" w:type="dxa"/>
            </w:tcMar>
            <w:vAlign w:val="bottom"/>
          </w:tcPr>
          <w:p w14:paraId="1449D205" w14:textId="77777777" w:rsidR="001614AC" w:rsidRDefault="001614AC">
            <w:pPr>
              <w:keepNext/>
              <w:spacing w:before="55" w:after="30" w:line="288" w:lineRule="auto"/>
              <w:jc w:val="right"/>
            </w:pPr>
          </w:p>
        </w:tc>
        <w:tc>
          <w:tcPr>
            <w:tcW w:w="75" w:type="dxa"/>
            <w:tcBorders>
              <w:top w:val="nil"/>
              <w:left w:val="nil"/>
              <w:bottom w:val="nil"/>
              <w:right w:val="nil"/>
            </w:tcBorders>
            <w:tcMar>
              <w:top w:w="0" w:type="dxa"/>
              <w:left w:w="0" w:type="dxa"/>
              <w:bottom w:w="0" w:type="dxa"/>
              <w:right w:w="0" w:type="dxa"/>
            </w:tcMar>
            <w:vAlign w:val="bottom"/>
          </w:tcPr>
          <w:p w14:paraId="6F0AD711" w14:textId="77777777" w:rsidR="001614AC" w:rsidRDefault="001614AC">
            <w:pPr>
              <w:keepNext/>
            </w:pPr>
          </w:p>
        </w:tc>
        <w:tc>
          <w:tcPr>
            <w:tcW w:w="665" w:type="dxa"/>
            <w:tcBorders>
              <w:top w:val="single" w:sz="8" w:space="0" w:color="E9E9E9"/>
              <w:left w:val="nil"/>
              <w:bottom w:val="nil"/>
              <w:right w:val="nil"/>
            </w:tcBorders>
            <w:tcMar>
              <w:top w:w="0" w:type="dxa"/>
              <w:left w:w="53" w:type="dxa"/>
              <w:bottom w:w="0" w:type="dxa"/>
              <w:right w:w="0" w:type="dxa"/>
            </w:tcMar>
            <w:vAlign w:val="bottom"/>
          </w:tcPr>
          <w:p w14:paraId="0DE98B6F" w14:textId="77777777" w:rsidR="001614AC" w:rsidRDefault="004468F9">
            <w:pPr>
              <w:keepNext/>
              <w:spacing w:before="55" w:after="30" w:line="288" w:lineRule="auto"/>
              <w:jc w:val="right"/>
            </w:pPr>
            <w:r>
              <w:rPr>
                <w:rFonts w:ascii="Arial" w:eastAsia="Arial" w:hAnsi="Arial" w:cs="Arial"/>
                <w:color w:val="000000"/>
                <w:sz w:val="18"/>
              </w:rPr>
              <w:t>3 </w:t>
            </w:r>
          </w:p>
        </w:tc>
        <w:tc>
          <w:tcPr>
            <w:tcW w:w="100" w:type="dxa"/>
            <w:tcBorders>
              <w:top w:val="single" w:sz="8" w:space="0" w:color="E9E9E9"/>
              <w:left w:val="nil"/>
              <w:bottom w:val="nil"/>
              <w:right w:val="nil"/>
            </w:tcBorders>
            <w:tcMar>
              <w:top w:w="0" w:type="dxa"/>
              <w:left w:w="0" w:type="dxa"/>
              <w:bottom w:w="0" w:type="dxa"/>
              <w:right w:w="15" w:type="dxa"/>
            </w:tcMar>
            <w:vAlign w:val="bottom"/>
          </w:tcPr>
          <w:p w14:paraId="5396D64C" w14:textId="77777777" w:rsidR="001614AC" w:rsidRDefault="001614AC">
            <w:pPr>
              <w:keepNext/>
              <w:spacing w:before="55" w:after="30" w:line="288" w:lineRule="auto"/>
              <w:jc w:val="right"/>
            </w:pPr>
          </w:p>
        </w:tc>
        <w:tc>
          <w:tcPr>
            <w:tcW w:w="75" w:type="dxa"/>
            <w:tcBorders>
              <w:top w:val="nil"/>
              <w:left w:val="nil"/>
              <w:bottom w:val="nil"/>
              <w:right w:val="nil"/>
            </w:tcBorders>
            <w:tcMar>
              <w:top w:w="0" w:type="dxa"/>
              <w:left w:w="0" w:type="dxa"/>
              <w:bottom w:w="0" w:type="dxa"/>
              <w:right w:w="0" w:type="dxa"/>
            </w:tcMar>
            <w:vAlign w:val="bottom"/>
          </w:tcPr>
          <w:p w14:paraId="5CA80B8E" w14:textId="77777777" w:rsidR="001614AC" w:rsidRDefault="001614AC">
            <w:pPr>
              <w:keepNext/>
            </w:pPr>
          </w:p>
        </w:tc>
        <w:tc>
          <w:tcPr>
            <w:tcW w:w="905" w:type="dxa"/>
            <w:gridSpan w:val="2"/>
            <w:tcBorders>
              <w:top w:val="single" w:sz="8" w:space="0" w:color="E9E9E9"/>
              <w:left w:val="nil"/>
              <w:bottom w:val="nil"/>
              <w:right w:val="nil"/>
            </w:tcBorders>
            <w:tcMar>
              <w:top w:w="0" w:type="dxa"/>
              <w:left w:w="53" w:type="dxa"/>
              <w:bottom w:w="0" w:type="dxa"/>
              <w:right w:w="0" w:type="dxa"/>
            </w:tcMar>
            <w:vAlign w:val="bottom"/>
          </w:tcPr>
          <w:p w14:paraId="35D040A5" w14:textId="77777777" w:rsidR="001614AC" w:rsidRDefault="004468F9">
            <w:pPr>
              <w:keepNext/>
              <w:spacing w:before="55" w:after="30" w:line="288" w:lineRule="auto"/>
              <w:jc w:val="right"/>
            </w:pPr>
            <w:r>
              <w:rPr>
                <w:rFonts w:ascii="Arial" w:eastAsia="Arial" w:hAnsi="Arial" w:cs="Arial"/>
                <w:color w:val="000000"/>
                <w:sz w:val="18"/>
              </w:rPr>
              <w:t>12,119 </w:t>
            </w:r>
          </w:p>
        </w:tc>
        <w:tc>
          <w:tcPr>
            <w:tcW w:w="100" w:type="dxa"/>
            <w:tcBorders>
              <w:top w:val="single" w:sz="8" w:space="0" w:color="E9E9E9"/>
              <w:left w:val="nil"/>
              <w:bottom w:val="nil"/>
              <w:right w:val="nil"/>
            </w:tcBorders>
            <w:tcMar>
              <w:top w:w="0" w:type="dxa"/>
              <w:left w:w="0" w:type="dxa"/>
              <w:bottom w:w="0" w:type="dxa"/>
              <w:right w:w="15" w:type="dxa"/>
            </w:tcMar>
            <w:vAlign w:val="bottom"/>
          </w:tcPr>
          <w:p w14:paraId="114CCFAA" w14:textId="77777777" w:rsidR="001614AC" w:rsidRDefault="001614AC">
            <w:pPr>
              <w:keepNext/>
              <w:spacing w:before="55" w:after="30" w:line="288" w:lineRule="auto"/>
              <w:jc w:val="right"/>
            </w:pPr>
          </w:p>
        </w:tc>
        <w:tc>
          <w:tcPr>
            <w:tcW w:w="75" w:type="dxa"/>
            <w:tcBorders>
              <w:top w:val="nil"/>
              <w:left w:val="nil"/>
              <w:bottom w:val="nil"/>
              <w:right w:val="nil"/>
            </w:tcBorders>
            <w:tcMar>
              <w:top w:w="0" w:type="dxa"/>
              <w:left w:w="0" w:type="dxa"/>
              <w:bottom w:w="0" w:type="dxa"/>
              <w:right w:w="0" w:type="dxa"/>
            </w:tcMar>
            <w:vAlign w:val="bottom"/>
          </w:tcPr>
          <w:p w14:paraId="4AC75871" w14:textId="77777777" w:rsidR="001614AC" w:rsidRDefault="001614AC">
            <w:pPr>
              <w:keepNext/>
            </w:pPr>
          </w:p>
        </w:tc>
        <w:tc>
          <w:tcPr>
            <w:tcW w:w="800" w:type="dxa"/>
            <w:gridSpan w:val="2"/>
            <w:tcBorders>
              <w:top w:val="single" w:sz="8" w:space="0" w:color="E9E9E9"/>
              <w:left w:val="nil"/>
              <w:bottom w:val="nil"/>
              <w:right w:val="nil"/>
            </w:tcBorders>
            <w:tcMar>
              <w:top w:w="0" w:type="dxa"/>
              <w:left w:w="53" w:type="dxa"/>
              <w:bottom w:w="0" w:type="dxa"/>
              <w:right w:w="0" w:type="dxa"/>
            </w:tcMar>
            <w:vAlign w:val="bottom"/>
          </w:tcPr>
          <w:p w14:paraId="5C98BCEB" w14:textId="77777777" w:rsidR="001614AC" w:rsidRDefault="004468F9">
            <w:pPr>
              <w:keepNext/>
              <w:spacing w:before="55" w:after="30" w:line="288" w:lineRule="auto"/>
              <w:jc w:val="right"/>
            </w:pPr>
            <w:r>
              <w:rPr>
                <w:rFonts w:ascii="Arial" w:eastAsia="Arial" w:hAnsi="Arial" w:cs="Arial"/>
                <w:color w:val="000000"/>
                <w:sz w:val="18"/>
              </w:rPr>
              <w:t>(110)</w:t>
            </w:r>
          </w:p>
        </w:tc>
        <w:tc>
          <w:tcPr>
            <w:tcW w:w="100" w:type="dxa"/>
            <w:tcBorders>
              <w:top w:val="single" w:sz="8" w:space="0" w:color="E9E9E9"/>
              <w:left w:val="nil"/>
              <w:bottom w:val="nil"/>
              <w:right w:val="nil"/>
            </w:tcBorders>
            <w:tcMar>
              <w:top w:w="0" w:type="dxa"/>
              <w:left w:w="0" w:type="dxa"/>
              <w:bottom w:w="0" w:type="dxa"/>
              <w:right w:w="15" w:type="dxa"/>
            </w:tcMar>
            <w:vAlign w:val="bottom"/>
          </w:tcPr>
          <w:p w14:paraId="6A94635A" w14:textId="77777777" w:rsidR="001614AC" w:rsidRDefault="001614AC">
            <w:pPr>
              <w:keepNext/>
              <w:spacing w:before="55" w:after="30" w:line="288" w:lineRule="auto"/>
              <w:jc w:val="right"/>
            </w:pPr>
          </w:p>
        </w:tc>
        <w:tc>
          <w:tcPr>
            <w:tcW w:w="75" w:type="dxa"/>
            <w:tcBorders>
              <w:top w:val="nil"/>
              <w:left w:val="nil"/>
              <w:bottom w:val="nil"/>
              <w:right w:val="nil"/>
            </w:tcBorders>
            <w:tcMar>
              <w:top w:w="0" w:type="dxa"/>
              <w:left w:w="0" w:type="dxa"/>
              <w:bottom w:w="0" w:type="dxa"/>
              <w:right w:w="0" w:type="dxa"/>
            </w:tcMar>
            <w:vAlign w:val="bottom"/>
          </w:tcPr>
          <w:p w14:paraId="59B467AF" w14:textId="77777777" w:rsidR="001614AC" w:rsidRDefault="001614AC">
            <w:pPr>
              <w:keepNext/>
            </w:pPr>
          </w:p>
        </w:tc>
        <w:tc>
          <w:tcPr>
            <w:tcW w:w="665" w:type="dxa"/>
            <w:tcBorders>
              <w:top w:val="single" w:sz="8" w:space="0" w:color="E9E9E9"/>
              <w:left w:val="nil"/>
              <w:bottom w:val="nil"/>
              <w:right w:val="nil"/>
            </w:tcBorders>
            <w:tcMar>
              <w:top w:w="0" w:type="dxa"/>
              <w:left w:w="53" w:type="dxa"/>
              <w:bottom w:w="0" w:type="dxa"/>
              <w:right w:w="0" w:type="dxa"/>
            </w:tcMar>
            <w:vAlign w:val="bottom"/>
          </w:tcPr>
          <w:p w14:paraId="78FA854E" w14:textId="77777777" w:rsidR="001614AC" w:rsidRDefault="004468F9">
            <w:pPr>
              <w:keepNext/>
              <w:spacing w:before="55" w:after="30" w:line="288" w:lineRule="auto"/>
              <w:jc w:val="right"/>
            </w:pPr>
            <w:r>
              <w:rPr>
                <w:rFonts w:ascii="Arial" w:eastAsia="Arial" w:hAnsi="Arial" w:cs="Arial"/>
                <w:color w:val="000000"/>
                <w:sz w:val="18"/>
              </w:rPr>
              <w:t>29 </w:t>
            </w:r>
          </w:p>
        </w:tc>
        <w:tc>
          <w:tcPr>
            <w:tcW w:w="100" w:type="dxa"/>
            <w:tcBorders>
              <w:top w:val="single" w:sz="8" w:space="0" w:color="E9E9E9"/>
              <w:left w:val="nil"/>
              <w:bottom w:val="nil"/>
              <w:right w:val="nil"/>
            </w:tcBorders>
            <w:tcMar>
              <w:top w:w="0" w:type="dxa"/>
              <w:left w:w="0" w:type="dxa"/>
              <w:bottom w:w="0" w:type="dxa"/>
              <w:right w:w="15" w:type="dxa"/>
            </w:tcMar>
            <w:vAlign w:val="bottom"/>
          </w:tcPr>
          <w:p w14:paraId="3DD8EE48" w14:textId="77777777" w:rsidR="001614AC" w:rsidRDefault="001614AC">
            <w:pPr>
              <w:keepNext/>
              <w:spacing w:before="55" w:after="30" w:line="288" w:lineRule="auto"/>
              <w:jc w:val="right"/>
            </w:pPr>
          </w:p>
        </w:tc>
        <w:tc>
          <w:tcPr>
            <w:tcW w:w="75" w:type="dxa"/>
            <w:tcBorders>
              <w:top w:val="nil"/>
              <w:left w:val="nil"/>
              <w:bottom w:val="nil"/>
              <w:right w:val="nil"/>
            </w:tcBorders>
            <w:tcMar>
              <w:top w:w="0" w:type="dxa"/>
              <w:left w:w="0" w:type="dxa"/>
              <w:bottom w:w="0" w:type="dxa"/>
              <w:right w:w="0" w:type="dxa"/>
            </w:tcMar>
            <w:vAlign w:val="bottom"/>
          </w:tcPr>
          <w:p w14:paraId="463A1E31" w14:textId="77777777" w:rsidR="001614AC" w:rsidRDefault="001614AC">
            <w:pPr>
              <w:keepNext/>
            </w:pPr>
          </w:p>
        </w:tc>
        <w:tc>
          <w:tcPr>
            <w:tcW w:w="980" w:type="dxa"/>
            <w:gridSpan w:val="2"/>
            <w:tcBorders>
              <w:top w:val="single" w:sz="8" w:space="0" w:color="E9E9E9"/>
              <w:left w:val="nil"/>
              <w:bottom w:val="nil"/>
              <w:right w:val="nil"/>
            </w:tcBorders>
            <w:tcMar>
              <w:top w:w="0" w:type="dxa"/>
              <w:left w:w="53" w:type="dxa"/>
              <w:bottom w:w="0" w:type="dxa"/>
              <w:right w:w="0" w:type="dxa"/>
            </w:tcMar>
            <w:vAlign w:val="bottom"/>
          </w:tcPr>
          <w:p w14:paraId="3EA51611" w14:textId="77777777" w:rsidR="001614AC" w:rsidRDefault="004468F9">
            <w:pPr>
              <w:keepNext/>
              <w:spacing w:before="55" w:after="30" w:line="288" w:lineRule="auto"/>
              <w:jc w:val="right"/>
            </w:pPr>
            <w:r>
              <w:rPr>
                <w:rFonts w:ascii="Arial" w:eastAsia="Arial" w:hAnsi="Arial" w:cs="Arial"/>
                <w:color w:val="000000"/>
                <w:sz w:val="18"/>
              </w:rPr>
              <w:t>82,878 </w:t>
            </w:r>
          </w:p>
        </w:tc>
        <w:tc>
          <w:tcPr>
            <w:tcW w:w="100" w:type="dxa"/>
            <w:tcBorders>
              <w:top w:val="single" w:sz="8" w:space="0" w:color="E9E9E9"/>
              <w:left w:val="nil"/>
              <w:bottom w:val="nil"/>
              <w:right w:val="nil"/>
            </w:tcBorders>
            <w:tcMar>
              <w:top w:w="0" w:type="dxa"/>
              <w:left w:w="0" w:type="dxa"/>
              <w:bottom w:w="0" w:type="dxa"/>
              <w:right w:w="15" w:type="dxa"/>
            </w:tcMar>
            <w:vAlign w:val="bottom"/>
          </w:tcPr>
          <w:p w14:paraId="5E4C62F7" w14:textId="77777777" w:rsidR="001614AC" w:rsidRDefault="001614AC">
            <w:pPr>
              <w:keepNext/>
              <w:spacing w:before="55" w:after="30" w:line="288" w:lineRule="auto"/>
              <w:jc w:val="right"/>
            </w:pPr>
          </w:p>
        </w:tc>
        <w:tc>
          <w:tcPr>
            <w:tcW w:w="75" w:type="dxa"/>
            <w:tcBorders>
              <w:top w:val="nil"/>
              <w:left w:val="nil"/>
              <w:bottom w:val="nil"/>
              <w:right w:val="nil"/>
            </w:tcBorders>
            <w:tcMar>
              <w:top w:w="0" w:type="dxa"/>
              <w:left w:w="0" w:type="dxa"/>
              <w:bottom w:w="0" w:type="dxa"/>
              <w:right w:w="0" w:type="dxa"/>
            </w:tcMar>
            <w:vAlign w:val="bottom"/>
          </w:tcPr>
          <w:p w14:paraId="337D80F0" w14:textId="77777777" w:rsidR="001614AC" w:rsidRDefault="001614AC">
            <w:pPr>
              <w:keepNext/>
            </w:pPr>
          </w:p>
        </w:tc>
        <w:tc>
          <w:tcPr>
            <w:tcW w:w="800" w:type="dxa"/>
            <w:gridSpan w:val="2"/>
            <w:tcBorders>
              <w:top w:val="single" w:sz="8" w:space="0" w:color="E9E9E9"/>
              <w:left w:val="nil"/>
              <w:bottom w:val="nil"/>
              <w:right w:val="nil"/>
            </w:tcBorders>
            <w:tcMar>
              <w:top w:w="0" w:type="dxa"/>
              <w:left w:w="53" w:type="dxa"/>
              <w:bottom w:w="0" w:type="dxa"/>
              <w:right w:w="0" w:type="dxa"/>
            </w:tcMar>
            <w:vAlign w:val="bottom"/>
          </w:tcPr>
          <w:p w14:paraId="70C83D8B" w14:textId="77777777" w:rsidR="001614AC" w:rsidRDefault="004468F9">
            <w:pPr>
              <w:keepNext/>
              <w:spacing w:before="55" w:after="30" w:line="288" w:lineRule="auto"/>
              <w:jc w:val="right"/>
            </w:pPr>
            <w:r>
              <w:rPr>
                <w:rFonts w:ascii="Arial" w:eastAsia="Arial" w:hAnsi="Arial" w:cs="Arial"/>
                <w:color w:val="000000"/>
                <w:sz w:val="18"/>
              </w:rPr>
              <w:t>(432)</w:t>
            </w:r>
          </w:p>
        </w:tc>
        <w:tc>
          <w:tcPr>
            <w:tcW w:w="100" w:type="dxa"/>
            <w:tcBorders>
              <w:top w:val="single" w:sz="8" w:space="0" w:color="E9E9E9"/>
              <w:left w:val="nil"/>
              <w:bottom w:val="nil"/>
              <w:right w:val="nil"/>
            </w:tcBorders>
            <w:tcMar>
              <w:top w:w="0" w:type="dxa"/>
              <w:left w:w="0" w:type="dxa"/>
              <w:bottom w:w="0" w:type="dxa"/>
              <w:right w:w="15" w:type="dxa"/>
            </w:tcMar>
            <w:vAlign w:val="bottom"/>
          </w:tcPr>
          <w:p w14:paraId="4CEDECD7" w14:textId="77777777" w:rsidR="001614AC" w:rsidRDefault="001614AC">
            <w:pPr>
              <w:keepNext/>
              <w:spacing w:before="55" w:after="30" w:line="288" w:lineRule="auto"/>
              <w:jc w:val="right"/>
            </w:pPr>
          </w:p>
        </w:tc>
      </w:tr>
      <w:tr w:rsidR="008455C6" w14:paraId="69F9A37F" w14:textId="77777777">
        <w:trPr>
          <w:cantSplit/>
        </w:trPr>
        <w:tc>
          <w:tcPr>
            <w:tcW w:w="1245" w:type="dxa"/>
            <w:tcBorders>
              <w:top w:val="nil"/>
              <w:left w:val="nil"/>
              <w:bottom w:val="nil"/>
              <w:right w:val="nil"/>
            </w:tcBorders>
            <w:shd w:val="clear" w:color="auto" w:fill="F4F4F4"/>
            <w:tcMar>
              <w:top w:w="0" w:type="dxa"/>
              <w:left w:w="53" w:type="dxa"/>
              <w:bottom w:w="0" w:type="dxa"/>
              <w:right w:w="53" w:type="dxa"/>
            </w:tcMar>
            <w:vAlign w:val="bottom"/>
          </w:tcPr>
          <w:p w14:paraId="4CAD93C2" w14:textId="77777777" w:rsidR="001614AC" w:rsidRDefault="004468F9">
            <w:pPr>
              <w:spacing w:before="75" w:after="30" w:line="288" w:lineRule="auto"/>
            </w:pPr>
            <w:r>
              <w:rPr>
                <w:rFonts w:ascii="Arial" w:eastAsia="Arial" w:hAnsi="Arial" w:cs="Arial"/>
                <w:color w:val="000000"/>
                <w:sz w:val="18"/>
              </w:rPr>
              <w:t>Total</w:t>
            </w:r>
          </w:p>
        </w:tc>
        <w:tc>
          <w:tcPr>
            <w:tcW w:w="75" w:type="dxa"/>
            <w:tcBorders>
              <w:top w:val="nil"/>
              <w:left w:val="nil"/>
              <w:bottom w:val="nil"/>
              <w:right w:val="nil"/>
            </w:tcBorders>
            <w:shd w:val="clear" w:color="auto" w:fill="F4F4F4"/>
            <w:tcMar>
              <w:top w:w="0" w:type="dxa"/>
              <w:left w:w="0" w:type="dxa"/>
              <w:bottom w:w="0" w:type="dxa"/>
              <w:right w:w="0" w:type="dxa"/>
            </w:tcMar>
            <w:vAlign w:val="bottom"/>
          </w:tcPr>
          <w:p w14:paraId="3A0A5E41" w14:textId="77777777" w:rsidR="001614AC" w:rsidRDefault="001614AC"/>
        </w:tc>
        <w:tc>
          <w:tcPr>
            <w:tcW w:w="665" w:type="dxa"/>
            <w:tcBorders>
              <w:top w:val="single" w:sz="8" w:space="0" w:color="C7C9C7"/>
              <w:left w:val="nil"/>
              <w:bottom w:val="double" w:sz="8" w:space="0" w:color="C7C9C7"/>
              <w:right w:val="nil"/>
            </w:tcBorders>
            <w:shd w:val="clear" w:color="auto" w:fill="F4F4F4"/>
            <w:tcMar>
              <w:top w:w="0" w:type="dxa"/>
              <w:left w:w="53" w:type="dxa"/>
              <w:bottom w:w="0" w:type="dxa"/>
              <w:right w:w="0" w:type="dxa"/>
            </w:tcMar>
            <w:vAlign w:val="bottom"/>
          </w:tcPr>
          <w:p w14:paraId="3ACEC937" w14:textId="77777777" w:rsidR="001614AC" w:rsidRDefault="004468F9">
            <w:pPr>
              <w:spacing w:before="55" w:after="30" w:line="288" w:lineRule="auto"/>
              <w:jc w:val="right"/>
            </w:pPr>
            <w:r>
              <w:rPr>
                <w:rFonts w:ascii="Arial" w:eastAsia="Arial" w:hAnsi="Arial" w:cs="Arial"/>
                <w:color w:val="000000"/>
                <w:sz w:val="18"/>
              </w:rPr>
              <w:t>194 </w:t>
            </w:r>
          </w:p>
        </w:tc>
        <w:tc>
          <w:tcPr>
            <w:tcW w:w="100" w:type="dxa"/>
            <w:tcBorders>
              <w:top w:val="single" w:sz="8" w:space="0" w:color="C7C9C7"/>
              <w:left w:val="nil"/>
              <w:bottom w:val="double" w:sz="8" w:space="0" w:color="C7C9C7"/>
              <w:right w:val="nil"/>
            </w:tcBorders>
            <w:shd w:val="clear" w:color="auto" w:fill="F4F4F4"/>
            <w:tcMar>
              <w:top w:w="0" w:type="dxa"/>
              <w:left w:w="0" w:type="dxa"/>
              <w:bottom w:w="0" w:type="dxa"/>
              <w:right w:w="15" w:type="dxa"/>
            </w:tcMar>
            <w:vAlign w:val="bottom"/>
          </w:tcPr>
          <w:p w14:paraId="2A0A2883" w14:textId="77777777" w:rsidR="001614AC" w:rsidRDefault="001614AC">
            <w:pPr>
              <w:spacing w:before="55" w:after="30" w:line="288" w:lineRule="auto"/>
              <w:jc w:val="right"/>
            </w:pPr>
          </w:p>
        </w:tc>
        <w:tc>
          <w:tcPr>
            <w:tcW w:w="75" w:type="dxa"/>
            <w:tcBorders>
              <w:top w:val="nil"/>
              <w:left w:val="nil"/>
              <w:bottom w:val="nil"/>
              <w:right w:val="nil"/>
            </w:tcBorders>
            <w:shd w:val="clear" w:color="auto" w:fill="F4F4F4"/>
            <w:tcMar>
              <w:top w:w="0" w:type="dxa"/>
              <w:left w:w="0" w:type="dxa"/>
              <w:bottom w:w="0" w:type="dxa"/>
              <w:right w:w="0" w:type="dxa"/>
            </w:tcMar>
            <w:vAlign w:val="bottom"/>
          </w:tcPr>
          <w:p w14:paraId="62C0E1C9" w14:textId="77777777" w:rsidR="001614AC" w:rsidRDefault="001614AC"/>
        </w:tc>
        <w:tc>
          <w:tcPr>
            <w:tcW w:w="160" w:type="dxa"/>
            <w:tcBorders>
              <w:top w:val="single" w:sz="8" w:space="0" w:color="C7C9C7"/>
              <w:left w:val="nil"/>
              <w:bottom w:val="double" w:sz="8" w:space="0" w:color="C7C9C7"/>
              <w:right w:val="nil"/>
            </w:tcBorders>
            <w:shd w:val="clear" w:color="auto" w:fill="F4F4F4"/>
            <w:tcMar>
              <w:top w:w="0" w:type="dxa"/>
              <w:left w:w="53" w:type="dxa"/>
              <w:bottom w:w="0" w:type="dxa"/>
              <w:right w:w="0" w:type="dxa"/>
            </w:tcMar>
            <w:vAlign w:val="bottom"/>
          </w:tcPr>
          <w:p w14:paraId="1CA2BEB4" w14:textId="77777777" w:rsidR="001614AC" w:rsidRDefault="004468F9">
            <w:pPr>
              <w:spacing w:before="55" w:after="30" w:line="288" w:lineRule="auto"/>
            </w:pPr>
            <w:r>
              <w:rPr>
                <w:rFonts w:ascii="Arial" w:eastAsia="Arial" w:hAnsi="Arial" w:cs="Arial"/>
                <w:color w:val="000000"/>
                <w:sz w:val="18"/>
              </w:rPr>
              <w:t>$</w:t>
            </w:r>
          </w:p>
        </w:tc>
        <w:tc>
          <w:tcPr>
            <w:tcW w:w="820" w:type="dxa"/>
            <w:tcBorders>
              <w:top w:val="single" w:sz="8" w:space="0" w:color="C7C9C7"/>
              <w:left w:val="nil"/>
              <w:bottom w:val="double" w:sz="8" w:space="0" w:color="C7C9C7"/>
              <w:right w:val="nil"/>
            </w:tcBorders>
            <w:shd w:val="clear" w:color="auto" w:fill="F4F4F4"/>
            <w:tcMar>
              <w:top w:w="0" w:type="dxa"/>
              <w:left w:w="0" w:type="dxa"/>
              <w:bottom w:w="0" w:type="dxa"/>
              <w:right w:w="0" w:type="dxa"/>
            </w:tcMar>
            <w:vAlign w:val="bottom"/>
          </w:tcPr>
          <w:p w14:paraId="2A7ABB56" w14:textId="77777777" w:rsidR="001614AC" w:rsidRDefault="004468F9">
            <w:pPr>
              <w:spacing w:before="55" w:after="30" w:line="288" w:lineRule="auto"/>
              <w:jc w:val="right"/>
            </w:pPr>
            <w:r>
              <w:rPr>
                <w:rFonts w:ascii="Arial" w:eastAsia="Arial" w:hAnsi="Arial" w:cs="Arial"/>
                <w:color w:val="000000"/>
                <w:sz w:val="18"/>
              </w:rPr>
              <w:t>679,631 </w:t>
            </w:r>
          </w:p>
        </w:tc>
        <w:tc>
          <w:tcPr>
            <w:tcW w:w="100" w:type="dxa"/>
            <w:tcBorders>
              <w:top w:val="single" w:sz="8" w:space="0" w:color="C7C9C7"/>
              <w:left w:val="nil"/>
              <w:bottom w:val="double" w:sz="8" w:space="0" w:color="C7C9C7"/>
              <w:right w:val="nil"/>
            </w:tcBorders>
            <w:shd w:val="clear" w:color="auto" w:fill="F4F4F4"/>
            <w:tcMar>
              <w:top w:w="0" w:type="dxa"/>
              <w:left w:w="0" w:type="dxa"/>
              <w:bottom w:w="0" w:type="dxa"/>
              <w:right w:w="15" w:type="dxa"/>
            </w:tcMar>
            <w:vAlign w:val="bottom"/>
          </w:tcPr>
          <w:p w14:paraId="417191B5" w14:textId="77777777" w:rsidR="001614AC" w:rsidRDefault="001614AC">
            <w:pPr>
              <w:spacing w:before="55" w:after="30" w:line="288" w:lineRule="auto"/>
              <w:jc w:val="right"/>
            </w:pPr>
          </w:p>
        </w:tc>
        <w:tc>
          <w:tcPr>
            <w:tcW w:w="75" w:type="dxa"/>
            <w:tcBorders>
              <w:top w:val="nil"/>
              <w:left w:val="nil"/>
              <w:bottom w:val="nil"/>
              <w:right w:val="nil"/>
            </w:tcBorders>
            <w:shd w:val="clear" w:color="auto" w:fill="F4F4F4"/>
            <w:tcMar>
              <w:top w:w="0" w:type="dxa"/>
              <w:left w:w="0" w:type="dxa"/>
              <w:bottom w:w="0" w:type="dxa"/>
              <w:right w:w="0" w:type="dxa"/>
            </w:tcMar>
            <w:vAlign w:val="bottom"/>
          </w:tcPr>
          <w:p w14:paraId="3CEFA0D3" w14:textId="77777777" w:rsidR="001614AC" w:rsidRDefault="001614AC"/>
        </w:tc>
        <w:tc>
          <w:tcPr>
            <w:tcW w:w="160" w:type="dxa"/>
            <w:tcBorders>
              <w:top w:val="single" w:sz="8" w:space="0" w:color="C7C9C7"/>
              <w:left w:val="nil"/>
              <w:bottom w:val="double" w:sz="8" w:space="0" w:color="C7C9C7"/>
              <w:right w:val="nil"/>
            </w:tcBorders>
            <w:shd w:val="clear" w:color="auto" w:fill="F4F4F4"/>
            <w:tcMar>
              <w:top w:w="0" w:type="dxa"/>
              <w:left w:w="53" w:type="dxa"/>
              <w:bottom w:w="0" w:type="dxa"/>
              <w:right w:w="0" w:type="dxa"/>
            </w:tcMar>
            <w:vAlign w:val="bottom"/>
          </w:tcPr>
          <w:p w14:paraId="4FF990D9" w14:textId="77777777" w:rsidR="001614AC" w:rsidRDefault="004468F9">
            <w:pPr>
              <w:spacing w:before="55" w:after="30" w:line="288" w:lineRule="auto"/>
            </w:pPr>
            <w:r>
              <w:rPr>
                <w:rFonts w:ascii="Arial" w:eastAsia="Arial" w:hAnsi="Arial" w:cs="Arial"/>
                <w:color w:val="000000"/>
                <w:sz w:val="18"/>
              </w:rPr>
              <w:t>$</w:t>
            </w:r>
          </w:p>
        </w:tc>
        <w:tc>
          <w:tcPr>
            <w:tcW w:w="640" w:type="dxa"/>
            <w:tcBorders>
              <w:top w:val="single" w:sz="8" w:space="0" w:color="C7C9C7"/>
              <w:left w:val="nil"/>
              <w:bottom w:val="double" w:sz="8" w:space="0" w:color="C7C9C7"/>
              <w:right w:val="nil"/>
            </w:tcBorders>
            <w:shd w:val="clear" w:color="auto" w:fill="F4F4F4"/>
            <w:tcMar>
              <w:top w:w="0" w:type="dxa"/>
              <w:left w:w="0" w:type="dxa"/>
              <w:bottom w:w="0" w:type="dxa"/>
              <w:right w:w="0" w:type="dxa"/>
            </w:tcMar>
            <w:vAlign w:val="bottom"/>
          </w:tcPr>
          <w:p w14:paraId="3436B8A3" w14:textId="77777777" w:rsidR="001614AC" w:rsidRDefault="004468F9">
            <w:pPr>
              <w:spacing w:before="55" w:after="30" w:line="288" w:lineRule="auto"/>
              <w:jc w:val="right"/>
            </w:pPr>
            <w:r>
              <w:rPr>
                <w:rFonts w:ascii="Arial" w:eastAsia="Arial" w:hAnsi="Arial" w:cs="Arial"/>
                <w:color w:val="000000"/>
                <w:sz w:val="18"/>
              </w:rPr>
              <w:t>(12,101)</w:t>
            </w:r>
          </w:p>
        </w:tc>
        <w:tc>
          <w:tcPr>
            <w:tcW w:w="100" w:type="dxa"/>
            <w:tcBorders>
              <w:top w:val="single" w:sz="8" w:space="0" w:color="C7C9C7"/>
              <w:left w:val="nil"/>
              <w:bottom w:val="double" w:sz="8" w:space="0" w:color="C7C9C7"/>
              <w:right w:val="nil"/>
            </w:tcBorders>
            <w:shd w:val="clear" w:color="auto" w:fill="F4F4F4"/>
            <w:tcMar>
              <w:top w:w="0" w:type="dxa"/>
              <w:left w:w="0" w:type="dxa"/>
              <w:bottom w:w="0" w:type="dxa"/>
              <w:right w:w="15" w:type="dxa"/>
            </w:tcMar>
            <w:vAlign w:val="bottom"/>
          </w:tcPr>
          <w:p w14:paraId="32561CF5" w14:textId="77777777" w:rsidR="001614AC" w:rsidRDefault="001614AC">
            <w:pPr>
              <w:spacing w:before="55" w:after="30" w:line="288" w:lineRule="auto"/>
              <w:jc w:val="right"/>
            </w:pPr>
          </w:p>
        </w:tc>
        <w:tc>
          <w:tcPr>
            <w:tcW w:w="75" w:type="dxa"/>
            <w:tcBorders>
              <w:top w:val="nil"/>
              <w:left w:val="nil"/>
              <w:bottom w:val="nil"/>
              <w:right w:val="nil"/>
            </w:tcBorders>
            <w:shd w:val="clear" w:color="auto" w:fill="F4F4F4"/>
            <w:tcMar>
              <w:top w:w="0" w:type="dxa"/>
              <w:left w:w="0" w:type="dxa"/>
              <w:bottom w:w="0" w:type="dxa"/>
              <w:right w:w="0" w:type="dxa"/>
            </w:tcMar>
            <w:vAlign w:val="bottom"/>
          </w:tcPr>
          <w:p w14:paraId="2CA1B161" w14:textId="77777777" w:rsidR="001614AC" w:rsidRDefault="001614AC"/>
        </w:tc>
        <w:tc>
          <w:tcPr>
            <w:tcW w:w="665" w:type="dxa"/>
            <w:tcBorders>
              <w:top w:val="single" w:sz="8" w:space="0" w:color="C7C9C7"/>
              <w:left w:val="nil"/>
              <w:bottom w:val="double" w:sz="8" w:space="0" w:color="C7C9C7"/>
              <w:right w:val="nil"/>
            </w:tcBorders>
            <w:shd w:val="clear" w:color="auto" w:fill="F4F4F4"/>
            <w:tcMar>
              <w:top w:w="0" w:type="dxa"/>
              <w:left w:w="53" w:type="dxa"/>
              <w:bottom w:w="0" w:type="dxa"/>
              <w:right w:w="0" w:type="dxa"/>
            </w:tcMar>
            <w:vAlign w:val="bottom"/>
          </w:tcPr>
          <w:p w14:paraId="521EAFED" w14:textId="77777777" w:rsidR="001614AC" w:rsidRDefault="004468F9">
            <w:pPr>
              <w:spacing w:before="55" w:after="30" w:line="288" w:lineRule="auto"/>
              <w:jc w:val="right"/>
            </w:pPr>
            <w:r>
              <w:rPr>
                <w:rFonts w:ascii="Arial" w:eastAsia="Arial" w:hAnsi="Arial" w:cs="Arial"/>
                <w:color w:val="000000"/>
                <w:sz w:val="18"/>
              </w:rPr>
              <w:t>36 </w:t>
            </w:r>
          </w:p>
        </w:tc>
        <w:tc>
          <w:tcPr>
            <w:tcW w:w="100" w:type="dxa"/>
            <w:tcBorders>
              <w:top w:val="single" w:sz="8" w:space="0" w:color="C7C9C7"/>
              <w:left w:val="nil"/>
              <w:bottom w:val="double" w:sz="8" w:space="0" w:color="C7C9C7"/>
              <w:right w:val="nil"/>
            </w:tcBorders>
            <w:shd w:val="clear" w:color="auto" w:fill="F4F4F4"/>
            <w:tcMar>
              <w:top w:w="0" w:type="dxa"/>
              <w:left w:w="0" w:type="dxa"/>
              <w:bottom w:w="0" w:type="dxa"/>
              <w:right w:w="15" w:type="dxa"/>
            </w:tcMar>
            <w:vAlign w:val="bottom"/>
          </w:tcPr>
          <w:p w14:paraId="7E500131" w14:textId="77777777" w:rsidR="001614AC" w:rsidRDefault="001614AC">
            <w:pPr>
              <w:spacing w:before="55" w:after="30" w:line="288" w:lineRule="auto"/>
              <w:jc w:val="right"/>
            </w:pPr>
          </w:p>
        </w:tc>
        <w:tc>
          <w:tcPr>
            <w:tcW w:w="75" w:type="dxa"/>
            <w:tcBorders>
              <w:top w:val="nil"/>
              <w:left w:val="nil"/>
              <w:bottom w:val="nil"/>
              <w:right w:val="nil"/>
            </w:tcBorders>
            <w:shd w:val="clear" w:color="auto" w:fill="F4F4F4"/>
            <w:tcMar>
              <w:top w:w="0" w:type="dxa"/>
              <w:left w:w="0" w:type="dxa"/>
              <w:bottom w:w="0" w:type="dxa"/>
              <w:right w:w="0" w:type="dxa"/>
            </w:tcMar>
            <w:vAlign w:val="bottom"/>
          </w:tcPr>
          <w:p w14:paraId="5E4ABCCB" w14:textId="77777777" w:rsidR="001614AC" w:rsidRDefault="001614AC"/>
        </w:tc>
        <w:tc>
          <w:tcPr>
            <w:tcW w:w="160" w:type="dxa"/>
            <w:tcBorders>
              <w:top w:val="single" w:sz="8" w:space="0" w:color="C7C9C7"/>
              <w:left w:val="nil"/>
              <w:bottom w:val="double" w:sz="8" w:space="0" w:color="C7C9C7"/>
              <w:right w:val="nil"/>
            </w:tcBorders>
            <w:shd w:val="clear" w:color="auto" w:fill="F4F4F4"/>
            <w:tcMar>
              <w:top w:w="0" w:type="dxa"/>
              <w:left w:w="53" w:type="dxa"/>
              <w:bottom w:w="0" w:type="dxa"/>
              <w:right w:w="0" w:type="dxa"/>
            </w:tcMar>
            <w:vAlign w:val="bottom"/>
          </w:tcPr>
          <w:p w14:paraId="7439ABA8" w14:textId="77777777" w:rsidR="001614AC" w:rsidRDefault="004468F9">
            <w:pPr>
              <w:spacing w:before="55" w:after="30" w:line="288" w:lineRule="auto"/>
            </w:pPr>
            <w:r>
              <w:rPr>
                <w:rFonts w:ascii="Arial" w:eastAsia="Arial" w:hAnsi="Arial" w:cs="Arial"/>
                <w:color w:val="000000"/>
                <w:sz w:val="18"/>
              </w:rPr>
              <w:t>$</w:t>
            </w:r>
          </w:p>
        </w:tc>
        <w:tc>
          <w:tcPr>
            <w:tcW w:w="745" w:type="dxa"/>
            <w:tcBorders>
              <w:top w:val="single" w:sz="8" w:space="0" w:color="C7C9C7"/>
              <w:left w:val="nil"/>
              <w:bottom w:val="double" w:sz="8" w:space="0" w:color="C7C9C7"/>
              <w:right w:val="nil"/>
            </w:tcBorders>
            <w:shd w:val="clear" w:color="auto" w:fill="F4F4F4"/>
            <w:tcMar>
              <w:top w:w="0" w:type="dxa"/>
              <w:left w:w="0" w:type="dxa"/>
              <w:bottom w:w="0" w:type="dxa"/>
              <w:right w:w="0" w:type="dxa"/>
            </w:tcMar>
            <w:vAlign w:val="bottom"/>
          </w:tcPr>
          <w:p w14:paraId="637B4C28" w14:textId="77777777" w:rsidR="001614AC" w:rsidRDefault="004468F9">
            <w:pPr>
              <w:spacing w:before="55" w:after="30" w:line="288" w:lineRule="auto"/>
              <w:jc w:val="right"/>
            </w:pPr>
            <w:r>
              <w:rPr>
                <w:rFonts w:ascii="Arial" w:eastAsia="Arial" w:hAnsi="Arial" w:cs="Arial"/>
                <w:color w:val="000000"/>
                <w:sz w:val="18"/>
              </w:rPr>
              <w:t>158,852 </w:t>
            </w:r>
          </w:p>
        </w:tc>
        <w:tc>
          <w:tcPr>
            <w:tcW w:w="100" w:type="dxa"/>
            <w:tcBorders>
              <w:top w:val="single" w:sz="8" w:space="0" w:color="C7C9C7"/>
              <w:left w:val="nil"/>
              <w:bottom w:val="double" w:sz="8" w:space="0" w:color="C7C9C7"/>
              <w:right w:val="nil"/>
            </w:tcBorders>
            <w:shd w:val="clear" w:color="auto" w:fill="F4F4F4"/>
            <w:tcMar>
              <w:top w:w="0" w:type="dxa"/>
              <w:left w:w="0" w:type="dxa"/>
              <w:bottom w:w="0" w:type="dxa"/>
              <w:right w:w="15" w:type="dxa"/>
            </w:tcMar>
            <w:vAlign w:val="bottom"/>
          </w:tcPr>
          <w:p w14:paraId="0C258BC0" w14:textId="77777777" w:rsidR="001614AC" w:rsidRDefault="001614AC">
            <w:pPr>
              <w:spacing w:before="55" w:after="30" w:line="288" w:lineRule="auto"/>
              <w:jc w:val="right"/>
            </w:pPr>
          </w:p>
        </w:tc>
        <w:tc>
          <w:tcPr>
            <w:tcW w:w="75" w:type="dxa"/>
            <w:tcBorders>
              <w:top w:val="nil"/>
              <w:left w:val="nil"/>
              <w:bottom w:val="nil"/>
              <w:right w:val="nil"/>
            </w:tcBorders>
            <w:shd w:val="clear" w:color="auto" w:fill="F4F4F4"/>
            <w:tcMar>
              <w:top w:w="0" w:type="dxa"/>
              <w:left w:w="0" w:type="dxa"/>
              <w:bottom w:w="0" w:type="dxa"/>
              <w:right w:w="0" w:type="dxa"/>
            </w:tcMar>
            <w:vAlign w:val="bottom"/>
          </w:tcPr>
          <w:p w14:paraId="176F09D6" w14:textId="77777777" w:rsidR="001614AC" w:rsidRDefault="001614AC"/>
        </w:tc>
        <w:tc>
          <w:tcPr>
            <w:tcW w:w="160" w:type="dxa"/>
            <w:tcBorders>
              <w:top w:val="single" w:sz="8" w:space="0" w:color="C7C9C7"/>
              <w:left w:val="nil"/>
              <w:bottom w:val="double" w:sz="8" w:space="0" w:color="C7C9C7"/>
              <w:right w:val="nil"/>
            </w:tcBorders>
            <w:shd w:val="clear" w:color="auto" w:fill="F4F4F4"/>
            <w:tcMar>
              <w:top w:w="0" w:type="dxa"/>
              <w:left w:w="53" w:type="dxa"/>
              <w:bottom w:w="0" w:type="dxa"/>
              <w:right w:w="0" w:type="dxa"/>
            </w:tcMar>
            <w:vAlign w:val="bottom"/>
          </w:tcPr>
          <w:p w14:paraId="19D91C5A" w14:textId="77777777" w:rsidR="001614AC" w:rsidRDefault="004468F9">
            <w:pPr>
              <w:spacing w:before="55" w:after="30" w:line="288" w:lineRule="auto"/>
            </w:pPr>
            <w:r>
              <w:rPr>
                <w:rFonts w:ascii="Arial" w:eastAsia="Arial" w:hAnsi="Arial" w:cs="Arial"/>
                <w:color w:val="000000"/>
                <w:sz w:val="18"/>
              </w:rPr>
              <w:t>$</w:t>
            </w:r>
          </w:p>
        </w:tc>
        <w:tc>
          <w:tcPr>
            <w:tcW w:w="640" w:type="dxa"/>
            <w:tcBorders>
              <w:top w:val="single" w:sz="8" w:space="0" w:color="C7C9C7"/>
              <w:left w:val="nil"/>
              <w:bottom w:val="double" w:sz="8" w:space="0" w:color="C7C9C7"/>
              <w:right w:val="nil"/>
            </w:tcBorders>
            <w:shd w:val="clear" w:color="auto" w:fill="F4F4F4"/>
            <w:tcMar>
              <w:top w:w="0" w:type="dxa"/>
              <w:left w:w="0" w:type="dxa"/>
              <w:bottom w:w="0" w:type="dxa"/>
              <w:right w:w="0" w:type="dxa"/>
            </w:tcMar>
            <w:vAlign w:val="bottom"/>
          </w:tcPr>
          <w:p w14:paraId="392178B8" w14:textId="77777777" w:rsidR="001614AC" w:rsidRDefault="004468F9">
            <w:pPr>
              <w:spacing w:before="55" w:after="30" w:line="288" w:lineRule="auto"/>
              <w:jc w:val="right"/>
            </w:pPr>
            <w:r>
              <w:rPr>
                <w:rFonts w:ascii="Arial" w:eastAsia="Arial" w:hAnsi="Arial" w:cs="Arial"/>
                <w:color w:val="000000"/>
                <w:sz w:val="18"/>
              </w:rPr>
              <w:t>(2,056)</w:t>
            </w:r>
          </w:p>
        </w:tc>
        <w:tc>
          <w:tcPr>
            <w:tcW w:w="100" w:type="dxa"/>
            <w:tcBorders>
              <w:top w:val="single" w:sz="8" w:space="0" w:color="C7C9C7"/>
              <w:left w:val="nil"/>
              <w:bottom w:val="double" w:sz="8" w:space="0" w:color="C7C9C7"/>
              <w:right w:val="nil"/>
            </w:tcBorders>
            <w:shd w:val="clear" w:color="auto" w:fill="F4F4F4"/>
            <w:tcMar>
              <w:top w:w="0" w:type="dxa"/>
              <w:left w:w="0" w:type="dxa"/>
              <w:bottom w:w="0" w:type="dxa"/>
              <w:right w:w="15" w:type="dxa"/>
            </w:tcMar>
            <w:vAlign w:val="bottom"/>
          </w:tcPr>
          <w:p w14:paraId="54210462" w14:textId="77777777" w:rsidR="001614AC" w:rsidRDefault="001614AC">
            <w:pPr>
              <w:spacing w:before="55" w:after="30" w:line="288" w:lineRule="auto"/>
              <w:jc w:val="right"/>
            </w:pPr>
          </w:p>
        </w:tc>
        <w:tc>
          <w:tcPr>
            <w:tcW w:w="75" w:type="dxa"/>
            <w:tcBorders>
              <w:top w:val="nil"/>
              <w:left w:val="nil"/>
              <w:bottom w:val="nil"/>
              <w:right w:val="nil"/>
            </w:tcBorders>
            <w:shd w:val="clear" w:color="auto" w:fill="F4F4F4"/>
            <w:tcMar>
              <w:top w:w="0" w:type="dxa"/>
              <w:left w:w="0" w:type="dxa"/>
              <w:bottom w:w="0" w:type="dxa"/>
              <w:right w:w="0" w:type="dxa"/>
            </w:tcMar>
            <w:vAlign w:val="bottom"/>
          </w:tcPr>
          <w:p w14:paraId="11B1FFC4" w14:textId="77777777" w:rsidR="001614AC" w:rsidRDefault="001614AC"/>
        </w:tc>
        <w:tc>
          <w:tcPr>
            <w:tcW w:w="665" w:type="dxa"/>
            <w:tcBorders>
              <w:top w:val="single" w:sz="8" w:space="0" w:color="C7C9C7"/>
              <w:left w:val="nil"/>
              <w:bottom w:val="double" w:sz="8" w:space="0" w:color="C7C9C7"/>
              <w:right w:val="nil"/>
            </w:tcBorders>
            <w:shd w:val="clear" w:color="auto" w:fill="F4F4F4"/>
            <w:tcMar>
              <w:top w:w="0" w:type="dxa"/>
              <w:left w:w="53" w:type="dxa"/>
              <w:bottom w:w="0" w:type="dxa"/>
              <w:right w:w="0" w:type="dxa"/>
            </w:tcMar>
            <w:vAlign w:val="bottom"/>
          </w:tcPr>
          <w:p w14:paraId="74ADC5B6" w14:textId="77777777" w:rsidR="001614AC" w:rsidRDefault="004468F9">
            <w:pPr>
              <w:spacing w:before="55" w:after="30" w:line="288" w:lineRule="auto"/>
              <w:jc w:val="right"/>
            </w:pPr>
            <w:r>
              <w:rPr>
                <w:rFonts w:ascii="Arial" w:eastAsia="Arial" w:hAnsi="Arial" w:cs="Arial"/>
                <w:color w:val="000000"/>
                <w:sz w:val="18"/>
              </w:rPr>
              <w:t>230 </w:t>
            </w:r>
          </w:p>
        </w:tc>
        <w:tc>
          <w:tcPr>
            <w:tcW w:w="100" w:type="dxa"/>
            <w:tcBorders>
              <w:top w:val="single" w:sz="8" w:space="0" w:color="C7C9C7"/>
              <w:left w:val="nil"/>
              <w:bottom w:val="double" w:sz="8" w:space="0" w:color="C7C9C7"/>
              <w:right w:val="nil"/>
            </w:tcBorders>
            <w:shd w:val="clear" w:color="auto" w:fill="F4F4F4"/>
            <w:tcMar>
              <w:top w:w="0" w:type="dxa"/>
              <w:left w:w="0" w:type="dxa"/>
              <w:bottom w:w="0" w:type="dxa"/>
              <w:right w:w="15" w:type="dxa"/>
            </w:tcMar>
            <w:vAlign w:val="bottom"/>
          </w:tcPr>
          <w:p w14:paraId="4986CA35" w14:textId="77777777" w:rsidR="001614AC" w:rsidRDefault="001614AC">
            <w:pPr>
              <w:spacing w:before="55" w:after="30" w:line="288" w:lineRule="auto"/>
              <w:jc w:val="right"/>
            </w:pPr>
          </w:p>
        </w:tc>
        <w:tc>
          <w:tcPr>
            <w:tcW w:w="75" w:type="dxa"/>
            <w:tcBorders>
              <w:top w:val="nil"/>
              <w:left w:val="nil"/>
              <w:bottom w:val="nil"/>
              <w:right w:val="nil"/>
            </w:tcBorders>
            <w:shd w:val="clear" w:color="auto" w:fill="F4F4F4"/>
            <w:tcMar>
              <w:top w:w="0" w:type="dxa"/>
              <w:left w:w="0" w:type="dxa"/>
              <w:bottom w:w="0" w:type="dxa"/>
              <w:right w:w="0" w:type="dxa"/>
            </w:tcMar>
            <w:vAlign w:val="bottom"/>
          </w:tcPr>
          <w:p w14:paraId="53082D18" w14:textId="77777777" w:rsidR="001614AC" w:rsidRDefault="001614AC"/>
        </w:tc>
        <w:tc>
          <w:tcPr>
            <w:tcW w:w="160" w:type="dxa"/>
            <w:tcBorders>
              <w:top w:val="single" w:sz="8" w:space="0" w:color="C7C9C7"/>
              <w:left w:val="nil"/>
              <w:bottom w:val="double" w:sz="8" w:space="0" w:color="C7C9C7"/>
              <w:right w:val="nil"/>
            </w:tcBorders>
            <w:shd w:val="clear" w:color="auto" w:fill="F4F4F4"/>
            <w:tcMar>
              <w:top w:w="0" w:type="dxa"/>
              <w:left w:w="53" w:type="dxa"/>
              <w:bottom w:w="0" w:type="dxa"/>
              <w:right w:w="0" w:type="dxa"/>
            </w:tcMar>
            <w:vAlign w:val="bottom"/>
          </w:tcPr>
          <w:p w14:paraId="7BB6C363" w14:textId="77777777" w:rsidR="001614AC" w:rsidRDefault="004468F9">
            <w:pPr>
              <w:spacing w:before="55" w:after="30" w:line="288" w:lineRule="auto"/>
            </w:pPr>
            <w:r>
              <w:rPr>
                <w:rFonts w:ascii="Arial" w:eastAsia="Arial" w:hAnsi="Arial" w:cs="Arial"/>
                <w:color w:val="000000"/>
                <w:sz w:val="18"/>
              </w:rPr>
              <w:t>$</w:t>
            </w:r>
          </w:p>
        </w:tc>
        <w:tc>
          <w:tcPr>
            <w:tcW w:w="820" w:type="dxa"/>
            <w:tcBorders>
              <w:top w:val="single" w:sz="8" w:space="0" w:color="C7C9C7"/>
              <w:left w:val="nil"/>
              <w:bottom w:val="double" w:sz="8" w:space="0" w:color="C7C9C7"/>
              <w:right w:val="nil"/>
            </w:tcBorders>
            <w:shd w:val="clear" w:color="auto" w:fill="F4F4F4"/>
            <w:tcMar>
              <w:top w:w="0" w:type="dxa"/>
              <w:left w:w="0" w:type="dxa"/>
              <w:bottom w:w="0" w:type="dxa"/>
              <w:right w:w="0" w:type="dxa"/>
            </w:tcMar>
            <w:vAlign w:val="bottom"/>
          </w:tcPr>
          <w:p w14:paraId="2D72ACB8" w14:textId="77777777" w:rsidR="001614AC" w:rsidRDefault="004468F9">
            <w:pPr>
              <w:spacing w:before="55" w:after="30" w:line="288" w:lineRule="auto"/>
              <w:jc w:val="right"/>
            </w:pPr>
            <w:r>
              <w:rPr>
                <w:rFonts w:ascii="Arial" w:eastAsia="Arial" w:hAnsi="Arial" w:cs="Arial"/>
                <w:color w:val="000000"/>
                <w:sz w:val="18"/>
              </w:rPr>
              <w:t>838,483 </w:t>
            </w:r>
          </w:p>
        </w:tc>
        <w:tc>
          <w:tcPr>
            <w:tcW w:w="100" w:type="dxa"/>
            <w:tcBorders>
              <w:top w:val="single" w:sz="8" w:space="0" w:color="C7C9C7"/>
              <w:left w:val="nil"/>
              <w:bottom w:val="double" w:sz="8" w:space="0" w:color="C7C9C7"/>
              <w:right w:val="nil"/>
            </w:tcBorders>
            <w:shd w:val="clear" w:color="auto" w:fill="F4F4F4"/>
            <w:tcMar>
              <w:top w:w="0" w:type="dxa"/>
              <w:left w:w="0" w:type="dxa"/>
              <w:bottom w:w="0" w:type="dxa"/>
              <w:right w:w="15" w:type="dxa"/>
            </w:tcMar>
            <w:vAlign w:val="bottom"/>
          </w:tcPr>
          <w:p w14:paraId="2358DD25" w14:textId="77777777" w:rsidR="001614AC" w:rsidRDefault="001614AC">
            <w:pPr>
              <w:spacing w:before="55" w:after="30" w:line="288" w:lineRule="auto"/>
              <w:jc w:val="right"/>
            </w:pPr>
          </w:p>
        </w:tc>
        <w:tc>
          <w:tcPr>
            <w:tcW w:w="75" w:type="dxa"/>
            <w:tcBorders>
              <w:top w:val="nil"/>
              <w:left w:val="nil"/>
              <w:bottom w:val="nil"/>
              <w:right w:val="nil"/>
            </w:tcBorders>
            <w:shd w:val="clear" w:color="auto" w:fill="F4F4F4"/>
            <w:tcMar>
              <w:top w:w="0" w:type="dxa"/>
              <w:left w:w="0" w:type="dxa"/>
              <w:bottom w:w="0" w:type="dxa"/>
              <w:right w:w="0" w:type="dxa"/>
            </w:tcMar>
            <w:vAlign w:val="bottom"/>
          </w:tcPr>
          <w:p w14:paraId="2328A72A" w14:textId="77777777" w:rsidR="001614AC" w:rsidRDefault="001614AC"/>
        </w:tc>
        <w:tc>
          <w:tcPr>
            <w:tcW w:w="160" w:type="dxa"/>
            <w:tcBorders>
              <w:top w:val="single" w:sz="8" w:space="0" w:color="C7C9C7"/>
              <w:left w:val="nil"/>
              <w:bottom w:val="double" w:sz="8" w:space="0" w:color="C7C9C7"/>
              <w:right w:val="nil"/>
            </w:tcBorders>
            <w:shd w:val="clear" w:color="auto" w:fill="F4F4F4"/>
            <w:tcMar>
              <w:top w:w="0" w:type="dxa"/>
              <w:left w:w="53" w:type="dxa"/>
              <w:bottom w:w="0" w:type="dxa"/>
              <w:right w:w="0" w:type="dxa"/>
            </w:tcMar>
            <w:vAlign w:val="bottom"/>
          </w:tcPr>
          <w:p w14:paraId="69A1BE1D" w14:textId="77777777" w:rsidR="001614AC" w:rsidRDefault="004468F9">
            <w:pPr>
              <w:spacing w:before="55" w:after="30" w:line="288" w:lineRule="auto"/>
            </w:pPr>
            <w:r>
              <w:rPr>
                <w:rFonts w:ascii="Arial" w:eastAsia="Arial" w:hAnsi="Arial" w:cs="Arial"/>
                <w:color w:val="000000"/>
                <w:sz w:val="18"/>
              </w:rPr>
              <w:t>$</w:t>
            </w:r>
          </w:p>
        </w:tc>
        <w:tc>
          <w:tcPr>
            <w:tcW w:w="640" w:type="dxa"/>
            <w:tcBorders>
              <w:top w:val="single" w:sz="8" w:space="0" w:color="C7C9C7"/>
              <w:left w:val="nil"/>
              <w:bottom w:val="double" w:sz="8" w:space="0" w:color="C7C9C7"/>
              <w:right w:val="nil"/>
            </w:tcBorders>
            <w:shd w:val="clear" w:color="auto" w:fill="F4F4F4"/>
            <w:tcMar>
              <w:top w:w="0" w:type="dxa"/>
              <w:left w:w="0" w:type="dxa"/>
              <w:bottom w:w="0" w:type="dxa"/>
              <w:right w:w="0" w:type="dxa"/>
            </w:tcMar>
            <w:vAlign w:val="bottom"/>
          </w:tcPr>
          <w:p w14:paraId="7D073FCA" w14:textId="77777777" w:rsidR="001614AC" w:rsidRDefault="004468F9">
            <w:pPr>
              <w:spacing w:before="55" w:after="30" w:line="288" w:lineRule="auto"/>
              <w:jc w:val="right"/>
            </w:pPr>
            <w:r>
              <w:rPr>
                <w:rFonts w:ascii="Arial" w:eastAsia="Arial" w:hAnsi="Arial" w:cs="Arial"/>
                <w:color w:val="000000"/>
                <w:sz w:val="18"/>
              </w:rPr>
              <w:t>(14,157)</w:t>
            </w:r>
          </w:p>
        </w:tc>
        <w:tc>
          <w:tcPr>
            <w:tcW w:w="100" w:type="dxa"/>
            <w:tcBorders>
              <w:top w:val="single" w:sz="8" w:space="0" w:color="C7C9C7"/>
              <w:left w:val="nil"/>
              <w:bottom w:val="double" w:sz="8" w:space="0" w:color="C7C9C7"/>
              <w:right w:val="nil"/>
            </w:tcBorders>
            <w:shd w:val="clear" w:color="auto" w:fill="F4F4F4"/>
            <w:tcMar>
              <w:top w:w="0" w:type="dxa"/>
              <w:left w:w="0" w:type="dxa"/>
              <w:bottom w:w="0" w:type="dxa"/>
              <w:right w:w="15" w:type="dxa"/>
            </w:tcMar>
            <w:vAlign w:val="bottom"/>
          </w:tcPr>
          <w:p w14:paraId="1A271FBF" w14:textId="77777777" w:rsidR="001614AC" w:rsidRDefault="001614AC">
            <w:pPr>
              <w:spacing w:before="55" w:after="30" w:line="288" w:lineRule="auto"/>
              <w:jc w:val="right"/>
            </w:pPr>
          </w:p>
        </w:tc>
      </w:tr>
    </w:tbl>
    <w:p w14:paraId="2902396C" w14:textId="77777777" w:rsidR="001614AC" w:rsidRDefault="004468F9">
      <w:pPr>
        <w:spacing w:before="200" w:after="100" w:line="288" w:lineRule="auto"/>
        <w:ind w:firstLine="450"/>
        <w:rPr>
          <w:rFonts w:ascii="Calibri" w:eastAsia="Calibri" w:hAnsi="Calibri" w:cs="Calibri"/>
          <w:b/>
          <w:color w:val="002B49"/>
          <w:sz w:val="28"/>
        </w:rPr>
      </w:pPr>
      <w:r>
        <w:rPr>
          <w:rFonts w:ascii="Arial" w:eastAsia="Arial" w:hAnsi="Arial" w:cs="Arial"/>
          <w:sz w:val="18"/>
        </w:rPr>
        <w:t>See “Net Ga</w:t>
      </w:r>
      <w:r>
        <w:rPr>
          <w:rFonts w:ascii="Arial" w:eastAsia="Arial" w:hAnsi="Arial" w:cs="Arial"/>
          <w:sz w:val="18"/>
        </w:rPr>
        <w:t>ins (Losses) on Investments” below for additional details on our net gains (losses) on investments, including the changes in the allowance for credit losses on fixed maturities available for sale and other impairments due to our intent to sell securities i</w:t>
      </w:r>
      <w:r>
        <w:rPr>
          <w:rFonts w:ascii="Arial" w:eastAsia="Arial" w:hAnsi="Arial" w:cs="Arial"/>
          <w:sz w:val="18"/>
        </w:rPr>
        <w:t xml:space="preserve">n an unrealized loss position. See Note 2 of Notes to Consolidated Financial Statements in our 2020 Form 10-K for information regarding our accounting policy for impairments. </w:t>
      </w:r>
    </w:p>
    <w:p w14:paraId="5561A87E" w14:textId="77777777" w:rsidR="001614AC" w:rsidRDefault="004468F9">
      <w:pPr>
        <w:keepNext/>
        <w:spacing w:before="180" w:after="140" w:line="288" w:lineRule="auto"/>
        <w:rPr>
          <w:rFonts w:ascii="Arial" w:eastAsia="Arial" w:hAnsi="Arial" w:cs="Arial"/>
          <w:b/>
          <w:color w:val="002B49"/>
          <w:sz w:val="26"/>
        </w:rPr>
      </w:pPr>
      <w:r>
        <w:rPr>
          <w:rFonts w:ascii="Arial" w:eastAsia="Arial" w:hAnsi="Arial" w:cs="Arial"/>
          <w:b/>
          <w:color w:val="002B49"/>
          <w:sz w:val="26"/>
        </w:rPr>
        <w:lastRenderedPageBreak/>
        <w:t>Securities Lending Agreements</w:t>
      </w:r>
    </w:p>
    <w:p w14:paraId="1E89D5D3" w14:textId="77777777" w:rsidR="001614AC" w:rsidRDefault="004468F9">
      <w:pPr>
        <w:spacing w:before="100" w:after="100" w:line="288" w:lineRule="auto"/>
        <w:ind w:firstLine="450"/>
        <w:rPr>
          <w:rFonts w:ascii="Arial" w:eastAsia="Arial" w:hAnsi="Arial" w:cs="Arial"/>
          <w:b/>
          <w:color w:val="002B49"/>
          <w:sz w:val="18"/>
        </w:rPr>
      </w:pPr>
      <w:r>
        <w:rPr>
          <w:rFonts w:ascii="Arial" w:eastAsia="Arial" w:hAnsi="Arial" w:cs="Arial"/>
          <w:sz w:val="18"/>
        </w:rPr>
        <w:t>We participate in a securities lending program whe</w:t>
      </w:r>
      <w:r>
        <w:rPr>
          <w:rFonts w:ascii="Arial" w:eastAsia="Arial" w:hAnsi="Arial" w:cs="Arial"/>
          <w:sz w:val="18"/>
        </w:rPr>
        <w:t>reby we loan certain securities in our investment portfolio to third-party borrowers for short periods of time. Although we report such securities at fair value within other assets in our condensed consolidated balance sheets, rather than within investment</w:t>
      </w:r>
      <w:r>
        <w:rPr>
          <w:rFonts w:ascii="Arial" w:eastAsia="Arial" w:hAnsi="Arial" w:cs="Arial"/>
          <w:sz w:val="18"/>
        </w:rPr>
        <w:t xml:space="preserve">s, the detailed information we provide in this Note 6 includes these securities. See Note 5 for additional detail on the loaned securities, and see Note 6 of Notes to Consolidated Financial Statements in our 2020 Form 10-K for additional information about </w:t>
      </w:r>
      <w:r>
        <w:rPr>
          <w:rFonts w:ascii="Arial" w:eastAsia="Arial" w:hAnsi="Arial" w:cs="Arial"/>
          <w:sz w:val="18"/>
        </w:rPr>
        <w:t xml:space="preserve">our accounting policies with respect to our securities lending agreements and the collateral requirements thereunder. </w:t>
      </w:r>
    </w:p>
    <w:p w14:paraId="28DCB048" w14:textId="77777777" w:rsidR="001614AC" w:rsidRDefault="004468F9">
      <w:pPr>
        <w:spacing w:before="100" w:after="100" w:line="288" w:lineRule="auto"/>
        <w:ind w:firstLine="450"/>
        <w:rPr>
          <w:rFonts w:ascii="Arial" w:eastAsia="Arial" w:hAnsi="Arial" w:cs="Arial"/>
          <w:b/>
          <w:color w:val="002B49"/>
          <w:sz w:val="18"/>
        </w:rPr>
      </w:pPr>
      <w:r>
        <w:rPr>
          <w:rFonts w:ascii="Arial" w:eastAsia="Arial" w:hAnsi="Arial" w:cs="Arial"/>
          <w:sz w:val="18"/>
        </w:rPr>
        <w:t>All of our securities lending agreements are classified as overnight and revolving. Securities collateral on deposit with us from third-p</w:t>
      </w:r>
      <w:r>
        <w:rPr>
          <w:rFonts w:ascii="Arial" w:eastAsia="Arial" w:hAnsi="Arial" w:cs="Arial"/>
          <w:sz w:val="18"/>
        </w:rPr>
        <w:t>arty borrowers totaling $102.0 million and $43.3 million as of June 30, 2021 and December 31, 2020, respectively, may not be transferred or re-pledged unless the third-party borrower is in default, and is therefore not reflected in our condensed consolidat</w:t>
      </w:r>
      <w:r>
        <w:rPr>
          <w:rFonts w:ascii="Arial" w:eastAsia="Arial" w:hAnsi="Arial" w:cs="Arial"/>
          <w:sz w:val="18"/>
        </w:rPr>
        <w:t xml:space="preserve">ed financial statements. </w:t>
      </w:r>
    </w:p>
    <w:p w14:paraId="35638F93" w14:textId="77777777" w:rsidR="001614AC" w:rsidRDefault="004468F9">
      <w:pPr>
        <w:keepNext/>
        <w:spacing w:before="180" w:after="140" w:line="288" w:lineRule="auto"/>
        <w:rPr>
          <w:rFonts w:ascii="Arial" w:eastAsia="Arial" w:hAnsi="Arial" w:cs="Arial"/>
          <w:b/>
          <w:color w:val="002B49"/>
          <w:sz w:val="26"/>
        </w:rPr>
      </w:pPr>
      <w:r>
        <w:rPr>
          <w:rFonts w:ascii="Arial" w:eastAsia="Arial" w:hAnsi="Arial" w:cs="Arial"/>
          <w:b/>
          <w:color w:val="002B49"/>
          <w:sz w:val="26"/>
        </w:rPr>
        <w:t>Net Gains (Losses) on Investments</w:t>
      </w:r>
    </w:p>
    <w:p w14:paraId="4787D6F0" w14:textId="77777777" w:rsidR="001614AC" w:rsidRDefault="004468F9">
      <w:pPr>
        <w:keepNext/>
        <w:spacing w:before="100" w:after="100" w:line="288" w:lineRule="auto"/>
        <w:ind w:firstLine="450"/>
        <w:rPr>
          <w:rFonts w:ascii="Arial" w:eastAsia="Arial" w:hAnsi="Arial" w:cs="Arial"/>
          <w:b/>
          <w:color w:val="002B49"/>
          <w:sz w:val="18"/>
        </w:rPr>
      </w:pPr>
      <w:r>
        <w:rPr>
          <w:rFonts w:ascii="Arial" w:eastAsia="Arial" w:hAnsi="Arial" w:cs="Arial"/>
          <w:sz w:val="18"/>
        </w:rPr>
        <w:t>Net gains (losses) on investments consisted of the following.</w:t>
      </w:r>
    </w:p>
    <w:tbl>
      <w:tblPr>
        <w:tblW w:w="102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54"/>
        <w:gridCol w:w="107"/>
        <w:gridCol w:w="163"/>
        <w:gridCol w:w="760"/>
        <w:gridCol w:w="102"/>
        <w:gridCol w:w="107"/>
        <w:gridCol w:w="163"/>
        <w:gridCol w:w="760"/>
        <w:gridCol w:w="102"/>
        <w:gridCol w:w="107"/>
        <w:gridCol w:w="163"/>
        <w:gridCol w:w="760"/>
        <w:gridCol w:w="102"/>
        <w:gridCol w:w="107"/>
        <w:gridCol w:w="163"/>
        <w:gridCol w:w="760"/>
        <w:gridCol w:w="102"/>
      </w:tblGrid>
      <w:tr w:rsidR="001614AC" w14:paraId="5954DB9E" w14:textId="77777777">
        <w:trPr>
          <w:cantSplit/>
        </w:trPr>
        <w:tc>
          <w:tcPr>
            <w:tcW w:w="10080" w:type="dxa"/>
            <w:gridSpan w:val="17"/>
            <w:tcBorders>
              <w:top w:val="nil"/>
              <w:left w:val="nil"/>
              <w:bottom w:val="single" w:sz="12" w:space="0" w:color="99AAB6"/>
              <w:right w:val="nil"/>
            </w:tcBorders>
            <w:tcMar>
              <w:top w:w="0" w:type="dxa"/>
              <w:left w:w="53" w:type="dxa"/>
              <w:bottom w:w="0" w:type="dxa"/>
              <w:right w:w="53" w:type="dxa"/>
            </w:tcMar>
            <w:vAlign w:val="bottom"/>
          </w:tcPr>
          <w:p w14:paraId="414D9B8A" w14:textId="77777777" w:rsidR="001614AC" w:rsidRDefault="004468F9">
            <w:pPr>
              <w:keepNext/>
              <w:spacing w:before="75" w:after="30" w:line="288" w:lineRule="auto"/>
              <w:rPr>
                <w:rFonts w:ascii="Arial" w:eastAsia="Arial" w:hAnsi="Arial" w:cs="Arial"/>
                <w:b/>
                <w:sz w:val="20"/>
              </w:rPr>
            </w:pPr>
            <w:r>
              <w:rPr>
                <w:rFonts w:ascii="Arial" w:eastAsia="Arial" w:hAnsi="Arial" w:cs="Arial"/>
                <w:b/>
                <w:sz w:val="20"/>
              </w:rPr>
              <w:t>Net gains (losses) on investments</w:t>
            </w:r>
          </w:p>
        </w:tc>
      </w:tr>
      <w:tr w:rsidR="001614AC" w14:paraId="29C56059" w14:textId="77777777">
        <w:trPr>
          <w:cantSplit/>
          <w:trHeight w:hRule="exact" w:val="135"/>
        </w:trPr>
        <w:tc>
          <w:tcPr>
            <w:tcW w:w="5640" w:type="dxa"/>
            <w:tcBorders>
              <w:top w:val="nil"/>
              <w:left w:val="nil"/>
              <w:bottom w:val="nil"/>
              <w:right w:val="nil"/>
            </w:tcBorders>
            <w:tcMar>
              <w:top w:w="0" w:type="dxa"/>
              <w:left w:w="0" w:type="dxa"/>
              <w:bottom w:w="0" w:type="dxa"/>
              <w:right w:w="0" w:type="dxa"/>
            </w:tcMar>
            <w:vAlign w:val="bottom"/>
          </w:tcPr>
          <w:p w14:paraId="277A181D" w14:textId="77777777" w:rsidR="001614AC" w:rsidRDefault="001614AC">
            <w:pPr>
              <w:keepNext/>
            </w:pPr>
          </w:p>
        </w:tc>
        <w:tc>
          <w:tcPr>
            <w:tcW w:w="105" w:type="dxa"/>
            <w:tcBorders>
              <w:top w:val="single" w:sz="12" w:space="0" w:color="99AAB6"/>
              <w:left w:val="nil"/>
              <w:bottom w:val="nil"/>
              <w:right w:val="nil"/>
            </w:tcBorders>
            <w:tcMar>
              <w:top w:w="0" w:type="dxa"/>
              <w:left w:w="0" w:type="dxa"/>
              <w:bottom w:w="0" w:type="dxa"/>
              <w:right w:w="0" w:type="dxa"/>
            </w:tcMar>
            <w:vAlign w:val="bottom"/>
          </w:tcPr>
          <w:p w14:paraId="11FBD09A" w14:textId="77777777" w:rsidR="001614AC" w:rsidRDefault="001614AC">
            <w:pPr>
              <w:keepNext/>
            </w:pPr>
          </w:p>
        </w:tc>
        <w:tc>
          <w:tcPr>
            <w:tcW w:w="1005" w:type="dxa"/>
            <w:gridSpan w:val="3"/>
            <w:tcBorders>
              <w:top w:val="single" w:sz="12" w:space="0" w:color="99AAB6"/>
              <w:left w:val="nil"/>
              <w:bottom w:val="nil"/>
              <w:right w:val="nil"/>
            </w:tcBorders>
            <w:tcMar>
              <w:top w:w="0" w:type="dxa"/>
              <w:left w:w="0" w:type="dxa"/>
              <w:bottom w:w="0" w:type="dxa"/>
              <w:right w:w="0" w:type="dxa"/>
            </w:tcMar>
            <w:vAlign w:val="bottom"/>
          </w:tcPr>
          <w:p w14:paraId="047E630A" w14:textId="77777777" w:rsidR="001614AC" w:rsidRDefault="001614AC">
            <w:pPr>
              <w:keepNext/>
            </w:pPr>
          </w:p>
        </w:tc>
        <w:tc>
          <w:tcPr>
            <w:tcW w:w="105" w:type="dxa"/>
            <w:tcBorders>
              <w:top w:val="single" w:sz="12" w:space="0" w:color="99AAB6"/>
              <w:left w:val="nil"/>
              <w:bottom w:val="nil"/>
              <w:right w:val="nil"/>
            </w:tcBorders>
            <w:tcMar>
              <w:top w:w="0" w:type="dxa"/>
              <w:left w:w="0" w:type="dxa"/>
              <w:bottom w:w="0" w:type="dxa"/>
              <w:right w:w="0" w:type="dxa"/>
            </w:tcMar>
            <w:vAlign w:val="bottom"/>
          </w:tcPr>
          <w:p w14:paraId="7FAA27DB" w14:textId="77777777" w:rsidR="001614AC" w:rsidRDefault="001614AC">
            <w:pPr>
              <w:keepNext/>
            </w:pPr>
          </w:p>
        </w:tc>
        <w:tc>
          <w:tcPr>
            <w:tcW w:w="1005" w:type="dxa"/>
            <w:gridSpan w:val="3"/>
            <w:tcBorders>
              <w:top w:val="single" w:sz="12" w:space="0" w:color="99AAB6"/>
              <w:left w:val="nil"/>
              <w:bottom w:val="nil"/>
              <w:right w:val="nil"/>
            </w:tcBorders>
            <w:tcMar>
              <w:top w:w="0" w:type="dxa"/>
              <w:left w:w="0" w:type="dxa"/>
              <w:bottom w:w="0" w:type="dxa"/>
              <w:right w:w="0" w:type="dxa"/>
            </w:tcMar>
            <w:vAlign w:val="bottom"/>
          </w:tcPr>
          <w:p w14:paraId="3DC809B9" w14:textId="77777777" w:rsidR="001614AC" w:rsidRDefault="001614AC">
            <w:pPr>
              <w:keepNext/>
            </w:pPr>
          </w:p>
        </w:tc>
        <w:tc>
          <w:tcPr>
            <w:tcW w:w="105" w:type="dxa"/>
            <w:tcBorders>
              <w:top w:val="single" w:sz="12" w:space="0" w:color="99AAB6"/>
              <w:left w:val="nil"/>
              <w:bottom w:val="nil"/>
              <w:right w:val="nil"/>
            </w:tcBorders>
            <w:tcMar>
              <w:top w:w="0" w:type="dxa"/>
              <w:left w:w="0" w:type="dxa"/>
              <w:bottom w:w="0" w:type="dxa"/>
              <w:right w:w="0" w:type="dxa"/>
            </w:tcMar>
            <w:vAlign w:val="bottom"/>
          </w:tcPr>
          <w:p w14:paraId="3E29E024" w14:textId="77777777" w:rsidR="001614AC" w:rsidRDefault="001614AC">
            <w:pPr>
              <w:keepNext/>
            </w:pPr>
          </w:p>
        </w:tc>
        <w:tc>
          <w:tcPr>
            <w:tcW w:w="1005" w:type="dxa"/>
            <w:gridSpan w:val="3"/>
            <w:tcBorders>
              <w:top w:val="single" w:sz="12" w:space="0" w:color="99AAB6"/>
              <w:left w:val="nil"/>
              <w:bottom w:val="nil"/>
              <w:right w:val="nil"/>
            </w:tcBorders>
            <w:tcMar>
              <w:top w:w="0" w:type="dxa"/>
              <w:left w:w="0" w:type="dxa"/>
              <w:bottom w:w="0" w:type="dxa"/>
              <w:right w:w="0" w:type="dxa"/>
            </w:tcMar>
            <w:vAlign w:val="bottom"/>
          </w:tcPr>
          <w:p w14:paraId="67888810" w14:textId="77777777" w:rsidR="001614AC" w:rsidRDefault="001614AC">
            <w:pPr>
              <w:keepNext/>
            </w:pPr>
          </w:p>
        </w:tc>
        <w:tc>
          <w:tcPr>
            <w:tcW w:w="105" w:type="dxa"/>
            <w:tcBorders>
              <w:top w:val="single" w:sz="12" w:space="0" w:color="99AAB6"/>
              <w:left w:val="nil"/>
              <w:bottom w:val="nil"/>
              <w:right w:val="nil"/>
            </w:tcBorders>
            <w:tcMar>
              <w:top w:w="0" w:type="dxa"/>
              <w:left w:w="0" w:type="dxa"/>
              <w:bottom w:w="0" w:type="dxa"/>
              <w:right w:w="0" w:type="dxa"/>
            </w:tcMar>
            <w:vAlign w:val="bottom"/>
          </w:tcPr>
          <w:p w14:paraId="7BD8B67C" w14:textId="77777777" w:rsidR="001614AC" w:rsidRDefault="001614AC">
            <w:pPr>
              <w:keepNext/>
            </w:pPr>
          </w:p>
        </w:tc>
        <w:tc>
          <w:tcPr>
            <w:tcW w:w="1005" w:type="dxa"/>
            <w:gridSpan w:val="3"/>
            <w:tcBorders>
              <w:top w:val="single" w:sz="12" w:space="0" w:color="99AAB6"/>
              <w:left w:val="nil"/>
              <w:bottom w:val="nil"/>
              <w:right w:val="nil"/>
            </w:tcBorders>
            <w:tcMar>
              <w:top w:w="0" w:type="dxa"/>
              <w:left w:w="0" w:type="dxa"/>
              <w:bottom w:w="0" w:type="dxa"/>
              <w:right w:w="0" w:type="dxa"/>
            </w:tcMar>
            <w:vAlign w:val="bottom"/>
          </w:tcPr>
          <w:p w14:paraId="43DDA9BC" w14:textId="77777777" w:rsidR="001614AC" w:rsidRDefault="001614AC">
            <w:pPr>
              <w:keepNext/>
            </w:pPr>
          </w:p>
        </w:tc>
      </w:tr>
      <w:tr w:rsidR="001614AC" w14:paraId="10D47A92" w14:textId="77777777">
        <w:trPr>
          <w:cantSplit/>
        </w:trPr>
        <w:tc>
          <w:tcPr>
            <w:tcW w:w="5640" w:type="dxa"/>
            <w:tcBorders>
              <w:top w:val="nil"/>
              <w:left w:val="nil"/>
              <w:bottom w:val="single" w:sz="8" w:space="0" w:color="FFFFFF"/>
              <w:right w:val="nil"/>
            </w:tcBorders>
            <w:tcMar>
              <w:top w:w="0" w:type="dxa"/>
              <w:left w:w="0" w:type="dxa"/>
              <w:bottom w:w="0" w:type="dxa"/>
              <w:right w:w="0" w:type="dxa"/>
            </w:tcMar>
            <w:vAlign w:val="bottom"/>
          </w:tcPr>
          <w:p w14:paraId="140E0203" w14:textId="77777777" w:rsidR="001614AC" w:rsidRDefault="001614AC">
            <w:pPr>
              <w:keepNext/>
            </w:pPr>
          </w:p>
        </w:tc>
        <w:tc>
          <w:tcPr>
            <w:tcW w:w="105" w:type="dxa"/>
            <w:tcBorders>
              <w:top w:val="nil"/>
              <w:left w:val="nil"/>
              <w:bottom w:val="nil"/>
              <w:right w:val="nil"/>
            </w:tcBorders>
            <w:tcMar>
              <w:top w:w="0" w:type="dxa"/>
              <w:left w:w="0" w:type="dxa"/>
              <w:bottom w:w="0" w:type="dxa"/>
              <w:right w:w="0" w:type="dxa"/>
            </w:tcMar>
            <w:vAlign w:val="bottom"/>
          </w:tcPr>
          <w:p w14:paraId="786FF218" w14:textId="77777777" w:rsidR="001614AC" w:rsidRDefault="001614AC">
            <w:pPr>
              <w:keepNext/>
            </w:pPr>
          </w:p>
        </w:tc>
        <w:tc>
          <w:tcPr>
            <w:tcW w:w="2115" w:type="dxa"/>
            <w:gridSpan w:val="7"/>
            <w:tcBorders>
              <w:top w:val="nil"/>
              <w:left w:val="nil"/>
              <w:bottom w:val="single" w:sz="8" w:space="0" w:color="FFFFFF"/>
              <w:right w:val="nil"/>
            </w:tcBorders>
            <w:tcMar>
              <w:top w:w="0" w:type="dxa"/>
              <w:left w:w="53" w:type="dxa"/>
              <w:bottom w:w="0" w:type="dxa"/>
              <w:right w:w="53" w:type="dxa"/>
            </w:tcMar>
            <w:vAlign w:val="bottom"/>
          </w:tcPr>
          <w:p w14:paraId="79A78E15" w14:textId="77777777" w:rsidR="001614AC" w:rsidRDefault="004468F9">
            <w:pPr>
              <w:keepNext/>
              <w:spacing w:before="75" w:line="288" w:lineRule="auto"/>
              <w:jc w:val="center"/>
            </w:pPr>
            <w:r>
              <w:rPr>
                <w:rFonts w:ascii="Arial" w:eastAsia="Arial" w:hAnsi="Arial" w:cs="Arial"/>
                <w:b/>
                <w:color w:val="00BAB3"/>
                <w:sz w:val="18"/>
              </w:rPr>
              <w:t>Three Months Ended</w:t>
            </w:r>
          </w:p>
          <w:p w14:paraId="2C02B623" w14:textId="77777777" w:rsidR="001614AC" w:rsidRDefault="004468F9">
            <w:pPr>
              <w:spacing w:after="30" w:line="288" w:lineRule="auto"/>
              <w:jc w:val="center"/>
            </w:pPr>
            <w:r>
              <w:rPr>
                <w:rFonts w:ascii="Arial" w:eastAsia="Arial" w:hAnsi="Arial" w:cs="Arial"/>
                <w:b/>
                <w:color w:val="00BAB3"/>
                <w:sz w:val="18"/>
              </w:rPr>
              <w:t>June 30,</w:t>
            </w:r>
          </w:p>
        </w:tc>
        <w:tc>
          <w:tcPr>
            <w:tcW w:w="105" w:type="dxa"/>
            <w:tcBorders>
              <w:top w:val="nil"/>
              <w:left w:val="nil"/>
              <w:bottom w:val="single" w:sz="8" w:space="0" w:color="FFFFFF"/>
              <w:right w:val="nil"/>
            </w:tcBorders>
            <w:tcMar>
              <w:top w:w="0" w:type="dxa"/>
              <w:left w:w="0" w:type="dxa"/>
              <w:bottom w:w="0" w:type="dxa"/>
              <w:right w:w="0" w:type="dxa"/>
            </w:tcMar>
            <w:vAlign w:val="bottom"/>
          </w:tcPr>
          <w:p w14:paraId="7F1235F3" w14:textId="77777777" w:rsidR="001614AC" w:rsidRDefault="001614AC">
            <w:pPr>
              <w:keepNext/>
            </w:pPr>
          </w:p>
        </w:tc>
        <w:tc>
          <w:tcPr>
            <w:tcW w:w="2115" w:type="dxa"/>
            <w:gridSpan w:val="7"/>
            <w:tcBorders>
              <w:top w:val="nil"/>
              <w:left w:val="nil"/>
              <w:bottom w:val="nil"/>
              <w:right w:val="nil"/>
            </w:tcBorders>
            <w:tcMar>
              <w:top w:w="0" w:type="dxa"/>
              <w:left w:w="53" w:type="dxa"/>
              <w:bottom w:w="0" w:type="dxa"/>
              <w:right w:w="53" w:type="dxa"/>
            </w:tcMar>
            <w:vAlign w:val="bottom"/>
          </w:tcPr>
          <w:p w14:paraId="78ACB84A" w14:textId="77777777" w:rsidR="001614AC" w:rsidRDefault="004468F9">
            <w:pPr>
              <w:keepNext/>
              <w:spacing w:before="75" w:line="288" w:lineRule="auto"/>
              <w:jc w:val="center"/>
            </w:pPr>
            <w:r>
              <w:rPr>
                <w:rFonts w:ascii="Arial" w:eastAsia="Arial" w:hAnsi="Arial" w:cs="Arial"/>
                <w:b/>
                <w:color w:val="00BAB3"/>
                <w:sz w:val="18"/>
              </w:rPr>
              <w:t>Six Months Ended</w:t>
            </w:r>
          </w:p>
          <w:p w14:paraId="1526E965" w14:textId="77777777" w:rsidR="001614AC" w:rsidRDefault="004468F9">
            <w:pPr>
              <w:spacing w:after="30" w:line="288" w:lineRule="auto"/>
              <w:jc w:val="center"/>
            </w:pPr>
            <w:r>
              <w:rPr>
                <w:rFonts w:ascii="Arial" w:eastAsia="Arial" w:hAnsi="Arial" w:cs="Arial"/>
                <w:b/>
                <w:color w:val="00BAB3"/>
                <w:sz w:val="18"/>
              </w:rPr>
              <w:t>June 30,</w:t>
            </w:r>
          </w:p>
        </w:tc>
      </w:tr>
      <w:tr w:rsidR="001614AC" w14:paraId="19A3B84C" w14:textId="77777777">
        <w:trPr>
          <w:cantSplit/>
        </w:trPr>
        <w:tc>
          <w:tcPr>
            <w:tcW w:w="5640" w:type="dxa"/>
            <w:tcBorders>
              <w:top w:val="single" w:sz="8" w:space="0" w:color="FFFFFF"/>
              <w:left w:val="nil"/>
              <w:bottom w:val="single" w:sz="8" w:space="0" w:color="C7C9C7"/>
              <w:right w:val="nil"/>
            </w:tcBorders>
            <w:tcMar>
              <w:top w:w="0" w:type="dxa"/>
              <w:left w:w="53" w:type="dxa"/>
              <w:bottom w:w="0" w:type="dxa"/>
              <w:right w:w="53" w:type="dxa"/>
            </w:tcMar>
            <w:vAlign w:val="bottom"/>
          </w:tcPr>
          <w:p w14:paraId="426EF354" w14:textId="77777777" w:rsidR="001614AC" w:rsidRDefault="004468F9">
            <w:pPr>
              <w:keepNext/>
              <w:spacing w:before="55" w:after="30" w:line="288" w:lineRule="auto"/>
            </w:pPr>
            <w:r>
              <w:rPr>
                <w:rFonts w:ascii="Arial" w:eastAsia="Arial" w:hAnsi="Arial" w:cs="Arial"/>
                <w:color w:val="8B8886"/>
                <w:sz w:val="16"/>
              </w:rPr>
              <w:t>(In thousands)</w:t>
            </w:r>
          </w:p>
        </w:tc>
        <w:tc>
          <w:tcPr>
            <w:tcW w:w="105" w:type="dxa"/>
            <w:tcBorders>
              <w:top w:val="nil"/>
              <w:left w:val="nil"/>
              <w:bottom w:val="single" w:sz="8" w:space="0" w:color="C7C9C7"/>
              <w:right w:val="nil"/>
            </w:tcBorders>
            <w:tcMar>
              <w:top w:w="0" w:type="dxa"/>
              <w:left w:w="0" w:type="dxa"/>
              <w:bottom w:w="0" w:type="dxa"/>
              <w:right w:w="0" w:type="dxa"/>
            </w:tcMar>
            <w:vAlign w:val="bottom"/>
          </w:tcPr>
          <w:p w14:paraId="3579B183" w14:textId="77777777" w:rsidR="001614AC" w:rsidRDefault="001614AC">
            <w:pPr>
              <w:keepNext/>
            </w:pPr>
          </w:p>
        </w:tc>
        <w:tc>
          <w:tcPr>
            <w:tcW w:w="1005" w:type="dxa"/>
            <w:gridSpan w:val="3"/>
            <w:tcBorders>
              <w:top w:val="nil"/>
              <w:left w:val="nil"/>
              <w:bottom w:val="single" w:sz="8" w:space="0" w:color="C7C9C7"/>
              <w:right w:val="nil"/>
            </w:tcBorders>
            <w:shd w:val="clear" w:color="auto" w:fill="E6F8F8"/>
            <w:tcMar>
              <w:top w:w="0" w:type="dxa"/>
              <w:left w:w="53" w:type="dxa"/>
              <w:bottom w:w="0" w:type="dxa"/>
              <w:right w:w="53" w:type="dxa"/>
            </w:tcMar>
            <w:vAlign w:val="bottom"/>
          </w:tcPr>
          <w:p w14:paraId="189BB9D2" w14:textId="77777777" w:rsidR="001614AC" w:rsidRDefault="004468F9">
            <w:pPr>
              <w:keepNext/>
              <w:spacing w:before="55" w:after="30" w:line="288" w:lineRule="auto"/>
              <w:jc w:val="center"/>
            </w:pPr>
            <w:r>
              <w:rPr>
                <w:rFonts w:ascii="Arial" w:eastAsia="Arial" w:hAnsi="Arial" w:cs="Arial"/>
                <w:b/>
                <w:color w:val="00BAB3"/>
                <w:sz w:val="18"/>
              </w:rPr>
              <w:t>2021</w:t>
            </w:r>
          </w:p>
        </w:tc>
        <w:tc>
          <w:tcPr>
            <w:tcW w:w="105" w:type="dxa"/>
            <w:tcBorders>
              <w:top w:val="single" w:sz="8" w:space="0" w:color="FFFFFF"/>
              <w:left w:val="nil"/>
              <w:bottom w:val="single" w:sz="8" w:space="0" w:color="C7C9C7"/>
              <w:right w:val="nil"/>
            </w:tcBorders>
            <w:tcMar>
              <w:top w:w="0" w:type="dxa"/>
              <w:left w:w="0" w:type="dxa"/>
              <w:bottom w:w="0" w:type="dxa"/>
              <w:right w:w="0" w:type="dxa"/>
            </w:tcMar>
            <w:vAlign w:val="bottom"/>
          </w:tcPr>
          <w:p w14:paraId="29346EDA" w14:textId="77777777" w:rsidR="001614AC" w:rsidRDefault="001614AC">
            <w:pPr>
              <w:keepNext/>
            </w:pPr>
          </w:p>
        </w:tc>
        <w:tc>
          <w:tcPr>
            <w:tcW w:w="1005" w:type="dxa"/>
            <w:gridSpan w:val="3"/>
            <w:tcBorders>
              <w:top w:val="single" w:sz="8" w:space="0" w:color="FFFFFF"/>
              <w:left w:val="nil"/>
              <w:bottom w:val="single" w:sz="8" w:space="0" w:color="C7C9C7"/>
              <w:right w:val="nil"/>
            </w:tcBorders>
            <w:shd w:val="clear" w:color="auto" w:fill="F4F4F4"/>
            <w:tcMar>
              <w:top w:w="0" w:type="dxa"/>
              <w:left w:w="53" w:type="dxa"/>
              <w:bottom w:w="0" w:type="dxa"/>
              <w:right w:w="53" w:type="dxa"/>
            </w:tcMar>
            <w:vAlign w:val="bottom"/>
          </w:tcPr>
          <w:p w14:paraId="5B8D788F" w14:textId="77777777" w:rsidR="001614AC" w:rsidRDefault="004468F9">
            <w:pPr>
              <w:keepNext/>
              <w:spacing w:before="55" w:after="30" w:line="288" w:lineRule="auto"/>
              <w:jc w:val="center"/>
            </w:pPr>
            <w:r>
              <w:rPr>
                <w:rFonts w:ascii="Arial" w:eastAsia="Arial" w:hAnsi="Arial" w:cs="Arial"/>
                <w:b/>
                <w:color w:val="00BAB3"/>
                <w:sz w:val="18"/>
              </w:rPr>
              <w:t>2020</w:t>
            </w:r>
          </w:p>
        </w:tc>
        <w:tc>
          <w:tcPr>
            <w:tcW w:w="105" w:type="dxa"/>
            <w:tcBorders>
              <w:top w:val="single" w:sz="8" w:space="0" w:color="FFFFFF"/>
              <w:left w:val="nil"/>
              <w:bottom w:val="single" w:sz="8" w:space="0" w:color="C7C9C7"/>
              <w:right w:val="nil"/>
            </w:tcBorders>
            <w:tcMar>
              <w:top w:w="0" w:type="dxa"/>
              <w:left w:w="0" w:type="dxa"/>
              <w:bottom w:w="0" w:type="dxa"/>
              <w:right w:w="0" w:type="dxa"/>
            </w:tcMar>
            <w:vAlign w:val="bottom"/>
          </w:tcPr>
          <w:p w14:paraId="5D56FE35" w14:textId="77777777" w:rsidR="001614AC" w:rsidRDefault="001614AC">
            <w:pPr>
              <w:keepNext/>
            </w:pPr>
          </w:p>
        </w:tc>
        <w:tc>
          <w:tcPr>
            <w:tcW w:w="1005" w:type="dxa"/>
            <w:gridSpan w:val="3"/>
            <w:tcBorders>
              <w:top w:val="single" w:sz="8" w:space="0" w:color="FFFFFF"/>
              <w:left w:val="nil"/>
              <w:bottom w:val="single" w:sz="8" w:space="0" w:color="C7C9C7"/>
              <w:right w:val="nil"/>
            </w:tcBorders>
            <w:shd w:val="clear" w:color="auto" w:fill="E6F8F8"/>
            <w:tcMar>
              <w:top w:w="0" w:type="dxa"/>
              <w:left w:w="53" w:type="dxa"/>
              <w:bottom w:w="0" w:type="dxa"/>
              <w:right w:w="53" w:type="dxa"/>
            </w:tcMar>
            <w:vAlign w:val="bottom"/>
          </w:tcPr>
          <w:p w14:paraId="6D63258C" w14:textId="77777777" w:rsidR="001614AC" w:rsidRDefault="004468F9">
            <w:pPr>
              <w:keepNext/>
              <w:spacing w:before="55" w:after="30" w:line="288" w:lineRule="auto"/>
              <w:jc w:val="center"/>
            </w:pPr>
            <w:r>
              <w:rPr>
                <w:rFonts w:ascii="Arial" w:eastAsia="Arial" w:hAnsi="Arial" w:cs="Arial"/>
                <w:b/>
                <w:color w:val="00BAB3"/>
                <w:sz w:val="18"/>
              </w:rPr>
              <w:t>2021</w:t>
            </w:r>
          </w:p>
        </w:tc>
        <w:tc>
          <w:tcPr>
            <w:tcW w:w="105" w:type="dxa"/>
            <w:tcBorders>
              <w:top w:val="single" w:sz="8" w:space="0" w:color="FFFFFF"/>
              <w:left w:val="nil"/>
              <w:bottom w:val="single" w:sz="8" w:space="0" w:color="C7C9C7"/>
              <w:right w:val="nil"/>
            </w:tcBorders>
            <w:tcMar>
              <w:top w:w="0" w:type="dxa"/>
              <w:left w:w="0" w:type="dxa"/>
              <w:bottom w:w="0" w:type="dxa"/>
              <w:right w:w="0" w:type="dxa"/>
            </w:tcMar>
            <w:vAlign w:val="bottom"/>
          </w:tcPr>
          <w:p w14:paraId="0FA45417" w14:textId="77777777" w:rsidR="001614AC" w:rsidRDefault="001614AC">
            <w:pPr>
              <w:keepNext/>
            </w:pPr>
          </w:p>
        </w:tc>
        <w:tc>
          <w:tcPr>
            <w:tcW w:w="1005" w:type="dxa"/>
            <w:gridSpan w:val="3"/>
            <w:tcBorders>
              <w:top w:val="single" w:sz="8" w:space="0" w:color="FFFFFF"/>
              <w:left w:val="nil"/>
              <w:bottom w:val="single" w:sz="8" w:space="0" w:color="C7C9C7"/>
              <w:right w:val="nil"/>
            </w:tcBorders>
            <w:shd w:val="clear" w:color="auto" w:fill="F4F4F4"/>
            <w:tcMar>
              <w:top w:w="0" w:type="dxa"/>
              <w:left w:w="53" w:type="dxa"/>
              <w:bottom w:w="0" w:type="dxa"/>
              <w:right w:w="53" w:type="dxa"/>
            </w:tcMar>
            <w:vAlign w:val="bottom"/>
          </w:tcPr>
          <w:p w14:paraId="2E3A9CF2" w14:textId="77777777" w:rsidR="001614AC" w:rsidRDefault="004468F9">
            <w:pPr>
              <w:keepNext/>
              <w:spacing w:before="55" w:after="30" w:line="288" w:lineRule="auto"/>
              <w:jc w:val="center"/>
            </w:pPr>
            <w:r>
              <w:rPr>
                <w:rFonts w:ascii="Arial" w:eastAsia="Arial" w:hAnsi="Arial" w:cs="Arial"/>
                <w:b/>
                <w:color w:val="00BAB3"/>
                <w:sz w:val="18"/>
              </w:rPr>
              <w:t>2020</w:t>
            </w:r>
          </w:p>
        </w:tc>
      </w:tr>
      <w:tr w:rsidR="001614AC" w14:paraId="6D34FB4E" w14:textId="77777777">
        <w:trPr>
          <w:cantSplit/>
        </w:trPr>
        <w:tc>
          <w:tcPr>
            <w:tcW w:w="5640" w:type="dxa"/>
            <w:tcBorders>
              <w:top w:val="single" w:sz="8" w:space="0" w:color="C7C9C7"/>
              <w:left w:val="nil"/>
              <w:bottom w:val="single" w:sz="8" w:space="0" w:color="E9E9E9"/>
              <w:right w:val="nil"/>
            </w:tcBorders>
            <w:tcMar>
              <w:top w:w="0" w:type="dxa"/>
              <w:left w:w="53" w:type="dxa"/>
              <w:bottom w:w="0" w:type="dxa"/>
              <w:right w:w="53" w:type="dxa"/>
            </w:tcMar>
            <w:vAlign w:val="bottom"/>
          </w:tcPr>
          <w:p w14:paraId="38E200EB" w14:textId="77777777" w:rsidR="001614AC" w:rsidRDefault="004468F9">
            <w:pPr>
              <w:keepNext/>
              <w:spacing w:before="55" w:after="30" w:line="288" w:lineRule="auto"/>
            </w:pPr>
            <w:r>
              <w:rPr>
                <w:rFonts w:ascii="Arial" w:eastAsia="Arial" w:hAnsi="Arial" w:cs="Arial"/>
                <w:color w:val="000000"/>
                <w:sz w:val="18"/>
              </w:rPr>
              <w:t>Net realized gains (losses)</w:t>
            </w:r>
          </w:p>
        </w:tc>
        <w:tc>
          <w:tcPr>
            <w:tcW w:w="105" w:type="dxa"/>
            <w:tcBorders>
              <w:top w:val="single" w:sz="8" w:space="0" w:color="C7C9C7"/>
              <w:left w:val="nil"/>
              <w:bottom w:val="nil"/>
              <w:right w:val="nil"/>
            </w:tcBorders>
            <w:tcMar>
              <w:top w:w="0" w:type="dxa"/>
              <w:left w:w="0" w:type="dxa"/>
              <w:bottom w:w="0" w:type="dxa"/>
              <w:right w:w="0" w:type="dxa"/>
            </w:tcMar>
            <w:vAlign w:val="bottom"/>
          </w:tcPr>
          <w:p w14:paraId="514A11E2" w14:textId="77777777" w:rsidR="001614AC" w:rsidRDefault="001614AC">
            <w:pPr>
              <w:keepNext/>
            </w:pPr>
          </w:p>
        </w:tc>
        <w:tc>
          <w:tcPr>
            <w:tcW w:w="1005" w:type="dxa"/>
            <w:gridSpan w:val="3"/>
            <w:tcBorders>
              <w:top w:val="single" w:sz="8" w:space="0" w:color="C7C9C7"/>
              <w:left w:val="nil"/>
              <w:bottom w:val="single" w:sz="8" w:space="0" w:color="E9E9E9"/>
              <w:right w:val="nil"/>
            </w:tcBorders>
            <w:tcMar>
              <w:top w:w="0" w:type="dxa"/>
              <w:left w:w="53" w:type="dxa"/>
              <w:bottom w:w="0" w:type="dxa"/>
              <w:right w:w="53" w:type="dxa"/>
            </w:tcMar>
            <w:vAlign w:val="bottom"/>
          </w:tcPr>
          <w:p w14:paraId="219CF521" w14:textId="77777777" w:rsidR="001614AC" w:rsidRDefault="004468F9">
            <w:pPr>
              <w:keepNext/>
              <w:spacing w:before="55" w:after="30" w:line="288" w:lineRule="auto"/>
            </w:pPr>
            <w:r>
              <w:rPr>
                <w:rFonts w:ascii="Arial" w:eastAsia="Arial" w:hAnsi="Arial" w:cs="Arial"/>
                <w:color w:val="000000"/>
                <w:sz w:val="18"/>
              </w:rPr>
              <w:t> </w:t>
            </w:r>
          </w:p>
        </w:tc>
        <w:tc>
          <w:tcPr>
            <w:tcW w:w="105" w:type="dxa"/>
            <w:tcBorders>
              <w:top w:val="single" w:sz="8" w:space="0" w:color="C7C9C7"/>
              <w:left w:val="nil"/>
              <w:bottom w:val="nil"/>
              <w:right w:val="nil"/>
            </w:tcBorders>
            <w:tcMar>
              <w:top w:w="0" w:type="dxa"/>
              <w:left w:w="0" w:type="dxa"/>
              <w:bottom w:w="0" w:type="dxa"/>
              <w:right w:w="0" w:type="dxa"/>
            </w:tcMar>
            <w:vAlign w:val="bottom"/>
          </w:tcPr>
          <w:p w14:paraId="1D74A74A" w14:textId="77777777" w:rsidR="001614AC" w:rsidRDefault="001614AC">
            <w:pPr>
              <w:keepNext/>
            </w:pPr>
          </w:p>
        </w:tc>
        <w:tc>
          <w:tcPr>
            <w:tcW w:w="1005" w:type="dxa"/>
            <w:gridSpan w:val="3"/>
            <w:tcBorders>
              <w:top w:val="single" w:sz="8" w:space="0" w:color="C7C9C7"/>
              <w:left w:val="nil"/>
              <w:bottom w:val="single" w:sz="8" w:space="0" w:color="E9E9E9"/>
              <w:right w:val="nil"/>
            </w:tcBorders>
            <w:tcMar>
              <w:top w:w="0" w:type="dxa"/>
              <w:left w:w="53" w:type="dxa"/>
              <w:bottom w:w="0" w:type="dxa"/>
              <w:right w:w="53" w:type="dxa"/>
            </w:tcMar>
            <w:vAlign w:val="bottom"/>
          </w:tcPr>
          <w:p w14:paraId="1F42937B" w14:textId="77777777" w:rsidR="001614AC" w:rsidRDefault="004468F9">
            <w:pPr>
              <w:keepNext/>
              <w:spacing w:before="55" w:after="30" w:line="288" w:lineRule="auto"/>
            </w:pPr>
            <w:r>
              <w:rPr>
                <w:rFonts w:ascii="Arial" w:eastAsia="Arial" w:hAnsi="Arial" w:cs="Arial"/>
                <w:color w:val="000000"/>
                <w:sz w:val="18"/>
              </w:rPr>
              <w:t> </w:t>
            </w:r>
          </w:p>
        </w:tc>
        <w:tc>
          <w:tcPr>
            <w:tcW w:w="105" w:type="dxa"/>
            <w:tcBorders>
              <w:top w:val="single" w:sz="8" w:space="0" w:color="C7C9C7"/>
              <w:left w:val="nil"/>
              <w:bottom w:val="nil"/>
              <w:right w:val="nil"/>
            </w:tcBorders>
            <w:tcMar>
              <w:top w:w="0" w:type="dxa"/>
              <w:left w:w="0" w:type="dxa"/>
              <w:bottom w:w="0" w:type="dxa"/>
              <w:right w:w="0" w:type="dxa"/>
            </w:tcMar>
            <w:vAlign w:val="bottom"/>
          </w:tcPr>
          <w:p w14:paraId="5820A81B" w14:textId="77777777" w:rsidR="001614AC" w:rsidRDefault="001614AC">
            <w:pPr>
              <w:keepNext/>
            </w:pPr>
          </w:p>
        </w:tc>
        <w:tc>
          <w:tcPr>
            <w:tcW w:w="1005" w:type="dxa"/>
            <w:gridSpan w:val="3"/>
            <w:tcBorders>
              <w:top w:val="single" w:sz="8" w:space="0" w:color="C7C9C7"/>
              <w:left w:val="nil"/>
              <w:bottom w:val="single" w:sz="8" w:space="0" w:color="E9E9E9"/>
              <w:right w:val="nil"/>
            </w:tcBorders>
            <w:tcMar>
              <w:top w:w="0" w:type="dxa"/>
              <w:left w:w="0" w:type="dxa"/>
              <w:bottom w:w="0" w:type="dxa"/>
              <w:right w:w="0" w:type="dxa"/>
            </w:tcMar>
            <w:vAlign w:val="bottom"/>
          </w:tcPr>
          <w:p w14:paraId="77DDE627" w14:textId="77777777" w:rsidR="001614AC" w:rsidRDefault="001614AC">
            <w:pPr>
              <w:keepNext/>
            </w:pPr>
          </w:p>
        </w:tc>
        <w:tc>
          <w:tcPr>
            <w:tcW w:w="105" w:type="dxa"/>
            <w:tcBorders>
              <w:top w:val="single" w:sz="8" w:space="0" w:color="C7C9C7"/>
              <w:left w:val="nil"/>
              <w:bottom w:val="nil"/>
              <w:right w:val="nil"/>
            </w:tcBorders>
            <w:tcMar>
              <w:top w:w="0" w:type="dxa"/>
              <w:left w:w="0" w:type="dxa"/>
              <w:bottom w:w="0" w:type="dxa"/>
              <w:right w:w="0" w:type="dxa"/>
            </w:tcMar>
            <w:vAlign w:val="bottom"/>
          </w:tcPr>
          <w:p w14:paraId="16D357E9" w14:textId="77777777" w:rsidR="001614AC" w:rsidRDefault="001614AC">
            <w:pPr>
              <w:keepNext/>
            </w:pPr>
          </w:p>
        </w:tc>
        <w:tc>
          <w:tcPr>
            <w:tcW w:w="1005" w:type="dxa"/>
            <w:gridSpan w:val="3"/>
            <w:tcBorders>
              <w:top w:val="single" w:sz="8" w:space="0" w:color="C7C9C7"/>
              <w:left w:val="nil"/>
              <w:bottom w:val="single" w:sz="8" w:space="0" w:color="E9E9E9"/>
              <w:right w:val="nil"/>
            </w:tcBorders>
            <w:tcMar>
              <w:top w:w="0" w:type="dxa"/>
              <w:left w:w="53" w:type="dxa"/>
              <w:bottom w:w="0" w:type="dxa"/>
              <w:right w:w="53" w:type="dxa"/>
            </w:tcMar>
            <w:vAlign w:val="bottom"/>
          </w:tcPr>
          <w:p w14:paraId="44E0554B" w14:textId="77777777" w:rsidR="001614AC" w:rsidRDefault="004468F9">
            <w:pPr>
              <w:keepNext/>
              <w:spacing w:before="55" w:after="30" w:line="288" w:lineRule="auto"/>
            </w:pPr>
            <w:r>
              <w:rPr>
                <w:rFonts w:ascii="Arial" w:eastAsia="Arial" w:hAnsi="Arial" w:cs="Arial"/>
                <w:color w:val="000000"/>
                <w:sz w:val="18"/>
              </w:rPr>
              <w:t> </w:t>
            </w:r>
          </w:p>
        </w:tc>
      </w:tr>
      <w:tr w:rsidR="001614AC" w14:paraId="440EFB20" w14:textId="77777777">
        <w:trPr>
          <w:cantSplit/>
        </w:trPr>
        <w:tc>
          <w:tcPr>
            <w:tcW w:w="5640" w:type="dxa"/>
            <w:tcBorders>
              <w:top w:val="single" w:sz="8" w:space="0" w:color="E9E9E9"/>
              <w:left w:val="nil"/>
              <w:bottom w:val="single" w:sz="8" w:space="0" w:color="E9E9E9"/>
              <w:right w:val="nil"/>
            </w:tcBorders>
            <w:tcMar>
              <w:top w:w="0" w:type="dxa"/>
              <w:left w:w="53" w:type="dxa"/>
              <w:bottom w:w="0" w:type="dxa"/>
              <w:right w:w="53" w:type="dxa"/>
            </w:tcMar>
            <w:vAlign w:val="bottom"/>
          </w:tcPr>
          <w:p w14:paraId="2499D01B" w14:textId="77777777" w:rsidR="001614AC" w:rsidRDefault="004468F9">
            <w:pPr>
              <w:keepNext/>
              <w:spacing w:before="55" w:after="30" w:line="288" w:lineRule="auto"/>
              <w:ind w:left="240"/>
              <w:rPr>
                <w:rFonts w:ascii="Arial" w:eastAsia="Arial" w:hAnsi="Arial" w:cs="Arial"/>
                <w:sz w:val="18"/>
              </w:rPr>
            </w:pPr>
            <w:r>
              <w:rPr>
                <w:rFonts w:ascii="Arial" w:eastAsia="Arial" w:hAnsi="Arial" w:cs="Arial"/>
                <w:sz w:val="18"/>
              </w:rPr>
              <w:t xml:space="preserve">Fixed-maturities available for sale </w:t>
            </w:r>
            <w:r>
              <w:rPr>
                <w:rFonts w:ascii="Arial" w:eastAsia="Arial" w:hAnsi="Arial" w:cs="Arial"/>
                <w:sz w:val="18"/>
                <w:vertAlign w:val="superscript"/>
              </w:rPr>
              <w:t xml:space="preserve">(1) </w:t>
            </w:r>
          </w:p>
        </w:tc>
        <w:tc>
          <w:tcPr>
            <w:tcW w:w="105" w:type="dxa"/>
            <w:tcBorders>
              <w:top w:val="nil"/>
              <w:left w:val="nil"/>
              <w:bottom w:val="nil"/>
              <w:right w:val="nil"/>
            </w:tcBorders>
            <w:tcMar>
              <w:top w:w="0" w:type="dxa"/>
              <w:left w:w="0" w:type="dxa"/>
              <w:bottom w:w="0" w:type="dxa"/>
              <w:right w:w="0" w:type="dxa"/>
            </w:tcMar>
            <w:vAlign w:val="bottom"/>
          </w:tcPr>
          <w:p w14:paraId="3BD15D85" w14:textId="77777777" w:rsidR="001614AC" w:rsidRDefault="001614AC">
            <w:pPr>
              <w:keepNext/>
            </w:pPr>
          </w:p>
        </w:tc>
        <w:tc>
          <w:tcPr>
            <w:tcW w:w="160" w:type="dxa"/>
            <w:tcBorders>
              <w:top w:val="single" w:sz="8" w:space="0" w:color="E9E9E9"/>
              <w:left w:val="nil"/>
              <w:bottom w:val="single" w:sz="8" w:space="0" w:color="E9E9E9"/>
              <w:right w:val="nil"/>
            </w:tcBorders>
            <w:tcMar>
              <w:top w:w="0" w:type="dxa"/>
              <w:left w:w="53" w:type="dxa"/>
              <w:bottom w:w="0" w:type="dxa"/>
              <w:right w:w="0" w:type="dxa"/>
            </w:tcMar>
            <w:vAlign w:val="bottom"/>
          </w:tcPr>
          <w:p w14:paraId="69FD9C9E" w14:textId="77777777" w:rsidR="001614AC" w:rsidRDefault="004468F9">
            <w:pPr>
              <w:keepNext/>
              <w:spacing w:before="55" w:after="30" w:line="288" w:lineRule="auto"/>
            </w:pPr>
            <w:r>
              <w:rPr>
                <w:rFonts w:ascii="Arial" w:eastAsia="Arial" w:hAnsi="Arial" w:cs="Arial"/>
                <w:color w:val="000000"/>
                <w:sz w:val="18"/>
              </w:rPr>
              <w:t>$</w:t>
            </w:r>
          </w:p>
        </w:tc>
        <w:tc>
          <w:tcPr>
            <w:tcW w:w="745" w:type="dxa"/>
            <w:tcBorders>
              <w:top w:val="single" w:sz="8" w:space="0" w:color="E9E9E9"/>
              <w:left w:val="nil"/>
              <w:bottom w:val="single" w:sz="8" w:space="0" w:color="E9E9E9"/>
              <w:right w:val="nil"/>
            </w:tcBorders>
            <w:tcMar>
              <w:top w:w="0" w:type="dxa"/>
              <w:left w:w="0" w:type="dxa"/>
              <w:bottom w:w="0" w:type="dxa"/>
              <w:right w:w="0" w:type="dxa"/>
            </w:tcMar>
            <w:vAlign w:val="bottom"/>
          </w:tcPr>
          <w:p w14:paraId="416E496B" w14:textId="77777777" w:rsidR="001614AC" w:rsidRDefault="004468F9">
            <w:pPr>
              <w:keepNext/>
              <w:spacing w:before="55" w:after="30" w:line="288" w:lineRule="auto"/>
              <w:jc w:val="right"/>
            </w:pPr>
            <w:r>
              <w:rPr>
                <w:rFonts w:ascii="Arial" w:eastAsia="Arial" w:hAnsi="Arial" w:cs="Arial"/>
                <w:color w:val="000000"/>
                <w:sz w:val="18"/>
              </w:rPr>
              <w:t>2,376 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3F03568D" w14:textId="77777777" w:rsidR="001614AC" w:rsidRDefault="001614AC">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7E1C4067" w14:textId="77777777" w:rsidR="001614AC" w:rsidRDefault="001614AC">
            <w:pPr>
              <w:keepNext/>
            </w:pPr>
          </w:p>
        </w:tc>
        <w:tc>
          <w:tcPr>
            <w:tcW w:w="160" w:type="dxa"/>
            <w:tcBorders>
              <w:top w:val="single" w:sz="8" w:space="0" w:color="E9E9E9"/>
              <w:left w:val="nil"/>
              <w:bottom w:val="single" w:sz="8" w:space="0" w:color="E9E9E9"/>
              <w:right w:val="nil"/>
            </w:tcBorders>
            <w:tcMar>
              <w:top w:w="0" w:type="dxa"/>
              <w:left w:w="53" w:type="dxa"/>
              <w:bottom w:w="0" w:type="dxa"/>
              <w:right w:w="0" w:type="dxa"/>
            </w:tcMar>
            <w:vAlign w:val="bottom"/>
          </w:tcPr>
          <w:p w14:paraId="1CDF9FD0" w14:textId="77777777" w:rsidR="001614AC" w:rsidRDefault="004468F9">
            <w:pPr>
              <w:keepNext/>
              <w:spacing w:before="55" w:after="30" w:line="288" w:lineRule="auto"/>
            </w:pPr>
            <w:r>
              <w:rPr>
                <w:rFonts w:ascii="Arial" w:eastAsia="Arial" w:hAnsi="Arial" w:cs="Arial"/>
                <w:color w:val="000000"/>
                <w:sz w:val="18"/>
              </w:rPr>
              <w:t>$</w:t>
            </w:r>
          </w:p>
        </w:tc>
        <w:tc>
          <w:tcPr>
            <w:tcW w:w="745" w:type="dxa"/>
            <w:tcBorders>
              <w:top w:val="single" w:sz="8" w:space="0" w:color="E9E9E9"/>
              <w:left w:val="nil"/>
              <w:bottom w:val="single" w:sz="8" w:space="0" w:color="E9E9E9"/>
              <w:right w:val="nil"/>
            </w:tcBorders>
            <w:tcMar>
              <w:top w:w="0" w:type="dxa"/>
              <w:left w:w="0" w:type="dxa"/>
              <w:bottom w:w="0" w:type="dxa"/>
              <w:right w:w="0" w:type="dxa"/>
            </w:tcMar>
            <w:vAlign w:val="bottom"/>
          </w:tcPr>
          <w:p w14:paraId="4A02B3B9" w14:textId="77777777" w:rsidR="001614AC" w:rsidRDefault="004468F9">
            <w:pPr>
              <w:keepNext/>
              <w:spacing w:before="55" w:after="30" w:line="288" w:lineRule="auto"/>
              <w:jc w:val="right"/>
            </w:pPr>
            <w:r>
              <w:rPr>
                <w:rFonts w:ascii="Arial" w:eastAsia="Arial" w:hAnsi="Arial" w:cs="Arial"/>
                <w:color w:val="000000"/>
                <w:sz w:val="18"/>
              </w:rPr>
              <w:t>6,974 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64B58CC8" w14:textId="77777777" w:rsidR="001614AC" w:rsidRDefault="001614AC">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23E6C6ED" w14:textId="77777777" w:rsidR="001614AC" w:rsidRDefault="001614AC">
            <w:pPr>
              <w:keepNext/>
            </w:pPr>
          </w:p>
        </w:tc>
        <w:tc>
          <w:tcPr>
            <w:tcW w:w="160" w:type="dxa"/>
            <w:tcBorders>
              <w:top w:val="single" w:sz="8" w:space="0" w:color="E9E9E9"/>
              <w:left w:val="nil"/>
              <w:bottom w:val="single" w:sz="8" w:space="0" w:color="E9E9E9"/>
              <w:right w:val="nil"/>
            </w:tcBorders>
            <w:tcMar>
              <w:top w:w="0" w:type="dxa"/>
              <w:left w:w="53" w:type="dxa"/>
              <w:bottom w:w="0" w:type="dxa"/>
              <w:right w:w="0" w:type="dxa"/>
            </w:tcMar>
            <w:vAlign w:val="bottom"/>
          </w:tcPr>
          <w:p w14:paraId="676A25A5" w14:textId="77777777" w:rsidR="001614AC" w:rsidRDefault="004468F9">
            <w:pPr>
              <w:keepNext/>
              <w:spacing w:before="55" w:after="30" w:line="288" w:lineRule="auto"/>
            </w:pPr>
            <w:r>
              <w:rPr>
                <w:rFonts w:ascii="Arial" w:eastAsia="Arial" w:hAnsi="Arial" w:cs="Arial"/>
                <w:color w:val="000000"/>
                <w:sz w:val="18"/>
              </w:rPr>
              <w:t>$</w:t>
            </w:r>
          </w:p>
        </w:tc>
        <w:tc>
          <w:tcPr>
            <w:tcW w:w="745" w:type="dxa"/>
            <w:tcBorders>
              <w:top w:val="single" w:sz="8" w:space="0" w:color="E9E9E9"/>
              <w:left w:val="nil"/>
              <w:bottom w:val="single" w:sz="8" w:space="0" w:color="E9E9E9"/>
              <w:right w:val="nil"/>
            </w:tcBorders>
            <w:tcMar>
              <w:top w:w="0" w:type="dxa"/>
              <w:left w:w="0" w:type="dxa"/>
              <w:bottom w:w="0" w:type="dxa"/>
              <w:right w:w="0" w:type="dxa"/>
            </w:tcMar>
            <w:vAlign w:val="bottom"/>
          </w:tcPr>
          <w:p w14:paraId="6E3329F1" w14:textId="77777777" w:rsidR="001614AC" w:rsidRDefault="004468F9">
            <w:pPr>
              <w:keepNext/>
              <w:spacing w:before="55" w:after="30" w:line="288" w:lineRule="auto"/>
              <w:jc w:val="right"/>
            </w:pPr>
            <w:r>
              <w:rPr>
                <w:rFonts w:ascii="Arial" w:eastAsia="Arial" w:hAnsi="Arial" w:cs="Arial"/>
                <w:color w:val="000000"/>
                <w:sz w:val="18"/>
              </w:rPr>
              <w:t>1,586 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3BDCFE2F" w14:textId="77777777" w:rsidR="001614AC" w:rsidRDefault="001614AC">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28101FD3" w14:textId="77777777" w:rsidR="001614AC" w:rsidRDefault="001614AC">
            <w:pPr>
              <w:keepNext/>
            </w:pPr>
          </w:p>
        </w:tc>
        <w:tc>
          <w:tcPr>
            <w:tcW w:w="160" w:type="dxa"/>
            <w:tcBorders>
              <w:top w:val="single" w:sz="8" w:space="0" w:color="E9E9E9"/>
              <w:left w:val="nil"/>
              <w:bottom w:val="single" w:sz="8" w:space="0" w:color="E9E9E9"/>
              <w:right w:val="nil"/>
            </w:tcBorders>
            <w:tcMar>
              <w:top w:w="0" w:type="dxa"/>
              <w:left w:w="53" w:type="dxa"/>
              <w:bottom w:w="0" w:type="dxa"/>
              <w:right w:w="0" w:type="dxa"/>
            </w:tcMar>
            <w:vAlign w:val="bottom"/>
          </w:tcPr>
          <w:p w14:paraId="0DA1B7D3" w14:textId="77777777" w:rsidR="001614AC" w:rsidRDefault="004468F9">
            <w:pPr>
              <w:keepNext/>
              <w:spacing w:before="55" w:after="30" w:line="288" w:lineRule="auto"/>
            </w:pPr>
            <w:r>
              <w:rPr>
                <w:rFonts w:ascii="Arial" w:eastAsia="Arial" w:hAnsi="Arial" w:cs="Arial"/>
                <w:color w:val="000000"/>
                <w:sz w:val="18"/>
              </w:rPr>
              <w:t>$</w:t>
            </w:r>
          </w:p>
        </w:tc>
        <w:tc>
          <w:tcPr>
            <w:tcW w:w="745" w:type="dxa"/>
            <w:tcBorders>
              <w:top w:val="single" w:sz="8" w:space="0" w:color="E9E9E9"/>
              <w:left w:val="nil"/>
              <w:bottom w:val="single" w:sz="8" w:space="0" w:color="E9E9E9"/>
              <w:right w:val="nil"/>
            </w:tcBorders>
            <w:tcMar>
              <w:top w:w="0" w:type="dxa"/>
              <w:left w:w="0" w:type="dxa"/>
              <w:bottom w:w="0" w:type="dxa"/>
              <w:right w:w="0" w:type="dxa"/>
            </w:tcMar>
            <w:vAlign w:val="bottom"/>
          </w:tcPr>
          <w:p w14:paraId="1015C8C9" w14:textId="77777777" w:rsidR="001614AC" w:rsidRDefault="004468F9">
            <w:pPr>
              <w:keepNext/>
              <w:spacing w:before="55" w:after="30" w:line="288" w:lineRule="auto"/>
              <w:jc w:val="right"/>
            </w:pPr>
            <w:r>
              <w:rPr>
                <w:rFonts w:ascii="Arial" w:eastAsia="Arial" w:hAnsi="Arial" w:cs="Arial"/>
                <w:color w:val="000000"/>
                <w:sz w:val="18"/>
              </w:rPr>
              <w:t>18,221 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2EC4842A" w14:textId="77777777" w:rsidR="001614AC" w:rsidRDefault="001614AC">
            <w:pPr>
              <w:keepNext/>
              <w:spacing w:before="55" w:after="30" w:line="288" w:lineRule="auto"/>
              <w:jc w:val="right"/>
            </w:pPr>
          </w:p>
        </w:tc>
      </w:tr>
      <w:tr w:rsidR="001614AC" w14:paraId="47F9BA00" w14:textId="77777777">
        <w:trPr>
          <w:cantSplit/>
        </w:trPr>
        <w:tc>
          <w:tcPr>
            <w:tcW w:w="5640" w:type="dxa"/>
            <w:tcBorders>
              <w:top w:val="single" w:sz="8" w:space="0" w:color="E9E9E9"/>
              <w:left w:val="nil"/>
              <w:bottom w:val="single" w:sz="8" w:space="0" w:color="E9E9E9"/>
              <w:right w:val="nil"/>
            </w:tcBorders>
            <w:tcMar>
              <w:top w:w="0" w:type="dxa"/>
              <w:left w:w="53" w:type="dxa"/>
              <w:bottom w:w="0" w:type="dxa"/>
              <w:right w:w="53" w:type="dxa"/>
            </w:tcMar>
            <w:vAlign w:val="bottom"/>
          </w:tcPr>
          <w:p w14:paraId="0DC4D97D" w14:textId="77777777" w:rsidR="001614AC" w:rsidRDefault="004468F9">
            <w:pPr>
              <w:keepNext/>
              <w:spacing w:before="55" w:after="30" w:line="288" w:lineRule="auto"/>
              <w:ind w:left="240"/>
            </w:pPr>
            <w:r>
              <w:rPr>
                <w:rFonts w:ascii="Arial" w:eastAsia="Arial" w:hAnsi="Arial" w:cs="Arial"/>
                <w:color w:val="000000"/>
                <w:sz w:val="18"/>
              </w:rPr>
              <w:t>Trading securities</w:t>
            </w:r>
          </w:p>
        </w:tc>
        <w:tc>
          <w:tcPr>
            <w:tcW w:w="105" w:type="dxa"/>
            <w:tcBorders>
              <w:top w:val="nil"/>
              <w:left w:val="nil"/>
              <w:bottom w:val="nil"/>
              <w:right w:val="nil"/>
            </w:tcBorders>
            <w:tcMar>
              <w:top w:w="0" w:type="dxa"/>
              <w:left w:w="0" w:type="dxa"/>
              <w:bottom w:w="0" w:type="dxa"/>
              <w:right w:w="0" w:type="dxa"/>
            </w:tcMar>
            <w:vAlign w:val="bottom"/>
          </w:tcPr>
          <w:p w14:paraId="53D8423D" w14:textId="77777777" w:rsidR="001614AC" w:rsidRDefault="001614AC">
            <w:pPr>
              <w:keepNext/>
            </w:pPr>
          </w:p>
        </w:tc>
        <w:tc>
          <w:tcPr>
            <w:tcW w:w="90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2A71EFFC" w14:textId="77777777" w:rsidR="001614AC" w:rsidRDefault="004468F9">
            <w:pPr>
              <w:keepNext/>
              <w:spacing w:before="55" w:after="30" w:line="288" w:lineRule="auto"/>
              <w:jc w:val="right"/>
            </w:pPr>
            <w:r>
              <w:rPr>
                <w:rFonts w:ascii="Arial" w:eastAsia="Arial" w:hAnsi="Arial" w:cs="Arial"/>
                <w:color w:val="000000"/>
                <w:sz w:val="18"/>
              </w:rPr>
              <w:t>(112)</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70105782" w14:textId="77777777" w:rsidR="001614AC" w:rsidRDefault="001614AC">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3DFA0293" w14:textId="77777777" w:rsidR="001614AC" w:rsidRDefault="001614AC">
            <w:pPr>
              <w:keepNext/>
            </w:pPr>
          </w:p>
        </w:tc>
        <w:tc>
          <w:tcPr>
            <w:tcW w:w="90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3B418E0E" w14:textId="77777777" w:rsidR="001614AC" w:rsidRDefault="004468F9">
            <w:pPr>
              <w:keepNext/>
              <w:spacing w:before="55" w:after="30" w:line="288" w:lineRule="auto"/>
              <w:jc w:val="right"/>
            </w:pPr>
            <w:r>
              <w:rPr>
                <w:rFonts w:ascii="Arial" w:eastAsia="Arial" w:hAnsi="Arial" w:cs="Arial"/>
                <w:color w:val="000000"/>
                <w:sz w:val="18"/>
              </w:rPr>
              <w:t>(45)</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5CF381F5" w14:textId="77777777" w:rsidR="001614AC" w:rsidRDefault="001614AC">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04CD69CD" w14:textId="77777777" w:rsidR="001614AC" w:rsidRDefault="001614AC">
            <w:pPr>
              <w:keepNext/>
            </w:pPr>
          </w:p>
        </w:tc>
        <w:tc>
          <w:tcPr>
            <w:tcW w:w="90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57609020" w14:textId="77777777" w:rsidR="001614AC" w:rsidRDefault="004468F9">
            <w:pPr>
              <w:keepNext/>
              <w:spacing w:before="55" w:after="30" w:line="288" w:lineRule="auto"/>
              <w:jc w:val="right"/>
            </w:pPr>
            <w:r>
              <w:rPr>
                <w:rFonts w:ascii="Arial" w:eastAsia="Arial" w:hAnsi="Arial" w:cs="Arial"/>
                <w:color w:val="000000"/>
                <w:sz w:val="18"/>
              </w:rPr>
              <w:t>391 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2E85ED60" w14:textId="77777777" w:rsidR="001614AC" w:rsidRDefault="001614AC">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62F035DE" w14:textId="77777777" w:rsidR="001614AC" w:rsidRDefault="001614AC">
            <w:pPr>
              <w:keepNext/>
            </w:pPr>
          </w:p>
        </w:tc>
        <w:tc>
          <w:tcPr>
            <w:tcW w:w="90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344F761E" w14:textId="77777777" w:rsidR="001614AC" w:rsidRDefault="004468F9">
            <w:pPr>
              <w:keepNext/>
              <w:spacing w:before="55" w:after="30" w:line="288" w:lineRule="auto"/>
              <w:jc w:val="right"/>
            </w:pPr>
            <w:r>
              <w:rPr>
                <w:rFonts w:ascii="Arial" w:eastAsia="Arial" w:hAnsi="Arial" w:cs="Arial"/>
                <w:color w:val="000000"/>
                <w:sz w:val="18"/>
              </w:rPr>
              <w:t>4 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67732906" w14:textId="77777777" w:rsidR="001614AC" w:rsidRDefault="001614AC">
            <w:pPr>
              <w:keepNext/>
              <w:spacing w:before="55" w:after="30" w:line="288" w:lineRule="auto"/>
              <w:jc w:val="right"/>
            </w:pPr>
          </w:p>
        </w:tc>
      </w:tr>
      <w:tr w:rsidR="001614AC" w14:paraId="2D053E95" w14:textId="77777777">
        <w:trPr>
          <w:cantSplit/>
        </w:trPr>
        <w:tc>
          <w:tcPr>
            <w:tcW w:w="5640" w:type="dxa"/>
            <w:tcBorders>
              <w:top w:val="single" w:sz="8" w:space="0" w:color="E9E9E9"/>
              <w:left w:val="nil"/>
              <w:bottom w:val="single" w:sz="8" w:space="0" w:color="E9E9E9"/>
              <w:right w:val="nil"/>
            </w:tcBorders>
            <w:tcMar>
              <w:top w:w="0" w:type="dxa"/>
              <w:left w:w="53" w:type="dxa"/>
              <w:bottom w:w="0" w:type="dxa"/>
              <w:right w:w="53" w:type="dxa"/>
            </w:tcMar>
            <w:vAlign w:val="bottom"/>
          </w:tcPr>
          <w:p w14:paraId="52615E47" w14:textId="77777777" w:rsidR="001614AC" w:rsidRDefault="004468F9">
            <w:pPr>
              <w:keepNext/>
              <w:spacing w:before="55" w:after="30" w:line="288" w:lineRule="auto"/>
              <w:ind w:left="240"/>
            </w:pPr>
            <w:r>
              <w:rPr>
                <w:rFonts w:ascii="Arial" w:eastAsia="Arial" w:hAnsi="Arial" w:cs="Arial"/>
                <w:color w:val="000000"/>
                <w:sz w:val="18"/>
              </w:rPr>
              <w:t>Equity securities</w:t>
            </w:r>
          </w:p>
        </w:tc>
        <w:tc>
          <w:tcPr>
            <w:tcW w:w="105" w:type="dxa"/>
            <w:tcBorders>
              <w:top w:val="nil"/>
              <w:left w:val="nil"/>
              <w:bottom w:val="nil"/>
              <w:right w:val="nil"/>
            </w:tcBorders>
            <w:tcMar>
              <w:top w:w="0" w:type="dxa"/>
              <w:left w:w="0" w:type="dxa"/>
              <w:bottom w:w="0" w:type="dxa"/>
              <w:right w:w="0" w:type="dxa"/>
            </w:tcMar>
            <w:vAlign w:val="bottom"/>
          </w:tcPr>
          <w:p w14:paraId="7C6AA02F" w14:textId="77777777" w:rsidR="001614AC" w:rsidRDefault="001614AC">
            <w:pPr>
              <w:keepNext/>
            </w:pPr>
          </w:p>
        </w:tc>
        <w:tc>
          <w:tcPr>
            <w:tcW w:w="90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21901579" w14:textId="77777777" w:rsidR="001614AC" w:rsidRDefault="004468F9">
            <w:pPr>
              <w:keepNext/>
              <w:spacing w:before="55" w:after="30" w:line="288" w:lineRule="auto"/>
              <w:jc w:val="right"/>
            </w:pPr>
            <w:r>
              <w:rPr>
                <w:rFonts w:ascii="Arial" w:eastAsia="Arial" w:hAnsi="Arial" w:cs="Arial"/>
                <w:color w:val="000000"/>
                <w:sz w:val="18"/>
              </w:rPr>
              <w:t>(227)</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2F949A1A" w14:textId="77777777" w:rsidR="001614AC" w:rsidRDefault="001614AC">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72E8946F" w14:textId="77777777" w:rsidR="001614AC" w:rsidRDefault="001614AC">
            <w:pPr>
              <w:keepNext/>
            </w:pPr>
          </w:p>
        </w:tc>
        <w:tc>
          <w:tcPr>
            <w:tcW w:w="90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5F9360FB" w14:textId="77777777" w:rsidR="001614AC" w:rsidRDefault="004468F9">
            <w:pPr>
              <w:keepNext/>
              <w:spacing w:before="55" w:after="30" w:line="288" w:lineRule="auto"/>
              <w:jc w:val="right"/>
            </w:pPr>
            <w:r>
              <w:rPr>
                <w:rFonts w:ascii="Arial" w:eastAsia="Arial" w:hAnsi="Arial" w:cs="Arial"/>
                <w:color w:val="000000"/>
                <w:sz w:val="18"/>
              </w:rPr>
              <w:t>51 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33FC645C" w14:textId="77777777" w:rsidR="001614AC" w:rsidRDefault="001614AC">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74A2FBD4" w14:textId="77777777" w:rsidR="001614AC" w:rsidRDefault="001614AC">
            <w:pPr>
              <w:keepNext/>
            </w:pPr>
          </w:p>
        </w:tc>
        <w:tc>
          <w:tcPr>
            <w:tcW w:w="90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2BA3EF20" w14:textId="77777777" w:rsidR="001614AC" w:rsidRDefault="004468F9">
            <w:pPr>
              <w:keepNext/>
              <w:spacing w:before="55" w:after="30" w:line="288" w:lineRule="auto"/>
              <w:jc w:val="right"/>
            </w:pPr>
            <w:r>
              <w:rPr>
                <w:rFonts w:ascii="Arial" w:eastAsia="Arial" w:hAnsi="Arial" w:cs="Arial"/>
                <w:color w:val="000000"/>
                <w:sz w:val="18"/>
              </w:rPr>
              <w:t>(227)</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4B1962E2" w14:textId="77777777" w:rsidR="001614AC" w:rsidRDefault="001614AC">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27F36426" w14:textId="77777777" w:rsidR="001614AC" w:rsidRDefault="001614AC">
            <w:pPr>
              <w:keepNext/>
            </w:pPr>
          </w:p>
        </w:tc>
        <w:tc>
          <w:tcPr>
            <w:tcW w:w="90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3F55DCCC" w14:textId="77777777" w:rsidR="001614AC" w:rsidRDefault="004468F9">
            <w:pPr>
              <w:keepNext/>
              <w:spacing w:before="55" w:after="30" w:line="288" w:lineRule="auto"/>
              <w:jc w:val="right"/>
            </w:pPr>
            <w:r>
              <w:rPr>
                <w:rFonts w:ascii="Arial" w:eastAsia="Arial" w:hAnsi="Arial" w:cs="Arial"/>
                <w:color w:val="000000"/>
                <w:sz w:val="18"/>
              </w:rPr>
              <w:t>361 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5C045387" w14:textId="77777777" w:rsidR="001614AC" w:rsidRDefault="001614AC">
            <w:pPr>
              <w:keepNext/>
              <w:spacing w:before="55" w:after="30" w:line="288" w:lineRule="auto"/>
              <w:jc w:val="right"/>
            </w:pPr>
          </w:p>
        </w:tc>
      </w:tr>
      <w:tr w:rsidR="001614AC" w14:paraId="6BE3139D" w14:textId="77777777">
        <w:trPr>
          <w:cantSplit/>
        </w:trPr>
        <w:tc>
          <w:tcPr>
            <w:tcW w:w="5640" w:type="dxa"/>
            <w:tcBorders>
              <w:top w:val="single" w:sz="8" w:space="0" w:color="E9E9E9"/>
              <w:left w:val="nil"/>
              <w:bottom w:val="nil"/>
              <w:right w:val="nil"/>
            </w:tcBorders>
            <w:tcMar>
              <w:top w:w="0" w:type="dxa"/>
              <w:left w:w="53" w:type="dxa"/>
              <w:bottom w:w="0" w:type="dxa"/>
              <w:right w:w="53" w:type="dxa"/>
            </w:tcMar>
            <w:vAlign w:val="bottom"/>
          </w:tcPr>
          <w:p w14:paraId="3D3E9A1E" w14:textId="77777777" w:rsidR="001614AC" w:rsidRDefault="004468F9">
            <w:pPr>
              <w:keepNext/>
              <w:spacing w:before="55" w:after="30" w:line="288" w:lineRule="auto"/>
              <w:ind w:left="240"/>
            </w:pPr>
            <w:r>
              <w:rPr>
                <w:rFonts w:ascii="Arial" w:eastAsia="Arial" w:hAnsi="Arial" w:cs="Arial"/>
                <w:color w:val="000000"/>
                <w:sz w:val="18"/>
              </w:rPr>
              <w:t>Other investments</w:t>
            </w:r>
          </w:p>
        </w:tc>
        <w:tc>
          <w:tcPr>
            <w:tcW w:w="105" w:type="dxa"/>
            <w:tcBorders>
              <w:top w:val="nil"/>
              <w:left w:val="nil"/>
              <w:bottom w:val="nil"/>
              <w:right w:val="nil"/>
            </w:tcBorders>
            <w:tcMar>
              <w:top w:w="0" w:type="dxa"/>
              <w:left w:w="0" w:type="dxa"/>
              <w:bottom w:w="0" w:type="dxa"/>
              <w:right w:w="0" w:type="dxa"/>
            </w:tcMar>
            <w:vAlign w:val="bottom"/>
          </w:tcPr>
          <w:p w14:paraId="25AB4F63" w14:textId="77777777" w:rsidR="001614AC" w:rsidRDefault="001614AC">
            <w:pPr>
              <w:keepNext/>
            </w:pPr>
          </w:p>
        </w:tc>
        <w:tc>
          <w:tcPr>
            <w:tcW w:w="905" w:type="dxa"/>
            <w:gridSpan w:val="2"/>
            <w:tcBorders>
              <w:top w:val="single" w:sz="8" w:space="0" w:color="E9E9E9"/>
              <w:left w:val="nil"/>
              <w:bottom w:val="single" w:sz="8" w:space="0" w:color="C7C9C7"/>
              <w:right w:val="nil"/>
            </w:tcBorders>
            <w:tcMar>
              <w:top w:w="0" w:type="dxa"/>
              <w:left w:w="53" w:type="dxa"/>
              <w:bottom w:w="0" w:type="dxa"/>
              <w:right w:w="0" w:type="dxa"/>
            </w:tcMar>
            <w:vAlign w:val="bottom"/>
          </w:tcPr>
          <w:p w14:paraId="38113E51" w14:textId="77777777" w:rsidR="001614AC" w:rsidRDefault="004468F9">
            <w:pPr>
              <w:keepNext/>
              <w:spacing w:before="55" w:after="30" w:line="288" w:lineRule="auto"/>
              <w:jc w:val="right"/>
            </w:pPr>
            <w:r>
              <w:rPr>
                <w:rFonts w:ascii="Arial" w:eastAsia="Arial" w:hAnsi="Arial" w:cs="Arial"/>
                <w:color w:val="000000"/>
                <w:sz w:val="18"/>
              </w:rPr>
              <w:t>2,229 </w:t>
            </w:r>
          </w:p>
        </w:tc>
        <w:tc>
          <w:tcPr>
            <w:tcW w:w="100" w:type="dxa"/>
            <w:tcBorders>
              <w:top w:val="single" w:sz="8" w:space="0" w:color="E9E9E9"/>
              <w:left w:val="nil"/>
              <w:bottom w:val="single" w:sz="8" w:space="0" w:color="C7C9C7"/>
              <w:right w:val="nil"/>
            </w:tcBorders>
            <w:tcMar>
              <w:top w:w="0" w:type="dxa"/>
              <w:left w:w="0" w:type="dxa"/>
              <w:bottom w:w="0" w:type="dxa"/>
              <w:right w:w="15" w:type="dxa"/>
            </w:tcMar>
            <w:vAlign w:val="bottom"/>
          </w:tcPr>
          <w:p w14:paraId="0890697E" w14:textId="77777777" w:rsidR="001614AC" w:rsidRDefault="001614AC">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272BC5DD" w14:textId="77777777" w:rsidR="001614AC" w:rsidRDefault="001614AC">
            <w:pPr>
              <w:keepNext/>
            </w:pPr>
          </w:p>
        </w:tc>
        <w:tc>
          <w:tcPr>
            <w:tcW w:w="905" w:type="dxa"/>
            <w:gridSpan w:val="2"/>
            <w:tcBorders>
              <w:top w:val="single" w:sz="8" w:space="0" w:color="E9E9E9"/>
              <w:left w:val="nil"/>
              <w:bottom w:val="single" w:sz="8" w:space="0" w:color="C7C9C7"/>
              <w:right w:val="nil"/>
            </w:tcBorders>
            <w:tcMar>
              <w:top w:w="0" w:type="dxa"/>
              <w:left w:w="53" w:type="dxa"/>
              <w:bottom w:w="0" w:type="dxa"/>
              <w:right w:w="0" w:type="dxa"/>
            </w:tcMar>
            <w:vAlign w:val="bottom"/>
          </w:tcPr>
          <w:p w14:paraId="555286E0" w14:textId="77777777" w:rsidR="001614AC" w:rsidRDefault="004468F9">
            <w:pPr>
              <w:keepNext/>
              <w:spacing w:before="55" w:after="30" w:line="288" w:lineRule="auto"/>
              <w:jc w:val="right"/>
            </w:pPr>
            <w:r>
              <w:rPr>
                <w:rFonts w:ascii="Arial" w:eastAsia="Arial" w:hAnsi="Arial" w:cs="Arial"/>
                <w:color w:val="000000"/>
                <w:sz w:val="18"/>
              </w:rPr>
              <w:t>44 </w:t>
            </w:r>
          </w:p>
        </w:tc>
        <w:tc>
          <w:tcPr>
            <w:tcW w:w="100" w:type="dxa"/>
            <w:tcBorders>
              <w:top w:val="single" w:sz="8" w:space="0" w:color="E9E9E9"/>
              <w:left w:val="nil"/>
              <w:bottom w:val="single" w:sz="8" w:space="0" w:color="C7C9C7"/>
              <w:right w:val="nil"/>
            </w:tcBorders>
            <w:tcMar>
              <w:top w:w="0" w:type="dxa"/>
              <w:left w:w="0" w:type="dxa"/>
              <w:bottom w:w="0" w:type="dxa"/>
              <w:right w:w="15" w:type="dxa"/>
            </w:tcMar>
            <w:vAlign w:val="bottom"/>
          </w:tcPr>
          <w:p w14:paraId="5A0D262D" w14:textId="77777777" w:rsidR="001614AC" w:rsidRDefault="001614AC">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457E6E47" w14:textId="77777777" w:rsidR="001614AC" w:rsidRDefault="001614AC">
            <w:pPr>
              <w:keepNext/>
            </w:pPr>
          </w:p>
        </w:tc>
        <w:tc>
          <w:tcPr>
            <w:tcW w:w="905" w:type="dxa"/>
            <w:gridSpan w:val="2"/>
            <w:tcBorders>
              <w:top w:val="single" w:sz="8" w:space="0" w:color="E9E9E9"/>
              <w:left w:val="nil"/>
              <w:bottom w:val="single" w:sz="8" w:space="0" w:color="C7C9C7"/>
              <w:right w:val="nil"/>
            </w:tcBorders>
            <w:tcMar>
              <w:top w:w="0" w:type="dxa"/>
              <w:left w:w="53" w:type="dxa"/>
              <w:bottom w:w="0" w:type="dxa"/>
              <w:right w:w="0" w:type="dxa"/>
            </w:tcMar>
            <w:vAlign w:val="bottom"/>
          </w:tcPr>
          <w:p w14:paraId="1E598325" w14:textId="77777777" w:rsidR="001614AC" w:rsidRDefault="004468F9">
            <w:pPr>
              <w:keepNext/>
              <w:spacing w:before="55" w:after="30" w:line="288" w:lineRule="auto"/>
              <w:jc w:val="right"/>
            </w:pPr>
            <w:r>
              <w:rPr>
                <w:rFonts w:ascii="Arial" w:eastAsia="Arial" w:hAnsi="Arial" w:cs="Arial"/>
                <w:color w:val="000000"/>
                <w:sz w:val="18"/>
              </w:rPr>
              <w:t>2,334 </w:t>
            </w:r>
          </w:p>
        </w:tc>
        <w:tc>
          <w:tcPr>
            <w:tcW w:w="100" w:type="dxa"/>
            <w:tcBorders>
              <w:top w:val="single" w:sz="8" w:space="0" w:color="E9E9E9"/>
              <w:left w:val="nil"/>
              <w:bottom w:val="single" w:sz="8" w:space="0" w:color="C7C9C7"/>
              <w:right w:val="nil"/>
            </w:tcBorders>
            <w:tcMar>
              <w:top w:w="0" w:type="dxa"/>
              <w:left w:w="0" w:type="dxa"/>
              <w:bottom w:w="0" w:type="dxa"/>
              <w:right w:w="15" w:type="dxa"/>
            </w:tcMar>
            <w:vAlign w:val="bottom"/>
          </w:tcPr>
          <w:p w14:paraId="6B08E4C0" w14:textId="77777777" w:rsidR="001614AC" w:rsidRDefault="001614AC">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4F3C9070" w14:textId="77777777" w:rsidR="001614AC" w:rsidRDefault="001614AC">
            <w:pPr>
              <w:keepNext/>
            </w:pPr>
          </w:p>
        </w:tc>
        <w:tc>
          <w:tcPr>
            <w:tcW w:w="905" w:type="dxa"/>
            <w:gridSpan w:val="2"/>
            <w:tcBorders>
              <w:top w:val="single" w:sz="8" w:space="0" w:color="E9E9E9"/>
              <w:left w:val="nil"/>
              <w:bottom w:val="single" w:sz="8" w:space="0" w:color="C7C9C7"/>
              <w:right w:val="nil"/>
            </w:tcBorders>
            <w:tcMar>
              <w:top w:w="0" w:type="dxa"/>
              <w:left w:w="53" w:type="dxa"/>
              <w:bottom w:w="0" w:type="dxa"/>
              <w:right w:w="0" w:type="dxa"/>
            </w:tcMar>
            <w:vAlign w:val="bottom"/>
          </w:tcPr>
          <w:p w14:paraId="617DE7BC" w14:textId="77777777" w:rsidR="001614AC" w:rsidRDefault="004468F9">
            <w:pPr>
              <w:keepNext/>
              <w:spacing w:before="55" w:after="30" w:line="288" w:lineRule="auto"/>
              <w:jc w:val="right"/>
            </w:pPr>
            <w:r>
              <w:rPr>
                <w:rFonts w:ascii="Arial" w:eastAsia="Arial" w:hAnsi="Arial" w:cs="Arial"/>
                <w:color w:val="000000"/>
                <w:sz w:val="18"/>
              </w:rPr>
              <w:t>77 </w:t>
            </w:r>
          </w:p>
        </w:tc>
        <w:tc>
          <w:tcPr>
            <w:tcW w:w="100" w:type="dxa"/>
            <w:tcBorders>
              <w:top w:val="single" w:sz="8" w:space="0" w:color="E9E9E9"/>
              <w:left w:val="nil"/>
              <w:bottom w:val="single" w:sz="8" w:space="0" w:color="C7C9C7"/>
              <w:right w:val="nil"/>
            </w:tcBorders>
            <w:tcMar>
              <w:top w:w="0" w:type="dxa"/>
              <w:left w:w="0" w:type="dxa"/>
              <w:bottom w:w="0" w:type="dxa"/>
              <w:right w:w="15" w:type="dxa"/>
            </w:tcMar>
            <w:vAlign w:val="bottom"/>
          </w:tcPr>
          <w:p w14:paraId="36300957" w14:textId="77777777" w:rsidR="001614AC" w:rsidRDefault="001614AC">
            <w:pPr>
              <w:keepNext/>
              <w:spacing w:before="55" w:after="30" w:line="288" w:lineRule="auto"/>
              <w:jc w:val="right"/>
            </w:pPr>
          </w:p>
        </w:tc>
      </w:tr>
      <w:tr w:rsidR="001614AC" w14:paraId="5FD3EE7C" w14:textId="77777777">
        <w:trPr>
          <w:cantSplit/>
        </w:trPr>
        <w:tc>
          <w:tcPr>
            <w:tcW w:w="5640" w:type="dxa"/>
            <w:tcBorders>
              <w:top w:val="nil"/>
              <w:left w:val="nil"/>
              <w:bottom w:val="nil"/>
              <w:right w:val="nil"/>
            </w:tcBorders>
            <w:shd w:val="clear" w:color="auto" w:fill="F4F4F4"/>
            <w:tcMar>
              <w:top w:w="0" w:type="dxa"/>
              <w:left w:w="53" w:type="dxa"/>
              <w:bottom w:w="0" w:type="dxa"/>
              <w:right w:w="53" w:type="dxa"/>
            </w:tcMar>
            <w:vAlign w:val="bottom"/>
          </w:tcPr>
          <w:p w14:paraId="0174530B" w14:textId="77777777" w:rsidR="001614AC" w:rsidRDefault="004468F9">
            <w:pPr>
              <w:keepNext/>
              <w:spacing w:before="75" w:after="30" w:line="288" w:lineRule="auto"/>
              <w:ind w:left="240"/>
            </w:pPr>
            <w:r>
              <w:rPr>
                <w:rFonts w:ascii="Arial" w:eastAsia="Arial" w:hAnsi="Arial" w:cs="Arial"/>
                <w:color w:val="000000"/>
                <w:sz w:val="18"/>
              </w:rPr>
              <w:t>Net realized gains (losses) on investments</w:t>
            </w:r>
          </w:p>
        </w:tc>
        <w:tc>
          <w:tcPr>
            <w:tcW w:w="105" w:type="dxa"/>
            <w:tcBorders>
              <w:top w:val="nil"/>
              <w:left w:val="nil"/>
              <w:bottom w:val="nil"/>
              <w:right w:val="nil"/>
            </w:tcBorders>
            <w:shd w:val="clear" w:color="auto" w:fill="F4F4F4"/>
            <w:tcMar>
              <w:top w:w="0" w:type="dxa"/>
              <w:left w:w="0" w:type="dxa"/>
              <w:bottom w:w="0" w:type="dxa"/>
              <w:right w:w="0" w:type="dxa"/>
            </w:tcMar>
            <w:vAlign w:val="bottom"/>
          </w:tcPr>
          <w:p w14:paraId="66A27AC6" w14:textId="77777777" w:rsidR="001614AC" w:rsidRDefault="001614AC">
            <w:pPr>
              <w:keepNext/>
            </w:pPr>
          </w:p>
        </w:tc>
        <w:tc>
          <w:tcPr>
            <w:tcW w:w="905" w:type="dxa"/>
            <w:gridSpan w:val="2"/>
            <w:tcBorders>
              <w:top w:val="single" w:sz="8" w:space="0" w:color="C7C9C7"/>
              <w:left w:val="nil"/>
              <w:bottom w:val="nil"/>
              <w:right w:val="nil"/>
            </w:tcBorders>
            <w:shd w:val="clear" w:color="auto" w:fill="F4F4F4"/>
            <w:tcMar>
              <w:top w:w="0" w:type="dxa"/>
              <w:left w:w="53" w:type="dxa"/>
              <w:bottom w:w="0" w:type="dxa"/>
              <w:right w:w="0" w:type="dxa"/>
            </w:tcMar>
            <w:vAlign w:val="bottom"/>
          </w:tcPr>
          <w:p w14:paraId="024CFD77" w14:textId="77777777" w:rsidR="001614AC" w:rsidRDefault="004468F9">
            <w:pPr>
              <w:keepNext/>
              <w:spacing w:before="55" w:after="30" w:line="288" w:lineRule="auto"/>
              <w:jc w:val="right"/>
            </w:pPr>
            <w:r>
              <w:rPr>
                <w:rFonts w:ascii="Arial" w:eastAsia="Arial" w:hAnsi="Arial" w:cs="Arial"/>
                <w:color w:val="000000"/>
                <w:sz w:val="18"/>
              </w:rPr>
              <w:t>4,266 </w:t>
            </w:r>
          </w:p>
        </w:tc>
        <w:tc>
          <w:tcPr>
            <w:tcW w:w="100" w:type="dxa"/>
            <w:tcBorders>
              <w:top w:val="single" w:sz="8" w:space="0" w:color="C7C9C7"/>
              <w:left w:val="nil"/>
              <w:bottom w:val="nil"/>
              <w:right w:val="nil"/>
            </w:tcBorders>
            <w:shd w:val="clear" w:color="auto" w:fill="F4F4F4"/>
            <w:tcMar>
              <w:top w:w="0" w:type="dxa"/>
              <w:left w:w="0" w:type="dxa"/>
              <w:bottom w:w="0" w:type="dxa"/>
              <w:right w:w="15" w:type="dxa"/>
            </w:tcMar>
            <w:vAlign w:val="bottom"/>
          </w:tcPr>
          <w:p w14:paraId="5EA45CA6" w14:textId="77777777" w:rsidR="001614AC" w:rsidRDefault="001614AC">
            <w:pPr>
              <w:keepNext/>
              <w:spacing w:before="55" w:after="30" w:line="288" w:lineRule="auto"/>
              <w:jc w:val="right"/>
            </w:pPr>
          </w:p>
        </w:tc>
        <w:tc>
          <w:tcPr>
            <w:tcW w:w="105" w:type="dxa"/>
            <w:tcBorders>
              <w:top w:val="nil"/>
              <w:left w:val="nil"/>
              <w:bottom w:val="nil"/>
              <w:right w:val="nil"/>
            </w:tcBorders>
            <w:shd w:val="clear" w:color="auto" w:fill="F4F4F4"/>
            <w:tcMar>
              <w:top w:w="0" w:type="dxa"/>
              <w:left w:w="0" w:type="dxa"/>
              <w:bottom w:w="0" w:type="dxa"/>
              <w:right w:w="0" w:type="dxa"/>
            </w:tcMar>
            <w:vAlign w:val="bottom"/>
          </w:tcPr>
          <w:p w14:paraId="628342C4" w14:textId="77777777" w:rsidR="001614AC" w:rsidRDefault="001614AC">
            <w:pPr>
              <w:keepNext/>
            </w:pPr>
          </w:p>
        </w:tc>
        <w:tc>
          <w:tcPr>
            <w:tcW w:w="905" w:type="dxa"/>
            <w:gridSpan w:val="2"/>
            <w:tcBorders>
              <w:top w:val="single" w:sz="8" w:space="0" w:color="C7C9C7"/>
              <w:left w:val="nil"/>
              <w:bottom w:val="nil"/>
              <w:right w:val="nil"/>
            </w:tcBorders>
            <w:shd w:val="clear" w:color="auto" w:fill="F4F4F4"/>
            <w:tcMar>
              <w:top w:w="0" w:type="dxa"/>
              <w:left w:w="53" w:type="dxa"/>
              <w:bottom w:w="0" w:type="dxa"/>
              <w:right w:w="0" w:type="dxa"/>
            </w:tcMar>
            <w:vAlign w:val="bottom"/>
          </w:tcPr>
          <w:p w14:paraId="60A550B6" w14:textId="77777777" w:rsidR="001614AC" w:rsidRDefault="004468F9">
            <w:pPr>
              <w:keepNext/>
              <w:spacing w:before="55" w:after="30" w:line="288" w:lineRule="auto"/>
              <w:jc w:val="right"/>
            </w:pPr>
            <w:r>
              <w:rPr>
                <w:rFonts w:ascii="Arial" w:eastAsia="Arial" w:hAnsi="Arial" w:cs="Arial"/>
                <w:color w:val="000000"/>
                <w:sz w:val="18"/>
              </w:rPr>
              <w:t>7,024 </w:t>
            </w:r>
          </w:p>
        </w:tc>
        <w:tc>
          <w:tcPr>
            <w:tcW w:w="100" w:type="dxa"/>
            <w:tcBorders>
              <w:top w:val="single" w:sz="8" w:space="0" w:color="C7C9C7"/>
              <w:left w:val="nil"/>
              <w:bottom w:val="nil"/>
              <w:right w:val="nil"/>
            </w:tcBorders>
            <w:shd w:val="clear" w:color="auto" w:fill="F4F4F4"/>
            <w:tcMar>
              <w:top w:w="0" w:type="dxa"/>
              <w:left w:w="0" w:type="dxa"/>
              <w:bottom w:w="0" w:type="dxa"/>
              <w:right w:w="15" w:type="dxa"/>
            </w:tcMar>
            <w:vAlign w:val="bottom"/>
          </w:tcPr>
          <w:p w14:paraId="41164B75" w14:textId="77777777" w:rsidR="001614AC" w:rsidRDefault="001614AC">
            <w:pPr>
              <w:keepNext/>
              <w:spacing w:before="55" w:after="30" w:line="288" w:lineRule="auto"/>
              <w:jc w:val="right"/>
            </w:pPr>
          </w:p>
        </w:tc>
        <w:tc>
          <w:tcPr>
            <w:tcW w:w="105" w:type="dxa"/>
            <w:tcBorders>
              <w:top w:val="nil"/>
              <w:left w:val="nil"/>
              <w:bottom w:val="nil"/>
              <w:right w:val="nil"/>
            </w:tcBorders>
            <w:shd w:val="clear" w:color="auto" w:fill="F4F4F4"/>
            <w:tcMar>
              <w:top w:w="0" w:type="dxa"/>
              <w:left w:w="0" w:type="dxa"/>
              <w:bottom w:w="0" w:type="dxa"/>
              <w:right w:w="0" w:type="dxa"/>
            </w:tcMar>
            <w:vAlign w:val="bottom"/>
          </w:tcPr>
          <w:p w14:paraId="0F598C37" w14:textId="77777777" w:rsidR="001614AC" w:rsidRDefault="001614AC">
            <w:pPr>
              <w:keepNext/>
            </w:pPr>
          </w:p>
        </w:tc>
        <w:tc>
          <w:tcPr>
            <w:tcW w:w="905" w:type="dxa"/>
            <w:gridSpan w:val="2"/>
            <w:tcBorders>
              <w:top w:val="single" w:sz="8" w:space="0" w:color="C7C9C7"/>
              <w:left w:val="nil"/>
              <w:bottom w:val="nil"/>
              <w:right w:val="nil"/>
            </w:tcBorders>
            <w:shd w:val="clear" w:color="auto" w:fill="F4F4F4"/>
            <w:tcMar>
              <w:top w:w="0" w:type="dxa"/>
              <w:left w:w="53" w:type="dxa"/>
              <w:bottom w:w="0" w:type="dxa"/>
              <w:right w:w="0" w:type="dxa"/>
            </w:tcMar>
            <w:vAlign w:val="bottom"/>
          </w:tcPr>
          <w:p w14:paraId="7964E31B" w14:textId="77777777" w:rsidR="001614AC" w:rsidRDefault="004468F9">
            <w:pPr>
              <w:keepNext/>
              <w:spacing w:before="55" w:after="30" w:line="288" w:lineRule="auto"/>
              <w:jc w:val="right"/>
            </w:pPr>
            <w:r>
              <w:rPr>
                <w:rFonts w:ascii="Arial" w:eastAsia="Arial" w:hAnsi="Arial" w:cs="Arial"/>
                <w:color w:val="000000"/>
                <w:sz w:val="18"/>
              </w:rPr>
              <w:t>4,084 </w:t>
            </w:r>
          </w:p>
        </w:tc>
        <w:tc>
          <w:tcPr>
            <w:tcW w:w="100" w:type="dxa"/>
            <w:tcBorders>
              <w:top w:val="single" w:sz="8" w:space="0" w:color="C7C9C7"/>
              <w:left w:val="nil"/>
              <w:bottom w:val="nil"/>
              <w:right w:val="nil"/>
            </w:tcBorders>
            <w:shd w:val="clear" w:color="auto" w:fill="F4F4F4"/>
            <w:tcMar>
              <w:top w:w="0" w:type="dxa"/>
              <w:left w:w="0" w:type="dxa"/>
              <w:bottom w:w="0" w:type="dxa"/>
              <w:right w:w="15" w:type="dxa"/>
            </w:tcMar>
            <w:vAlign w:val="bottom"/>
          </w:tcPr>
          <w:p w14:paraId="2E698DCD" w14:textId="77777777" w:rsidR="001614AC" w:rsidRDefault="001614AC">
            <w:pPr>
              <w:keepNext/>
              <w:spacing w:before="55" w:after="30" w:line="288" w:lineRule="auto"/>
              <w:jc w:val="right"/>
            </w:pPr>
          </w:p>
        </w:tc>
        <w:tc>
          <w:tcPr>
            <w:tcW w:w="105" w:type="dxa"/>
            <w:tcBorders>
              <w:top w:val="nil"/>
              <w:left w:val="nil"/>
              <w:bottom w:val="nil"/>
              <w:right w:val="nil"/>
            </w:tcBorders>
            <w:shd w:val="clear" w:color="auto" w:fill="F4F4F4"/>
            <w:tcMar>
              <w:top w:w="0" w:type="dxa"/>
              <w:left w:w="0" w:type="dxa"/>
              <w:bottom w:w="0" w:type="dxa"/>
              <w:right w:w="0" w:type="dxa"/>
            </w:tcMar>
            <w:vAlign w:val="bottom"/>
          </w:tcPr>
          <w:p w14:paraId="2271C937" w14:textId="77777777" w:rsidR="001614AC" w:rsidRDefault="001614AC">
            <w:pPr>
              <w:keepNext/>
            </w:pPr>
          </w:p>
        </w:tc>
        <w:tc>
          <w:tcPr>
            <w:tcW w:w="905" w:type="dxa"/>
            <w:gridSpan w:val="2"/>
            <w:tcBorders>
              <w:top w:val="single" w:sz="8" w:space="0" w:color="C7C9C7"/>
              <w:left w:val="nil"/>
              <w:bottom w:val="nil"/>
              <w:right w:val="nil"/>
            </w:tcBorders>
            <w:shd w:val="clear" w:color="auto" w:fill="F4F4F4"/>
            <w:tcMar>
              <w:top w:w="0" w:type="dxa"/>
              <w:left w:w="53" w:type="dxa"/>
              <w:bottom w:w="0" w:type="dxa"/>
              <w:right w:w="0" w:type="dxa"/>
            </w:tcMar>
            <w:vAlign w:val="bottom"/>
          </w:tcPr>
          <w:p w14:paraId="0241115C" w14:textId="77777777" w:rsidR="001614AC" w:rsidRDefault="004468F9">
            <w:pPr>
              <w:keepNext/>
              <w:spacing w:before="55" w:after="30" w:line="288" w:lineRule="auto"/>
              <w:jc w:val="right"/>
            </w:pPr>
            <w:r>
              <w:rPr>
                <w:rFonts w:ascii="Arial" w:eastAsia="Arial" w:hAnsi="Arial" w:cs="Arial"/>
                <w:color w:val="000000"/>
                <w:sz w:val="18"/>
              </w:rPr>
              <w:t>18,663 </w:t>
            </w:r>
          </w:p>
        </w:tc>
        <w:tc>
          <w:tcPr>
            <w:tcW w:w="100" w:type="dxa"/>
            <w:tcBorders>
              <w:top w:val="single" w:sz="8" w:space="0" w:color="C7C9C7"/>
              <w:left w:val="nil"/>
              <w:bottom w:val="nil"/>
              <w:right w:val="nil"/>
            </w:tcBorders>
            <w:shd w:val="clear" w:color="auto" w:fill="F4F4F4"/>
            <w:tcMar>
              <w:top w:w="0" w:type="dxa"/>
              <w:left w:w="0" w:type="dxa"/>
              <w:bottom w:w="0" w:type="dxa"/>
              <w:right w:w="15" w:type="dxa"/>
            </w:tcMar>
            <w:vAlign w:val="bottom"/>
          </w:tcPr>
          <w:p w14:paraId="1543A9C0" w14:textId="77777777" w:rsidR="001614AC" w:rsidRDefault="001614AC">
            <w:pPr>
              <w:keepNext/>
              <w:spacing w:before="55" w:after="30" w:line="288" w:lineRule="auto"/>
              <w:jc w:val="right"/>
            </w:pPr>
          </w:p>
        </w:tc>
      </w:tr>
      <w:tr w:rsidR="001614AC" w14:paraId="4D2E409C" w14:textId="77777777">
        <w:trPr>
          <w:cantSplit/>
        </w:trPr>
        <w:tc>
          <w:tcPr>
            <w:tcW w:w="5640" w:type="dxa"/>
            <w:tcBorders>
              <w:top w:val="nil"/>
              <w:left w:val="nil"/>
              <w:bottom w:val="single" w:sz="8" w:space="0" w:color="E9E9E9"/>
              <w:right w:val="nil"/>
            </w:tcBorders>
            <w:tcMar>
              <w:top w:w="0" w:type="dxa"/>
              <w:left w:w="53" w:type="dxa"/>
              <w:bottom w:w="0" w:type="dxa"/>
              <w:right w:w="53" w:type="dxa"/>
            </w:tcMar>
            <w:vAlign w:val="bottom"/>
          </w:tcPr>
          <w:p w14:paraId="607103AE" w14:textId="77777777" w:rsidR="001614AC" w:rsidRDefault="004468F9">
            <w:pPr>
              <w:keepNext/>
              <w:spacing w:before="75" w:after="30" w:line="288" w:lineRule="auto"/>
            </w:pPr>
            <w:r>
              <w:rPr>
                <w:rFonts w:ascii="Arial" w:eastAsia="Arial" w:hAnsi="Arial" w:cs="Arial"/>
                <w:color w:val="000000"/>
                <w:sz w:val="18"/>
              </w:rPr>
              <w:t>Impairment losses due to intent to sell</w:t>
            </w:r>
          </w:p>
        </w:tc>
        <w:tc>
          <w:tcPr>
            <w:tcW w:w="105" w:type="dxa"/>
            <w:tcBorders>
              <w:top w:val="nil"/>
              <w:left w:val="nil"/>
              <w:bottom w:val="nil"/>
              <w:right w:val="nil"/>
            </w:tcBorders>
            <w:tcMar>
              <w:top w:w="0" w:type="dxa"/>
              <w:left w:w="0" w:type="dxa"/>
              <w:bottom w:w="0" w:type="dxa"/>
              <w:right w:w="0" w:type="dxa"/>
            </w:tcMar>
            <w:vAlign w:val="bottom"/>
          </w:tcPr>
          <w:p w14:paraId="6AA714FB" w14:textId="77777777" w:rsidR="001614AC" w:rsidRDefault="001614AC">
            <w:pPr>
              <w:keepNext/>
            </w:pPr>
          </w:p>
        </w:tc>
        <w:tc>
          <w:tcPr>
            <w:tcW w:w="905" w:type="dxa"/>
            <w:gridSpan w:val="2"/>
            <w:tcBorders>
              <w:top w:val="nil"/>
              <w:left w:val="nil"/>
              <w:bottom w:val="single" w:sz="8" w:space="0" w:color="E9E9E9"/>
              <w:right w:val="nil"/>
            </w:tcBorders>
            <w:tcMar>
              <w:top w:w="0" w:type="dxa"/>
              <w:left w:w="53" w:type="dxa"/>
              <w:bottom w:w="0" w:type="dxa"/>
              <w:right w:w="0" w:type="dxa"/>
            </w:tcMar>
            <w:vAlign w:val="bottom"/>
          </w:tcPr>
          <w:p w14:paraId="26DCDB2B" w14:textId="77777777" w:rsidR="001614AC" w:rsidRDefault="004468F9">
            <w:pPr>
              <w:keepNext/>
              <w:spacing w:before="75" w:after="30" w:line="288" w:lineRule="auto"/>
              <w:jc w:val="right"/>
            </w:pPr>
            <w:r>
              <w:rPr>
                <w:rFonts w:ascii="Arial" w:eastAsia="Arial" w:hAnsi="Arial" w:cs="Arial"/>
                <w:color w:val="000000"/>
                <w:sz w:val="18"/>
              </w:rPr>
              <w:t>— </w:t>
            </w:r>
          </w:p>
        </w:tc>
        <w:tc>
          <w:tcPr>
            <w:tcW w:w="100" w:type="dxa"/>
            <w:tcBorders>
              <w:top w:val="nil"/>
              <w:left w:val="nil"/>
              <w:bottom w:val="single" w:sz="8" w:space="0" w:color="E9E9E9"/>
              <w:right w:val="nil"/>
            </w:tcBorders>
            <w:tcMar>
              <w:top w:w="0" w:type="dxa"/>
              <w:left w:w="0" w:type="dxa"/>
              <w:bottom w:w="0" w:type="dxa"/>
              <w:right w:w="15" w:type="dxa"/>
            </w:tcMar>
            <w:vAlign w:val="bottom"/>
          </w:tcPr>
          <w:p w14:paraId="01D0CF60" w14:textId="77777777" w:rsidR="001614AC" w:rsidRDefault="001614AC">
            <w:pPr>
              <w:keepNext/>
              <w:spacing w:before="7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42B045AE" w14:textId="77777777" w:rsidR="001614AC" w:rsidRDefault="001614AC">
            <w:pPr>
              <w:keepNext/>
            </w:pPr>
          </w:p>
        </w:tc>
        <w:tc>
          <w:tcPr>
            <w:tcW w:w="905" w:type="dxa"/>
            <w:gridSpan w:val="2"/>
            <w:tcBorders>
              <w:top w:val="nil"/>
              <w:left w:val="nil"/>
              <w:bottom w:val="single" w:sz="8" w:space="0" w:color="E9E9E9"/>
              <w:right w:val="nil"/>
            </w:tcBorders>
            <w:tcMar>
              <w:top w:w="0" w:type="dxa"/>
              <w:left w:w="53" w:type="dxa"/>
              <w:bottom w:w="0" w:type="dxa"/>
              <w:right w:w="0" w:type="dxa"/>
            </w:tcMar>
            <w:vAlign w:val="bottom"/>
          </w:tcPr>
          <w:p w14:paraId="7F6DF9B4" w14:textId="77777777" w:rsidR="001614AC" w:rsidRDefault="004468F9">
            <w:pPr>
              <w:keepNext/>
              <w:spacing w:before="75" w:after="30" w:line="288" w:lineRule="auto"/>
              <w:jc w:val="right"/>
            </w:pPr>
            <w:r>
              <w:rPr>
                <w:rFonts w:ascii="Arial" w:eastAsia="Arial" w:hAnsi="Arial" w:cs="Arial"/>
                <w:color w:val="000000"/>
                <w:sz w:val="18"/>
              </w:rPr>
              <w:t>(779)</w:t>
            </w:r>
          </w:p>
        </w:tc>
        <w:tc>
          <w:tcPr>
            <w:tcW w:w="100" w:type="dxa"/>
            <w:tcBorders>
              <w:top w:val="nil"/>
              <w:left w:val="nil"/>
              <w:bottom w:val="single" w:sz="8" w:space="0" w:color="E9E9E9"/>
              <w:right w:val="nil"/>
            </w:tcBorders>
            <w:tcMar>
              <w:top w:w="0" w:type="dxa"/>
              <w:left w:w="0" w:type="dxa"/>
              <w:bottom w:w="0" w:type="dxa"/>
              <w:right w:w="15" w:type="dxa"/>
            </w:tcMar>
            <w:vAlign w:val="bottom"/>
          </w:tcPr>
          <w:p w14:paraId="391168E6" w14:textId="77777777" w:rsidR="001614AC" w:rsidRDefault="001614AC">
            <w:pPr>
              <w:keepNext/>
              <w:spacing w:before="7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6BF218CB" w14:textId="77777777" w:rsidR="001614AC" w:rsidRDefault="001614AC">
            <w:pPr>
              <w:keepNext/>
            </w:pPr>
          </w:p>
        </w:tc>
        <w:tc>
          <w:tcPr>
            <w:tcW w:w="905" w:type="dxa"/>
            <w:gridSpan w:val="2"/>
            <w:tcBorders>
              <w:top w:val="nil"/>
              <w:left w:val="nil"/>
              <w:bottom w:val="single" w:sz="8" w:space="0" w:color="E9E9E9"/>
              <w:right w:val="nil"/>
            </w:tcBorders>
            <w:tcMar>
              <w:top w:w="0" w:type="dxa"/>
              <w:left w:w="53" w:type="dxa"/>
              <w:bottom w:w="0" w:type="dxa"/>
              <w:right w:w="0" w:type="dxa"/>
            </w:tcMar>
            <w:vAlign w:val="bottom"/>
          </w:tcPr>
          <w:p w14:paraId="41AE0A66" w14:textId="77777777" w:rsidR="001614AC" w:rsidRDefault="004468F9">
            <w:pPr>
              <w:keepNext/>
              <w:spacing w:before="75" w:after="30" w:line="288" w:lineRule="auto"/>
              <w:jc w:val="right"/>
            </w:pPr>
            <w:r>
              <w:rPr>
                <w:rFonts w:ascii="Arial" w:eastAsia="Arial" w:hAnsi="Arial" w:cs="Arial"/>
                <w:color w:val="000000"/>
                <w:sz w:val="18"/>
              </w:rPr>
              <w:t>— </w:t>
            </w:r>
          </w:p>
        </w:tc>
        <w:tc>
          <w:tcPr>
            <w:tcW w:w="100" w:type="dxa"/>
            <w:tcBorders>
              <w:top w:val="nil"/>
              <w:left w:val="nil"/>
              <w:bottom w:val="single" w:sz="8" w:space="0" w:color="E9E9E9"/>
              <w:right w:val="nil"/>
            </w:tcBorders>
            <w:tcMar>
              <w:top w:w="0" w:type="dxa"/>
              <w:left w:w="0" w:type="dxa"/>
              <w:bottom w:w="0" w:type="dxa"/>
              <w:right w:w="15" w:type="dxa"/>
            </w:tcMar>
            <w:vAlign w:val="bottom"/>
          </w:tcPr>
          <w:p w14:paraId="4CD1BF33" w14:textId="77777777" w:rsidR="001614AC" w:rsidRDefault="001614AC">
            <w:pPr>
              <w:keepNext/>
              <w:spacing w:before="7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25A0E0B2" w14:textId="77777777" w:rsidR="001614AC" w:rsidRDefault="001614AC">
            <w:pPr>
              <w:keepNext/>
            </w:pPr>
          </w:p>
        </w:tc>
        <w:tc>
          <w:tcPr>
            <w:tcW w:w="905" w:type="dxa"/>
            <w:gridSpan w:val="2"/>
            <w:tcBorders>
              <w:top w:val="nil"/>
              <w:left w:val="nil"/>
              <w:bottom w:val="single" w:sz="8" w:space="0" w:color="E9E9E9"/>
              <w:right w:val="nil"/>
            </w:tcBorders>
            <w:tcMar>
              <w:top w:w="0" w:type="dxa"/>
              <w:left w:w="53" w:type="dxa"/>
              <w:bottom w:w="0" w:type="dxa"/>
              <w:right w:w="0" w:type="dxa"/>
            </w:tcMar>
            <w:vAlign w:val="bottom"/>
          </w:tcPr>
          <w:p w14:paraId="27D8C5FC" w14:textId="77777777" w:rsidR="001614AC" w:rsidRDefault="004468F9">
            <w:pPr>
              <w:keepNext/>
              <w:spacing w:before="75" w:after="30" w:line="288" w:lineRule="auto"/>
              <w:jc w:val="right"/>
            </w:pPr>
            <w:r>
              <w:rPr>
                <w:rFonts w:ascii="Arial" w:eastAsia="Arial" w:hAnsi="Arial" w:cs="Arial"/>
                <w:color w:val="000000"/>
                <w:sz w:val="18"/>
              </w:rPr>
              <w:t>(1,401)</w:t>
            </w:r>
          </w:p>
        </w:tc>
        <w:tc>
          <w:tcPr>
            <w:tcW w:w="100" w:type="dxa"/>
            <w:tcBorders>
              <w:top w:val="nil"/>
              <w:left w:val="nil"/>
              <w:bottom w:val="single" w:sz="8" w:space="0" w:color="E9E9E9"/>
              <w:right w:val="nil"/>
            </w:tcBorders>
            <w:tcMar>
              <w:top w:w="0" w:type="dxa"/>
              <w:left w:w="0" w:type="dxa"/>
              <w:bottom w:w="0" w:type="dxa"/>
              <w:right w:w="15" w:type="dxa"/>
            </w:tcMar>
            <w:vAlign w:val="bottom"/>
          </w:tcPr>
          <w:p w14:paraId="42302CAA" w14:textId="77777777" w:rsidR="001614AC" w:rsidRDefault="001614AC">
            <w:pPr>
              <w:keepNext/>
              <w:spacing w:before="75" w:after="30" w:line="288" w:lineRule="auto"/>
              <w:jc w:val="right"/>
            </w:pPr>
          </w:p>
        </w:tc>
      </w:tr>
      <w:tr w:rsidR="001614AC" w14:paraId="4F395AEC" w14:textId="77777777">
        <w:trPr>
          <w:cantSplit/>
        </w:trPr>
        <w:tc>
          <w:tcPr>
            <w:tcW w:w="5640" w:type="dxa"/>
            <w:tcBorders>
              <w:top w:val="single" w:sz="8" w:space="0" w:color="E9E9E9"/>
              <w:left w:val="nil"/>
              <w:bottom w:val="single" w:sz="8" w:space="0" w:color="E9E9E9"/>
              <w:right w:val="nil"/>
            </w:tcBorders>
            <w:tcMar>
              <w:top w:w="0" w:type="dxa"/>
              <w:left w:w="53" w:type="dxa"/>
              <w:bottom w:w="0" w:type="dxa"/>
              <w:right w:w="53" w:type="dxa"/>
            </w:tcMar>
            <w:vAlign w:val="bottom"/>
          </w:tcPr>
          <w:p w14:paraId="02718C20" w14:textId="77777777" w:rsidR="001614AC" w:rsidRDefault="004468F9">
            <w:pPr>
              <w:keepNext/>
              <w:spacing w:before="55" w:after="30" w:line="288" w:lineRule="auto"/>
            </w:pPr>
            <w:r>
              <w:rPr>
                <w:rFonts w:ascii="Arial" w:eastAsia="Arial" w:hAnsi="Arial" w:cs="Arial"/>
                <w:color w:val="000000"/>
                <w:sz w:val="18"/>
              </w:rPr>
              <w:t>Net decrease (increase) in expected credit losses</w:t>
            </w:r>
          </w:p>
        </w:tc>
        <w:tc>
          <w:tcPr>
            <w:tcW w:w="105" w:type="dxa"/>
            <w:tcBorders>
              <w:top w:val="nil"/>
              <w:left w:val="nil"/>
              <w:bottom w:val="nil"/>
              <w:right w:val="nil"/>
            </w:tcBorders>
            <w:tcMar>
              <w:top w:w="0" w:type="dxa"/>
              <w:left w:w="0" w:type="dxa"/>
              <w:bottom w:w="0" w:type="dxa"/>
              <w:right w:w="0" w:type="dxa"/>
            </w:tcMar>
            <w:vAlign w:val="bottom"/>
          </w:tcPr>
          <w:p w14:paraId="591946DE" w14:textId="77777777" w:rsidR="001614AC" w:rsidRDefault="001614AC">
            <w:pPr>
              <w:keepNext/>
            </w:pPr>
          </w:p>
        </w:tc>
        <w:tc>
          <w:tcPr>
            <w:tcW w:w="90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39C0A90A" w14:textId="77777777" w:rsidR="001614AC" w:rsidRDefault="004468F9">
            <w:pPr>
              <w:keepNext/>
              <w:spacing w:before="55" w:after="30" w:line="288" w:lineRule="auto"/>
              <w:jc w:val="right"/>
            </w:pPr>
            <w:r>
              <w:rPr>
                <w:rFonts w:ascii="Arial" w:eastAsia="Arial" w:hAnsi="Arial" w:cs="Arial"/>
                <w:color w:val="000000"/>
                <w:sz w:val="18"/>
              </w:rPr>
              <w:t>608 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2F21AED0" w14:textId="77777777" w:rsidR="001614AC" w:rsidRDefault="001614AC">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3A3C34A9" w14:textId="77777777" w:rsidR="001614AC" w:rsidRDefault="001614AC">
            <w:pPr>
              <w:keepNext/>
            </w:pPr>
          </w:p>
        </w:tc>
        <w:tc>
          <w:tcPr>
            <w:tcW w:w="90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32BCFBBB" w14:textId="77777777" w:rsidR="001614AC" w:rsidRDefault="004468F9">
            <w:pPr>
              <w:keepNext/>
              <w:spacing w:before="55" w:after="30" w:line="288" w:lineRule="auto"/>
              <w:jc w:val="right"/>
            </w:pPr>
            <w:r>
              <w:rPr>
                <w:rFonts w:ascii="Arial" w:eastAsia="Arial" w:hAnsi="Arial" w:cs="Arial"/>
                <w:color w:val="000000"/>
                <w:sz w:val="18"/>
              </w:rPr>
              <w:t>(2,782)</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17120197" w14:textId="77777777" w:rsidR="001614AC" w:rsidRDefault="001614AC">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28D3AA5D" w14:textId="77777777" w:rsidR="001614AC" w:rsidRDefault="001614AC">
            <w:pPr>
              <w:keepNext/>
            </w:pPr>
          </w:p>
        </w:tc>
        <w:tc>
          <w:tcPr>
            <w:tcW w:w="90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5B3B8794" w14:textId="77777777" w:rsidR="001614AC" w:rsidRDefault="004468F9">
            <w:pPr>
              <w:keepNext/>
              <w:spacing w:before="55" w:after="30" w:line="288" w:lineRule="auto"/>
              <w:jc w:val="right"/>
            </w:pPr>
            <w:r>
              <w:rPr>
                <w:rFonts w:ascii="Arial" w:eastAsia="Arial" w:hAnsi="Arial" w:cs="Arial"/>
                <w:color w:val="000000"/>
                <w:sz w:val="18"/>
              </w:rPr>
              <w:t>918 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15CD11C9" w14:textId="77777777" w:rsidR="001614AC" w:rsidRDefault="001614AC">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772FF766" w14:textId="77777777" w:rsidR="001614AC" w:rsidRDefault="001614AC">
            <w:pPr>
              <w:keepNext/>
            </w:pPr>
          </w:p>
        </w:tc>
        <w:tc>
          <w:tcPr>
            <w:tcW w:w="90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06330AC8" w14:textId="77777777" w:rsidR="001614AC" w:rsidRDefault="004468F9">
            <w:pPr>
              <w:keepNext/>
              <w:spacing w:before="55" w:after="30" w:line="288" w:lineRule="auto"/>
              <w:jc w:val="right"/>
            </w:pPr>
            <w:r>
              <w:rPr>
                <w:rFonts w:ascii="Arial" w:eastAsia="Arial" w:hAnsi="Arial" w:cs="Arial"/>
                <w:color w:val="000000"/>
                <w:sz w:val="18"/>
              </w:rPr>
              <w:t>(2,782)</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6F313E8B" w14:textId="77777777" w:rsidR="001614AC" w:rsidRDefault="001614AC">
            <w:pPr>
              <w:keepNext/>
              <w:spacing w:before="55" w:after="30" w:line="288" w:lineRule="auto"/>
              <w:jc w:val="right"/>
            </w:pPr>
          </w:p>
        </w:tc>
      </w:tr>
      <w:tr w:rsidR="001614AC" w14:paraId="7C7BEFEC" w14:textId="77777777">
        <w:trPr>
          <w:cantSplit/>
        </w:trPr>
        <w:tc>
          <w:tcPr>
            <w:tcW w:w="5640" w:type="dxa"/>
            <w:tcBorders>
              <w:top w:val="single" w:sz="8" w:space="0" w:color="E9E9E9"/>
              <w:left w:val="nil"/>
              <w:bottom w:val="nil"/>
              <w:right w:val="nil"/>
            </w:tcBorders>
            <w:tcMar>
              <w:top w:w="0" w:type="dxa"/>
              <w:left w:w="53" w:type="dxa"/>
              <w:bottom w:w="0" w:type="dxa"/>
              <w:right w:w="53" w:type="dxa"/>
            </w:tcMar>
            <w:vAlign w:val="bottom"/>
          </w:tcPr>
          <w:p w14:paraId="6661F676" w14:textId="77777777" w:rsidR="001614AC" w:rsidRDefault="004468F9">
            <w:pPr>
              <w:keepNext/>
              <w:spacing w:before="55" w:after="30" w:line="288" w:lineRule="auto"/>
            </w:pPr>
            <w:r>
              <w:rPr>
                <w:rFonts w:ascii="Arial" w:eastAsia="Arial" w:hAnsi="Arial" w:cs="Arial"/>
                <w:color w:val="000000"/>
                <w:sz w:val="18"/>
              </w:rPr>
              <w:t>Net unrealized gains (losses) on investments</w:t>
            </w:r>
          </w:p>
        </w:tc>
        <w:tc>
          <w:tcPr>
            <w:tcW w:w="105" w:type="dxa"/>
            <w:tcBorders>
              <w:top w:val="nil"/>
              <w:left w:val="nil"/>
              <w:bottom w:val="nil"/>
              <w:right w:val="nil"/>
            </w:tcBorders>
            <w:tcMar>
              <w:top w:w="0" w:type="dxa"/>
              <w:left w:w="0" w:type="dxa"/>
              <w:bottom w:w="0" w:type="dxa"/>
              <w:right w:w="0" w:type="dxa"/>
            </w:tcMar>
            <w:vAlign w:val="bottom"/>
          </w:tcPr>
          <w:p w14:paraId="5738E7D4" w14:textId="77777777" w:rsidR="001614AC" w:rsidRDefault="001614AC">
            <w:pPr>
              <w:keepNext/>
            </w:pPr>
          </w:p>
        </w:tc>
        <w:tc>
          <w:tcPr>
            <w:tcW w:w="905" w:type="dxa"/>
            <w:gridSpan w:val="2"/>
            <w:tcBorders>
              <w:top w:val="single" w:sz="8" w:space="0" w:color="E9E9E9"/>
              <w:left w:val="nil"/>
              <w:bottom w:val="single" w:sz="8" w:space="0" w:color="C7C9C7"/>
              <w:right w:val="nil"/>
            </w:tcBorders>
            <w:tcMar>
              <w:top w:w="0" w:type="dxa"/>
              <w:left w:w="53" w:type="dxa"/>
              <w:bottom w:w="0" w:type="dxa"/>
              <w:right w:w="0" w:type="dxa"/>
            </w:tcMar>
            <w:vAlign w:val="bottom"/>
          </w:tcPr>
          <w:p w14:paraId="3D229D7D" w14:textId="77777777" w:rsidR="001614AC" w:rsidRDefault="004468F9">
            <w:pPr>
              <w:keepNext/>
              <w:spacing w:before="55" w:after="30" w:line="288" w:lineRule="auto"/>
              <w:jc w:val="right"/>
            </w:pPr>
            <w:r>
              <w:rPr>
                <w:rFonts w:ascii="Arial" w:eastAsia="Arial" w:hAnsi="Arial" w:cs="Arial"/>
                <w:color w:val="000000"/>
                <w:sz w:val="18"/>
              </w:rPr>
              <w:t>8,036 </w:t>
            </w:r>
          </w:p>
        </w:tc>
        <w:tc>
          <w:tcPr>
            <w:tcW w:w="100" w:type="dxa"/>
            <w:tcBorders>
              <w:top w:val="single" w:sz="8" w:space="0" w:color="E9E9E9"/>
              <w:left w:val="nil"/>
              <w:bottom w:val="single" w:sz="8" w:space="0" w:color="C7C9C7"/>
              <w:right w:val="nil"/>
            </w:tcBorders>
            <w:tcMar>
              <w:top w:w="0" w:type="dxa"/>
              <w:left w:w="0" w:type="dxa"/>
              <w:bottom w:w="0" w:type="dxa"/>
              <w:right w:w="15" w:type="dxa"/>
            </w:tcMar>
            <w:vAlign w:val="bottom"/>
          </w:tcPr>
          <w:p w14:paraId="74008658" w14:textId="77777777" w:rsidR="001614AC" w:rsidRDefault="001614AC">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532ED82D" w14:textId="77777777" w:rsidR="001614AC" w:rsidRDefault="001614AC">
            <w:pPr>
              <w:keepNext/>
            </w:pPr>
          </w:p>
        </w:tc>
        <w:tc>
          <w:tcPr>
            <w:tcW w:w="905" w:type="dxa"/>
            <w:gridSpan w:val="2"/>
            <w:tcBorders>
              <w:top w:val="single" w:sz="8" w:space="0" w:color="E9E9E9"/>
              <w:left w:val="nil"/>
              <w:bottom w:val="single" w:sz="8" w:space="0" w:color="C7C9C7"/>
              <w:right w:val="nil"/>
            </w:tcBorders>
            <w:tcMar>
              <w:top w:w="0" w:type="dxa"/>
              <w:left w:w="53" w:type="dxa"/>
              <w:bottom w:w="0" w:type="dxa"/>
              <w:right w:w="0" w:type="dxa"/>
            </w:tcMar>
            <w:vAlign w:val="bottom"/>
          </w:tcPr>
          <w:p w14:paraId="47281A14" w14:textId="77777777" w:rsidR="001614AC" w:rsidRDefault="004468F9">
            <w:pPr>
              <w:keepNext/>
              <w:spacing w:before="55" w:after="30" w:line="288" w:lineRule="auto"/>
              <w:jc w:val="right"/>
            </w:pPr>
            <w:r>
              <w:rPr>
                <w:rFonts w:ascii="Arial" w:eastAsia="Arial" w:hAnsi="Arial" w:cs="Arial"/>
                <w:color w:val="000000"/>
                <w:sz w:val="18"/>
              </w:rPr>
              <w:t>24,948 </w:t>
            </w:r>
          </w:p>
        </w:tc>
        <w:tc>
          <w:tcPr>
            <w:tcW w:w="100" w:type="dxa"/>
            <w:tcBorders>
              <w:top w:val="single" w:sz="8" w:space="0" w:color="E9E9E9"/>
              <w:left w:val="nil"/>
              <w:bottom w:val="single" w:sz="8" w:space="0" w:color="C7C9C7"/>
              <w:right w:val="nil"/>
            </w:tcBorders>
            <w:tcMar>
              <w:top w:w="0" w:type="dxa"/>
              <w:left w:w="0" w:type="dxa"/>
              <w:bottom w:w="0" w:type="dxa"/>
              <w:right w:w="15" w:type="dxa"/>
            </w:tcMar>
            <w:vAlign w:val="bottom"/>
          </w:tcPr>
          <w:p w14:paraId="687D4209" w14:textId="77777777" w:rsidR="001614AC" w:rsidRDefault="001614AC">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285B4C21" w14:textId="77777777" w:rsidR="001614AC" w:rsidRDefault="001614AC">
            <w:pPr>
              <w:keepNext/>
            </w:pPr>
          </w:p>
        </w:tc>
        <w:tc>
          <w:tcPr>
            <w:tcW w:w="905" w:type="dxa"/>
            <w:gridSpan w:val="2"/>
            <w:tcBorders>
              <w:top w:val="single" w:sz="8" w:space="0" w:color="E9E9E9"/>
              <w:left w:val="nil"/>
              <w:bottom w:val="single" w:sz="8" w:space="0" w:color="C7C9C7"/>
              <w:right w:val="nil"/>
            </w:tcBorders>
            <w:tcMar>
              <w:top w:w="0" w:type="dxa"/>
              <w:left w:w="53" w:type="dxa"/>
              <w:bottom w:w="0" w:type="dxa"/>
              <w:right w:w="0" w:type="dxa"/>
            </w:tcMar>
            <w:vAlign w:val="bottom"/>
          </w:tcPr>
          <w:p w14:paraId="5184674D" w14:textId="77777777" w:rsidR="001614AC" w:rsidRDefault="004468F9">
            <w:pPr>
              <w:keepNext/>
              <w:spacing w:before="55" w:after="30" w:line="288" w:lineRule="auto"/>
              <w:jc w:val="right"/>
            </w:pPr>
            <w:r>
              <w:rPr>
                <w:rFonts w:ascii="Arial" w:eastAsia="Arial" w:hAnsi="Arial" w:cs="Arial"/>
                <w:color w:val="000000"/>
                <w:sz w:val="18"/>
              </w:rPr>
              <w:t>5,517 </w:t>
            </w:r>
          </w:p>
        </w:tc>
        <w:tc>
          <w:tcPr>
            <w:tcW w:w="100" w:type="dxa"/>
            <w:tcBorders>
              <w:top w:val="single" w:sz="8" w:space="0" w:color="E9E9E9"/>
              <w:left w:val="nil"/>
              <w:bottom w:val="single" w:sz="8" w:space="0" w:color="C7C9C7"/>
              <w:right w:val="nil"/>
            </w:tcBorders>
            <w:tcMar>
              <w:top w:w="0" w:type="dxa"/>
              <w:left w:w="0" w:type="dxa"/>
              <w:bottom w:w="0" w:type="dxa"/>
              <w:right w:w="15" w:type="dxa"/>
            </w:tcMar>
            <w:vAlign w:val="bottom"/>
          </w:tcPr>
          <w:p w14:paraId="5F7BE297" w14:textId="77777777" w:rsidR="001614AC" w:rsidRDefault="001614AC">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2EB0B118" w14:textId="77777777" w:rsidR="001614AC" w:rsidRDefault="001614AC">
            <w:pPr>
              <w:keepNext/>
            </w:pPr>
          </w:p>
        </w:tc>
        <w:tc>
          <w:tcPr>
            <w:tcW w:w="905" w:type="dxa"/>
            <w:gridSpan w:val="2"/>
            <w:tcBorders>
              <w:top w:val="single" w:sz="8" w:space="0" w:color="E9E9E9"/>
              <w:left w:val="nil"/>
              <w:bottom w:val="single" w:sz="8" w:space="0" w:color="C7C9C7"/>
              <w:right w:val="nil"/>
            </w:tcBorders>
            <w:tcMar>
              <w:top w:w="0" w:type="dxa"/>
              <w:left w:w="53" w:type="dxa"/>
              <w:bottom w:w="0" w:type="dxa"/>
              <w:right w:w="0" w:type="dxa"/>
            </w:tcMar>
            <w:vAlign w:val="bottom"/>
          </w:tcPr>
          <w:p w14:paraId="4B86B152" w14:textId="77777777" w:rsidR="001614AC" w:rsidRDefault="004468F9">
            <w:pPr>
              <w:keepNext/>
              <w:spacing w:before="55" w:after="30" w:line="288" w:lineRule="auto"/>
              <w:jc w:val="right"/>
            </w:pPr>
            <w:r>
              <w:rPr>
                <w:rFonts w:ascii="Arial" w:eastAsia="Arial" w:hAnsi="Arial" w:cs="Arial"/>
                <w:color w:val="000000"/>
                <w:sz w:val="18"/>
              </w:rPr>
              <w:t>(1,897)</w:t>
            </w:r>
          </w:p>
        </w:tc>
        <w:tc>
          <w:tcPr>
            <w:tcW w:w="100" w:type="dxa"/>
            <w:tcBorders>
              <w:top w:val="single" w:sz="8" w:space="0" w:color="E9E9E9"/>
              <w:left w:val="nil"/>
              <w:bottom w:val="single" w:sz="8" w:space="0" w:color="C7C9C7"/>
              <w:right w:val="nil"/>
            </w:tcBorders>
            <w:tcMar>
              <w:top w:w="0" w:type="dxa"/>
              <w:left w:w="0" w:type="dxa"/>
              <w:bottom w:w="0" w:type="dxa"/>
              <w:right w:w="15" w:type="dxa"/>
            </w:tcMar>
            <w:vAlign w:val="bottom"/>
          </w:tcPr>
          <w:p w14:paraId="094D7B32" w14:textId="77777777" w:rsidR="001614AC" w:rsidRDefault="001614AC">
            <w:pPr>
              <w:keepNext/>
              <w:spacing w:before="55" w:after="30" w:line="288" w:lineRule="auto"/>
              <w:jc w:val="right"/>
            </w:pPr>
          </w:p>
        </w:tc>
      </w:tr>
      <w:tr w:rsidR="001614AC" w14:paraId="2AE12C2F" w14:textId="77777777">
        <w:trPr>
          <w:cantSplit/>
        </w:trPr>
        <w:tc>
          <w:tcPr>
            <w:tcW w:w="5640" w:type="dxa"/>
            <w:tcBorders>
              <w:top w:val="nil"/>
              <w:left w:val="nil"/>
              <w:bottom w:val="nil"/>
              <w:right w:val="nil"/>
            </w:tcBorders>
            <w:shd w:val="clear" w:color="auto" w:fill="F4F4F4"/>
            <w:tcMar>
              <w:top w:w="0" w:type="dxa"/>
              <w:left w:w="53" w:type="dxa"/>
              <w:bottom w:w="0" w:type="dxa"/>
              <w:right w:w="53" w:type="dxa"/>
            </w:tcMar>
            <w:vAlign w:val="bottom"/>
          </w:tcPr>
          <w:p w14:paraId="39B02ADE" w14:textId="77777777" w:rsidR="001614AC" w:rsidRDefault="004468F9">
            <w:pPr>
              <w:spacing w:before="75" w:after="30" w:line="288" w:lineRule="auto"/>
            </w:pPr>
            <w:r>
              <w:rPr>
                <w:rFonts w:ascii="Arial" w:eastAsia="Arial" w:hAnsi="Arial" w:cs="Arial"/>
                <w:color w:val="000000"/>
                <w:sz w:val="18"/>
              </w:rPr>
              <w:t>Total net gains (losses) on investments</w:t>
            </w:r>
          </w:p>
        </w:tc>
        <w:tc>
          <w:tcPr>
            <w:tcW w:w="105" w:type="dxa"/>
            <w:tcBorders>
              <w:top w:val="nil"/>
              <w:left w:val="nil"/>
              <w:bottom w:val="nil"/>
              <w:right w:val="nil"/>
            </w:tcBorders>
            <w:shd w:val="clear" w:color="auto" w:fill="F4F4F4"/>
            <w:tcMar>
              <w:top w:w="0" w:type="dxa"/>
              <w:left w:w="0" w:type="dxa"/>
              <w:bottom w:w="0" w:type="dxa"/>
              <w:right w:w="0" w:type="dxa"/>
            </w:tcMar>
            <w:vAlign w:val="bottom"/>
          </w:tcPr>
          <w:p w14:paraId="3669637C" w14:textId="77777777" w:rsidR="001614AC" w:rsidRDefault="001614AC"/>
        </w:tc>
        <w:tc>
          <w:tcPr>
            <w:tcW w:w="160" w:type="dxa"/>
            <w:tcBorders>
              <w:top w:val="single" w:sz="8" w:space="0" w:color="C7C9C7"/>
              <w:left w:val="nil"/>
              <w:bottom w:val="double" w:sz="8" w:space="0" w:color="C7C9C7"/>
              <w:right w:val="nil"/>
            </w:tcBorders>
            <w:shd w:val="clear" w:color="auto" w:fill="F4F4F4"/>
            <w:tcMar>
              <w:top w:w="0" w:type="dxa"/>
              <w:left w:w="53" w:type="dxa"/>
              <w:bottom w:w="0" w:type="dxa"/>
              <w:right w:w="0" w:type="dxa"/>
            </w:tcMar>
            <w:vAlign w:val="bottom"/>
          </w:tcPr>
          <w:p w14:paraId="041A67EA" w14:textId="77777777" w:rsidR="001614AC" w:rsidRDefault="004468F9">
            <w:pPr>
              <w:spacing w:before="55" w:after="30" w:line="288" w:lineRule="auto"/>
            </w:pPr>
            <w:r>
              <w:rPr>
                <w:rFonts w:ascii="Arial" w:eastAsia="Arial" w:hAnsi="Arial" w:cs="Arial"/>
                <w:color w:val="000000"/>
                <w:sz w:val="18"/>
              </w:rPr>
              <w:t>$</w:t>
            </w:r>
          </w:p>
        </w:tc>
        <w:tc>
          <w:tcPr>
            <w:tcW w:w="745" w:type="dxa"/>
            <w:tcBorders>
              <w:top w:val="single" w:sz="8" w:space="0" w:color="C7C9C7"/>
              <w:left w:val="nil"/>
              <w:bottom w:val="double" w:sz="8" w:space="0" w:color="C7C9C7"/>
              <w:right w:val="nil"/>
            </w:tcBorders>
            <w:shd w:val="clear" w:color="auto" w:fill="F4F4F4"/>
            <w:tcMar>
              <w:top w:w="0" w:type="dxa"/>
              <w:left w:w="0" w:type="dxa"/>
              <w:bottom w:w="0" w:type="dxa"/>
              <w:right w:w="0" w:type="dxa"/>
            </w:tcMar>
            <w:vAlign w:val="bottom"/>
          </w:tcPr>
          <w:p w14:paraId="041123A6" w14:textId="77777777" w:rsidR="001614AC" w:rsidRDefault="004468F9">
            <w:pPr>
              <w:spacing w:before="55" w:after="30" w:line="288" w:lineRule="auto"/>
              <w:jc w:val="right"/>
            </w:pPr>
            <w:r>
              <w:rPr>
                <w:rFonts w:ascii="Arial" w:eastAsia="Arial" w:hAnsi="Arial" w:cs="Arial"/>
                <w:color w:val="000000"/>
                <w:sz w:val="18"/>
              </w:rPr>
              <w:t>12,910 </w:t>
            </w:r>
          </w:p>
        </w:tc>
        <w:tc>
          <w:tcPr>
            <w:tcW w:w="100" w:type="dxa"/>
            <w:tcBorders>
              <w:top w:val="single" w:sz="8" w:space="0" w:color="C7C9C7"/>
              <w:left w:val="nil"/>
              <w:bottom w:val="double" w:sz="8" w:space="0" w:color="C7C9C7"/>
              <w:right w:val="nil"/>
            </w:tcBorders>
            <w:shd w:val="clear" w:color="auto" w:fill="F4F4F4"/>
            <w:tcMar>
              <w:top w:w="0" w:type="dxa"/>
              <w:left w:w="0" w:type="dxa"/>
              <w:bottom w:w="0" w:type="dxa"/>
              <w:right w:w="15" w:type="dxa"/>
            </w:tcMar>
            <w:vAlign w:val="bottom"/>
          </w:tcPr>
          <w:p w14:paraId="20914E28" w14:textId="77777777" w:rsidR="001614AC" w:rsidRDefault="001614AC">
            <w:pPr>
              <w:spacing w:before="55" w:after="30" w:line="288" w:lineRule="auto"/>
              <w:jc w:val="right"/>
            </w:pPr>
          </w:p>
        </w:tc>
        <w:tc>
          <w:tcPr>
            <w:tcW w:w="105" w:type="dxa"/>
            <w:tcBorders>
              <w:top w:val="nil"/>
              <w:left w:val="nil"/>
              <w:bottom w:val="nil"/>
              <w:right w:val="nil"/>
            </w:tcBorders>
            <w:shd w:val="clear" w:color="auto" w:fill="F4F4F4"/>
            <w:tcMar>
              <w:top w:w="0" w:type="dxa"/>
              <w:left w:w="0" w:type="dxa"/>
              <w:bottom w:w="0" w:type="dxa"/>
              <w:right w:w="0" w:type="dxa"/>
            </w:tcMar>
            <w:vAlign w:val="bottom"/>
          </w:tcPr>
          <w:p w14:paraId="01700683" w14:textId="77777777" w:rsidR="001614AC" w:rsidRDefault="001614AC"/>
        </w:tc>
        <w:tc>
          <w:tcPr>
            <w:tcW w:w="160" w:type="dxa"/>
            <w:tcBorders>
              <w:top w:val="single" w:sz="8" w:space="0" w:color="C7C9C7"/>
              <w:left w:val="nil"/>
              <w:bottom w:val="double" w:sz="8" w:space="0" w:color="C7C9C7"/>
              <w:right w:val="nil"/>
            </w:tcBorders>
            <w:shd w:val="clear" w:color="auto" w:fill="F4F4F4"/>
            <w:tcMar>
              <w:top w:w="0" w:type="dxa"/>
              <w:left w:w="53" w:type="dxa"/>
              <w:bottom w:w="0" w:type="dxa"/>
              <w:right w:w="0" w:type="dxa"/>
            </w:tcMar>
            <w:vAlign w:val="bottom"/>
          </w:tcPr>
          <w:p w14:paraId="41B688FC" w14:textId="77777777" w:rsidR="001614AC" w:rsidRDefault="004468F9">
            <w:pPr>
              <w:spacing w:before="55" w:after="30" w:line="288" w:lineRule="auto"/>
            </w:pPr>
            <w:r>
              <w:rPr>
                <w:rFonts w:ascii="Arial" w:eastAsia="Arial" w:hAnsi="Arial" w:cs="Arial"/>
                <w:color w:val="000000"/>
                <w:sz w:val="18"/>
              </w:rPr>
              <w:t>$</w:t>
            </w:r>
          </w:p>
        </w:tc>
        <w:tc>
          <w:tcPr>
            <w:tcW w:w="745" w:type="dxa"/>
            <w:tcBorders>
              <w:top w:val="single" w:sz="8" w:space="0" w:color="C7C9C7"/>
              <w:left w:val="nil"/>
              <w:bottom w:val="double" w:sz="8" w:space="0" w:color="C7C9C7"/>
              <w:right w:val="nil"/>
            </w:tcBorders>
            <w:shd w:val="clear" w:color="auto" w:fill="F4F4F4"/>
            <w:tcMar>
              <w:top w:w="0" w:type="dxa"/>
              <w:left w:w="0" w:type="dxa"/>
              <w:bottom w:w="0" w:type="dxa"/>
              <w:right w:w="0" w:type="dxa"/>
            </w:tcMar>
            <w:vAlign w:val="bottom"/>
          </w:tcPr>
          <w:p w14:paraId="12B20AA3" w14:textId="77777777" w:rsidR="001614AC" w:rsidRDefault="004468F9">
            <w:pPr>
              <w:spacing w:before="55" w:after="30" w:line="288" w:lineRule="auto"/>
              <w:jc w:val="right"/>
            </w:pPr>
            <w:r>
              <w:rPr>
                <w:rFonts w:ascii="Arial" w:eastAsia="Arial" w:hAnsi="Arial" w:cs="Arial"/>
                <w:color w:val="000000"/>
                <w:sz w:val="18"/>
              </w:rPr>
              <w:t>28,411 </w:t>
            </w:r>
          </w:p>
        </w:tc>
        <w:tc>
          <w:tcPr>
            <w:tcW w:w="100" w:type="dxa"/>
            <w:tcBorders>
              <w:top w:val="single" w:sz="8" w:space="0" w:color="C7C9C7"/>
              <w:left w:val="nil"/>
              <w:bottom w:val="double" w:sz="8" w:space="0" w:color="C7C9C7"/>
              <w:right w:val="nil"/>
            </w:tcBorders>
            <w:shd w:val="clear" w:color="auto" w:fill="F4F4F4"/>
            <w:tcMar>
              <w:top w:w="0" w:type="dxa"/>
              <w:left w:w="0" w:type="dxa"/>
              <w:bottom w:w="0" w:type="dxa"/>
              <w:right w:w="15" w:type="dxa"/>
            </w:tcMar>
            <w:vAlign w:val="bottom"/>
          </w:tcPr>
          <w:p w14:paraId="534EBB0C" w14:textId="77777777" w:rsidR="001614AC" w:rsidRDefault="001614AC">
            <w:pPr>
              <w:spacing w:before="55" w:after="30" w:line="288" w:lineRule="auto"/>
              <w:jc w:val="right"/>
            </w:pPr>
          </w:p>
        </w:tc>
        <w:tc>
          <w:tcPr>
            <w:tcW w:w="105" w:type="dxa"/>
            <w:tcBorders>
              <w:top w:val="nil"/>
              <w:left w:val="nil"/>
              <w:bottom w:val="nil"/>
              <w:right w:val="nil"/>
            </w:tcBorders>
            <w:shd w:val="clear" w:color="auto" w:fill="F4F4F4"/>
            <w:tcMar>
              <w:top w:w="0" w:type="dxa"/>
              <w:left w:w="0" w:type="dxa"/>
              <w:bottom w:w="0" w:type="dxa"/>
              <w:right w:w="0" w:type="dxa"/>
            </w:tcMar>
            <w:vAlign w:val="bottom"/>
          </w:tcPr>
          <w:p w14:paraId="0E6A9F2B" w14:textId="77777777" w:rsidR="001614AC" w:rsidRDefault="001614AC"/>
        </w:tc>
        <w:tc>
          <w:tcPr>
            <w:tcW w:w="160" w:type="dxa"/>
            <w:tcBorders>
              <w:top w:val="single" w:sz="8" w:space="0" w:color="C7C9C7"/>
              <w:left w:val="nil"/>
              <w:bottom w:val="double" w:sz="8" w:space="0" w:color="C7C9C7"/>
              <w:right w:val="nil"/>
            </w:tcBorders>
            <w:shd w:val="clear" w:color="auto" w:fill="F4F4F4"/>
            <w:tcMar>
              <w:top w:w="0" w:type="dxa"/>
              <w:left w:w="53" w:type="dxa"/>
              <w:bottom w:w="0" w:type="dxa"/>
              <w:right w:w="0" w:type="dxa"/>
            </w:tcMar>
            <w:vAlign w:val="bottom"/>
          </w:tcPr>
          <w:p w14:paraId="2B68E600" w14:textId="77777777" w:rsidR="001614AC" w:rsidRDefault="004468F9">
            <w:pPr>
              <w:spacing w:before="55" w:after="30" w:line="288" w:lineRule="auto"/>
            </w:pPr>
            <w:r>
              <w:rPr>
                <w:rFonts w:ascii="Arial" w:eastAsia="Arial" w:hAnsi="Arial" w:cs="Arial"/>
                <w:color w:val="000000"/>
                <w:sz w:val="18"/>
              </w:rPr>
              <w:t>$</w:t>
            </w:r>
          </w:p>
        </w:tc>
        <w:tc>
          <w:tcPr>
            <w:tcW w:w="745" w:type="dxa"/>
            <w:tcBorders>
              <w:top w:val="single" w:sz="8" w:space="0" w:color="C7C9C7"/>
              <w:left w:val="nil"/>
              <w:bottom w:val="double" w:sz="8" w:space="0" w:color="C7C9C7"/>
              <w:right w:val="nil"/>
            </w:tcBorders>
            <w:shd w:val="clear" w:color="auto" w:fill="F4F4F4"/>
            <w:tcMar>
              <w:top w:w="0" w:type="dxa"/>
              <w:left w:w="0" w:type="dxa"/>
              <w:bottom w:w="0" w:type="dxa"/>
              <w:right w:w="0" w:type="dxa"/>
            </w:tcMar>
            <w:vAlign w:val="bottom"/>
          </w:tcPr>
          <w:p w14:paraId="724C5C5F" w14:textId="77777777" w:rsidR="001614AC" w:rsidRDefault="004468F9">
            <w:pPr>
              <w:spacing w:before="55" w:after="30" w:line="288" w:lineRule="auto"/>
              <w:jc w:val="right"/>
            </w:pPr>
            <w:r>
              <w:rPr>
                <w:rFonts w:ascii="Arial" w:eastAsia="Arial" w:hAnsi="Arial" w:cs="Arial"/>
                <w:color w:val="000000"/>
                <w:sz w:val="18"/>
              </w:rPr>
              <w:t>10,519 </w:t>
            </w:r>
          </w:p>
        </w:tc>
        <w:tc>
          <w:tcPr>
            <w:tcW w:w="100" w:type="dxa"/>
            <w:tcBorders>
              <w:top w:val="single" w:sz="8" w:space="0" w:color="C7C9C7"/>
              <w:left w:val="nil"/>
              <w:bottom w:val="double" w:sz="8" w:space="0" w:color="C7C9C7"/>
              <w:right w:val="nil"/>
            </w:tcBorders>
            <w:shd w:val="clear" w:color="auto" w:fill="F4F4F4"/>
            <w:tcMar>
              <w:top w:w="0" w:type="dxa"/>
              <w:left w:w="0" w:type="dxa"/>
              <w:bottom w:w="0" w:type="dxa"/>
              <w:right w:w="15" w:type="dxa"/>
            </w:tcMar>
            <w:vAlign w:val="bottom"/>
          </w:tcPr>
          <w:p w14:paraId="7680A890" w14:textId="77777777" w:rsidR="001614AC" w:rsidRDefault="001614AC">
            <w:pPr>
              <w:spacing w:before="55" w:after="30" w:line="288" w:lineRule="auto"/>
              <w:jc w:val="right"/>
            </w:pPr>
          </w:p>
        </w:tc>
        <w:tc>
          <w:tcPr>
            <w:tcW w:w="105" w:type="dxa"/>
            <w:tcBorders>
              <w:top w:val="nil"/>
              <w:left w:val="nil"/>
              <w:bottom w:val="nil"/>
              <w:right w:val="nil"/>
            </w:tcBorders>
            <w:shd w:val="clear" w:color="auto" w:fill="F4F4F4"/>
            <w:tcMar>
              <w:top w:w="0" w:type="dxa"/>
              <w:left w:w="0" w:type="dxa"/>
              <w:bottom w:w="0" w:type="dxa"/>
              <w:right w:w="0" w:type="dxa"/>
            </w:tcMar>
            <w:vAlign w:val="bottom"/>
          </w:tcPr>
          <w:p w14:paraId="40CF867C" w14:textId="77777777" w:rsidR="001614AC" w:rsidRDefault="001614AC"/>
        </w:tc>
        <w:tc>
          <w:tcPr>
            <w:tcW w:w="160" w:type="dxa"/>
            <w:tcBorders>
              <w:top w:val="single" w:sz="8" w:space="0" w:color="C7C9C7"/>
              <w:left w:val="nil"/>
              <w:bottom w:val="double" w:sz="8" w:space="0" w:color="C7C9C7"/>
              <w:right w:val="nil"/>
            </w:tcBorders>
            <w:shd w:val="clear" w:color="auto" w:fill="F4F4F4"/>
            <w:tcMar>
              <w:top w:w="0" w:type="dxa"/>
              <w:left w:w="53" w:type="dxa"/>
              <w:bottom w:w="0" w:type="dxa"/>
              <w:right w:w="0" w:type="dxa"/>
            </w:tcMar>
            <w:vAlign w:val="bottom"/>
          </w:tcPr>
          <w:p w14:paraId="74672BB8" w14:textId="77777777" w:rsidR="001614AC" w:rsidRDefault="004468F9">
            <w:pPr>
              <w:spacing w:before="55" w:after="30" w:line="288" w:lineRule="auto"/>
            </w:pPr>
            <w:r>
              <w:rPr>
                <w:rFonts w:ascii="Arial" w:eastAsia="Arial" w:hAnsi="Arial" w:cs="Arial"/>
                <w:color w:val="000000"/>
                <w:sz w:val="18"/>
              </w:rPr>
              <w:t>$</w:t>
            </w:r>
          </w:p>
        </w:tc>
        <w:tc>
          <w:tcPr>
            <w:tcW w:w="745" w:type="dxa"/>
            <w:tcBorders>
              <w:top w:val="single" w:sz="8" w:space="0" w:color="C7C9C7"/>
              <w:left w:val="nil"/>
              <w:bottom w:val="double" w:sz="8" w:space="0" w:color="C7C9C7"/>
              <w:right w:val="nil"/>
            </w:tcBorders>
            <w:shd w:val="clear" w:color="auto" w:fill="F4F4F4"/>
            <w:tcMar>
              <w:top w:w="0" w:type="dxa"/>
              <w:left w:w="0" w:type="dxa"/>
              <w:bottom w:w="0" w:type="dxa"/>
              <w:right w:w="0" w:type="dxa"/>
            </w:tcMar>
            <w:vAlign w:val="bottom"/>
          </w:tcPr>
          <w:p w14:paraId="35052888" w14:textId="77777777" w:rsidR="001614AC" w:rsidRDefault="004468F9">
            <w:pPr>
              <w:spacing w:before="55" w:after="30" w:line="288" w:lineRule="auto"/>
              <w:jc w:val="right"/>
            </w:pPr>
            <w:r>
              <w:rPr>
                <w:rFonts w:ascii="Arial" w:eastAsia="Arial" w:hAnsi="Arial" w:cs="Arial"/>
                <w:color w:val="000000"/>
                <w:sz w:val="18"/>
              </w:rPr>
              <w:t>12,583 </w:t>
            </w:r>
          </w:p>
        </w:tc>
        <w:tc>
          <w:tcPr>
            <w:tcW w:w="100" w:type="dxa"/>
            <w:tcBorders>
              <w:top w:val="single" w:sz="8" w:space="0" w:color="C7C9C7"/>
              <w:left w:val="nil"/>
              <w:bottom w:val="double" w:sz="8" w:space="0" w:color="C7C9C7"/>
              <w:right w:val="nil"/>
            </w:tcBorders>
            <w:shd w:val="clear" w:color="auto" w:fill="F4F4F4"/>
            <w:tcMar>
              <w:top w:w="0" w:type="dxa"/>
              <w:left w:w="0" w:type="dxa"/>
              <w:bottom w:w="0" w:type="dxa"/>
              <w:right w:w="15" w:type="dxa"/>
            </w:tcMar>
            <w:vAlign w:val="bottom"/>
          </w:tcPr>
          <w:p w14:paraId="21F0B875" w14:textId="77777777" w:rsidR="001614AC" w:rsidRDefault="001614AC">
            <w:pPr>
              <w:spacing w:before="55" w:after="30" w:line="288" w:lineRule="auto"/>
              <w:jc w:val="right"/>
            </w:pPr>
          </w:p>
        </w:tc>
      </w:tr>
    </w:tbl>
    <w:p w14:paraId="1B68CC16" w14:textId="77777777" w:rsidR="001614AC" w:rsidRDefault="004468F9" w:rsidP="004468F9">
      <w:pPr>
        <w:numPr>
          <w:ilvl w:val="0"/>
          <w:numId w:val="16"/>
        </w:numPr>
        <w:spacing w:line="288" w:lineRule="auto"/>
        <w:ind w:left="360"/>
        <w:rPr>
          <w:rFonts w:ascii="Arial" w:eastAsia="Arial" w:hAnsi="Arial" w:cs="Arial"/>
          <w:b/>
          <w:color w:val="64615D"/>
          <w:sz w:val="16"/>
        </w:rPr>
      </w:pPr>
      <w:r>
        <w:rPr>
          <w:rFonts w:ascii="Arial" w:eastAsia="Arial" w:hAnsi="Arial" w:cs="Arial"/>
          <w:color w:val="64615D"/>
          <w:sz w:val="16"/>
        </w:rPr>
        <w:t>C</w:t>
      </w:r>
      <w:r>
        <w:rPr>
          <w:rFonts w:ascii="Arial" w:eastAsia="Arial" w:hAnsi="Arial" w:cs="Arial"/>
          <w:color w:val="64615D"/>
          <w:sz w:val="16"/>
        </w:rPr>
        <w:t>omponents of net realized gains (losses) on fixed-maturities available for sale include the following.</w:t>
      </w:r>
    </w:p>
    <w:tbl>
      <w:tblPr>
        <w:tblW w:w="9930"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2"/>
        <w:gridCol w:w="107"/>
        <w:gridCol w:w="163"/>
        <w:gridCol w:w="760"/>
        <w:gridCol w:w="102"/>
        <w:gridCol w:w="107"/>
        <w:gridCol w:w="163"/>
        <w:gridCol w:w="760"/>
        <w:gridCol w:w="102"/>
        <w:gridCol w:w="107"/>
        <w:gridCol w:w="163"/>
        <w:gridCol w:w="760"/>
        <w:gridCol w:w="102"/>
        <w:gridCol w:w="107"/>
        <w:gridCol w:w="163"/>
        <w:gridCol w:w="760"/>
        <w:gridCol w:w="102"/>
      </w:tblGrid>
      <w:tr w:rsidR="001614AC" w14:paraId="3EB09417" w14:textId="77777777">
        <w:trPr>
          <w:cantSplit/>
        </w:trPr>
        <w:tc>
          <w:tcPr>
            <w:tcW w:w="5295" w:type="dxa"/>
            <w:tcBorders>
              <w:top w:val="nil"/>
              <w:left w:val="nil"/>
              <w:bottom w:val="nil"/>
              <w:right w:val="nil"/>
            </w:tcBorders>
            <w:tcMar>
              <w:top w:w="0" w:type="dxa"/>
              <w:left w:w="0" w:type="dxa"/>
              <w:bottom w:w="0" w:type="dxa"/>
              <w:right w:w="0" w:type="dxa"/>
            </w:tcMar>
            <w:vAlign w:val="bottom"/>
          </w:tcPr>
          <w:p w14:paraId="1E6A26A2" w14:textId="77777777" w:rsidR="001614AC" w:rsidRDefault="001614AC"/>
        </w:tc>
        <w:tc>
          <w:tcPr>
            <w:tcW w:w="105" w:type="dxa"/>
            <w:tcBorders>
              <w:top w:val="nil"/>
              <w:left w:val="nil"/>
              <w:bottom w:val="nil"/>
              <w:right w:val="nil"/>
            </w:tcBorders>
            <w:tcMar>
              <w:top w:w="0" w:type="dxa"/>
              <w:left w:w="0" w:type="dxa"/>
              <w:bottom w:w="0" w:type="dxa"/>
              <w:right w:w="0" w:type="dxa"/>
            </w:tcMar>
            <w:vAlign w:val="bottom"/>
          </w:tcPr>
          <w:p w14:paraId="6958E8FE" w14:textId="77777777" w:rsidR="001614AC" w:rsidRDefault="001614AC"/>
        </w:tc>
        <w:tc>
          <w:tcPr>
            <w:tcW w:w="2115" w:type="dxa"/>
            <w:gridSpan w:val="7"/>
            <w:tcBorders>
              <w:top w:val="nil"/>
              <w:left w:val="nil"/>
              <w:bottom w:val="single" w:sz="8" w:space="0" w:color="FFFFFF"/>
              <w:right w:val="nil"/>
            </w:tcBorders>
            <w:tcMar>
              <w:top w:w="0" w:type="dxa"/>
              <w:left w:w="53" w:type="dxa"/>
              <w:bottom w:w="0" w:type="dxa"/>
              <w:right w:w="53" w:type="dxa"/>
            </w:tcMar>
            <w:vAlign w:val="bottom"/>
          </w:tcPr>
          <w:p w14:paraId="12EF57CE" w14:textId="77777777" w:rsidR="001614AC" w:rsidRDefault="004468F9">
            <w:pPr>
              <w:spacing w:before="75" w:line="288" w:lineRule="auto"/>
              <w:jc w:val="center"/>
            </w:pPr>
            <w:r>
              <w:rPr>
                <w:rFonts w:ascii="Arial" w:eastAsia="Arial" w:hAnsi="Arial" w:cs="Arial"/>
                <w:b/>
                <w:color w:val="00BAB3"/>
                <w:sz w:val="18"/>
              </w:rPr>
              <w:t>Three Months Ended</w:t>
            </w:r>
          </w:p>
          <w:p w14:paraId="03083329" w14:textId="77777777" w:rsidR="001614AC" w:rsidRDefault="004468F9">
            <w:pPr>
              <w:spacing w:after="30" w:line="288" w:lineRule="auto"/>
              <w:jc w:val="center"/>
            </w:pPr>
            <w:r>
              <w:rPr>
                <w:rFonts w:ascii="Arial" w:eastAsia="Arial" w:hAnsi="Arial" w:cs="Arial"/>
                <w:b/>
                <w:color w:val="00BAB3"/>
                <w:sz w:val="18"/>
              </w:rPr>
              <w:t>June 30,</w:t>
            </w:r>
          </w:p>
        </w:tc>
        <w:tc>
          <w:tcPr>
            <w:tcW w:w="105" w:type="dxa"/>
            <w:tcBorders>
              <w:top w:val="nil"/>
              <w:left w:val="nil"/>
              <w:bottom w:val="nil"/>
              <w:right w:val="nil"/>
            </w:tcBorders>
            <w:tcMar>
              <w:top w:w="0" w:type="dxa"/>
              <w:left w:w="0" w:type="dxa"/>
              <w:bottom w:w="0" w:type="dxa"/>
              <w:right w:w="0" w:type="dxa"/>
            </w:tcMar>
            <w:vAlign w:val="bottom"/>
          </w:tcPr>
          <w:p w14:paraId="6C9F5DA5" w14:textId="77777777" w:rsidR="001614AC" w:rsidRDefault="001614AC"/>
        </w:tc>
        <w:tc>
          <w:tcPr>
            <w:tcW w:w="2115" w:type="dxa"/>
            <w:gridSpan w:val="7"/>
            <w:tcBorders>
              <w:top w:val="nil"/>
              <w:left w:val="nil"/>
              <w:bottom w:val="single" w:sz="8" w:space="0" w:color="FFFFFF"/>
              <w:right w:val="nil"/>
            </w:tcBorders>
            <w:tcMar>
              <w:top w:w="0" w:type="dxa"/>
              <w:left w:w="53" w:type="dxa"/>
              <w:bottom w:w="0" w:type="dxa"/>
              <w:right w:w="53" w:type="dxa"/>
            </w:tcMar>
            <w:vAlign w:val="bottom"/>
          </w:tcPr>
          <w:p w14:paraId="38D87429" w14:textId="77777777" w:rsidR="001614AC" w:rsidRDefault="004468F9">
            <w:pPr>
              <w:spacing w:before="75" w:line="288" w:lineRule="auto"/>
              <w:jc w:val="center"/>
            </w:pPr>
            <w:r>
              <w:rPr>
                <w:rFonts w:ascii="Arial" w:eastAsia="Arial" w:hAnsi="Arial" w:cs="Arial"/>
                <w:b/>
                <w:color w:val="00BAB3"/>
                <w:sz w:val="18"/>
              </w:rPr>
              <w:t>Six Months Ended</w:t>
            </w:r>
          </w:p>
          <w:p w14:paraId="62ED24FB" w14:textId="77777777" w:rsidR="001614AC" w:rsidRDefault="004468F9">
            <w:pPr>
              <w:spacing w:after="30" w:line="288" w:lineRule="auto"/>
              <w:jc w:val="center"/>
            </w:pPr>
            <w:r>
              <w:rPr>
                <w:rFonts w:ascii="Arial" w:eastAsia="Arial" w:hAnsi="Arial" w:cs="Arial"/>
                <w:b/>
                <w:color w:val="00BAB3"/>
                <w:sz w:val="18"/>
              </w:rPr>
              <w:t>June 30,</w:t>
            </w:r>
          </w:p>
        </w:tc>
      </w:tr>
      <w:tr w:rsidR="001614AC" w14:paraId="67089F0F" w14:textId="77777777">
        <w:trPr>
          <w:cantSplit/>
        </w:trPr>
        <w:tc>
          <w:tcPr>
            <w:tcW w:w="5295" w:type="dxa"/>
            <w:tcBorders>
              <w:top w:val="nil"/>
              <w:left w:val="nil"/>
              <w:bottom w:val="single" w:sz="8" w:space="0" w:color="C7C9C7"/>
              <w:right w:val="nil"/>
            </w:tcBorders>
            <w:tcMar>
              <w:top w:w="0" w:type="dxa"/>
              <w:left w:w="53" w:type="dxa"/>
              <w:bottom w:w="0" w:type="dxa"/>
              <w:right w:w="53" w:type="dxa"/>
            </w:tcMar>
            <w:vAlign w:val="bottom"/>
          </w:tcPr>
          <w:p w14:paraId="172E0735" w14:textId="77777777" w:rsidR="001614AC" w:rsidRDefault="004468F9">
            <w:pPr>
              <w:spacing w:before="75" w:after="30" w:line="288" w:lineRule="auto"/>
            </w:pPr>
            <w:r>
              <w:rPr>
                <w:rFonts w:ascii="Arial" w:eastAsia="Arial" w:hAnsi="Arial" w:cs="Arial"/>
                <w:color w:val="8B8886"/>
                <w:sz w:val="16"/>
              </w:rPr>
              <w:t>(In thousands)</w:t>
            </w:r>
          </w:p>
        </w:tc>
        <w:tc>
          <w:tcPr>
            <w:tcW w:w="105" w:type="dxa"/>
            <w:tcBorders>
              <w:top w:val="nil"/>
              <w:left w:val="nil"/>
              <w:bottom w:val="single" w:sz="8" w:space="0" w:color="C7C9C7"/>
              <w:right w:val="nil"/>
            </w:tcBorders>
            <w:tcMar>
              <w:top w:w="0" w:type="dxa"/>
              <w:left w:w="0" w:type="dxa"/>
              <w:bottom w:w="0" w:type="dxa"/>
              <w:right w:w="0" w:type="dxa"/>
            </w:tcMar>
            <w:vAlign w:val="bottom"/>
          </w:tcPr>
          <w:p w14:paraId="5BD72F5B" w14:textId="77777777" w:rsidR="001614AC" w:rsidRDefault="001614AC"/>
        </w:tc>
        <w:tc>
          <w:tcPr>
            <w:tcW w:w="1005" w:type="dxa"/>
            <w:gridSpan w:val="3"/>
            <w:tcBorders>
              <w:top w:val="nil"/>
              <w:left w:val="nil"/>
              <w:bottom w:val="single" w:sz="8" w:space="0" w:color="C7C9C7"/>
              <w:right w:val="nil"/>
            </w:tcBorders>
            <w:shd w:val="clear" w:color="auto" w:fill="E6F8F8"/>
            <w:tcMar>
              <w:top w:w="0" w:type="dxa"/>
              <w:left w:w="53" w:type="dxa"/>
              <w:bottom w:w="0" w:type="dxa"/>
              <w:right w:w="53" w:type="dxa"/>
            </w:tcMar>
            <w:vAlign w:val="bottom"/>
          </w:tcPr>
          <w:p w14:paraId="69408B40" w14:textId="77777777" w:rsidR="001614AC" w:rsidRDefault="004468F9">
            <w:pPr>
              <w:spacing w:before="55" w:after="30" w:line="288" w:lineRule="auto"/>
              <w:jc w:val="center"/>
            </w:pPr>
            <w:r>
              <w:rPr>
                <w:rFonts w:ascii="Arial" w:eastAsia="Arial" w:hAnsi="Arial" w:cs="Arial"/>
                <w:b/>
                <w:color w:val="00BAB3"/>
                <w:sz w:val="18"/>
              </w:rPr>
              <w:t>2021</w:t>
            </w:r>
          </w:p>
        </w:tc>
        <w:tc>
          <w:tcPr>
            <w:tcW w:w="105" w:type="dxa"/>
            <w:tcBorders>
              <w:top w:val="single" w:sz="8" w:space="0" w:color="FFFFFF"/>
              <w:left w:val="nil"/>
              <w:bottom w:val="single" w:sz="8" w:space="0" w:color="C7C9C7"/>
              <w:right w:val="nil"/>
            </w:tcBorders>
            <w:tcMar>
              <w:top w:w="0" w:type="dxa"/>
              <w:left w:w="0" w:type="dxa"/>
              <w:bottom w:w="0" w:type="dxa"/>
              <w:right w:w="0" w:type="dxa"/>
            </w:tcMar>
            <w:vAlign w:val="bottom"/>
          </w:tcPr>
          <w:p w14:paraId="6C2B043E" w14:textId="77777777" w:rsidR="001614AC" w:rsidRDefault="001614AC"/>
        </w:tc>
        <w:tc>
          <w:tcPr>
            <w:tcW w:w="1005" w:type="dxa"/>
            <w:gridSpan w:val="3"/>
            <w:tcBorders>
              <w:top w:val="single" w:sz="8" w:space="0" w:color="FFFFFF"/>
              <w:left w:val="nil"/>
              <w:bottom w:val="single" w:sz="8" w:space="0" w:color="C7C9C7"/>
              <w:right w:val="nil"/>
            </w:tcBorders>
            <w:shd w:val="clear" w:color="auto" w:fill="F4F4F4"/>
            <w:tcMar>
              <w:top w:w="0" w:type="dxa"/>
              <w:left w:w="53" w:type="dxa"/>
              <w:bottom w:w="0" w:type="dxa"/>
              <w:right w:w="53" w:type="dxa"/>
            </w:tcMar>
            <w:vAlign w:val="bottom"/>
          </w:tcPr>
          <w:p w14:paraId="494EB13D" w14:textId="77777777" w:rsidR="001614AC" w:rsidRDefault="004468F9">
            <w:pPr>
              <w:spacing w:before="55" w:after="30" w:line="288" w:lineRule="auto"/>
              <w:jc w:val="center"/>
            </w:pPr>
            <w:r>
              <w:rPr>
                <w:rFonts w:ascii="Arial" w:eastAsia="Arial" w:hAnsi="Arial" w:cs="Arial"/>
                <w:b/>
                <w:color w:val="00BAB3"/>
                <w:sz w:val="18"/>
              </w:rPr>
              <w:t>2020</w:t>
            </w:r>
          </w:p>
        </w:tc>
        <w:tc>
          <w:tcPr>
            <w:tcW w:w="105" w:type="dxa"/>
            <w:tcBorders>
              <w:top w:val="nil"/>
              <w:left w:val="nil"/>
              <w:bottom w:val="single" w:sz="8" w:space="0" w:color="C7C9C7"/>
              <w:right w:val="nil"/>
            </w:tcBorders>
            <w:tcMar>
              <w:top w:w="0" w:type="dxa"/>
              <w:left w:w="0" w:type="dxa"/>
              <w:bottom w:w="0" w:type="dxa"/>
              <w:right w:w="0" w:type="dxa"/>
            </w:tcMar>
            <w:vAlign w:val="bottom"/>
          </w:tcPr>
          <w:p w14:paraId="6AF24E98" w14:textId="77777777" w:rsidR="001614AC" w:rsidRDefault="001614AC"/>
        </w:tc>
        <w:tc>
          <w:tcPr>
            <w:tcW w:w="1005" w:type="dxa"/>
            <w:gridSpan w:val="3"/>
            <w:tcBorders>
              <w:top w:val="nil"/>
              <w:left w:val="nil"/>
              <w:bottom w:val="single" w:sz="8" w:space="0" w:color="C7C9C7"/>
              <w:right w:val="nil"/>
            </w:tcBorders>
            <w:shd w:val="clear" w:color="auto" w:fill="E6F8F8"/>
            <w:tcMar>
              <w:top w:w="0" w:type="dxa"/>
              <w:left w:w="53" w:type="dxa"/>
              <w:bottom w:w="0" w:type="dxa"/>
              <w:right w:w="53" w:type="dxa"/>
            </w:tcMar>
            <w:vAlign w:val="bottom"/>
          </w:tcPr>
          <w:p w14:paraId="6CBE0A76" w14:textId="77777777" w:rsidR="001614AC" w:rsidRDefault="004468F9">
            <w:pPr>
              <w:spacing w:before="55" w:after="30" w:line="288" w:lineRule="auto"/>
              <w:jc w:val="center"/>
            </w:pPr>
            <w:r>
              <w:rPr>
                <w:rFonts w:ascii="Arial" w:eastAsia="Arial" w:hAnsi="Arial" w:cs="Arial"/>
                <w:b/>
                <w:color w:val="00BAB3"/>
                <w:sz w:val="18"/>
              </w:rPr>
              <w:t>2021</w:t>
            </w:r>
          </w:p>
        </w:tc>
        <w:tc>
          <w:tcPr>
            <w:tcW w:w="105" w:type="dxa"/>
            <w:tcBorders>
              <w:top w:val="single" w:sz="8" w:space="0" w:color="FFFFFF"/>
              <w:left w:val="nil"/>
              <w:bottom w:val="single" w:sz="8" w:space="0" w:color="C7C9C7"/>
              <w:right w:val="nil"/>
            </w:tcBorders>
            <w:tcMar>
              <w:top w:w="0" w:type="dxa"/>
              <w:left w:w="0" w:type="dxa"/>
              <w:bottom w:w="0" w:type="dxa"/>
              <w:right w:w="0" w:type="dxa"/>
            </w:tcMar>
            <w:vAlign w:val="bottom"/>
          </w:tcPr>
          <w:p w14:paraId="51A44AC6" w14:textId="77777777" w:rsidR="001614AC" w:rsidRDefault="001614AC"/>
        </w:tc>
        <w:tc>
          <w:tcPr>
            <w:tcW w:w="1005" w:type="dxa"/>
            <w:gridSpan w:val="3"/>
            <w:tcBorders>
              <w:top w:val="single" w:sz="8" w:space="0" w:color="FFFFFF"/>
              <w:left w:val="nil"/>
              <w:bottom w:val="single" w:sz="8" w:space="0" w:color="C7C9C7"/>
              <w:right w:val="nil"/>
            </w:tcBorders>
            <w:shd w:val="clear" w:color="auto" w:fill="F4F4F4"/>
            <w:tcMar>
              <w:top w:w="0" w:type="dxa"/>
              <w:left w:w="53" w:type="dxa"/>
              <w:bottom w:w="0" w:type="dxa"/>
              <w:right w:w="53" w:type="dxa"/>
            </w:tcMar>
            <w:vAlign w:val="bottom"/>
          </w:tcPr>
          <w:p w14:paraId="26D57C27" w14:textId="77777777" w:rsidR="001614AC" w:rsidRDefault="004468F9">
            <w:pPr>
              <w:spacing w:before="55" w:after="30" w:line="288" w:lineRule="auto"/>
              <w:jc w:val="center"/>
            </w:pPr>
            <w:r>
              <w:rPr>
                <w:rFonts w:ascii="Arial" w:eastAsia="Arial" w:hAnsi="Arial" w:cs="Arial"/>
                <w:b/>
                <w:color w:val="00BAB3"/>
                <w:sz w:val="18"/>
              </w:rPr>
              <w:t>2020</w:t>
            </w:r>
          </w:p>
        </w:tc>
      </w:tr>
      <w:tr w:rsidR="001614AC" w14:paraId="7F4EB359" w14:textId="77777777">
        <w:trPr>
          <w:cantSplit/>
        </w:trPr>
        <w:tc>
          <w:tcPr>
            <w:tcW w:w="5295" w:type="dxa"/>
            <w:tcBorders>
              <w:top w:val="single" w:sz="8" w:space="0" w:color="C7C9C7"/>
              <w:left w:val="nil"/>
              <w:bottom w:val="single" w:sz="8" w:space="0" w:color="E9E9E9"/>
              <w:right w:val="nil"/>
            </w:tcBorders>
            <w:tcMar>
              <w:top w:w="0" w:type="dxa"/>
              <w:left w:w="53" w:type="dxa"/>
              <w:bottom w:w="0" w:type="dxa"/>
              <w:right w:w="53" w:type="dxa"/>
            </w:tcMar>
            <w:vAlign w:val="bottom"/>
          </w:tcPr>
          <w:p w14:paraId="50CAF9CF" w14:textId="77777777" w:rsidR="001614AC" w:rsidRDefault="004468F9">
            <w:pPr>
              <w:spacing w:before="55" w:after="30" w:line="288" w:lineRule="auto"/>
            </w:pPr>
            <w:r>
              <w:rPr>
                <w:rFonts w:ascii="Arial" w:eastAsia="Arial" w:hAnsi="Arial" w:cs="Arial"/>
                <w:color w:val="000000"/>
                <w:sz w:val="18"/>
              </w:rPr>
              <w:t>Gross investment gains from sales and redemptions</w:t>
            </w:r>
          </w:p>
        </w:tc>
        <w:tc>
          <w:tcPr>
            <w:tcW w:w="105" w:type="dxa"/>
            <w:tcBorders>
              <w:top w:val="single" w:sz="8" w:space="0" w:color="C7C9C7"/>
              <w:left w:val="nil"/>
              <w:bottom w:val="nil"/>
              <w:right w:val="nil"/>
            </w:tcBorders>
            <w:tcMar>
              <w:top w:w="0" w:type="dxa"/>
              <w:left w:w="0" w:type="dxa"/>
              <w:bottom w:w="0" w:type="dxa"/>
              <w:right w:w="0" w:type="dxa"/>
            </w:tcMar>
            <w:vAlign w:val="bottom"/>
          </w:tcPr>
          <w:p w14:paraId="15DE619A" w14:textId="77777777" w:rsidR="001614AC" w:rsidRDefault="001614AC"/>
        </w:tc>
        <w:tc>
          <w:tcPr>
            <w:tcW w:w="160" w:type="dxa"/>
            <w:tcBorders>
              <w:top w:val="single" w:sz="8" w:space="0" w:color="C7C9C7"/>
              <w:left w:val="nil"/>
              <w:bottom w:val="single" w:sz="8" w:space="0" w:color="E9E9E9"/>
              <w:right w:val="nil"/>
            </w:tcBorders>
            <w:tcMar>
              <w:top w:w="0" w:type="dxa"/>
              <w:left w:w="53" w:type="dxa"/>
              <w:bottom w:w="0" w:type="dxa"/>
              <w:right w:w="0" w:type="dxa"/>
            </w:tcMar>
            <w:vAlign w:val="bottom"/>
          </w:tcPr>
          <w:p w14:paraId="0F531DE6" w14:textId="77777777" w:rsidR="001614AC" w:rsidRDefault="004468F9">
            <w:pPr>
              <w:spacing w:before="55" w:after="30" w:line="288" w:lineRule="auto"/>
            </w:pPr>
            <w:r>
              <w:rPr>
                <w:rFonts w:ascii="Arial" w:eastAsia="Arial" w:hAnsi="Arial" w:cs="Arial"/>
                <w:color w:val="000000"/>
                <w:sz w:val="18"/>
              </w:rPr>
              <w:t>$</w:t>
            </w:r>
          </w:p>
        </w:tc>
        <w:tc>
          <w:tcPr>
            <w:tcW w:w="745" w:type="dxa"/>
            <w:tcBorders>
              <w:top w:val="single" w:sz="8" w:space="0" w:color="C7C9C7"/>
              <w:left w:val="nil"/>
              <w:bottom w:val="single" w:sz="8" w:space="0" w:color="E9E9E9"/>
              <w:right w:val="nil"/>
            </w:tcBorders>
            <w:tcMar>
              <w:top w:w="0" w:type="dxa"/>
              <w:left w:w="0" w:type="dxa"/>
              <w:bottom w:w="0" w:type="dxa"/>
              <w:right w:w="0" w:type="dxa"/>
            </w:tcMar>
            <w:vAlign w:val="bottom"/>
          </w:tcPr>
          <w:p w14:paraId="02AEC8F1" w14:textId="77777777" w:rsidR="001614AC" w:rsidRDefault="004468F9">
            <w:pPr>
              <w:spacing w:before="55" w:after="30" w:line="288" w:lineRule="auto"/>
              <w:jc w:val="right"/>
            </w:pPr>
            <w:r>
              <w:rPr>
                <w:rFonts w:ascii="Arial" w:eastAsia="Arial" w:hAnsi="Arial" w:cs="Arial"/>
                <w:color w:val="000000"/>
                <w:sz w:val="18"/>
              </w:rPr>
              <w:t>9,597 </w:t>
            </w:r>
          </w:p>
        </w:tc>
        <w:tc>
          <w:tcPr>
            <w:tcW w:w="100" w:type="dxa"/>
            <w:tcBorders>
              <w:top w:val="single" w:sz="8" w:space="0" w:color="C7C9C7"/>
              <w:left w:val="nil"/>
              <w:bottom w:val="single" w:sz="8" w:space="0" w:color="E9E9E9"/>
              <w:right w:val="nil"/>
            </w:tcBorders>
            <w:tcMar>
              <w:top w:w="0" w:type="dxa"/>
              <w:left w:w="0" w:type="dxa"/>
              <w:bottom w:w="0" w:type="dxa"/>
              <w:right w:w="15" w:type="dxa"/>
            </w:tcMar>
            <w:vAlign w:val="bottom"/>
          </w:tcPr>
          <w:p w14:paraId="065F6480" w14:textId="77777777" w:rsidR="001614AC" w:rsidRDefault="001614AC">
            <w:pPr>
              <w:spacing w:before="55" w:after="30" w:line="288" w:lineRule="auto"/>
              <w:jc w:val="right"/>
            </w:pPr>
          </w:p>
        </w:tc>
        <w:tc>
          <w:tcPr>
            <w:tcW w:w="105" w:type="dxa"/>
            <w:tcBorders>
              <w:top w:val="single" w:sz="8" w:space="0" w:color="C7C9C7"/>
              <w:left w:val="nil"/>
              <w:bottom w:val="nil"/>
              <w:right w:val="nil"/>
            </w:tcBorders>
            <w:tcMar>
              <w:top w:w="0" w:type="dxa"/>
              <w:left w:w="0" w:type="dxa"/>
              <w:bottom w:w="0" w:type="dxa"/>
              <w:right w:w="0" w:type="dxa"/>
            </w:tcMar>
            <w:vAlign w:val="bottom"/>
          </w:tcPr>
          <w:p w14:paraId="149F36A8" w14:textId="77777777" w:rsidR="001614AC" w:rsidRDefault="001614AC"/>
        </w:tc>
        <w:tc>
          <w:tcPr>
            <w:tcW w:w="160" w:type="dxa"/>
            <w:tcBorders>
              <w:top w:val="single" w:sz="8" w:space="0" w:color="C7C9C7"/>
              <w:left w:val="nil"/>
              <w:bottom w:val="single" w:sz="8" w:space="0" w:color="E9E9E9"/>
              <w:right w:val="nil"/>
            </w:tcBorders>
            <w:tcMar>
              <w:top w:w="0" w:type="dxa"/>
              <w:left w:w="53" w:type="dxa"/>
              <w:bottom w:w="0" w:type="dxa"/>
              <w:right w:w="0" w:type="dxa"/>
            </w:tcMar>
            <w:vAlign w:val="bottom"/>
          </w:tcPr>
          <w:p w14:paraId="3B007F53" w14:textId="77777777" w:rsidR="001614AC" w:rsidRDefault="004468F9">
            <w:pPr>
              <w:spacing w:before="55" w:after="30" w:line="288" w:lineRule="auto"/>
            </w:pPr>
            <w:r>
              <w:rPr>
                <w:rFonts w:ascii="Arial" w:eastAsia="Arial" w:hAnsi="Arial" w:cs="Arial"/>
                <w:color w:val="000000"/>
                <w:sz w:val="18"/>
              </w:rPr>
              <w:t>$</w:t>
            </w:r>
          </w:p>
        </w:tc>
        <w:tc>
          <w:tcPr>
            <w:tcW w:w="745" w:type="dxa"/>
            <w:tcBorders>
              <w:top w:val="single" w:sz="8" w:space="0" w:color="C7C9C7"/>
              <w:left w:val="nil"/>
              <w:bottom w:val="single" w:sz="8" w:space="0" w:color="E9E9E9"/>
              <w:right w:val="nil"/>
            </w:tcBorders>
            <w:tcMar>
              <w:top w:w="0" w:type="dxa"/>
              <w:left w:w="0" w:type="dxa"/>
              <w:bottom w:w="0" w:type="dxa"/>
              <w:right w:w="0" w:type="dxa"/>
            </w:tcMar>
            <w:vAlign w:val="bottom"/>
          </w:tcPr>
          <w:p w14:paraId="1D215581" w14:textId="77777777" w:rsidR="001614AC" w:rsidRDefault="004468F9">
            <w:pPr>
              <w:spacing w:before="55" w:after="30" w:line="288" w:lineRule="auto"/>
              <w:jc w:val="right"/>
            </w:pPr>
            <w:r>
              <w:rPr>
                <w:rFonts w:ascii="Arial" w:eastAsia="Arial" w:hAnsi="Arial" w:cs="Arial"/>
                <w:color w:val="000000"/>
                <w:sz w:val="18"/>
              </w:rPr>
              <w:t>8,304 </w:t>
            </w:r>
          </w:p>
        </w:tc>
        <w:tc>
          <w:tcPr>
            <w:tcW w:w="100" w:type="dxa"/>
            <w:tcBorders>
              <w:top w:val="single" w:sz="8" w:space="0" w:color="C7C9C7"/>
              <w:left w:val="nil"/>
              <w:bottom w:val="single" w:sz="8" w:space="0" w:color="E9E9E9"/>
              <w:right w:val="nil"/>
            </w:tcBorders>
            <w:tcMar>
              <w:top w:w="0" w:type="dxa"/>
              <w:left w:w="0" w:type="dxa"/>
              <w:bottom w:w="0" w:type="dxa"/>
              <w:right w:w="15" w:type="dxa"/>
            </w:tcMar>
            <w:vAlign w:val="bottom"/>
          </w:tcPr>
          <w:p w14:paraId="22D9F674" w14:textId="77777777" w:rsidR="001614AC" w:rsidRDefault="001614AC">
            <w:pPr>
              <w:spacing w:before="55" w:after="30" w:line="288" w:lineRule="auto"/>
              <w:jc w:val="right"/>
            </w:pPr>
          </w:p>
        </w:tc>
        <w:tc>
          <w:tcPr>
            <w:tcW w:w="105" w:type="dxa"/>
            <w:tcBorders>
              <w:top w:val="single" w:sz="8" w:space="0" w:color="C7C9C7"/>
              <w:left w:val="nil"/>
              <w:bottom w:val="nil"/>
              <w:right w:val="nil"/>
            </w:tcBorders>
            <w:tcMar>
              <w:top w:w="0" w:type="dxa"/>
              <w:left w:w="0" w:type="dxa"/>
              <w:bottom w:w="0" w:type="dxa"/>
              <w:right w:w="0" w:type="dxa"/>
            </w:tcMar>
            <w:vAlign w:val="bottom"/>
          </w:tcPr>
          <w:p w14:paraId="1ED089A6" w14:textId="77777777" w:rsidR="001614AC" w:rsidRDefault="001614AC"/>
        </w:tc>
        <w:tc>
          <w:tcPr>
            <w:tcW w:w="160" w:type="dxa"/>
            <w:tcBorders>
              <w:top w:val="single" w:sz="8" w:space="0" w:color="C7C9C7"/>
              <w:left w:val="nil"/>
              <w:bottom w:val="single" w:sz="8" w:space="0" w:color="E9E9E9"/>
              <w:right w:val="nil"/>
            </w:tcBorders>
            <w:tcMar>
              <w:top w:w="0" w:type="dxa"/>
              <w:left w:w="53" w:type="dxa"/>
              <w:bottom w:w="0" w:type="dxa"/>
              <w:right w:w="0" w:type="dxa"/>
            </w:tcMar>
            <w:vAlign w:val="bottom"/>
          </w:tcPr>
          <w:p w14:paraId="413D600C" w14:textId="77777777" w:rsidR="001614AC" w:rsidRDefault="004468F9">
            <w:pPr>
              <w:spacing w:before="55" w:after="30" w:line="288" w:lineRule="auto"/>
            </w:pPr>
            <w:r>
              <w:rPr>
                <w:rFonts w:ascii="Arial" w:eastAsia="Arial" w:hAnsi="Arial" w:cs="Arial"/>
                <w:color w:val="000000"/>
                <w:sz w:val="18"/>
              </w:rPr>
              <w:t>$</w:t>
            </w:r>
          </w:p>
        </w:tc>
        <w:tc>
          <w:tcPr>
            <w:tcW w:w="745" w:type="dxa"/>
            <w:tcBorders>
              <w:top w:val="single" w:sz="8" w:space="0" w:color="C7C9C7"/>
              <w:left w:val="nil"/>
              <w:bottom w:val="single" w:sz="8" w:space="0" w:color="E9E9E9"/>
              <w:right w:val="nil"/>
            </w:tcBorders>
            <w:tcMar>
              <w:top w:w="0" w:type="dxa"/>
              <w:left w:w="0" w:type="dxa"/>
              <w:bottom w:w="0" w:type="dxa"/>
              <w:right w:w="0" w:type="dxa"/>
            </w:tcMar>
            <w:vAlign w:val="bottom"/>
          </w:tcPr>
          <w:p w14:paraId="6A9A95C8" w14:textId="77777777" w:rsidR="001614AC" w:rsidRDefault="004468F9">
            <w:pPr>
              <w:spacing w:before="55" w:after="30" w:line="288" w:lineRule="auto"/>
              <w:jc w:val="right"/>
            </w:pPr>
            <w:r>
              <w:rPr>
                <w:rFonts w:ascii="Arial" w:eastAsia="Arial" w:hAnsi="Arial" w:cs="Arial"/>
                <w:color w:val="000000"/>
                <w:sz w:val="18"/>
              </w:rPr>
              <w:t>13,714 </w:t>
            </w:r>
          </w:p>
        </w:tc>
        <w:tc>
          <w:tcPr>
            <w:tcW w:w="100" w:type="dxa"/>
            <w:tcBorders>
              <w:top w:val="single" w:sz="8" w:space="0" w:color="C7C9C7"/>
              <w:left w:val="nil"/>
              <w:bottom w:val="single" w:sz="8" w:space="0" w:color="E9E9E9"/>
              <w:right w:val="nil"/>
            </w:tcBorders>
            <w:tcMar>
              <w:top w:w="0" w:type="dxa"/>
              <w:left w:w="0" w:type="dxa"/>
              <w:bottom w:w="0" w:type="dxa"/>
              <w:right w:w="15" w:type="dxa"/>
            </w:tcMar>
            <w:vAlign w:val="bottom"/>
          </w:tcPr>
          <w:p w14:paraId="4771094D" w14:textId="77777777" w:rsidR="001614AC" w:rsidRDefault="001614AC">
            <w:pPr>
              <w:spacing w:before="55" w:after="30" w:line="288" w:lineRule="auto"/>
              <w:jc w:val="right"/>
            </w:pPr>
          </w:p>
        </w:tc>
        <w:tc>
          <w:tcPr>
            <w:tcW w:w="105" w:type="dxa"/>
            <w:tcBorders>
              <w:top w:val="single" w:sz="8" w:space="0" w:color="C7C9C7"/>
              <w:left w:val="nil"/>
              <w:bottom w:val="nil"/>
              <w:right w:val="nil"/>
            </w:tcBorders>
            <w:tcMar>
              <w:top w:w="0" w:type="dxa"/>
              <w:left w:w="0" w:type="dxa"/>
              <w:bottom w:w="0" w:type="dxa"/>
              <w:right w:w="0" w:type="dxa"/>
            </w:tcMar>
            <w:vAlign w:val="bottom"/>
          </w:tcPr>
          <w:p w14:paraId="567E9B2C" w14:textId="77777777" w:rsidR="001614AC" w:rsidRDefault="001614AC"/>
        </w:tc>
        <w:tc>
          <w:tcPr>
            <w:tcW w:w="160" w:type="dxa"/>
            <w:tcBorders>
              <w:top w:val="single" w:sz="8" w:space="0" w:color="C7C9C7"/>
              <w:left w:val="nil"/>
              <w:bottom w:val="single" w:sz="8" w:space="0" w:color="E9E9E9"/>
              <w:right w:val="nil"/>
            </w:tcBorders>
            <w:tcMar>
              <w:top w:w="0" w:type="dxa"/>
              <w:left w:w="53" w:type="dxa"/>
              <w:bottom w:w="0" w:type="dxa"/>
              <w:right w:w="0" w:type="dxa"/>
            </w:tcMar>
            <w:vAlign w:val="bottom"/>
          </w:tcPr>
          <w:p w14:paraId="5213DCC5" w14:textId="77777777" w:rsidR="001614AC" w:rsidRDefault="004468F9">
            <w:pPr>
              <w:spacing w:before="55" w:after="30" w:line="288" w:lineRule="auto"/>
            </w:pPr>
            <w:r>
              <w:rPr>
                <w:rFonts w:ascii="Arial" w:eastAsia="Arial" w:hAnsi="Arial" w:cs="Arial"/>
                <w:color w:val="000000"/>
                <w:sz w:val="18"/>
              </w:rPr>
              <w:t>$</w:t>
            </w:r>
          </w:p>
        </w:tc>
        <w:tc>
          <w:tcPr>
            <w:tcW w:w="745" w:type="dxa"/>
            <w:tcBorders>
              <w:top w:val="single" w:sz="8" w:space="0" w:color="C7C9C7"/>
              <w:left w:val="nil"/>
              <w:bottom w:val="single" w:sz="8" w:space="0" w:color="E9E9E9"/>
              <w:right w:val="nil"/>
            </w:tcBorders>
            <w:tcMar>
              <w:top w:w="0" w:type="dxa"/>
              <w:left w:w="0" w:type="dxa"/>
              <w:bottom w:w="0" w:type="dxa"/>
              <w:right w:w="0" w:type="dxa"/>
            </w:tcMar>
            <w:vAlign w:val="bottom"/>
          </w:tcPr>
          <w:p w14:paraId="5F096016" w14:textId="77777777" w:rsidR="001614AC" w:rsidRDefault="004468F9">
            <w:pPr>
              <w:spacing w:before="55" w:after="30" w:line="288" w:lineRule="auto"/>
              <w:jc w:val="right"/>
            </w:pPr>
            <w:r>
              <w:rPr>
                <w:rFonts w:ascii="Arial" w:eastAsia="Arial" w:hAnsi="Arial" w:cs="Arial"/>
                <w:color w:val="000000"/>
                <w:sz w:val="18"/>
              </w:rPr>
              <w:t>20,203 </w:t>
            </w:r>
          </w:p>
        </w:tc>
        <w:tc>
          <w:tcPr>
            <w:tcW w:w="100" w:type="dxa"/>
            <w:tcBorders>
              <w:top w:val="single" w:sz="8" w:space="0" w:color="C7C9C7"/>
              <w:left w:val="nil"/>
              <w:bottom w:val="single" w:sz="8" w:space="0" w:color="E9E9E9"/>
              <w:right w:val="nil"/>
            </w:tcBorders>
            <w:tcMar>
              <w:top w:w="0" w:type="dxa"/>
              <w:left w:w="0" w:type="dxa"/>
              <w:bottom w:w="0" w:type="dxa"/>
              <w:right w:w="15" w:type="dxa"/>
            </w:tcMar>
            <w:vAlign w:val="bottom"/>
          </w:tcPr>
          <w:p w14:paraId="05B802C3" w14:textId="77777777" w:rsidR="001614AC" w:rsidRDefault="001614AC">
            <w:pPr>
              <w:spacing w:before="55" w:after="30" w:line="288" w:lineRule="auto"/>
              <w:jc w:val="right"/>
            </w:pPr>
          </w:p>
        </w:tc>
      </w:tr>
      <w:tr w:rsidR="001614AC" w14:paraId="71B96008" w14:textId="77777777">
        <w:trPr>
          <w:cantSplit/>
        </w:trPr>
        <w:tc>
          <w:tcPr>
            <w:tcW w:w="5295" w:type="dxa"/>
            <w:tcBorders>
              <w:top w:val="single" w:sz="8" w:space="0" w:color="E9E9E9"/>
              <w:left w:val="nil"/>
              <w:bottom w:val="single" w:sz="8" w:space="0" w:color="E9E9E9"/>
              <w:right w:val="nil"/>
            </w:tcBorders>
            <w:tcMar>
              <w:top w:w="0" w:type="dxa"/>
              <w:left w:w="53" w:type="dxa"/>
              <w:bottom w:w="0" w:type="dxa"/>
              <w:right w:w="53" w:type="dxa"/>
            </w:tcMar>
            <w:vAlign w:val="bottom"/>
          </w:tcPr>
          <w:p w14:paraId="09436C99" w14:textId="77777777" w:rsidR="001614AC" w:rsidRDefault="004468F9">
            <w:pPr>
              <w:spacing w:before="55" w:after="30" w:line="288" w:lineRule="auto"/>
            </w:pPr>
            <w:r>
              <w:rPr>
                <w:rFonts w:ascii="Arial" w:eastAsia="Arial" w:hAnsi="Arial" w:cs="Arial"/>
                <w:color w:val="000000"/>
                <w:sz w:val="18"/>
              </w:rPr>
              <w:t>Gross investment losses from sales and redemptions</w:t>
            </w:r>
          </w:p>
        </w:tc>
        <w:tc>
          <w:tcPr>
            <w:tcW w:w="105" w:type="dxa"/>
            <w:tcBorders>
              <w:top w:val="nil"/>
              <w:left w:val="nil"/>
              <w:bottom w:val="nil"/>
              <w:right w:val="nil"/>
            </w:tcBorders>
            <w:tcMar>
              <w:top w:w="0" w:type="dxa"/>
              <w:left w:w="0" w:type="dxa"/>
              <w:bottom w:w="0" w:type="dxa"/>
              <w:right w:w="0" w:type="dxa"/>
            </w:tcMar>
            <w:vAlign w:val="bottom"/>
          </w:tcPr>
          <w:p w14:paraId="7AA9E872" w14:textId="77777777" w:rsidR="001614AC" w:rsidRDefault="001614AC"/>
        </w:tc>
        <w:tc>
          <w:tcPr>
            <w:tcW w:w="90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63474676" w14:textId="77777777" w:rsidR="001614AC" w:rsidRDefault="004468F9">
            <w:pPr>
              <w:spacing w:before="55" w:after="30" w:line="288" w:lineRule="auto"/>
              <w:jc w:val="right"/>
            </w:pPr>
            <w:r>
              <w:rPr>
                <w:rFonts w:ascii="Arial" w:eastAsia="Arial" w:hAnsi="Arial" w:cs="Arial"/>
                <w:color w:val="000000"/>
                <w:sz w:val="18"/>
              </w:rPr>
              <w:t>(7,221)</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4067102F" w14:textId="77777777" w:rsidR="001614AC" w:rsidRDefault="001614AC">
            <w:pPr>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4CE4A374" w14:textId="77777777" w:rsidR="001614AC" w:rsidRDefault="001614AC"/>
        </w:tc>
        <w:tc>
          <w:tcPr>
            <w:tcW w:w="90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7A5F84CF" w14:textId="77777777" w:rsidR="001614AC" w:rsidRDefault="004468F9">
            <w:pPr>
              <w:spacing w:before="55" w:after="30" w:line="288" w:lineRule="auto"/>
              <w:jc w:val="right"/>
            </w:pPr>
            <w:r>
              <w:rPr>
                <w:rFonts w:ascii="Arial" w:eastAsia="Arial" w:hAnsi="Arial" w:cs="Arial"/>
                <w:color w:val="000000"/>
                <w:sz w:val="18"/>
              </w:rPr>
              <w:t>(1,330)</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3D76FA14" w14:textId="77777777" w:rsidR="001614AC" w:rsidRDefault="001614AC">
            <w:pPr>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186494EE" w14:textId="77777777" w:rsidR="001614AC" w:rsidRDefault="001614AC"/>
        </w:tc>
        <w:tc>
          <w:tcPr>
            <w:tcW w:w="90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65B222C2" w14:textId="77777777" w:rsidR="001614AC" w:rsidRDefault="004468F9">
            <w:pPr>
              <w:spacing w:before="55" w:after="30" w:line="288" w:lineRule="auto"/>
              <w:jc w:val="right"/>
            </w:pPr>
            <w:r>
              <w:rPr>
                <w:rFonts w:ascii="Arial" w:eastAsia="Arial" w:hAnsi="Arial" w:cs="Arial"/>
                <w:color w:val="000000"/>
                <w:sz w:val="18"/>
              </w:rPr>
              <w:t>(12,128)</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7DEC646F" w14:textId="77777777" w:rsidR="001614AC" w:rsidRDefault="001614AC">
            <w:pPr>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70D5EF1B" w14:textId="77777777" w:rsidR="001614AC" w:rsidRDefault="001614AC"/>
        </w:tc>
        <w:tc>
          <w:tcPr>
            <w:tcW w:w="90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5A42D784" w14:textId="77777777" w:rsidR="001614AC" w:rsidRDefault="004468F9">
            <w:pPr>
              <w:spacing w:before="55" w:after="30" w:line="288" w:lineRule="auto"/>
              <w:jc w:val="right"/>
            </w:pPr>
            <w:r>
              <w:rPr>
                <w:rFonts w:ascii="Arial" w:eastAsia="Arial" w:hAnsi="Arial" w:cs="Arial"/>
                <w:color w:val="000000"/>
                <w:sz w:val="18"/>
              </w:rPr>
              <w:t>(1</w:t>
            </w:r>
            <w:r>
              <w:rPr>
                <w:rFonts w:ascii="Arial" w:eastAsia="Arial" w:hAnsi="Arial" w:cs="Arial"/>
                <w:color w:val="000000"/>
                <w:sz w:val="18"/>
              </w:rPr>
              <w:t>,982)</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5152D4C5" w14:textId="77777777" w:rsidR="001614AC" w:rsidRDefault="001614AC">
            <w:pPr>
              <w:spacing w:before="55" w:after="30" w:line="288" w:lineRule="auto"/>
              <w:jc w:val="right"/>
            </w:pPr>
          </w:p>
        </w:tc>
      </w:tr>
    </w:tbl>
    <w:p w14:paraId="6FA60445" w14:textId="77777777" w:rsidR="001614AC" w:rsidRDefault="004468F9">
      <w:pPr>
        <w:keepNext/>
        <w:spacing w:before="200" w:after="100" w:line="288" w:lineRule="auto"/>
        <w:ind w:firstLine="450"/>
        <w:rPr>
          <w:rFonts w:ascii="Arial" w:eastAsia="Arial" w:hAnsi="Arial" w:cs="Arial"/>
          <w:b/>
          <w:color w:val="64615D"/>
          <w:sz w:val="18"/>
        </w:rPr>
      </w:pPr>
      <w:r>
        <w:rPr>
          <w:rFonts w:ascii="Arial" w:eastAsia="Arial" w:hAnsi="Arial" w:cs="Arial"/>
          <w:sz w:val="18"/>
        </w:rPr>
        <w:lastRenderedPageBreak/>
        <w:t xml:space="preserve">The net changes in unrealized gains (losses) recognized in earnings on investments that were still held at each period-end were as </w:t>
      </w:r>
      <w:r>
        <w:rPr>
          <w:rFonts w:ascii="Arial" w:eastAsia="Arial" w:hAnsi="Arial" w:cs="Arial"/>
          <w:sz w:val="18"/>
        </w:rPr>
        <w:t>follows.</w:t>
      </w:r>
    </w:p>
    <w:tbl>
      <w:tblPr>
        <w:tblW w:w="102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54"/>
        <w:gridCol w:w="107"/>
        <w:gridCol w:w="163"/>
        <w:gridCol w:w="760"/>
        <w:gridCol w:w="102"/>
        <w:gridCol w:w="107"/>
        <w:gridCol w:w="163"/>
        <w:gridCol w:w="760"/>
        <w:gridCol w:w="102"/>
        <w:gridCol w:w="107"/>
        <w:gridCol w:w="163"/>
        <w:gridCol w:w="760"/>
        <w:gridCol w:w="102"/>
        <w:gridCol w:w="107"/>
        <w:gridCol w:w="163"/>
        <w:gridCol w:w="760"/>
        <w:gridCol w:w="102"/>
      </w:tblGrid>
      <w:tr w:rsidR="001614AC" w14:paraId="1EC63374" w14:textId="77777777">
        <w:trPr>
          <w:cantSplit/>
        </w:trPr>
        <w:tc>
          <w:tcPr>
            <w:tcW w:w="10080" w:type="dxa"/>
            <w:gridSpan w:val="17"/>
            <w:tcBorders>
              <w:top w:val="nil"/>
              <w:left w:val="nil"/>
              <w:bottom w:val="single" w:sz="12" w:space="0" w:color="99AAB6"/>
              <w:right w:val="nil"/>
            </w:tcBorders>
            <w:tcMar>
              <w:top w:w="0" w:type="dxa"/>
              <w:left w:w="53" w:type="dxa"/>
              <w:bottom w:w="0" w:type="dxa"/>
              <w:right w:w="53" w:type="dxa"/>
            </w:tcMar>
            <w:vAlign w:val="bottom"/>
          </w:tcPr>
          <w:p w14:paraId="4EFEC486" w14:textId="77777777" w:rsidR="001614AC" w:rsidRDefault="004468F9">
            <w:pPr>
              <w:keepNext/>
              <w:spacing w:before="75" w:after="30" w:line="288" w:lineRule="auto"/>
            </w:pPr>
            <w:r>
              <w:rPr>
                <w:rFonts w:ascii="Arial" w:eastAsia="Arial" w:hAnsi="Arial" w:cs="Arial"/>
                <w:b/>
                <w:color w:val="000000"/>
                <w:sz w:val="20"/>
              </w:rPr>
              <w:t>Net changes in unrealized gains (losses) on investments still held</w:t>
            </w:r>
          </w:p>
        </w:tc>
      </w:tr>
      <w:tr w:rsidR="001614AC" w14:paraId="7092C284" w14:textId="77777777">
        <w:trPr>
          <w:cantSplit/>
          <w:trHeight w:hRule="exact" w:val="135"/>
        </w:trPr>
        <w:tc>
          <w:tcPr>
            <w:tcW w:w="5640" w:type="dxa"/>
            <w:tcBorders>
              <w:top w:val="nil"/>
              <w:left w:val="nil"/>
              <w:bottom w:val="nil"/>
              <w:right w:val="nil"/>
            </w:tcBorders>
            <w:tcMar>
              <w:top w:w="0" w:type="dxa"/>
              <w:left w:w="0" w:type="dxa"/>
              <w:bottom w:w="0" w:type="dxa"/>
              <w:right w:w="0" w:type="dxa"/>
            </w:tcMar>
            <w:vAlign w:val="bottom"/>
          </w:tcPr>
          <w:p w14:paraId="34B0BCC3" w14:textId="77777777" w:rsidR="001614AC" w:rsidRDefault="001614AC">
            <w:pPr>
              <w:keepNext/>
            </w:pPr>
          </w:p>
        </w:tc>
        <w:tc>
          <w:tcPr>
            <w:tcW w:w="105" w:type="dxa"/>
            <w:tcBorders>
              <w:top w:val="single" w:sz="12" w:space="0" w:color="99AAB6"/>
              <w:left w:val="nil"/>
              <w:bottom w:val="nil"/>
              <w:right w:val="nil"/>
            </w:tcBorders>
            <w:tcMar>
              <w:top w:w="0" w:type="dxa"/>
              <w:left w:w="0" w:type="dxa"/>
              <w:bottom w:w="0" w:type="dxa"/>
              <w:right w:w="0" w:type="dxa"/>
            </w:tcMar>
            <w:vAlign w:val="bottom"/>
          </w:tcPr>
          <w:p w14:paraId="7B465396" w14:textId="77777777" w:rsidR="001614AC" w:rsidRDefault="001614AC">
            <w:pPr>
              <w:keepNext/>
            </w:pPr>
          </w:p>
        </w:tc>
        <w:tc>
          <w:tcPr>
            <w:tcW w:w="1005" w:type="dxa"/>
            <w:gridSpan w:val="3"/>
            <w:tcBorders>
              <w:top w:val="single" w:sz="12" w:space="0" w:color="99AAB6"/>
              <w:left w:val="nil"/>
              <w:bottom w:val="nil"/>
              <w:right w:val="nil"/>
            </w:tcBorders>
            <w:tcMar>
              <w:top w:w="0" w:type="dxa"/>
              <w:left w:w="0" w:type="dxa"/>
              <w:bottom w:w="0" w:type="dxa"/>
              <w:right w:w="0" w:type="dxa"/>
            </w:tcMar>
            <w:vAlign w:val="bottom"/>
          </w:tcPr>
          <w:p w14:paraId="54019E06" w14:textId="77777777" w:rsidR="001614AC" w:rsidRDefault="001614AC">
            <w:pPr>
              <w:keepNext/>
            </w:pPr>
          </w:p>
        </w:tc>
        <w:tc>
          <w:tcPr>
            <w:tcW w:w="105" w:type="dxa"/>
            <w:tcBorders>
              <w:top w:val="single" w:sz="12" w:space="0" w:color="99AAB6"/>
              <w:left w:val="nil"/>
              <w:bottom w:val="nil"/>
              <w:right w:val="nil"/>
            </w:tcBorders>
            <w:tcMar>
              <w:top w:w="0" w:type="dxa"/>
              <w:left w:w="0" w:type="dxa"/>
              <w:bottom w:w="0" w:type="dxa"/>
              <w:right w:w="0" w:type="dxa"/>
            </w:tcMar>
            <w:vAlign w:val="bottom"/>
          </w:tcPr>
          <w:p w14:paraId="5D1821D2" w14:textId="77777777" w:rsidR="001614AC" w:rsidRDefault="001614AC">
            <w:pPr>
              <w:keepNext/>
            </w:pPr>
          </w:p>
        </w:tc>
        <w:tc>
          <w:tcPr>
            <w:tcW w:w="1005" w:type="dxa"/>
            <w:gridSpan w:val="3"/>
            <w:tcBorders>
              <w:top w:val="single" w:sz="12" w:space="0" w:color="99AAB6"/>
              <w:left w:val="nil"/>
              <w:bottom w:val="nil"/>
              <w:right w:val="nil"/>
            </w:tcBorders>
            <w:tcMar>
              <w:top w:w="0" w:type="dxa"/>
              <w:left w:w="0" w:type="dxa"/>
              <w:bottom w:w="0" w:type="dxa"/>
              <w:right w:w="0" w:type="dxa"/>
            </w:tcMar>
            <w:vAlign w:val="bottom"/>
          </w:tcPr>
          <w:p w14:paraId="01D666BC" w14:textId="77777777" w:rsidR="001614AC" w:rsidRDefault="001614AC">
            <w:pPr>
              <w:keepNext/>
            </w:pPr>
          </w:p>
        </w:tc>
        <w:tc>
          <w:tcPr>
            <w:tcW w:w="105" w:type="dxa"/>
            <w:tcBorders>
              <w:top w:val="single" w:sz="12" w:space="0" w:color="99AAB6"/>
              <w:left w:val="nil"/>
              <w:bottom w:val="nil"/>
              <w:right w:val="nil"/>
            </w:tcBorders>
            <w:tcMar>
              <w:top w:w="0" w:type="dxa"/>
              <w:left w:w="0" w:type="dxa"/>
              <w:bottom w:w="0" w:type="dxa"/>
              <w:right w:w="0" w:type="dxa"/>
            </w:tcMar>
            <w:vAlign w:val="bottom"/>
          </w:tcPr>
          <w:p w14:paraId="192FEDED" w14:textId="77777777" w:rsidR="001614AC" w:rsidRDefault="001614AC">
            <w:pPr>
              <w:keepNext/>
            </w:pPr>
          </w:p>
        </w:tc>
        <w:tc>
          <w:tcPr>
            <w:tcW w:w="1005" w:type="dxa"/>
            <w:gridSpan w:val="3"/>
            <w:tcBorders>
              <w:top w:val="single" w:sz="12" w:space="0" w:color="99AAB6"/>
              <w:left w:val="nil"/>
              <w:bottom w:val="nil"/>
              <w:right w:val="nil"/>
            </w:tcBorders>
            <w:tcMar>
              <w:top w:w="0" w:type="dxa"/>
              <w:left w:w="0" w:type="dxa"/>
              <w:bottom w:w="0" w:type="dxa"/>
              <w:right w:w="0" w:type="dxa"/>
            </w:tcMar>
            <w:vAlign w:val="bottom"/>
          </w:tcPr>
          <w:p w14:paraId="5EC75658" w14:textId="77777777" w:rsidR="001614AC" w:rsidRDefault="001614AC">
            <w:pPr>
              <w:keepNext/>
            </w:pPr>
          </w:p>
        </w:tc>
        <w:tc>
          <w:tcPr>
            <w:tcW w:w="105" w:type="dxa"/>
            <w:tcBorders>
              <w:top w:val="single" w:sz="12" w:space="0" w:color="99AAB6"/>
              <w:left w:val="nil"/>
              <w:bottom w:val="nil"/>
              <w:right w:val="nil"/>
            </w:tcBorders>
            <w:tcMar>
              <w:top w:w="0" w:type="dxa"/>
              <w:left w:w="0" w:type="dxa"/>
              <w:bottom w:w="0" w:type="dxa"/>
              <w:right w:w="0" w:type="dxa"/>
            </w:tcMar>
            <w:vAlign w:val="bottom"/>
          </w:tcPr>
          <w:p w14:paraId="2048561F" w14:textId="77777777" w:rsidR="001614AC" w:rsidRDefault="001614AC">
            <w:pPr>
              <w:keepNext/>
            </w:pPr>
          </w:p>
        </w:tc>
        <w:tc>
          <w:tcPr>
            <w:tcW w:w="1005" w:type="dxa"/>
            <w:gridSpan w:val="3"/>
            <w:tcBorders>
              <w:top w:val="single" w:sz="12" w:space="0" w:color="99AAB6"/>
              <w:left w:val="nil"/>
              <w:bottom w:val="nil"/>
              <w:right w:val="nil"/>
            </w:tcBorders>
            <w:tcMar>
              <w:top w:w="0" w:type="dxa"/>
              <w:left w:w="0" w:type="dxa"/>
              <w:bottom w:w="0" w:type="dxa"/>
              <w:right w:w="0" w:type="dxa"/>
            </w:tcMar>
            <w:vAlign w:val="bottom"/>
          </w:tcPr>
          <w:p w14:paraId="121CA92C" w14:textId="77777777" w:rsidR="001614AC" w:rsidRDefault="001614AC">
            <w:pPr>
              <w:keepNext/>
            </w:pPr>
          </w:p>
        </w:tc>
      </w:tr>
      <w:tr w:rsidR="001614AC" w14:paraId="0CBE6438" w14:textId="77777777">
        <w:trPr>
          <w:cantSplit/>
        </w:trPr>
        <w:tc>
          <w:tcPr>
            <w:tcW w:w="5640" w:type="dxa"/>
            <w:tcBorders>
              <w:top w:val="nil"/>
              <w:left w:val="nil"/>
              <w:bottom w:val="nil"/>
              <w:right w:val="nil"/>
            </w:tcBorders>
            <w:tcMar>
              <w:top w:w="0" w:type="dxa"/>
              <w:left w:w="0" w:type="dxa"/>
              <w:bottom w:w="0" w:type="dxa"/>
              <w:right w:w="0" w:type="dxa"/>
            </w:tcMar>
            <w:vAlign w:val="bottom"/>
          </w:tcPr>
          <w:p w14:paraId="493D315F" w14:textId="77777777" w:rsidR="001614AC" w:rsidRDefault="001614AC">
            <w:pPr>
              <w:keepNext/>
            </w:pPr>
          </w:p>
        </w:tc>
        <w:tc>
          <w:tcPr>
            <w:tcW w:w="105" w:type="dxa"/>
            <w:tcBorders>
              <w:top w:val="nil"/>
              <w:left w:val="nil"/>
              <w:bottom w:val="nil"/>
              <w:right w:val="nil"/>
            </w:tcBorders>
            <w:tcMar>
              <w:top w:w="0" w:type="dxa"/>
              <w:left w:w="0" w:type="dxa"/>
              <w:bottom w:w="0" w:type="dxa"/>
              <w:right w:w="0" w:type="dxa"/>
            </w:tcMar>
            <w:vAlign w:val="bottom"/>
          </w:tcPr>
          <w:p w14:paraId="4B9BE73F" w14:textId="77777777" w:rsidR="001614AC" w:rsidRDefault="001614AC">
            <w:pPr>
              <w:keepNext/>
            </w:pPr>
          </w:p>
        </w:tc>
        <w:tc>
          <w:tcPr>
            <w:tcW w:w="2115" w:type="dxa"/>
            <w:gridSpan w:val="7"/>
            <w:tcBorders>
              <w:top w:val="nil"/>
              <w:left w:val="nil"/>
              <w:bottom w:val="single" w:sz="8" w:space="0" w:color="FFFFFF"/>
              <w:right w:val="nil"/>
            </w:tcBorders>
            <w:tcMar>
              <w:top w:w="0" w:type="dxa"/>
              <w:left w:w="53" w:type="dxa"/>
              <w:bottom w:w="0" w:type="dxa"/>
              <w:right w:w="53" w:type="dxa"/>
            </w:tcMar>
            <w:vAlign w:val="bottom"/>
          </w:tcPr>
          <w:p w14:paraId="37033EA5" w14:textId="77777777" w:rsidR="001614AC" w:rsidRDefault="004468F9">
            <w:pPr>
              <w:keepNext/>
              <w:spacing w:before="75" w:line="288" w:lineRule="auto"/>
              <w:jc w:val="center"/>
            </w:pPr>
            <w:r>
              <w:rPr>
                <w:rFonts w:ascii="Arial" w:eastAsia="Arial" w:hAnsi="Arial" w:cs="Arial"/>
                <w:b/>
                <w:color w:val="00BAB3"/>
                <w:sz w:val="18"/>
              </w:rPr>
              <w:t>Three Months Ended</w:t>
            </w:r>
          </w:p>
          <w:p w14:paraId="128702DB" w14:textId="77777777" w:rsidR="001614AC" w:rsidRDefault="004468F9">
            <w:pPr>
              <w:spacing w:after="30" w:line="288" w:lineRule="auto"/>
              <w:jc w:val="center"/>
            </w:pPr>
            <w:r>
              <w:rPr>
                <w:rFonts w:ascii="Arial" w:eastAsia="Arial" w:hAnsi="Arial" w:cs="Arial"/>
                <w:b/>
                <w:color w:val="00BAB3"/>
                <w:sz w:val="18"/>
              </w:rPr>
              <w:t>June 30,</w:t>
            </w:r>
          </w:p>
        </w:tc>
        <w:tc>
          <w:tcPr>
            <w:tcW w:w="105" w:type="dxa"/>
            <w:tcBorders>
              <w:top w:val="nil"/>
              <w:left w:val="nil"/>
              <w:bottom w:val="nil"/>
              <w:right w:val="nil"/>
            </w:tcBorders>
            <w:tcMar>
              <w:top w:w="0" w:type="dxa"/>
              <w:left w:w="0" w:type="dxa"/>
              <w:bottom w:w="0" w:type="dxa"/>
              <w:right w:w="0" w:type="dxa"/>
            </w:tcMar>
            <w:vAlign w:val="bottom"/>
          </w:tcPr>
          <w:p w14:paraId="608546E6" w14:textId="77777777" w:rsidR="001614AC" w:rsidRDefault="001614AC">
            <w:pPr>
              <w:keepNext/>
            </w:pPr>
          </w:p>
        </w:tc>
        <w:tc>
          <w:tcPr>
            <w:tcW w:w="2115" w:type="dxa"/>
            <w:gridSpan w:val="7"/>
            <w:tcBorders>
              <w:top w:val="nil"/>
              <w:left w:val="nil"/>
              <w:bottom w:val="single" w:sz="8" w:space="0" w:color="FFFFFF"/>
              <w:right w:val="nil"/>
            </w:tcBorders>
            <w:tcMar>
              <w:top w:w="0" w:type="dxa"/>
              <w:left w:w="53" w:type="dxa"/>
              <w:bottom w:w="0" w:type="dxa"/>
              <w:right w:w="53" w:type="dxa"/>
            </w:tcMar>
            <w:vAlign w:val="bottom"/>
          </w:tcPr>
          <w:p w14:paraId="73FDE05C" w14:textId="77777777" w:rsidR="001614AC" w:rsidRDefault="004468F9">
            <w:pPr>
              <w:keepNext/>
              <w:spacing w:before="75" w:line="288" w:lineRule="auto"/>
              <w:jc w:val="center"/>
            </w:pPr>
            <w:r>
              <w:rPr>
                <w:rFonts w:ascii="Arial" w:eastAsia="Arial" w:hAnsi="Arial" w:cs="Arial"/>
                <w:b/>
                <w:color w:val="00BAB3"/>
                <w:sz w:val="18"/>
              </w:rPr>
              <w:t>Six Months Ended</w:t>
            </w:r>
          </w:p>
          <w:p w14:paraId="6D951E75" w14:textId="77777777" w:rsidR="001614AC" w:rsidRDefault="004468F9">
            <w:pPr>
              <w:spacing w:after="30" w:line="288" w:lineRule="auto"/>
              <w:jc w:val="center"/>
            </w:pPr>
            <w:r>
              <w:rPr>
                <w:rFonts w:ascii="Arial" w:eastAsia="Arial" w:hAnsi="Arial" w:cs="Arial"/>
                <w:b/>
                <w:color w:val="00BAB3"/>
                <w:sz w:val="18"/>
              </w:rPr>
              <w:t>June 30,</w:t>
            </w:r>
          </w:p>
        </w:tc>
      </w:tr>
      <w:tr w:rsidR="001614AC" w14:paraId="00A6D7D8" w14:textId="77777777">
        <w:trPr>
          <w:cantSplit/>
        </w:trPr>
        <w:tc>
          <w:tcPr>
            <w:tcW w:w="5640" w:type="dxa"/>
            <w:tcBorders>
              <w:top w:val="nil"/>
              <w:left w:val="nil"/>
              <w:bottom w:val="single" w:sz="8" w:space="0" w:color="C7C9C7"/>
              <w:right w:val="nil"/>
            </w:tcBorders>
            <w:tcMar>
              <w:top w:w="0" w:type="dxa"/>
              <w:left w:w="53" w:type="dxa"/>
              <w:bottom w:w="0" w:type="dxa"/>
              <w:right w:w="53" w:type="dxa"/>
            </w:tcMar>
            <w:vAlign w:val="bottom"/>
          </w:tcPr>
          <w:p w14:paraId="7F17799A" w14:textId="77777777" w:rsidR="001614AC" w:rsidRDefault="004468F9">
            <w:pPr>
              <w:keepNext/>
              <w:spacing w:before="75" w:after="30" w:line="288" w:lineRule="auto"/>
            </w:pPr>
            <w:r>
              <w:rPr>
                <w:rFonts w:ascii="Arial" w:eastAsia="Arial" w:hAnsi="Arial" w:cs="Arial"/>
                <w:color w:val="8B8886"/>
                <w:sz w:val="16"/>
              </w:rPr>
              <w:t>(In thousands)</w:t>
            </w:r>
          </w:p>
        </w:tc>
        <w:tc>
          <w:tcPr>
            <w:tcW w:w="105" w:type="dxa"/>
            <w:tcBorders>
              <w:top w:val="nil"/>
              <w:left w:val="nil"/>
              <w:bottom w:val="single" w:sz="8" w:space="0" w:color="C7C9C7"/>
              <w:right w:val="nil"/>
            </w:tcBorders>
            <w:tcMar>
              <w:top w:w="0" w:type="dxa"/>
              <w:left w:w="0" w:type="dxa"/>
              <w:bottom w:w="0" w:type="dxa"/>
              <w:right w:w="0" w:type="dxa"/>
            </w:tcMar>
            <w:vAlign w:val="bottom"/>
          </w:tcPr>
          <w:p w14:paraId="42A1112A" w14:textId="77777777" w:rsidR="001614AC" w:rsidRDefault="001614AC">
            <w:pPr>
              <w:keepNext/>
            </w:pPr>
          </w:p>
        </w:tc>
        <w:tc>
          <w:tcPr>
            <w:tcW w:w="1005" w:type="dxa"/>
            <w:gridSpan w:val="3"/>
            <w:tcBorders>
              <w:top w:val="nil"/>
              <w:left w:val="nil"/>
              <w:bottom w:val="single" w:sz="8" w:space="0" w:color="C7C9C7"/>
              <w:right w:val="nil"/>
            </w:tcBorders>
            <w:shd w:val="clear" w:color="auto" w:fill="E6F8F8"/>
            <w:tcMar>
              <w:top w:w="0" w:type="dxa"/>
              <w:left w:w="53" w:type="dxa"/>
              <w:bottom w:w="0" w:type="dxa"/>
              <w:right w:w="53" w:type="dxa"/>
            </w:tcMar>
            <w:vAlign w:val="bottom"/>
          </w:tcPr>
          <w:p w14:paraId="381C5ACA" w14:textId="77777777" w:rsidR="001614AC" w:rsidRDefault="004468F9">
            <w:pPr>
              <w:keepNext/>
              <w:spacing w:before="55" w:after="30" w:line="288" w:lineRule="auto"/>
              <w:jc w:val="center"/>
            </w:pPr>
            <w:r>
              <w:rPr>
                <w:rFonts w:ascii="Arial" w:eastAsia="Arial" w:hAnsi="Arial" w:cs="Arial"/>
                <w:b/>
                <w:color w:val="00BAB3"/>
                <w:sz w:val="18"/>
              </w:rPr>
              <w:t>2021</w:t>
            </w:r>
          </w:p>
        </w:tc>
        <w:tc>
          <w:tcPr>
            <w:tcW w:w="105" w:type="dxa"/>
            <w:tcBorders>
              <w:top w:val="single" w:sz="8" w:space="0" w:color="FFFFFF"/>
              <w:left w:val="nil"/>
              <w:bottom w:val="single" w:sz="8" w:space="0" w:color="C7C9C7"/>
              <w:right w:val="nil"/>
            </w:tcBorders>
            <w:tcMar>
              <w:top w:w="0" w:type="dxa"/>
              <w:left w:w="0" w:type="dxa"/>
              <w:bottom w:w="0" w:type="dxa"/>
              <w:right w:w="0" w:type="dxa"/>
            </w:tcMar>
            <w:vAlign w:val="bottom"/>
          </w:tcPr>
          <w:p w14:paraId="32D3CBC1" w14:textId="77777777" w:rsidR="001614AC" w:rsidRDefault="001614AC">
            <w:pPr>
              <w:keepNext/>
            </w:pPr>
          </w:p>
        </w:tc>
        <w:tc>
          <w:tcPr>
            <w:tcW w:w="1005" w:type="dxa"/>
            <w:gridSpan w:val="3"/>
            <w:tcBorders>
              <w:top w:val="single" w:sz="8" w:space="0" w:color="FFFFFF"/>
              <w:left w:val="nil"/>
              <w:bottom w:val="single" w:sz="8" w:space="0" w:color="C7C9C7"/>
              <w:right w:val="nil"/>
            </w:tcBorders>
            <w:shd w:val="clear" w:color="auto" w:fill="F4F4F4"/>
            <w:tcMar>
              <w:top w:w="0" w:type="dxa"/>
              <w:left w:w="53" w:type="dxa"/>
              <w:bottom w:w="0" w:type="dxa"/>
              <w:right w:w="53" w:type="dxa"/>
            </w:tcMar>
            <w:vAlign w:val="bottom"/>
          </w:tcPr>
          <w:p w14:paraId="023C72D3" w14:textId="77777777" w:rsidR="001614AC" w:rsidRDefault="004468F9">
            <w:pPr>
              <w:keepNext/>
              <w:spacing w:before="55" w:after="30" w:line="288" w:lineRule="auto"/>
              <w:jc w:val="center"/>
            </w:pPr>
            <w:r>
              <w:rPr>
                <w:rFonts w:ascii="Arial" w:eastAsia="Arial" w:hAnsi="Arial" w:cs="Arial"/>
                <w:b/>
                <w:color w:val="00BAB3"/>
                <w:sz w:val="18"/>
              </w:rPr>
              <w:t>2020</w:t>
            </w:r>
          </w:p>
        </w:tc>
        <w:tc>
          <w:tcPr>
            <w:tcW w:w="105" w:type="dxa"/>
            <w:tcBorders>
              <w:top w:val="nil"/>
              <w:left w:val="nil"/>
              <w:bottom w:val="single" w:sz="8" w:space="0" w:color="C7C9C7"/>
              <w:right w:val="nil"/>
            </w:tcBorders>
            <w:tcMar>
              <w:top w:w="0" w:type="dxa"/>
              <w:left w:w="0" w:type="dxa"/>
              <w:bottom w:w="0" w:type="dxa"/>
              <w:right w:w="0" w:type="dxa"/>
            </w:tcMar>
            <w:vAlign w:val="bottom"/>
          </w:tcPr>
          <w:p w14:paraId="640DB59C" w14:textId="77777777" w:rsidR="001614AC" w:rsidRDefault="001614AC">
            <w:pPr>
              <w:keepNext/>
            </w:pPr>
          </w:p>
        </w:tc>
        <w:tc>
          <w:tcPr>
            <w:tcW w:w="1005" w:type="dxa"/>
            <w:gridSpan w:val="3"/>
            <w:tcBorders>
              <w:top w:val="nil"/>
              <w:left w:val="nil"/>
              <w:bottom w:val="single" w:sz="8" w:space="0" w:color="C7C9C7"/>
              <w:right w:val="nil"/>
            </w:tcBorders>
            <w:shd w:val="clear" w:color="auto" w:fill="E6F8F8"/>
            <w:tcMar>
              <w:top w:w="0" w:type="dxa"/>
              <w:left w:w="53" w:type="dxa"/>
              <w:bottom w:w="0" w:type="dxa"/>
              <w:right w:w="53" w:type="dxa"/>
            </w:tcMar>
            <w:vAlign w:val="bottom"/>
          </w:tcPr>
          <w:p w14:paraId="7CFCFAE9" w14:textId="77777777" w:rsidR="001614AC" w:rsidRDefault="004468F9">
            <w:pPr>
              <w:keepNext/>
              <w:spacing w:before="55" w:after="30" w:line="288" w:lineRule="auto"/>
              <w:jc w:val="center"/>
            </w:pPr>
            <w:r>
              <w:rPr>
                <w:rFonts w:ascii="Arial" w:eastAsia="Arial" w:hAnsi="Arial" w:cs="Arial"/>
                <w:b/>
                <w:color w:val="00BAB3"/>
                <w:sz w:val="18"/>
              </w:rPr>
              <w:t>2021</w:t>
            </w:r>
          </w:p>
        </w:tc>
        <w:tc>
          <w:tcPr>
            <w:tcW w:w="105" w:type="dxa"/>
            <w:tcBorders>
              <w:top w:val="single" w:sz="8" w:space="0" w:color="FFFFFF"/>
              <w:left w:val="nil"/>
              <w:bottom w:val="single" w:sz="8" w:space="0" w:color="C7C9C7"/>
              <w:right w:val="nil"/>
            </w:tcBorders>
            <w:tcMar>
              <w:top w:w="0" w:type="dxa"/>
              <w:left w:w="0" w:type="dxa"/>
              <w:bottom w:w="0" w:type="dxa"/>
              <w:right w:w="0" w:type="dxa"/>
            </w:tcMar>
            <w:vAlign w:val="bottom"/>
          </w:tcPr>
          <w:p w14:paraId="1032BA4D" w14:textId="77777777" w:rsidR="001614AC" w:rsidRDefault="001614AC">
            <w:pPr>
              <w:keepNext/>
            </w:pPr>
          </w:p>
        </w:tc>
        <w:tc>
          <w:tcPr>
            <w:tcW w:w="1005" w:type="dxa"/>
            <w:gridSpan w:val="3"/>
            <w:tcBorders>
              <w:top w:val="single" w:sz="8" w:space="0" w:color="FFFFFF"/>
              <w:left w:val="nil"/>
              <w:bottom w:val="single" w:sz="8" w:space="0" w:color="C7C9C7"/>
              <w:right w:val="nil"/>
            </w:tcBorders>
            <w:shd w:val="clear" w:color="auto" w:fill="F4F4F4"/>
            <w:tcMar>
              <w:top w:w="0" w:type="dxa"/>
              <w:left w:w="53" w:type="dxa"/>
              <w:bottom w:w="0" w:type="dxa"/>
              <w:right w:w="53" w:type="dxa"/>
            </w:tcMar>
            <w:vAlign w:val="bottom"/>
          </w:tcPr>
          <w:p w14:paraId="0521E6FB" w14:textId="77777777" w:rsidR="001614AC" w:rsidRDefault="004468F9">
            <w:pPr>
              <w:keepNext/>
              <w:spacing w:before="55" w:after="30" w:line="288" w:lineRule="auto"/>
              <w:jc w:val="center"/>
            </w:pPr>
            <w:r>
              <w:rPr>
                <w:rFonts w:ascii="Arial" w:eastAsia="Arial" w:hAnsi="Arial" w:cs="Arial"/>
                <w:b/>
                <w:color w:val="00BAB3"/>
                <w:sz w:val="18"/>
              </w:rPr>
              <w:t>2020</w:t>
            </w:r>
          </w:p>
        </w:tc>
      </w:tr>
      <w:tr w:rsidR="001614AC" w14:paraId="2097CCBD" w14:textId="77777777">
        <w:trPr>
          <w:cantSplit/>
        </w:trPr>
        <w:tc>
          <w:tcPr>
            <w:tcW w:w="5640" w:type="dxa"/>
            <w:tcBorders>
              <w:top w:val="single" w:sz="8" w:space="0" w:color="C7C9C7"/>
              <w:left w:val="nil"/>
              <w:bottom w:val="single" w:sz="8" w:space="0" w:color="E9E9E9"/>
              <w:right w:val="nil"/>
            </w:tcBorders>
            <w:tcMar>
              <w:top w:w="0" w:type="dxa"/>
              <w:left w:w="53" w:type="dxa"/>
              <w:bottom w:w="0" w:type="dxa"/>
              <w:right w:w="53" w:type="dxa"/>
            </w:tcMar>
            <w:vAlign w:val="bottom"/>
          </w:tcPr>
          <w:p w14:paraId="1BB336D6" w14:textId="77777777" w:rsidR="001614AC" w:rsidRDefault="004468F9">
            <w:pPr>
              <w:keepNext/>
              <w:spacing w:before="55" w:after="30" w:line="288" w:lineRule="auto"/>
            </w:pPr>
            <w:r>
              <w:rPr>
                <w:rFonts w:ascii="Arial" w:eastAsia="Arial" w:hAnsi="Arial" w:cs="Arial"/>
                <w:color w:val="000000"/>
                <w:sz w:val="18"/>
              </w:rPr>
              <w:t>Net unrealized gains (losses) on investments still held</w:t>
            </w:r>
          </w:p>
        </w:tc>
        <w:tc>
          <w:tcPr>
            <w:tcW w:w="105" w:type="dxa"/>
            <w:tcBorders>
              <w:top w:val="single" w:sz="8" w:space="0" w:color="C7C9C7"/>
              <w:left w:val="nil"/>
              <w:bottom w:val="nil"/>
              <w:right w:val="nil"/>
            </w:tcBorders>
            <w:tcMar>
              <w:top w:w="0" w:type="dxa"/>
              <w:left w:w="0" w:type="dxa"/>
              <w:bottom w:w="0" w:type="dxa"/>
              <w:right w:w="0" w:type="dxa"/>
            </w:tcMar>
            <w:vAlign w:val="bottom"/>
          </w:tcPr>
          <w:p w14:paraId="454B8084" w14:textId="77777777" w:rsidR="001614AC" w:rsidRDefault="001614AC">
            <w:pPr>
              <w:keepNext/>
            </w:pPr>
          </w:p>
        </w:tc>
        <w:tc>
          <w:tcPr>
            <w:tcW w:w="1005" w:type="dxa"/>
            <w:gridSpan w:val="3"/>
            <w:tcBorders>
              <w:top w:val="single" w:sz="8" w:space="0" w:color="C7C9C7"/>
              <w:left w:val="nil"/>
              <w:bottom w:val="single" w:sz="8" w:space="0" w:color="E9E9E9"/>
              <w:right w:val="nil"/>
            </w:tcBorders>
            <w:tcMar>
              <w:top w:w="0" w:type="dxa"/>
              <w:left w:w="53" w:type="dxa"/>
              <w:bottom w:w="0" w:type="dxa"/>
              <w:right w:w="53" w:type="dxa"/>
            </w:tcMar>
            <w:vAlign w:val="bottom"/>
          </w:tcPr>
          <w:p w14:paraId="7C8E25F3" w14:textId="77777777" w:rsidR="001614AC" w:rsidRDefault="004468F9">
            <w:pPr>
              <w:keepNext/>
              <w:spacing w:before="55" w:after="30" w:line="288" w:lineRule="auto"/>
            </w:pPr>
            <w:r>
              <w:rPr>
                <w:rFonts w:ascii="Arial" w:eastAsia="Arial" w:hAnsi="Arial" w:cs="Arial"/>
                <w:color w:val="000000"/>
                <w:sz w:val="18"/>
              </w:rPr>
              <w:t> </w:t>
            </w:r>
          </w:p>
        </w:tc>
        <w:tc>
          <w:tcPr>
            <w:tcW w:w="105" w:type="dxa"/>
            <w:tcBorders>
              <w:top w:val="single" w:sz="8" w:space="0" w:color="C7C9C7"/>
              <w:left w:val="nil"/>
              <w:bottom w:val="nil"/>
              <w:right w:val="nil"/>
            </w:tcBorders>
            <w:tcMar>
              <w:top w:w="0" w:type="dxa"/>
              <w:left w:w="0" w:type="dxa"/>
              <w:bottom w:w="0" w:type="dxa"/>
              <w:right w:w="0" w:type="dxa"/>
            </w:tcMar>
            <w:vAlign w:val="bottom"/>
          </w:tcPr>
          <w:p w14:paraId="7452C346" w14:textId="77777777" w:rsidR="001614AC" w:rsidRDefault="001614AC">
            <w:pPr>
              <w:keepNext/>
            </w:pPr>
          </w:p>
        </w:tc>
        <w:tc>
          <w:tcPr>
            <w:tcW w:w="1005" w:type="dxa"/>
            <w:gridSpan w:val="3"/>
            <w:tcBorders>
              <w:top w:val="single" w:sz="8" w:space="0" w:color="C7C9C7"/>
              <w:left w:val="nil"/>
              <w:bottom w:val="single" w:sz="8" w:space="0" w:color="E9E9E9"/>
              <w:right w:val="nil"/>
            </w:tcBorders>
            <w:tcMar>
              <w:top w:w="0" w:type="dxa"/>
              <w:left w:w="53" w:type="dxa"/>
              <w:bottom w:w="0" w:type="dxa"/>
              <w:right w:w="53" w:type="dxa"/>
            </w:tcMar>
            <w:vAlign w:val="bottom"/>
          </w:tcPr>
          <w:p w14:paraId="261A5921" w14:textId="77777777" w:rsidR="001614AC" w:rsidRDefault="004468F9">
            <w:pPr>
              <w:keepNext/>
              <w:spacing w:before="55" w:after="30" w:line="288" w:lineRule="auto"/>
            </w:pPr>
            <w:r>
              <w:rPr>
                <w:rFonts w:ascii="Arial" w:eastAsia="Arial" w:hAnsi="Arial" w:cs="Arial"/>
                <w:color w:val="000000"/>
                <w:sz w:val="18"/>
              </w:rPr>
              <w:t> </w:t>
            </w:r>
          </w:p>
        </w:tc>
        <w:tc>
          <w:tcPr>
            <w:tcW w:w="105" w:type="dxa"/>
            <w:tcBorders>
              <w:top w:val="single" w:sz="8" w:space="0" w:color="C7C9C7"/>
              <w:left w:val="nil"/>
              <w:bottom w:val="nil"/>
              <w:right w:val="nil"/>
            </w:tcBorders>
            <w:tcMar>
              <w:top w:w="0" w:type="dxa"/>
              <w:left w:w="0" w:type="dxa"/>
              <w:bottom w:w="0" w:type="dxa"/>
              <w:right w:w="0" w:type="dxa"/>
            </w:tcMar>
            <w:vAlign w:val="bottom"/>
          </w:tcPr>
          <w:p w14:paraId="5BDA14D6" w14:textId="77777777" w:rsidR="001614AC" w:rsidRDefault="001614AC">
            <w:pPr>
              <w:keepNext/>
            </w:pPr>
          </w:p>
        </w:tc>
        <w:tc>
          <w:tcPr>
            <w:tcW w:w="1005" w:type="dxa"/>
            <w:gridSpan w:val="3"/>
            <w:tcBorders>
              <w:top w:val="single" w:sz="8" w:space="0" w:color="C7C9C7"/>
              <w:left w:val="nil"/>
              <w:bottom w:val="single" w:sz="8" w:space="0" w:color="E9E9E9"/>
              <w:right w:val="nil"/>
            </w:tcBorders>
            <w:tcMar>
              <w:top w:w="0" w:type="dxa"/>
              <w:left w:w="0" w:type="dxa"/>
              <w:bottom w:w="0" w:type="dxa"/>
              <w:right w:w="0" w:type="dxa"/>
            </w:tcMar>
            <w:vAlign w:val="bottom"/>
          </w:tcPr>
          <w:p w14:paraId="585E4B61" w14:textId="77777777" w:rsidR="001614AC" w:rsidRDefault="001614AC">
            <w:pPr>
              <w:keepNext/>
            </w:pPr>
          </w:p>
        </w:tc>
        <w:tc>
          <w:tcPr>
            <w:tcW w:w="105" w:type="dxa"/>
            <w:tcBorders>
              <w:top w:val="single" w:sz="8" w:space="0" w:color="C7C9C7"/>
              <w:left w:val="nil"/>
              <w:bottom w:val="nil"/>
              <w:right w:val="nil"/>
            </w:tcBorders>
            <w:tcMar>
              <w:top w:w="0" w:type="dxa"/>
              <w:left w:w="0" w:type="dxa"/>
              <w:bottom w:w="0" w:type="dxa"/>
              <w:right w:w="0" w:type="dxa"/>
            </w:tcMar>
            <w:vAlign w:val="bottom"/>
          </w:tcPr>
          <w:p w14:paraId="347EA8D2" w14:textId="77777777" w:rsidR="001614AC" w:rsidRDefault="001614AC">
            <w:pPr>
              <w:keepNext/>
            </w:pPr>
          </w:p>
        </w:tc>
        <w:tc>
          <w:tcPr>
            <w:tcW w:w="1005" w:type="dxa"/>
            <w:gridSpan w:val="3"/>
            <w:tcBorders>
              <w:top w:val="single" w:sz="8" w:space="0" w:color="C7C9C7"/>
              <w:left w:val="nil"/>
              <w:bottom w:val="single" w:sz="8" w:space="0" w:color="E9E9E9"/>
              <w:right w:val="nil"/>
            </w:tcBorders>
            <w:tcMar>
              <w:top w:w="0" w:type="dxa"/>
              <w:left w:w="53" w:type="dxa"/>
              <w:bottom w:w="0" w:type="dxa"/>
              <w:right w:w="53" w:type="dxa"/>
            </w:tcMar>
            <w:vAlign w:val="bottom"/>
          </w:tcPr>
          <w:p w14:paraId="7A1F5F4B" w14:textId="77777777" w:rsidR="001614AC" w:rsidRDefault="004468F9">
            <w:pPr>
              <w:keepNext/>
              <w:spacing w:before="55" w:after="30" w:line="288" w:lineRule="auto"/>
            </w:pPr>
            <w:r>
              <w:rPr>
                <w:rFonts w:ascii="Arial" w:eastAsia="Arial" w:hAnsi="Arial" w:cs="Arial"/>
                <w:color w:val="000000"/>
                <w:sz w:val="18"/>
              </w:rPr>
              <w:t> </w:t>
            </w:r>
          </w:p>
        </w:tc>
      </w:tr>
      <w:tr w:rsidR="001614AC" w14:paraId="12698B73" w14:textId="77777777">
        <w:trPr>
          <w:cantSplit/>
        </w:trPr>
        <w:tc>
          <w:tcPr>
            <w:tcW w:w="5640" w:type="dxa"/>
            <w:tcBorders>
              <w:top w:val="single" w:sz="8" w:space="0" w:color="E9E9E9"/>
              <w:left w:val="nil"/>
              <w:bottom w:val="single" w:sz="8" w:space="0" w:color="E9E9E9"/>
              <w:right w:val="nil"/>
            </w:tcBorders>
            <w:tcMar>
              <w:top w:w="0" w:type="dxa"/>
              <w:left w:w="53" w:type="dxa"/>
              <w:bottom w:w="0" w:type="dxa"/>
              <w:right w:w="53" w:type="dxa"/>
            </w:tcMar>
            <w:vAlign w:val="bottom"/>
          </w:tcPr>
          <w:p w14:paraId="7A963850" w14:textId="77777777" w:rsidR="001614AC" w:rsidRDefault="004468F9">
            <w:pPr>
              <w:keepNext/>
              <w:spacing w:before="55" w:after="30" w:line="288" w:lineRule="auto"/>
              <w:ind w:left="240"/>
            </w:pPr>
            <w:r>
              <w:rPr>
                <w:rFonts w:ascii="Arial" w:eastAsia="Arial" w:hAnsi="Arial" w:cs="Arial"/>
                <w:color w:val="000000"/>
                <w:sz w:val="18"/>
              </w:rPr>
              <w:t>Trading securities</w:t>
            </w:r>
          </w:p>
        </w:tc>
        <w:tc>
          <w:tcPr>
            <w:tcW w:w="105" w:type="dxa"/>
            <w:tcBorders>
              <w:top w:val="nil"/>
              <w:left w:val="nil"/>
              <w:bottom w:val="nil"/>
              <w:right w:val="nil"/>
            </w:tcBorders>
            <w:tcMar>
              <w:top w:w="0" w:type="dxa"/>
              <w:left w:w="0" w:type="dxa"/>
              <w:bottom w:w="0" w:type="dxa"/>
              <w:right w:w="0" w:type="dxa"/>
            </w:tcMar>
            <w:vAlign w:val="bottom"/>
          </w:tcPr>
          <w:p w14:paraId="6FFB441B" w14:textId="77777777" w:rsidR="001614AC" w:rsidRDefault="001614AC">
            <w:pPr>
              <w:keepNext/>
            </w:pPr>
          </w:p>
        </w:tc>
        <w:tc>
          <w:tcPr>
            <w:tcW w:w="160" w:type="dxa"/>
            <w:tcBorders>
              <w:top w:val="single" w:sz="8" w:space="0" w:color="E9E9E9"/>
              <w:left w:val="nil"/>
              <w:bottom w:val="single" w:sz="8" w:space="0" w:color="E9E9E9"/>
              <w:right w:val="nil"/>
            </w:tcBorders>
            <w:tcMar>
              <w:top w:w="0" w:type="dxa"/>
              <w:left w:w="53" w:type="dxa"/>
              <w:bottom w:w="0" w:type="dxa"/>
              <w:right w:w="0" w:type="dxa"/>
            </w:tcMar>
            <w:vAlign w:val="bottom"/>
          </w:tcPr>
          <w:p w14:paraId="1570A125" w14:textId="77777777" w:rsidR="001614AC" w:rsidRDefault="004468F9">
            <w:pPr>
              <w:keepNext/>
              <w:spacing w:before="55" w:after="30" w:line="288" w:lineRule="auto"/>
            </w:pPr>
            <w:r>
              <w:rPr>
                <w:rFonts w:ascii="Arial" w:eastAsia="Arial" w:hAnsi="Arial" w:cs="Arial"/>
                <w:color w:val="000000"/>
                <w:sz w:val="18"/>
              </w:rPr>
              <w:t>$</w:t>
            </w:r>
          </w:p>
        </w:tc>
        <w:tc>
          <w:tcPr>
            <w:tcW w:w="745" w:type="dxa"/>
            <w:tcBorders>
              <w:top w:val="single" w:sz="8" w:space="0" w:color="E9E9E9"/>
              <w:left w:val="nil"/>
              <w:bottom w:val="single" w:sz="8" w:space="0" w:color="E9E9E9"/>
              <w:right w:val="nil"/>
            </w:tcBorders>
            <w:tcMar>
              <w:top w:w="0" w:type="dxa"/>
              <w:left w:w="0" w:type="dxa"/>
              <w:bottom w:w="0" w:type="dxa"/>
              <w:right w:w="0" w:type="dxa"/>
            </w:tcMar>
            <w:vAlign w:val="bottom"/>
          </w:tcPr>
          <w:p w14:paraId="1CE2BA1F" w14:textId="77777777" w:rsidR="001614AC" w:rsidRDefault="004468F9">
            <w:pPr>
              <w:keepNext/>
              <w:spacing w:before="55" w:after="30" w:line="288" w:lineRule="auto"/>
              <w:jc w:val="right"/>
            </w:pPr>
            <w:r>
              <w:rPr>
                <w:rFonts w:ascii="Arial" w:eastAsia="Arial" w:hAnsi="Arial" w:cs="Arial"/>
                <w:color w:val="000000"/>
                <w:sz w:val="18"/>
              </w:rPr>
              <w:t>4,601 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410AFB26" w14:textId="77777777" w:rsidR="001614AC" w:rsidRDefault="001614AC">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5D51AA02" w14:textId="77777777" w:rsidR="001614AC" w:rsidRDefault="001614AC">
            <w:pPr>
              <w:keepNext/>
            </w:pPr>
          </w:p>
        </w:tc>
        <w:tc>
          <w:tcPr>
            <w:tcW w:w="160" w:type="dxa"/>
            <w:tcBorders>
              <w:top w:val="single" w:sz="8" w:space="0" w:color="E9E9E9"/>
              <w:left w:val="nil"/>
              <w:bottom w:val="single" w:sz="8" w:space="0" w:color="E9E9E9"/>
              <w:right w:val="nil"/>
            </w:tcBorders>
            <w:tcMar>
              <w:top w:w="0" w:type="dxa"/>
              <w:left w:w="53" w:type="dxa"/>
              <w:bottom w:w="0" w:type="dxa"/>
              <w:right w:w="0" w:type="dxa"/>
            </w:tcMar>
            <w:vAlign w:val="bottom"/>
          </w:tcPr>
          <w:p w14:paraId="20F3FA53" w14:textId="77777777" w:rsidR="001614AC" w:rsidRDefault="004468F9">
            <w:pPr>
              <w:keepNext/>
              <w:spacing w:before="55" w:after="30" w:line="288" w:lineRule="auto"/>
            </w:pPr>
            <w:r>
              <w:rPr>
                <w:rFonts w:ascii="Arial" w:eastAsia="Arial" w:hAnsi="Arial" w:cs="Arial"/>
                <w:color w:val="000000"/>
                <w:sz w:val="18"/>
              </w:rPr>
              <w:t>$</w:t>
            </w:r>
          </w:p>
        </w:tc>
        <w:tc>
          <w:tcPr>
            <w:tcW w:w="745" w:type="dxa"/>
            <w:tcBorders>
              <w:top w:val="single" w:sz="8" w:space="0" w:color="E9E9E9"/>
              <w:left w:val="nil"/>
              <w:bottom w:val="single" w:sz="8" w:space="0" w:color="E9E9E9"/>
              <w:right w:val="nil"/>
            </w:tcBorders>
            <w:tcMar>
              <w:top w:w="0" w:type="dxa"/>
              <w:left w:w="0" w:type="dxa"/>
              <w:bottom w:w="0" w:type="dxa"/>
              <w:right w:w="0" w:type="dxa"/>
            </w:tcMar>
            <w:vAlign w:val="bottom"/>
          </w:tcPr>
          <w:p w14:paraId="4AD715B2" w14:textId="77777777" w:rsidR="001614AC" w:rsidRDefault="004468F9">
            <w:pPr>
              <w:keepNext/>
              <w:spacing w:before="55" w:after="30" w:line="288" w:lineRule="auto"/>
              <w:jc w:val="right"/>
            </w:pPr>
            <w:r>
              <w:rPr>
                <w:rFonts w:ascii="Arial" w:eastAsia="Arial" w:hAnsi="Arial" w:cs="Arial"/>
                <w:color w:val="000000"/>
                <w:sz w:val="18"/>
              </w:rPr>
              <w:t>13,790 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38683BCF" w14:textId="77777777" w:rsidR="001614AC" w:rsidRDefault="001614AC">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11CB4E7E" w14:textId="77777777" w:rsidR="001614AC" w:rsidRDefault="001614AC">
            <w:pPr>
              <w:keepNext/>
            </w:pPr>
          </w:p>
        </w:tc>
        <w:tc>
          <w:tcPr>
            <w:tcW w:w="160" w:type="dxa"/>
            <w:tcBorders>
              <w:top w:val="single" w:sz="8" w:space="0" w:color="E9E9E9"/>
              <w:left w:val="nil"/>
              <w:bottom w:val="single" w:sz="8" w:space="0" w:color="E9E9E9"/>
              <w:right w:val="nil"/>
            </w:tcBorders>
            <w:tcMar>
              <w:top w:w="0" w:type="dxa"/>
              <w:left w:w="53" w:type="dxa"/>
              <w:bottom w:w="0" w:type="dxa"/>
              <w:right w:w="0" w:type="dxa"/>
            </w:tcMar>
            <w:vAlign w:val="bottom"/>
          </w:tcPr>
          <w:p w14:paraId="3F8EE687" w14:textId="77777777" w:rsidR="001614AC" w:rsidRDefault="004468F9">
            <w:pPr>
              <w:keepNext/>
              <w:spacing w:before="55" w:after="30" w:line="288" w:lineRule="auto"/>
            </w:pPr>
            <w:r>
              <w:rPr>
                <w:rFonts w:ascii="Arial" w:eastAsia="Arial" w:hAnsi="Arial" w:cs="Arial"/>
                <w:color w:val="000000"/>
                <w:sz w:val="18"/>
              </w:rPr>
              <w:t>$</w:t>
            </w:r>
          </w:p>
        </w:tc>
        <w:tc>
          <w:tcPr>
            <w:tcW w:w="745" w:type="dxa"/>
            <w:tcBorders>
              <w:top w:val="single" w:sz="8" w:space="0" w:color="E9E9E9"/>
              <w:left w:val="nil"/>
              <w:bottom w:val="single" w:sz="8" w:space="0" w:color="E9E9E9"/>
              <w:right w:val="nil"/>
            </w:tcBorders>
            <w:tcMar>
              <w:top w:w="0" w:type="dxa"/>
              <w:left w:w="0" w:type="dxa"/>
              <w:bottom w:w="0" w:type="dxa"/>
              <w:right w:w="0" w:type="dxa"/>
            </w:tcMar>
            <w:vAlign w:val="bottom"/>
          </w:tcPr>
          <w:p w14:paraId="682EB011" w14:textId="77777777" w:rsidR="001614AC" w:rsidRDefault="004468F9">
            <w:pPr>
              <w:keepNext/>
              <w:spacing w:before="55" w:after="30" w:line="288" w:lineRule="auto"/>
              <w:jc w:val="right"/>
            </w:pPr>
            <w:r>
              <w:rPr>
                <w:rFonts w:ascii="Arial" w:eastAsia="Arial" w:hAnsi="Arial" w:cs="Arial"/>
                <w:color w:val="000000"/>
                <w:sz w:val="18"/>
              </w:rPr>
              <w:t>(3,448)</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62257303" w14:textId="77777777" w:rsidR="001614AC" w:rsidRDefault="001614AC">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51BA1713" w14:textId="77777777" w:rsidR="001614AC" w:rsidRDefault="001614AC">
            <w:pPr>
              <w:keepNext/>
            </w:pPr>
          </w:p>
        </w:tc>
        <w:tc>
          <w:tcPr>
            <w:tcW w:w="160" w:type="dxa"/>
            <w:tcBorders>
              <w:top w:val="single" w:sz="8" w:space="0" w:color="E9E9E9"/>
              <w:left w:val="nil"/>
              <w:bottom w:val="single" w:sz="8" w:space="0" w:color="E9E9E9"/>
              <w:right w:val="nil"/>
            </w:tcBorders>
            <w:tcMar>
              <w:top w:w="0" w:type="dxa"/>
              <w:left w:w="53" w:type="dxa"/>
              <w:bottom w:w="0" w:type="dxa"/>
              <w:right w:w="0" w:type="dxa"/>
            </w:tcMar>
            <w:vAlign w:val="bottom"/>
          </w:tcPr>
          <w:p w14:paraId="6B141DB3" w14:textId="77777777" w:rsidR="001614AC" w:rsidRDefault="004468F9">
            <w:pPr>
              <w:keepNext/>
              <w:spacing w:before="55" w:after="30" w:line="288" w:lineRule="auto"/>
            </w:pPr>
            <w:r>
              <w:rPr>
                <w:rFonts w:ascii="Arial" w:eastAsia="Arial" w:hAnsi="Arial" w:cs="Arial"/>
                <w:color w:val="000000"/>
                <w:sz w:val="18"/>
              </w:rPr>
              <w:t>$</w:t>
            </w:r>
          </w:p>
        </w:tc>
        <w:tc>
          <w:tcPr>
            <w:tcW w:w="745" w:type="dxa"/>
            <w:tcBorders>
              <w:top w:val="single" w:sz="8" w:space="0" w:color="E9E9E9"/>
              <w:left w:val="nil"/>
              <w:bottom w:val="single" w:sz="8" w:space="0" w:color="E9E9E9"/>
              <w:right w:val="nil"/>
            </w:tcBorders>
            <w:tcMar>
              <w:top w:w="0" w:type="dxa"/>
              <w:left w:w="0" w:type="dxa"/>
              <w:bottom w:w="0" w:type="dxa"/>
              <w:right w:w="0" w:type="dxa"/>
            </w:tcMar>
            <w:vAlign w:val="bottom"/>
          </w:tcPr>
          <w:p w14:paraId="7DC44825" w14:textId="77777777" w:rsidR="001614AC" w:rsidRDefault="004468F9">
            <w:pPr>
              <w:keepNext/>
              <w:spacing w:before="55" w:after="30" w:line="288" w:lineRule="auto"/>
              <w:jc w:val="right"/>
            </w:pPr>
            <w:r>
              <w:rPr>
                <w:rFonts w:ascii="Arial" w:eastAsia="Arial" w:hAnsi="Arial" w:cs="Arial"/>
                <w:color w:val="000000"/>
                <w:sz w:val="18"/>
              </w:rPr>
              <w:t>11,131 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6E10B7D6" w14:textId="77777777" w:rsidR="001614AC" w:rsidRDefault="001614AC">
            <w:pPr>
              <w:keepNext/>
              <w:spacing w:before="55" w:after="30" w:line="288" w:lineRule="auto"/>
              <w:jc w:val="right"/>
            </w:pPr>
          </w:p>
        </w:tc>
      </w:tr>
      <w:tr w:rsidR="001614AC" w14:paraId="692A1E17" w14:textId="77777777">
        <w:trPr>
          <w:cantSplit/>
        </w:trPr>
        <w:tc>
          <w:tcPr>
            <w:tcW w:w="5640" w:type="dxa"/>
            <w:tcBorders>
              <w:top w:val="single" w:sz="8" w:space="0" w:color="E9E9E9"/>
              <w:left w:val="nil"/>
              <w:bottom w:val="single" w:sz="8" w:space="0" w:color="E9E9E9"/>
              <w:right w:val="nil"/>
            </w:tcBorders>
            <w:tcMar>
              <w:top w:w="0" w:type="dxa"/>
              <w:left w:w="53" w:type="dxa"/>
              <w:bottom w:w="0" w:type="dxa"/>
              <w:right w:w="53" w:type="dxa"/>
            </w:tcMar>
            <w:vAlign w:val="bottom"/>
          </w:tcPr>
          <w:p w14:paraId="7617743F" w14:textId="77777777" w:rsidR="001614AC" w:rsidRDefault="004468F9">
            <w:pPr>
              <w:keepNext/>
              <w:spacing w:before="55" w:after="30" w:line="288" w:lineRule="auto"/>
              <w:ind w:left="240"/>
            </w:pPr>
            <w:r>
              <w:rPr>
                <w:rFonts w:ascii="Arial" w:eastAsia="Arial" w:hAnsi="Arial" w:cs="Arial"/>
                <w:color w:val="000000"/>
                <w:sz w:val="18"/>
              </w:rPr>
              <w:t>Equity securities</w:t>
            </w:r>
          </w:p>
        </w:tc>
        <w:tc>
          <w:tcPr>
            <w:tcW w:w="105" w:type="dxa"/>
            <w:tcBorders>
              <w:top w:val="nil"/>
              <w:left w:val="nil"/>
              <w:bottom w:val="nil"/>
              <w:right w:val="nil"/>
            </w:tcBorders>
            <w:tcMar>
              <w:top w:w="0" w:type="dxa"/>
              <w:left w:w="0" w:type="dxa"/>
              <w:bottom w:w="0" w:type="dxa"/>
              <w:right w:w="0" w:type="dxa"/>
            </w:tcMar>
            <w:vAlign w:val="bottom"/>
          </w:tcPr>
          <w:p w14:paraId="7CD37AF0" w14:textId="77777777" w:rsidR="001614AC" w:rsidRDefault="001614AC">
            <w:pPr>
              <w:keepNext/>
            </w:pPr>
          </w:p>
        </w:tc>
        <w:tc>
          <w:tcPr>
            <w:tcW w:w="90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58203250" w14:textId="77777777" w:rsidR="001614AC" w:rsidRDefault="004468F9">
            <w:pPr>
              <w:keepNext/>
              <w:spacing w:before="55" w:after="30" w:line="288" w:lineRule="auto"/>
              <w:jc w:val="right"/>
            </w:pPr>
            <w:r>
              <w:rPr>
                <w:rFonts w:ascii="Arial" w:eastAsia="Arial" w:hAnsi="Arial" w:cs="Arial"/>
                <w:color w:val="000000"/>
                <w:sz w:val="18"/>
              </w:rPr>
              <w:t>5,140 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6636FAE8" w14:textId="77777777" w:rsidR="001614AC" w:rsidRDefault="001614AC">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664479EF" w14:textId="77777777" w:rsidR="001614AC" w:rsidRDefault="001614AC">
            <w:pPr>
              <w:keepNext/>
            </w:pPr>
          </w:p>
        </w:tc>
        <w:tc>
          <w:tcPr>
            <w:tcW w:w="90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6C06B5FD" w14:textId="77777777" w:rsidR="001614AC" w:rsidRDefault="004468F9">
            <w:pPr>
              <w:keepNext/>
              <w:spacing w:before="55" w:after="30" w:line="288" w:lineRule="auto"/>
              <w:jc w:val="right"/>
            </w:pPr>
            <w:r>
              <w:rPr>
                <w:rFonts w:ascii="Arial" w:eastAsia="Arial" w:hAnsi="Arial" w:cs="Arial"/>
                <w:color w:val="000000"/>
                <w:sz w:val="18"/>
              </w:rPr>
              <w:t>10,443 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5880A7E4" w14:textId="77777777" w:rsidR="001614AC" w:rsidRDefault="001614AC">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5AB5AEC4" w14:textId="77777777" w:rsidR="001614AC" w:rsidRDefault="001614AC">
            <w:pPr>
              <w:keepNext/>
            </w:pPr>
          </w:p>
        </w:tc>
        <w:tc>
          <w:tcPr>
            <w:tcW w:w="90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06FE8659" w14:textId="77777777" w:rsidR="001614AC" w:rsidRDefault="004468F9">
            <w:pPr>
              <w:keepNext/>
              <w:spacing w:before="55" w:after="30" w:line="288" w:lineRule="auto"/>
              <w:jc w:val="right"/>
            </w:pPr>
            <w:r>
              <w:rPr>
                <w:rFonts w:ascii="Arial" w:eastAsia="Arial" w:hAnsi="Arial" w:cs="Arial"/>
                <w:color w:val="000000"/>
                <w:sz w:val="18"/>
              </w:rPr>
              <w:t>9,983 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6D74C272" w14:textId="77777777" w:rsidR="001614AC" w:rsidRDefault="001614AC">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33547F82" w14:textId="77777777" w:rsidR="001614AC" w:rsidRDefault="001614AC">
            <w:pPr>
              <w:keepNext/>
            </w:pPr>
          </w:p>
        </w:tc>
        <w:tc>
          <w:tcPr>
            <w:tcW w:w="90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4BAC6DE0" w14:textId="77777777" w:rsidR="001614AC" w:rsidRDefault="004468F9">
            <w:pPr>
              <w:keepNext/>
              <w:spacing w:before="55" w:after="30" w:line="288" w:lineRule="auto"/>
              <w:jc w:val="right"/>
            </w:pPr>
            <w:r>
              <w:rPr>
                <w:rFonts w:ascii="Arial" w:eastAsia="Arial" w:hAnsi="Arial" w:cs="Arial"/>
                <w:color w:val="000000"/>
                <w:sz w:val="18"/>
              </w:rPr>
              <w:t>(12,612)</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31000770" w14:textId="77777777" w:rsidR="001614AC" w:rsidRDefault="001614AC">
            <w:pPr>
              <w:keepNext/>
              <w:spacing w:before="55" w:after="30" w:line="288" w:lineRule="auto"/>
              <w:jc w:val="right"/>
            </w:pPr>
          </w:p>
        </w:tc>
      </w:tr>
      <w:tr w:rsidR="001614AC" w14:paraId="1D4EFAD6" w14:textId="77777777">
        <w:trPr>
          <w:cantSplit/>
        </w:trPr>
        <w:tc>
          <w:tcPr>
            <w:tcW w:w="5640" w:type="dxa"/>
            <w:tcBorders>
              <w:top w:val="single" w:sz="8" w:space="0" w:color="E9E9E9"/>
              <w:left w:val="nil"/>
              <w:bottom w:val="nil"/>
              <w:right w:val="nil"/>
            </w:tcBorders>
            <w:tcMar>
              <w:top w:w="0" w:type="dxa"/>
              <w:left w:w="53" w:type="dxa"/>
              <w:bottom w:w="0" w:type="dxa"/>
              <w:right w:w="53" w:type="dxa"/>
            </w:tcMar>
            <w:vAlign w:val="bottom"/>
          </w:tcPr>
          <w:p w14:paraId="0FD1405C" w14:textId="77777777" w:rsidR="001614AC" w:rsidRDefault="004468F9">
            <w:pPr>
              <w:keepNext/>
              <w:spacing w:before="55" w:after="30" w:line="288" w:lineRule="auto"/>
              <w:ind w:left="240"/>
            </w:pPr>
            <w:r>
              <w:rPr>
                <w:rFonts w:ascii="Arial" w:eastAsia="Arial" w:hAnsi="Arial" w:cs="Arial"/>
                <w:color w:val="000000"/>
                <w:sz w:val="18"/>
              </w:rPr>
              <w:t>Other investments</w:t>
            </w:r>
          </w:p>
        </w:tc>
        <w:tc>
          <w:tcPr>
            <w:tcW w:w="105" w:type="dxa"/>
            <w:tcBorders>
              <w:top w:val="nil"/>
              <w:left w:val="nil"/>
              <w:bottom w:val="nil"/>
              <w:right w:val="nil"/>
            </w:tcBorders>
            <w:tcMar>
              <w:top w:w="0" w:type="dxa"/>
              <w:left w:w="0" w:type="dxa"/>
              <w:bottom w:w="0" w:type="dxa"/>
              <w:right w:w="0" w:type="dxa"/>
            </w:tcMar>
            <w:vAlign w:val="bottom"/>
          </w:tcPr>
          <w:p w14:paraId="699EC164" w14:textId="77777777" w:rsidR="001614AC" w:rsidRDefault="001614AC">
            <w:pPr>
              <w:keepNext/>
            </w:pPr>
          </w:p>
        </w:tc>
        <w:tc>
          <w:tcPr>
            <w:tcW w:w="905" w:type="dxa"/>
            <w:gridSpan w:val="2"/>
            <w:tcBorders>
              <w:top w:val="single" w:sz="8" w:space="0" w:color="E9E9E9"/>
              <w:left w:val="nil"/>
              <w:bottom w:val="single" w:sz="8" w:space="0" w:color="C7C9C7"/>
              <w:right w:val="nil"/>
            </w:tcBorders>
            <w:tcMar>
              <w:top w:w="0" w:type="dxa"/>
              <w:left w:w="53" w:type="dxa"/>
              <w:bottom w:w="0" w:type="dxa"/>
              <w:right w:w="0" w:type="dxa"/>
            </w:tcMar>
            <w:vAlign w:val="bottom"/>
          </w:tcPr>
          <w:p w14:paraId="0A6E0D78" w14:textId="77777777" w:rsidR="001614AC" w:rsidRDefault="004468F9">
            <w:pPr>
              <w:keepNext/>
              <w:spacing w:before="55" w:after="30" w:line="288" w:lineRule="auto"/>
              <w:jc w:val="right"/>
            </w:pPr>
            <w:r>
              <w:rPr>
                <w:rFonts w:ascii="Arial" w:eastAsia="Arial" w:hAnsi="Arial" w:cs="Arial"/>
                <w:color w:val="000000"/>
                <w:sz w:val="18"/>
              </w:rPr>
              <w:t>178 </w:t>
            </w:r>
          </w:p>
        </w:tc>
        <w:tc>
          <w:tcPr>
            <w:tcW w:w="100" w:type="dxa"/>
            <w:tcBorders>
              <w:top w:val="single" w:sz="8" w:space="0" w:color="E9E9E9"/>
              <w:left w:val="nil"/>
              <w:bottom w:val="single" w:sz="8" w:space="0" w:color="C7C9C7"/>
              <w:right w:val="nil"/>
            </w:tcBorders>
            <w:tcMar>
              <w:top w:w="0" w:type="dxa"/>
              <w:left w:w="0" w:type="dxa"/>
              <w:bottom w:w="0" w:type="dxa"/>
              <w:right w:w="15" w:type="dxa"/>
            </w:tcMar>
            <w:vAlign w:val="bottom"/>
          </w:tcPr>
          <w:p w14:paraId="3B077CE6" w14:textId="77777777" w:rsidR="001614AC" w:rsidRDefault="001614AC">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294F6843" w14:textId="77777777" w:rsidR="001614AC" w:rsidRDefault="001614AC">
            <w:pPr>
              <w:keepNext/>
            </w:pPr>
          </w:p>
        </w:tc>
        <w:tc>
          <w:tcPr>
            <w:tcW w:w="905" w:type="dxa"/>
            <w:gridSpan w:val="2"/>
            <w:tcBorders>
              <w:top w:val="single" w:sz="8" w:space="0" w:color="E9E9E9"/>
              <w:left w:val="nil"/>
              <w:bottom w:val="single" w:sz="8" w:space="0" w:color="C7C9C7"/>
              <w:right w:val="nil"/>
            </w:tcBorders>
            <w:tcMar>
              <w:top w:w="0" w:type="dxa"/>
              <w:left w:w="53" w:type="dxa"/>
              <w:bottom w:w="0" w:type="dxa"/>
              <w:right w:w="0" w:type="dxa"/>
            </w:tcMar>
            <w:vAlign w:val="bottom"/>
          </w:tcPr>
          <w:p w14:paraId="665F8A9C" w14:textId="77777777" w:rsidR="001614AC" w:rsidRDefault="004468F9">
            <w:pPr>
              <w:keepNext/>
              <w:spacing w:before="55" w:after="30" w:line="288" w:lineRule="auto"/>
              <w:jc w:val="right"/>
            </w:pPr>
            <w:r>
              <w:rPr>
                <w:rFonts w:ascii="Arial" w:eastAsia="Arial" w:hAnsi="Arial" w:cs="Arial"/>
                <w:color w:val="000000"/>
                <w:sz w:val="18"/>
              </w:rPr>
              <w:t>(201)</w:t>
            </w:r>
          </w:p>
        </w:tc>
        <w:tc>
          <w:tcPr>
            <w:tcW w:w="100" w:type="dxa"/>
            <w:tcBorders>
              <w:top w:val="single" w:sz="8" w:space="0" w:color="E9E9E9"/>
              <w:left w:val="nil"/>
              <w:bottom w:val="single" w:sz="8" w:space="0" w:color="C7C9C7"/>
              <w:right w:val="nil"/>
            </w:tcBorders>
            <w:tcMar>
              <w:top w:w="0" w:type="dxa"/>
              <w:left w:w="0" w:type="dxa"/>
              <w:bottom w:w="0" w:type="dxa"/>
              <w:right w:w="15" w:type="dxa"/>
            </w:tcMar>
            <w:vAlign w:val="bottom"/>
          </w:tcPr>
          <w:p w14:paraId="7A556C51" w14:textId="77777777" w:rsidR="001614AC" w:rsidRDefault="001614AC">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3A2963FA" w14:textId="77777777" w:rsidR="001614AC" w:rsidRDefault="001614AC">
            <w:pPr>
              <w:keepNext/>
            </w:pPr>
          </w:p>
        </w:tc>
        <w:tc>
          <w:tcPr>
            <w:tcW w:w="905" w:type="dxa"/>
            <w:gridSpan w:val="2"/>
            <w:tcBorders>
              <w:top w:val="single" w:sz="8" w:space="0" w:color="E9E9E9"/>
              <w:left w:val="nil"/>
              <w:bottom w:val="single" w:sz="8" w:space="0" w:color="C7C9C7"/>
              <w:right w:val="nil"/>
            </w:tcBorders>
            <w:tcMar>
              <w:top w:w="0" w:type="dxa"/>
              <w:left w:w="53" w:type="dxa"/>
              <w:bottom w:w="0" w:type="dxa"/>
              <w:right w:w="0" w:type="dxa"/>
            </w:tcMar>
            <w:vAlign w:val="bottom"/>
          </w:tcPr>
          <w:p w14:paraId="60ED2DBC" w14:textId="77777777" w:rsidR="001614AC" w:rsidRDefault="004468F9">
            <w:pPr>
              <w:keepNext/>
              <w:spacing w:before="55" w:after="30" w:line="288" w:lineRule="auto"/>
              <w:jc w:val="right"/>
            </w:pPr>
            <w:r>
              <w:rPr>
                <w:rFonts w:ascii="Arial" w:eastAsia="Arial" w:hAnsi="Arial" w:cs="Arial"/>
                <w:color w:val="000000"/>
                <w:sz w:val="18"/>
              </w:rPr>
              <w:t>1,062 </w:t>
            </w:r>
          </w:p>
        </w:tc>
        <w:tc>
          <w:tcPr>
            <w:tcW w:w="100" w:type="dxa"/>
            <w:tcBorders>
              <w:top w:val="single" w:sz="8" w:space="0" w:color="E9E9E9"/>
              <w:left w:val="nil"/>
              <w:bottom w:val="single" w:sz="8" w:space="0" w:color="C7C9C7"/>
              <w:right w:val="nil"/>
            </w:tcBorders>
            <w:tcMar>
              <w:top w:w="0" w:type="dxa"/>
              <w:left w:w="0" w:type="dxa"/>
              <w:bottom w:w="0" w:type="dxa"/>
              <w:right w:w="15" w:type="dxa"/>
            </w:tcMar>
            <w:vAlign w:val="bottom"/>
          </w:tcPr>
          <w:p w14:paraId="06005CD1" w14:textId="77777777" w:rsidR="001614AC" w:rsidRDefault="001614AC">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56F57765" w14:textId="77777777" w:rsidR="001614AC" w:rsidRDefault="001614AC">
            <w:pPr>
              <w:keepNext/>
            </w:pPr>
          </w:p>
        </w:tc>
        <w:tc>
          <w:tcPr>
            <w:tcW w:w="905" w:type="dxa"/>
            <w:gridSpan w:val="2"/>
            <w:tcBorders>
              <w:top w:val="single" w:sz="8" w:space="0" w:color="E9E9E9"/>
              <w:left w:val="nil"/>
              <w:bottom w:val="single" w:sz="8" w:space="0" w:color="C7C9C7"/>
              <w:right w:val="nil"/>
            </w:tcBorders>
            <w:tcMar>
              <w:top w:w="0" w:type="dxa"/>
              <w:left w:w="53" w:type="dxa"/>
              <w:bottom w:w="0" w:type="dxa"/>
              <w:right w:w="0" w:type="dxa"/>
            </w:tcMar>
            <w:vAlign w:val="bottom"/>
          </w:tcPr>
          <w:p w14:paraId="21F243BF" w14:textId="77777777" w:rsidR="001614AC" w:rsidRDefault="004468F9">
            <w:pPr>
              <w:keepNext/>
              <w:spacing w:before="55" w:after="30" w:line="288" w:lineRule="auto"/>
              <w:jc w:val="right"/>
            </w:pPr>
            <w:r>
              <w:rPr>
                <w:rFonts w:ascii="Arial" w:eastAsia="Arial" w:hAnsi="Arial" w:cs="Arial"/>
                <w:color w:val="000000"/>
                <w:sz w:val="18"/>
              </w:rPr>
              <w:t>471 </w:t>
            </w:r>
          </w:p>
        </w:tc>
        <w:tc>
          <w:tcPr>
            <w:tcW w:w="100" w:type="dxa"/>
            <w:tcBorders>
              <w:top w:val="single" w:sz="8" w:space="0" w:color="E9E9E9"/>
              <w:left w:val="nil"/>
              <w:bottom w:val="single" w:sz="8" w:space="0" w:color="C7C9C7"/>
              <w:right w:val="nil"/>
            </w:tcBorders>
            <w:tcMar>
              <w:top w:w="0" w:type="dxa"/>
              <w:left w:w="0" w:type="dxa"/>
              <w:bottom w:w="0" w:type="dxa"/>
              <w:right w:w="15" w:type="dxa"/>
            </w:tcMar>
            <w:vAlign w:val="bottom"/>
          </w:tcPr>
          <w:p w14:paraId="661DB8FF" w14:textId="77777777" w:rsidR="001614AC" w:rsidRDefault="001614AC">
            <w:pPr>
              <w:keepNext/>
              <w:spacing w:before="55" w:after="30" w:line="288" w:lineRule="auto"/>
              <w:jc w:val="right"/>
            </w:pPr>
          </w:p>
        </w:tc>
      </w:tr>
      <w:tr w:rsidR="001614AC" w14:paraId="2CB94F0D" w14:textId="77777777">
        <w:trPr>
          <w:cantSplit/>
        </w:trPr>
        <w:tc>
          <w:tcPr>
            <w:tcW w:w="5640" w:type="dxa"/>
            <w:tcBorders>
              <w:top w:val="nil"/>
              <w:left w:val="nil"/>
              <w:bottom w:val="nil"/>
              <w:right w:val="nil"/>
            </w:tcBorders>
            <w:shd w:val="clear" w:color="auto" w:fill="F4F4F4"/>
            <w:tcMar>
              <w:top w:w="0" w:type="dxa"/>
              <w:left w:w="53" w:type="dxa"/>
              <w:bottom w:w="0" w:type="dxa"/>
              <w:right w:w="53" w:type="dxa"/>
            </w:tcMar>
            <w:vAlign w:val="bottom"/>
          </w:tcPr>
          <w:p w14:paraId="79F9A24E" w14:textId="77777777" w:rsidR="001614AC" w:rsidRDefault="004468F9">
            <w:pPr>
              <w:spacing w:before="75" w:after="30" w:line="288" w:lineRule="auto"/>
              <w:ind w:left="240"/>
            </w:pPr>
            <w:r>
              <w:rPr>
                <w:rFonts w:ascii="Arial" w:eastAsia="Arial" w:hAnsi="Arial" w:cs="Arial"/>
                <w:color w:val="000000"/>
                <w:sz w:val="18"/>
              </w:rPr>
              <w:t>Net unrealized gains (losses) on investments still held</w:t>
            </w:r>
          </w:p>
        </w:tc>
        <w:tc>
          <w:tcPr>
            <w:tcW w:w="105" w:type="dxa"/>
            <w:tcBorders>
              <w:top w:val="nil"/>
              <w:left w:val="nil"/>
              <w:bottom w:val="nil"/>
              <w:right w:val="nil"/>
            </w:tcBorders>
            <w:shd w:val="clear" w:color="auto" w:fill="F4F4F4"/>
            <w:tcMar>
              <w:top w:w="0" w:type="dxa"/>
              <w:left w:w="0" w:type="dxa"/>
              <w:bottom w:w="0" w:type="dxa"/>
              <w:right w:w="0" w:type="dxa"/>
            </w:tcMar>
            <w:vAlign w:val="bottom"/>
          </w:tcPr>
          <w:p w14:paraId="78D47DDF" w14:textId="77777777" w:rsidR="001614AC" w:rsidRDefault="001614AC"/>
        </w:tc>
        <w:tc>
          <w:tcPr>
            <w:tcW w:w="160" w:type="dxa"/>
            <w:tcBorders>
              <w:top w:val="single" w:sz="8" w:space="0" w:color="C7C9C7"/>
              <w:left w:val="nil"/>
              <w:bottom w:val="double" w:sz="8" w:space="0" w:color="C7C9C7"/>
              <w:right w:val="nil"/>
            </w:tcBorders>
            <w:shd w:val="clear" w:color="auto" w:fill="F4F4F4"/>
            <w:tcMar>
              <w:top w:w="0" w:type="dxa"/>
              <w:left w:w="53" w:type="dxa"/>
              <w:bottom w:w="0" w:type="dxa"/>
              <w:right w:w="0" w:type="dxa"/>
            </w:tcMar>
            <w:vAlign w:val="bottom"/>
          </w:tcPr>
          <w:p w14:paraId="0AEDD7D0" w14:textId="77777777" w:rsidR="001614AC" w:rsidRDefault="004468F9">
            <w:pPr>
              <w:spacing w:before="55" w:after="30" w:line="288" w:lineRule="auto"/>
            </w:pPr>
            <w:r>
              <w:rPr>
                <w:rFonts w:ascii="Arial" w:eastAsia="Arial" w:hAnsi="Arial" w:cs="Arial"/>
                <w:color w:val="000000"/>
                <w:sz w:val="18"/>
              </w:rPr>
              <w:t>$</w:t>
            </w:r>
          </w:p>
        </w:tc>
        <w:tc>
          <w:tcPr>
            <w:tcW w:w="745" w:type="dxa"/>
            <w:tcBorders>
              <w:top w:val="single" w:sz="8" w:space="0" w:color="C7C9C7"/>
              <w:left w:val="nil"/>
              <w:bottom w:val="double" w:sz="8" w:space="0" w:color="C7C9C7"/>
              <w:right w:val="nil"/>
            </w:tcBorders>
            <w:shd w:val="clear" w:color="auto" w:fill="F4F4F4"/>
            <w:tcMar>
              <w:top w:w="0" w:type="dxa"/>
              <w:left w:w="0" w:type="dxa"/>
              <w:bottom w:w="0" w:type="dxa"/>
              <w:right w:w="0" w:type="dxa"/>
            </w:tcMar>
            <w:vAlign w:val="bottom"/>
          </w:tcPr>
          <w:p w14:paraId="617D0D85" w14:textId="77777777" w:rsidR="001614AC" w:rsidRDefault="004468F9">
            <w:pPr>
              <w:spacing w:before="55" w:after="30" w:line="288" w:lineRule="auto"/>
              <w:jc w:val="right"/>
            </w:pPr>
            <w:r>
              <w:rPr>
                <w:rFonts w:ascii="Arial" w:eastAsia="Arial" w:hAnsi="Arial" w:cs="Arial"/>
                <w:color w:val="000000"/>
                <w:sz w:val="18"/>
              </w:rPr>
              <w:t>9,919 </w:t>
            </w:r>
          </w:p>
        </w:tc>
        <w:tc>
          <w:tcPr>
            <w:tcW w:w="100" w:type="dxa"/>
            <w:tcBorders>
              <w:top w:val="single" w:sz="8" w:space="0" w:color="C7C9C7"/>
              <w:left w:val="nil"/>
              <w:bottom w:val="double" w:sz="8" w:space="0" w:color="C7C9C7"/>
              <w:right w:val="nil"/>
            </w:tcBorders>
            <w:shd w:val="clear" w:color="auto" w:fill="F4F4F4"/>
            <w:tcMar>
              <w:top w:w="0" w:type="dxa"/>
              <w:left w:w="0" w:type="dxa"/>
              <w:bottom w:w="0" w:type="dxa"/>
              <w:right w:w="15" w:type="dxa"/>
            </w:tcMar>
            <w:vAlign w:val="bottom"/>
          </w:tcPr>
          <w:p w14:paraId="157C81AF" w14:textId="77777777" w:rsidR="001614AC" w:rsidRDefault="001614AC">
            <w:pPr>
              <w:spacing w:before="55" w:after="30" w:line="288" w:lineRule="auto"/>
              <w:jc w:val="right"/>
            </w:pPr>
          </w:p>
        </w:tc>
        <w:tc>
          <w:tcPr>
            <w:tcW w:w="105" w:type="dxa"/>
            <w:tcBorders>
              <w:top w:val="nil"/>
              <w:left w:val="nil"/>
              <w:bottom w:val="nil"/>
              <w:right w:val="nil"/>
            </w:tcBorders>
            <w:shd w:val="clear" w:color="auto" w:fill="F4F4F4"/>
            <w:tcMar>
              <w:top w:w="0" w:type="dxa"/>
              <w:left w:w="0" w:type="dxa"/>
              <w:bottom w:w="0" w:type="dxa"/>
              <w:right w:w="0" w:type="dxa"/>
            </w:tcMar>
            <w:vAlign w:val="bottom"/>
          </w:tcPr>
          <w:p w14:paraId="6487CC4C" w14:textId="77777777" w:rsidR="001614AC" w:rsidRDefault="001614AC"/>
        </w:tc>
        <w:tc>
          <w:tcPr>
            <w:tcW w:w="160" w:type="dxa"/>
            <w:tcBorders>
              <w:top w:val="single" w:sz="8" w:space="0" w:color="C7C9C7"/>
              <w:left w:val="nil"/>
              <w:bottom w:val="double" w:sz="8" w:space="0" w:color="C7C9C7"/>
              <w:right w:val="nil"/>
            </w:tcBorders>
            <w:shd w:val="clear" w:color="auto" w:fill="F4F4F4"/>
            <w:tcMar>
              <w:top w:w="0" w:type="dxa"/>
              <w:left w:w="53" w:type="dxa"/>
              <w:bottom w:w="0" w:type="dxa"/>
              <w:right w:w="0" w:type="dxa"/>
            </w:tcMar>
            <w:vAlign w:val="bottom"/>
          </w:tcPr>
          <w:p w14:paraId="48B56284" w14:textId="77777777" w:rsidR="001614AC" w:rsidRDefault="004468F9">
            <w:pPr>
              <w:spacing w:before="55" w:after="30" w:line="288" w:lineRule="auto"/>
            </w:pPr>
            <w:r>
              <w:rPr>
                <w:rFonts w:ascii="Arial" w:eastAsia="Arial" w:hAnsi="Arial" w:cs="Arial"/>
                <w:color w:val="000000"/>
                <w:sz w:val="18"/>
              </w:rPr>
              <w:t>$</w:t>
            </w:r>
          </w:p>
        </w:tc>
        <w:tc>
          <w:tcPr>
            <w:tcW w:w="745" w:type="dxa"/>
            <w:tcBorders>
              <w:top w:val="single" w:sz="8" w:space="0" w:color="C7C9C7"/>
              <w:left w:val="nil"/>
              <w:bottom w:val="double" w:sz="8" w:space="0" w:color="C7C9C7"/>
              <w:right w:val="nil"/>
            </w:tcBorders>
            <w:shd w:val="clear" w:color="auto" w:fill="F4F4F4"/>
            <w:tcMar>
              <w:top w:w="0" w:type="dxa"/>
              <w:left w:w="0" w:type="dxa"/>
              <w:bottom w:w="0" w:type="dxa"/>
              <w:right w:w="0" w:type="dxa"/>
            </w:tcMar>
            <w:vAlign w:val="bottom"/>
          </w:tcPr>
          <w:p w14:paraId="719132CC" w14:textId="77777777" w:rsidR="001614AC" w:rsidRDefault="004468F9">
            <w:pPr>
              <w:spacing w:before="55" w:after="30" w:line="288" w:lineRule="auto"/>
              <w:jc w:val="right"/>
            </w:pPr>
            <w:r>
              <w:rPr>
                <w:rFonts w:ascii="Arial" w:eastAsia="Arial" w:hAnsi="Arial" w:cs="Arial"/>
                <w:color w:val="000000"/>
                <w:sz w:val="18"/>
              </w:rPr>
              <w:t>24,032 </w:t>
            </w:r>
          </w:p>
        </w:tc>
        <w:tc>
          <w:tcPr>
            <w:tcW w:w="100" w:type="dxa"/>
            <w:tcBorders>
              <w:top w:val="single" w:sz="8" w:space="0" w:color="C7C9C7"/>
              <w:left w:val="nil"/>
              <w:bottom w:val="double" w:sz="8" w:space="0" w:color="C7C9C7"/>
              <w:right w:val="nil"/>
            </w:tcBorders>
            <w:shd w:val="clear" w:color="auto" w:fill="F4F4F4"/>
            <w:tcMar>
              <w:top w:w="0" w:type="dxa"/>
              <w:left w:w="0" w:type="dxa"/>
              <w:bottom w:w="0" w:type="dxa"/>
              <w:right w:w="15" w:type="dxa"/>
            </w:tcMar>
            <w:vAlign w:val="bottom"/>
          </w:tcPr>
          <w:p w14:paraId="6A56BBEF" w14:textId="77777777" w:rsidR="001614AC" w:rsidRDefault="001614AC">
            <w:pPr>
              <w:spacing w:before="55" w:after="30" w:line="288" w:lineRule="auto"/>
              <w:jc w:val="right"/>
            </w:pPr>
          </w:p>
        </w:tc>
        <w:tc>
          <w:tcPr>
            <w:tcW w:w="105" w:type="dxa"/>
            <w:tcBorders>
              <w:top w:val="nil"/>
              <w:left w:val="nil"/>
              <w:bottom w:val="nil"/>
              <w:right w:val="nil"/>
            </w:tcBorders>
            <w:shd w:val="clear" w:color="auto" w:fill="F4F4F4"/>
            <w:tcMar>
              <w:top w:w="0" w:type="dxa"/>
              <w:left w:w="0" w:type="dxa"/>
              <w:bottom w:w="0" w:type="dxa"/>
              <w:right w:w="0" w:type="dxa"/>
            </w:tcMar>
            <w:vAlign w:val="bottom"/>
          </w:tcPr>
          <w:p w14:paraId="1C74BB89" w14:textId="77777777" w:rsidR="001614AC" w:rsidRDefault="001614AC"/>
        </w:tc>
        <w:tc>
          <w:tcPr>
            <w:tcW w:w="160" w:type="dxa"/>
            <w:tcBorders>
              <w:top w:val="single" w:sz="8" w:space="0" w:color="C7C9C7"/>
              <w:left w:val="nil"/>
              <w:bottom w:val="double" w:sz="8" w:space="0" w:color="C7C9C7"/>
              <w:right w:val="nil"/>
            </w:tcBorders>
            <w:shd w:val="clear" w:color="auto" w:fill="F4F4F4"/>
            <w:tcMar>
              <w:top w:w="0" w:type="dxa"/>
              <w:left w:w="53" w:type="dxa"/>
              <w:bottom w:w="0" w:type="dxa"/>
              <w:right w:w="0" w:type="dxa"/>
            </w:tcMar>
            <w:vAlign w:val="bottom"/>
          </w:tcPr>
          <w:p w14:paraId="454B25F9" w14:textId="77777777" w:rsidR="001614AC" w:rsidRDefault="004468F9">
            <w:pPr>
              <w:spacing w:before="55" w:after="30" w:line="288" w:lineRule="auto"/>
            </w:pPr>
            <w:r>
              <w:rPr>
                <w:rFonts w:ascii="Arial" w:eastAsia="Arial" w:hAnsi="Arial" w:cs="Arial"/>
                <w:color w:val="000000"/>
                <w:sz w:val="18"/>
              </w:rPr>
              <w:t>$</w:t>
            </w:r>
          </w:p>
        </w:tc>
        <w:tc>
          <w:tcPr>
            <w:tcW w:w="745" w:type="dxa"/>
            <w:tcBorders>
              <w:top w:val="single" w:sz="8" w:space="0" w:color="C7C9C7"/>
              <w:left w:val="nil"/>
              <w:bottom w:val="double" w:sz="8" w:space="0" w:color="C7C9C7"/>
              <w:right w:val="nil"/>
            </w:tcBorders>
            <w:shd w:val="clear" w:color="auto" w:fill="F4F4F4"/>
            <w:tcMar>
              <w:top w:w="0" w:type="dxa"/>
              <w:left w:w="0" w:type="dxa"/>
              <w:bottom w:w="0" w:type="dxa"/>
              <w:right w:w="0" w:type="dxa"/>
            </w:tcMar>
            <w:vAlign w:val="bottom"/>
          </w:tcPr>
          <w:p w14:paraId="6EFCABED" w14:textId="77777777" w:rsidR="001614AC" w:rsidRDefault="004468F9">
            <w:pPr>
              <w:spacing w:before="55" w:after="30" w:line="288" w:lineRule="auto"/>
              <w:jc w:val="right"/>
            </w:pPr>
            <w:r>
              <w:rPr>
                <w:rFonts w:ascii="Arial" w:eastAsia="Arial" w:hAnsi="Arial" w:cs="Arial"/>
                <w:color w:val="000000"/>
                <w:sz w:val="18"/>
              </w:rPr>
              <w:t>7,597 </w:t>
            </w:r>
          </w:p>
        </w:tc>
        <w:tc>
          <w:tcPr>
            <w:tcW w:w="100" w:type="dxa"/>
            <w:tcBorders>
              <w:top w:val="single" w:sz="8" w:space="0" w:color="C7C9C7"/>
              <w:left w:val="nil"/>
              <w:bottom w:val="double" w:sz="8" w:space="0" w:color="C7C9C7"/>
              <w:right w:val="nil"/>
            </w:tcBorders>
            <w:shd w:val="clear" w:color="auto" w:fill="F4F4F4"/>
            <w:tcMar>
              <w:top w:w="0" w:type="dxa"/>
              <w:left w:w="0" w:type="dxa"/>
              <w:bottom w:w="0" w:type="dxa"/>
              <w:right w:w="15" w:type="dxa"/>
            </w:tcMar>
            <w:vAlign w:val="bottom"/>
          </w:tcPr>
          <w:p w14:paraId="6E5CA792" w14:textId="77777777" w:rsidR="001614AC" w:rsidRDefault="001614AC">
            <w:pPr>
              <w:spacing w:before="55" w:after="30" w:line="288" w:lineRule="auto"/>
              <w:jc w:val="right"/>
            </w:pPr>
          </w:p>
        </w:tc>
        <w:tc>
          <w:tcPr>
            <w:tcW w:w="105" w:type="dxa"/>
            <w:tcBorders>
              <w:top w:val="nil"/>
              <w:left w:val="nil"/>
              <w:bottom w:val="nil"/>
              <w:right w:val="nil"/>
            </w:tcBorders>
            <w:shd w:val="clear" w:color="auto" w:fill="F4F4F4"/>
            <w:tcMar>
              <w:top w:w="0" w:type="dxa"/>
              <w:left w:w="0" w:type="dxa"/>
              <w:bottom w:w="0" w:type="dxa"/>
              <w:right w:w="0" w:type="dxa"/>
            </w:tcMar>
            <w:vAlign w:val="bottom"/>
          </w:tcPr>
          <w:p w14:paraId="73956B45" w14:textId="77777777" w:rsidR="001614AC" w:rsidRDefault="001614AC"/>
        </w:tc>
        <w:tc>
          <w:tcPr>
            <w:tcW w:w="160" w:type="dxa"/>
            <w:tcBorders>
              <w:top w:val="single" w:sz="8" w:space="0" w:color="C7C9C7"/>
              <w:left w:val="nil"/>
              <w:bottom w:val="double" w:sz="8" w:space="0" w:color="C7C9C7"/>
              <w:right w:val="nil"/>
            </w:tcBorders>
            <w:shd w:val="clear" w:color="auto" w:fill="F4F4F4"/>
            <w:tcMar>
              <w:top w:w="0" w:type="dxa"/>
              <w:left w:w="53" w:type="dxa"/>
              <w:bottom w:w="0" w:type="dxa"/>
              <w:right w:w="0" w:type="dxa"/>
            </w:tcMar>
            <w:vAlign w:val="bottom"/>
          </w:tcPr>
          <w:p w14:paraId="4641312C" w14:textId="77777777" w:rsidR="001614AC" w:rsidRDefault="004468F9">
            <w:pPr>
              <w:spacing w:before="55" w:after="30" w:line="288" w:lineRule="auto"/>
            </w:pPr>
            <w:r>
              <w:rPr>
                <w:rFonts w:ascii="Arial" w:eastAsia="Arial" w:hAnsi="Arial" w:cs="Arial"/>
                <w:color w:val="000000"/>
                <w:sz w:val="18"/>
              </w:rPr>
              <w:t>$</w:t>
            </w:r>
          </w:p>
        </w:tc>
        <w:tc>
          <w:tcPr>
            <w:tcW w:w="745" w:type="dxa"/>
            <w:tcBorders>
              <w:top w:val="single" w:sz="8" w:space="0" w:color="C7C9C7"/>
              <w:left w:val="nil"/>
              <w:bottom w:val="double" w:sz="8" w:space="0" w:color="C7C9C7"/>
              <w:right w:val="nil"/>
            </w:tcBorders>
            <w:shd w:val="clear" w:color="auto" w:fill="F4F4F4"/>
            <w:tcMar>
              <w:top w:w="0" w:type="dxa"/>
              <w:left w:w="0" w:type="dxa"/>
              <w:bottom w:w="0" w:type="dxa"/>
              <w:right w:w="0" w:type="dxa"/>
            </w:tcMar>
            <w:vAlign w:val="bottom"/>
          </w:tcPr>
          <w:p w14:paraId="4E084F9B" w14:textId="77777777" w:rsidR="001614AC" w:rsidRDefault="004468F9">
            <w:pPr>
              <w:spacing w:before="55" w:after="30" w:line="288" w:lineRule="auto"/>
              <w:jc w:val="right"/>
            </w:pPr>
            <w:r>
              <w:rPr>
                <w:rFonts w:ascii="Arial" w:eastAsia="Arial" w:hAnsi="Arial" w:cs="Arial"/>
                <w:color w:val="000000"/>
                <w:sz w:val="18"/>
              </w:rPr>
              <w:t>(1,010)</w:t>
            </w:r>
          </w:p>
        </w:tc>
        <w:tc>
          <w:tcPr>
            <w:tcW w:w="100" w:type="dxa"/>
            <w:tcBorders>
              <w:top w:val="single" w:sz="8" w:space="0" w:color="C7C9C7"/>
              <w:left w:val="nil"/>
              <w:bottom w:val="double" w:sz="8" w:space="0" w:color="C7C9C7"/>
              <w:right w:val="nil"/>
            </w:tcBorders>
            <w:shd w:val="clear" w:color="auto" w:fill="F4F4F4"/>
            <w:tcMar>
              <w:top w:w="0" w:type="dxa"/>
              <w:left w:w="0" w:type="dxa"/>
              <w:bottom w:w="0" w:type="dxa"/>
              <w:right w:w="15" w:type="dxa"/>
            </w:tcMar>
            <w:vAlign w:val="bottom"/>
          </w:tcPr>
          <w:p w14:paraId="2FE2D95B" w14:textId="77777777" w:rsidR="001614AC" w:rsidRDefault="001614AC">
            <w:pPr>
              <w:spacing w:before="55" w:after="30" w:line="288" w:lineRule="auto"/>
              <w:jc w:val="right"/>
            </w:pPr>
          </w:p>
        </w:tc>
      </w:tr>
    </w:tbl>
    <w:p w14:paraId="5C1A7B24" w14:textId="77777777" w:rsidR="001614AC" w:rsidRDefault="004468F9">
      <w:pPr>
        <w:keepNext/>
        <w:spacing w:before="180" w:after="200" w:line="288" w:lineRule="auto"/>
        <w:rPr>
          <w:rFonts w:ascii="Arial" w:eastAsia="Arial" w:hAnsi="Arial" w:cs="Arial"/>
          <w:b/>
          <w:color w:val="002B49"/>
          <w:sz w:val="26"/>
        </w:rPr>
      </w:pPr>
      <w:r>
        <w:rPr>
          <w:rFonts w:ascii="Arial" w:eastAsia="Arial" w:hAnsi="Arial" w:cs="Arial"/>
          <w:b/>
          <w:color w:val="002B49"/>
          <w:sz w:val="26"/>
        </w:rPr>
        <w:t>Contractual Maturities</w:t>
      </w:r>
    </w:p>
    <w:p w14:paraId="7EF2F09C" w14:textId="77777777" w:rsidR="001614AC" w:rsidRDefault="004468F9">
      <w:pPr>
        <w:keepNext/>
        <w:spacing w:before="100" w:after="100" w:line="288" w:lineRule="auto"/>
        <w:ind w:firstLine="450"/>
        <w:rPr>
          <w:rFonts w:ascii="Arial" w:eastAsia="Arial" w:hAnsi="Arial" w:cs="Arial"/>
          <w:b/>
          <w:color w:val="002B49"/>
          <w:sz w:val="18"/>
        </w:rPr>
      </w:pPr>
      <w:r>
        <w:rPr>
          <w:rFonts w:ascii="Arial" w:eastAsia="Arial" w:hAnsi="Arial" w:cs="Arial"/>
          <w:sz w:val="18"/>
        </w:rPr>
        <w:t>The contractual maturities of fixed-maturities available for sale were as follows.</w:t>
      </w:r>
    </w:p>
    <w:tbl>
      <w:tblPr>
        <w:tblW w:w="102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08"/>
        <w:gridCol w:w="107"/>
        <w:gridCol w:w="163"/>
        <w:gridCol w:w="865"/>
        <w:gridCol w:w="102"/>
        <w:gridCol w:w="107"/>
        <w:gridCol w:w="163"/>
        <w:gridCol w:w="865"/>
        <w:gridCol w:w="102"/>
      </w:tblGrid>
      <w:tr w:rsidR="001614AC" w14:paraId="7773BD99" w14:textId="77777777">
        <w:trPr>
          <w:cantSplit/>
        </w:trPr>
        <w:tc>
          <w:tcPr>
            <w:tcW w:w="10080" w:type="dxa"/>
            <w:gridSpan w:val="9"/>
            <w:tcBorders>
              <w:top w:val="nil"/>
              <w:left w:val="nil"/>
              <w:bottom w:val="single" w:sz="12" w:space="0" w:color="99AAB6"/>
              <w:right w:val="nil"/>
            </w:tcBorders>
            <w:tcMar>
              <w:top w:w="0" w:type="dxa"/>
              <w:left w:w="53" w:type="dxa"/>
              <w:bottom w:w="0" w:type="dxa"/>
              <w:right w:w="53" w:type="dxa"/>
            </w:tcMar>
            <w:vAlign w:val="bottom"/>
          </w:tcPr>
          <w:p w14:paraId="49059D63" w14:textId="77777777" w:rsidR="001614AC" w:rsidRDefault="004468F9">
            <w:pPr>
              <w:keepNext/>
              <w:spacing w:before="75" w:after="30" w:line="288" w:lineRule="auto"/>
              <w:rPr>
                <w:rFonts w:ascii="Arial" w:eastAsia="Arial" w:hAnsi="Arial" w:cs="Arial"/>
                <w:b/>
                <w:sz w:val="20"/>
              </w:rPr>
            </w:pPr>
            <w:r>
              <w:rPr>
                <w:rFonts w:ascii="Arial" w:eastAsia="Arial" w:hAnsi="Arial" w:cs="Arial"/>
                <w:b/>
                <w:sz w:val="20"/>
              </w:rPr>
              <w:t>Contractual maturities of fixed-maturities available for sale</w:t>
            </w:r>
          </w:p>
        </w:tc>
      </w:tr>
      <w:tr w:rsidR="001614AC" w14:paraId="59BF2CFC" w14:textId="77777777">
        <w:trPr>
          <w:cantSplit/>
          <w:trHeight w:hRule="exact" w:val="135"/>
        </w:trPr>
        <w:tc>
          <w:tcPr>
            <w:tcW w:w="7680" w:type="dxa"/>
            <w:tcBorders>
              <w:top w:val="nil"/>
              <w:left w:val="nil"/>
              <w:bottom w:val="nil"/>
              <w:right w:val="nil"/>
            </w:tcBorders>
            <w:tcMar>
              <w:top w:w="0" w:type="dxa"/>
              <w:left w:w="0" w:type="dxa"/>
              <w:bottom w:w="0" w:type="dxa"/>
              <w:right w:w="0" w:type="dxa"/>
            </w:tcMar>
            <w:vAlign w:val="bottom"/>
          </w:tcPr>
          <w:p w14:paraId="2E3D803B" w14:textId="77777777" w:rsidR="001614AC" w:rsidRDefault="001614AC">
            <w:pPr>
              <w:keepNext/>
            </w:pPr>
          </w:p>
        </w:tc>
        <w:tc>
          <w:tcPr>
            <w:tcW w:w="105" w:type="dxa"/>
            <w:tcBorders>
              <w:top w:val="single" w:sz="12" w:space="0" w:color="99AAB6"/>
              <w:left w:val="nil"/>
              <w:bottom w:val="nil"/>
              <w:right w:val="nil"/>
            </w:tcBorders>
            <w:tcMar>
              <w:top w:w="0" w:type="dxa"/>
              <w:left w:w="0" w:type="dxa"/>
              <w:bottom w:w="0" w:type="dxa"/>
              <w:right w:w="0" w:type="dxa"/>
            </w:tcMar>
            <w:vAlign w:val="bottom"/>
          </w:tcPr>
          <w:p w14:paraId="086D35C6" w14:textId="77777777" w:rsidR="001614AC" w:rsidRDefault="001614AC">
            <w:pPr>
              <w:keepNext/>
            </w:pPr>
          </w:p>
        </w:tc>
        <w:tc>
          <w:tcPr>
            <w:tcW w:w="1095" w:type="dxa"/>
            <w:gridSpan w:val="3"/>
            <w:tcBorders>
              <w:top w:val="single" w:sz="12" w:space="0" w:color="99AAB6"/>
              <w:left w:val="nil"/>
              <w:bottom w:val="nil"/>
              <w:right w:val="nil"/>
            </w:tcBorders>
            <w:tcMar>
              <w:top w:w="0" w:type="dxa"/>
              <w:left w:w="0" w:type="dxa"/>
              <w:bottom w:w="0" w:type="dxa"/>
              <w:right w:w="0" w:type="dxa"/>
            </w:tcMar>
            <w:vAlign w:val="bottom"/>
          </w:tcPr>
          <w:p w14:paraId="60B49457" w14:textId="77777777" w:rsidR="001614AC" w:rsidRDefault="001614AC">
            <w:pPr>
              <w:keepNext/>
            </w:pPr>
          </w:p>
        </w:tc>
        <w:tc>
          <w:tcPr>
            <w:tcW w:w="105" w:type="dxa"/>
            <w:tcBorders>
              <w:top w:val="single" w:sz="12" w:space="0" w:color="99AAB6"/>
              <w:left w:val="nil"/>
              <w:bottom w:val="nil"/>
              <w:right w:val="nil"/>
            </w:tcBorders>
            <w:tcMar>
              <w:top w:w="0" w:type="dxa"/>
              <w:left w:w="0" w:type="dxa"/>
              <w:bottom w:w="0" w:type="dxa"/>
              <w:right w:w="0" w:type="dxa"/>
            </w:tcMar>
            <w:vAlign w:val="bottom"/>
          </w:tcPr>
          <w:p w14:paraId="0AABBC47" w14:textId="77777777" w:rsidR="001614AC" w:rsidRDefault="001614AC">
            <w:pPr>
              <w:keepNext/>
            </w:pPr>
          </w:p>
        </w:tc>
        <w:tc>
          <w:tcPr>
            <w:tcW w:w="1095" w:type="dxa"/>
            <w:gridSpan w:val="3"/>
            <w:tcBorders>
              <w:top w:val="single" w:sz="12" w:space="0" w:color="99AAB6"/>
              <w:left w:val="nil"/>
              <w:bottom w:val="nil"/>
              <w:right w:val="nil"/>
            </w:tcBorders>
            <w:tcMar>
              <w:top w:w="0" w:type="dxa"/>
              <w:left w:w="0" w:type="dxa"/>
              <w:bottom w:w="0" w:type="dxa"/>
              <w:right w:w="0" w:type="dxa"/>
            </w:tcMar>
            <w:vAlign w:val="bottom"/>
          </w:tcPr>
          <w:p w14:paraId="7962AE21" w14:textId="77777777" w:rsidR="001614AC" w:rsidRDefault="001614AC">
            <w:pPr>
              <w:keepNext/>
            </w:pPr>
          </w:p>
        </w:tc>
      </w:tr>
      <w:tr w:rsidR="001614AC" w14:paraId="30B1FD99" w14:textId="77777777">
        <w:trPr>
          <w:cantSplit/>
        </w:trPr>
        <w:tc>
          <w:tcPr>
            <w:tcW w:w="7680" w:type="dxa"/>
            <w:tcBorders>
              <w:top w:val="nil"/>
              <w:left w:val="nil"/>
              <w:bottom w:val="nil"/>
              <w:right w:val="nil"/>
            </w:tcBorders>
            <w:tcMar>
              <w:top w:w="0" w:type="dxa"/>
              <w:left w:w="0" w:type="dxa"/>
              <w:bottom w:w="0" w:type="dxa"/>
              <w:right w:w="0" w:type="dxa"/>
            </w:tcMar>
            <w:vAlign w:val="bottom"/>
          </w:tcPr>
          <w:p w14:paraId="162DA946" w14:textId="77777777" w:rsidR="001614AC" w:rsidRDefault="001614AC">
            <w:pPr>
              <w:keepNext/>
            </w:pPr>
          </w:p>
        </w:tc>
        <w:tc>
          <w:tcPr>
            <w:tcW w:w="105" w:type="dxa"/>
            <w:tcBorders>
              <w:top w:val="nil"/>
              <w:left w:val="nil"/>
              <w:bottom w:val="nil"/>
              <w:right w:val="nil"/>
            </w:tcBorders>
            <w:tcMar>
              <w:top w:w="0" w:type="dxa"/>
              <w:left w:w="0" w:type="dxa"/>
              <w:bottom w:w="0" w:type="dxa"/>
              <w:right w:w="0" w:type="dxa"/>
            </w:tcMar>
            <w:vAlign w:val="bottom"/>
          </w:tcPr>
          <w:p w14:paraId="70C3A138" w14:textId="77777777" w:rsidR="001614AC" w:rsidRDefault="001614AC">
            <w:pPr>
              <w:keepNext/>
            </w:pPr>
          </w:p>
        </w:tc>
        <w:tc>
          <w:tcPr>
            <w:tcW w:w="2295" w:type="dxa"/>
            <w:gridSpan w:val="7"/>
            <w:tcBorders>
              <w:top w:val="nil"/>
              <w:left w:val="nil"/>
              <w:bottom w:val="nil"/>
              <w:right w:val="nil"/>
            </w:tcBorders>
            <w:shd w:val="clear" w:color="auto" w:fill="E6F8F8"/>
            <w:tcMar>
              <w:top w:w="0" w:type="dxa"/>
              <w:left w:w="53" w:type="dxa"/>
              <w:bottom w:w="0" w:type="dxa"/>
              <w:right w:w="53" w:type="dxa"/>
            </w:tcMar>
            <w:vAlign w:val="bottom"/>
          </w:tcPr>
          <w:p w14:paraId="1C0CC36D" w14:textId="77777777" w:rsidR="001614AC" w:rsidRDefault="004468F9">
            <w:pPr>
              <w:keepNext/>
              <w:spacing w:before="75" w:after="30" w:line="288" w:lineRule="auto"/>
              <w:jc w:val="center"/>
            </w:pPr>
            <w:r>
              <w:rPr>
                <w:rFonts w:ascii="Arial" w:eastAsia="Arial" w:hAnsi="Arial" w:cs="Arial"/>
                <w:b/>
                <w:color w:val="00BAB3"/>
                <w:sz w:val="18"/>
              </w:rPr>
              <w:t>June 30, 2021</w:t>
            </w:r>
          </w:p>
        </w:tc>
      </w:tr>
      <w:tr w:rsidR="001614AC" w14:paraId="7A1F5A97" w14:textId="77777777">
        <w:trPr>
          <w:cantSplit/>
        </w:trPr>
        <w:tc>
          <w:tcPr>
            <w:tcW w:w="7680" w:type="dxa"/>
            <w:tcBorders>
              <w:top w:val="nil"/>
              <w:left w:val="nil"/>
              <w:bottom w:val="nil"/>
              <w:right w:val="nil"/>
            </w:tcBorders>
            <w:tcMar>
              <w:top w:w="0" w:type="dxa"/>
              <w:left w:w="0" w:type="dxa"/>
              <w:bottom w:w="0" w:type="dxa"/>
              <w:right w:w="0" w:type="dxa"/>
            </w:tcMar>
            <w:vAlign w:val="bottom"/>
          </w:tcPr>
          <w:p w14:paraId="375A979F" w14:textId="77777777" w:rsidR="001614AC" w:rsidRDefault="001614AC">
            <w:pPr>
              <w:keepNext/>
            </w:pPr>
          </w:p>
        </w:tc>
        <w:tc>
          <w:tcPr>
            <w:tcW w:w="105" w:type="dxa"/>
            <w:tcBorders>
              <w:top w:val="nil"/>
              <w:left w:val="nil"/>
              <w:bottom w:val="nil"/>
              <w:right w:val="nil"/>
            </w:tcBorders>
            <w:tcMar>
              <w:top w:w="0" w:type="dxa"/>
              <w:left w:w="0" w:type="dxa"/>
              <w:bottom w:w="0" w:type="dxa"/>
              <w:right w:w="0" w:type="dxa"/>
            </w:tcMar>
            <w:vAlign w:val="bottom"/>
          </w:tcPr>
          <w:p w14:paraId="29777BB7" w14:textId="77777777" w:rsidR="001614AC" w:rsidRDefault="001614AC">
            <w:pPr>
              <w:keepNext/>
            </w:pPr>
          </w:p>
        </w:tc>
        <w:tc>
          <w:tcPr>
            <w:tcW w:w="2295" w:type="dxa"/>
            <w:gridSpan w:val="7"/>
            <w:tcBorders>
              <w:top w:val="nil"/>
              <w:left w:val="nil"/>
              <w:bottom w:val="nil"/>
              <w:right w:val="nil"/>
            </w:tcBorders>
            <w:tcMar>
              <w:top w:w="0" w:type="dxa"/>
              <w:left w:w="53" w:type="dxa"/>
              <w:bottom w:w="0" w:type="dxa"/>
              <w:right w:w="53" w:type="dxa"/>
            </w:tcMar>
            <w:vAlign w:val="bottom"/>
          </w:tcPr>
          <w:p w14:paraId="67D1E3DC" w14:textId="77777777" w:rsidR="001614AC" w:rsidRDefault="004468F9">
            <w:pPr>
              <w:keepNext/>
              <w:spacing w:before="75" w:after="30" w:line="288" w:lineRule="auto"/>
              <w:jc w:val="center"/>
            </w:pPr>
            <w:r>
              <w:rPr>
                <w:rFonts w:ascii="Arial" w:eastAsia="Arial" w:hAnsi="Arial" w:cs="Arial"/>
                <w:b/>
                <w:color w:val="000000"/>
                <w:sz w:val="18"/>
              </w:rPr>
              <w:t>Available for Sale</w:t>
            </w:r>
          </w:p>
        </w:tc>
      </w:tr>
      <w:tr w:rsidR="001614AC" w14:paraId="3D8661AF" w14:textId="77777777">
        <w:trPr>
          <w:cantSplit/>
        </w:trPr>
        <w:tc>
          <w:tcPr>
            <w:tcW w:w="7680" w:type="dxa"/>
            <w:tcBorders>
              <w:top w:val="nil"/>
              <w:left w:val="nil"/>
              <w:bottom w:val="single" w:sz="8" w:space="0" w:color="C7C9C7"/>
              <w:right w:val="nil"/>
            </w:tcBorders>
            <w:tcMar>
              <w:top w:w="0" w:type="dxa"/>
              <w:left w:w="53" w:type="dxa"/>
              <w:bottom w:w="0" w:type="dxa"/>
              <w:right w:w="53" w:type="dxa"/>
            </w:tcMar>
            <w:vAlign w:val="bottom"/>
          </w:tcPr>
          <w:p w14:paraId="1FE353BC" w14:textId="77777777" w:rsidR="001614AC" w:rsidRDefault="004468F9">
            <w:pPr>
              <w:keepNext/>
              <w:spacing w:before="75" w:after="30" w:line="288" w:lineRule="auto"/>
            </w:pPr>
            <w:r>
              <w:rPr>
                <w:rFonts w:ascii="Arial" w:eastAsia="Arial" w:hAnsi="Arial" w:cs="Arial"/>
                <w:color w:val="8B8886"/>
                <w:sz w:val="16"/>
              </w:rPr>
              <w:t>(In thousands)</w:t>
            </w:r>
          </w:p>
        </w:tc>
        <w:tc>
          <w:tcPr>
            <w:tcW w:w="105" w:type="dxa"/>
            <w:tcBorders>
              <w:top w:val="nil"/>
              <w:left w:val="nil"/>
              <w:bottom w:val="single" w:sz="8" w:space="0" w:color="C7C9C7"/>
              <w:right w:val="nil"/>
            </w:tcBorders>
            <w:tcMar>
              <w:top w:w="0" w:type="dxa"/>
              <w:left w:w="0" w:type="dxa"/>
              <w:bottom w:w="0" w:type="dxa"/>
              <w:right w:w="0" w:type="dxa"/>
            </w:tcMar>
            <w:vAlign w:val="bottom"/>
          </w:tcPr>
          <w:p w14:paraId="6F1016F4" w14:textId="77777777" w:rsidR="001614AC" w:rsidRDefault="001614AC">
            <w:pPr>
              <w:keepNext/>
            </w:pPr>
          </w:p>
        </w:tc>
        <w:tc>
          <w:tcPr>
            <w:tcW w:w="1095" w:type="dxa"/>
            <w:gridSpan w:val="3"/>
            <w:tcBorders>
              <w:top w:val="nil"/>
              <w:left w:val="nil"/>
              <w:bottom w:val="single" w:sz="8" w:space="0" w:color="C7C9C7"/>
              <w:right w:val="nil"/>
            </w:tcBorders>
            <w:shd w:val="clear" w:color="auto" w:fill="F4F4F4"/>
            <w:tcMar>
              <w:top w:w="0" w:type="dxa"/>
              <w:left w:w="53" w:type="dxa"/>
              <w:bottom w:w="0" w:type="dxa"/>
              <w:right w:w="53" w:type="dxa"/>
            </w:tcMar>
            <w:vAlign w:val="bottom"/>
          </w:tcPr>
          <w:p w14:paraId="574D8FAB" w14:textId="77777777" w:rsidR="001614AC" w:rsidRDefault="004468F9">
            <w:pPr>
              <w:keepNext/>
              <w:spacing w:before="75" w:line="288" w:lineRule="auto"/>
              <w:jc w:val="center"/>
            </w:pPr>
            <w:r>
              <w:rPr>
                <w:rFonts w:ascii="Arial" w:eastAsia="Arial" w:hAnsi="Arial" w:cs="Arial"/>
                <w:b/>
                <w:color w:val="000000"/>
                <w:sz w:val="18"/>
              </w:rPr>
              <w:t>Amortized</w:t>
            </w:r>
          </w:p>
          <w:p w14:paraId="558D64DE" w14:textId="77777777" w:rsidR="001614AC" w:rsidRDefault="004468F9">
            <w:pPr>
              <w:spacing w:after="30" w:line="288" w:lineRule="auto"/>
              <w:jc w:val="center"/>
            </w:pPr>
            <w:r>
              <w:rPr>
                <w:rFonts w:ascii="Arial" w:eastAsia="Arial" w:hAnsi="Arial" w:cs="Arial"/>
                <w:b/>
                <w:color w:val="000000"/>
                <w:sz w:val="18"/>
              </w:rPr>
              <w:t>Cost</w:t>
            </w:r>
          </w:p>
        </w:tc>
        <w:tc>
          <w:tcPr>
            <w:tcW w:w="105" w:type="dxa"/>
            <w:tcBorders>
              <w:top w:val="nil"/>
              <w:left w:val="nil"/>
              <w:bottom w:val="single" w:sz="8" w:space="0" w:color="C7C9C7"/>
              <w:right w:val="nil"/>
            </w:tcBorders>
            <w:tcMar>
              <w:top w:w="0" w:type="dxa"/>
              <w:left w:w="0" w:type="dxa"/>
              <w:bottom w:w="0" w:type="dxa"/>
              <w:right w:w="0" w:type="dxa"/>
            </w:tcMar>
            <w:vAlign w:val="bottom"/>
          </w:tcPr>
          <w:p w14:paraId="2C637902" w14:textId="77777777" w:rsidR="001614AC" w:rsidRDefault="001614AC">
            <w:pPr>
              <w:keepNext/>
            </w:pPr>
          </w:p>
        </w:tc>
        <w:tc>
          <w:tcPr>
            <w:tcW w:w="1095" w:type="dxa"/>
            <w:gridSpan w:val="3"/>
            <w:tcBorders>
              <w:top w:val="nil"/>
              <w:left w:val="nil"/>
              <w:bottom w:val="single" w:sz="8" w:space="0" w:color="C7C9C7"/>
              <w:right w:val="nil"/>
            </w:tcBorders>
            <w:shd w:val="clear" w:color="auto" w:fill="F4F4F4"/>
            <w:tcMar>
              <w:top w:w="0" w:type="dxa"/>
              <w:left w:w="53" w:type="dxa"/>
              <w:bottom w:w="0" w:type="dxa"/>
              <w:right w:w="53" w:type="dxa"/>
            </w:tcMar>
            <w:vAlign w:val="bottom"/>
          </w:tcPr>
          <w:p w14:paraId="7F260BD4" w14:textId="77777777" w:rsidR="001614AC" w:rsidRDefault="004468F9">
            <w:pPr>
              <w:keepNext/>
              <w:spacing w:before="75" w:line="288" w:lineRule="auto"/>
              <w:jc w:val="center"/>
            </w:pPr>
            <w:r>
              <w:rPr>
                <w:rFonts w:ascii="Arial" w:eastAsia="Arial" w:hAnsi="Arial" w:cs="Arial"/>
                <w:b/>
                <w:color w:val="000000"/>
                <w:sz w:val="18"/>
              </w:rPr>
              <w:t>Fair</w:t>
            </w:r>
          </w:p>
          <w:p w14:paraId="71A0B681" w14:textId="77777777" w:rsidR="001614AC" w:rsidRDefault="004468F9">
            <w:pPr>
              <w:spacing w:after="30" w:line="288" w:lineRule="auto"/>
              <w:jc w:val="center"/>
            </w:pPr>
            <w:r>
              <w:rPr>
                <w:rFonts w:ascii="Arial" w:eastAsia="Arial" w:hAnsi="Arial" w:cs="Arial"/>
                <w:b/>
                <w:color w:val="000000"/>
                <w:sz w:val="18"/>
              </w:rPr>
              <w:t>Value</w:t>
            </w:r>
          </w:p>
        </w:tc>
      </w:tr>
      <w:tr w:rsidR="001614AC" w14:paraId="46A05452" w14:textId="77777777">
        <w:trPr>
          <w:cantSplit/>
        </w:trPr>
        <w:tc>
          <w:tcPr>
            <w:tcW w:w="7680" w:type="dxa"/>
            <w:tcBorders>
              <w:top w:val="single" w:sz="8" w:space="0" w:color="C7C9C7"/>
              <w:left w:val="nil"/>
              <w:bottom w:val="single" w:sz="8" w:space="0" w:color="E9E9E9"/>
              <w:right w:val="nil"/>
            </w:tcBorders>
            <w:tcMar>
              <w:top w:w="0" w:type="dxa"/>
              <w:left w:w="53" w:type="dxa"/>
              <w:bottom w:w="0" w:type="dxa"/>
              <w:right w:w="53" w:type="dxa"/>
            </w:tcMar>
            <w:vAlign w:val="bottom"/>
          </w:tcPr>
          <w:p w14:paraId="675E42ED" w14:textId="77777777" w:rsidR="001614AC" w:rsidRDefault="004468F9">
            <w:pPr>
              <w:keepNext/>
              <w:spacing w:before="55" w:after="30" w:line="288" w:lineRule="auto"/>
            </w:pPr>
            <w:r>
              <w:rPr>
                <w:rFonts w:ascii="Arial" w:eastAsia="Arial" w:hAnsi="Arial" w:cs="Arial"/>
                <w:color w:val="000000"/>
                <w:sz w:val="18"/>
              </w:rPr>
              <w:t>Due in one year or less</w:t>
            </w:r>
          </w:p>
        </w:tc>
        <w:tc>
          <w:tcPr>
            <w:tcW w:w="105" w:type="dxa"/>
            <w:tcBorders>
              <w:top w:val="single" w:sz="8" w:space="0" w:color="C7C9C7"/>
              <w:left w:val="nil"/>
              <w:bottom w:val="nil"/>
              <w:right w:val="nil"/>
            </w:tcBorders>
            <w:tcMar>
              <w:top w:w="0" w:type="dxa"/>
              <w:left w:w="0" w:type="dxa"/>
              <w:bottom w:w="0" w:type="dxa"/>
              <w:right w:w="0" w:type="dxa"/>
            </w:tcMar>
            <w:vAlign w:val="bottom"/>
          </w:tcPr>
          <w:p w14:paraId="263A5B76" w14:textId="77777777" w:rsidR="001614AC" w:rsidRDefault="001614AC">
            <w:pPr>
              <w:keepNext/>
            </w:pPr>
          </w:p>
        </w:tc>
        <w:tc>
          <w:tcPr>
            <w:tcW w:w="160" w:type="dxa"/>
            <w:tcBorders>
              <w:top w:val="single" w:sz="8" w:space="0" w:color="C7C9C7"/>
              <w:left w:val="nil"/>
              <w:bottom w:val="single" w:sz="8" w:space="0" w:color="E9E9E9"/>
              <w:right w:val="nil"/>
            </w:tcBorders>
            <w:tcMar>
              <w:top w:w="0" w:type="dxa"/>
              <w:left w:w="53" w:type="dxa"/>
              <w:bottom w:w="0" w:type="dxa"/>
              <w:right w:w="0" w:type="dxa"/>
            </w:tcMar>
            <w:vAlign w:val="bottom"/>
          </w:tcPr>
          <w:p w14:paraId="27D37DC8" w14:textId="77777777" w:rsidR="001614AC" w:rsidRDefault="004468F9">
            <w:pPr>
              <w:keepNext/>
              <w:spacing w:before="55" w:after="30" w:line="288" w:lineRule="auto"/>
            </w:pPr>
            <w:r>
              <w:rPr>
                <w:rFonts w:ascii="Arial" w:eastAsia="Arial" w:hAnsi="Arial" w:cs="Arial"/>
                <w:color w:val="000000"/>
                <w:sz w:val="18"/>
              </w:rPr>
              <w:t>$</w:t>
            </w:r>
          </w:p>
        </w:tc>
        <w:tc>
          <w:tcPr>
            <w:tcW w:w="835" w:type="dxa"/>
            <w:tcBorders>
              <w:top w:val="single" w:sz="8" w:space="0" w:color="C7C9C7"/>
              <w:left w:val="nil"/>
              <w:bottom w:val="single" w:sz="8" w:space="0" w:color="E9E9E9"/>
              <w:right w:val="nil"/>
            </w:tcBorders>
            <w:tcMar>
              <w:top w:w="0" w:type="dxa"/>
              <w:left w:w="0" w:type="dxa"/>
              <w:bottom w:w="0" w:type="dxa"/>
              <w:right w:w="0" w:type="dxa"/>
            </w:tcMar>
            <w:vAlign w:val="bottom"/>
          </w:tcPr>
          <w:p w14:paraId="778D392B" w14:textId="77777777" w:rsidR="001614AC" w:rsidRDefault="004468F9">
            <w:pPr>
              <w:keepNext/>
              <w:spacing w:before="55" w:after="30" w:line="288" w:lineRule="auto"/>
              <w:jc w:val="right"/>
            </w:pPr>
            <w:r>
              <w:rPr>
                <w:rFonts w:ascii="Arial" w:eastAsia="Arial" w:hAnsi="Arial" w:cs="Arial"/>
                <w:color w:val="000000"/>
                <w:sz w:val="18"/>
              </w:rPr>
              <w:t>187,546 </w:t>
            </w:r>
          </w:p>
        </w:tc>
        <w:tc>
          <w:tcPr>
            <w:tcW w:w="100" w:type="dxa"/>
            <w:tcBorders>
              <w:top w:val="single" w:sz="8" w:space="0" w:color="C7C9C7"/>
              <w:left w:val="nil"/>
              <w:bottom w:val="single" w:sz="8" w:space="0" w:color="E9E9E9"/>
              <w:right w:val="nil"/>
            </w:tcBorders>
            <w:tcMar>
              <w:top w:w="0" w:type="dxa"/>
              <w:left w:w="0" w:type="dxa"/>
              <w:bottom w:w="0" w:type="dxa"/>
              <w:right w:w="15" w:type="dxa"/>
            </w:tcMar>
            <w:vAlign w:val="bottom"/>
          </w:tcPr>
          <w:p w14:paraId="7FD72CD0" w14:textId="77777777" w:rsidR="001614AC" w:rsidRDefault="001614AC">
            <w:pPr>
              <w:keepNext/>
              <w:spacing w:before="55" w:after="30" w:line="288" w:lineRule="auto"/>
              <w:jc w:val="right"/>
            </w:pPr>
          </w:p>
        </w:tc>
        <w:tc>
          <w:tcPr>
            <w:tcW w:w="105" w:type="dxa"/>
            <w:tcBorders>
              <w:top w:val="single" w:sz="8" w:space="0" w:color="C7C9C7"/>
              <w:left w:val="nil"/>
              <w:bottom w:val="nil"/>
              <w:right w:val="nil"/>
            </w:tcBorders>
            <w:tcMar>
              <w:top w:w="0" w:type="dxa"/>
              <w:left w:w="0" w:type="dxa"/>
              <w:bottom w:w="0" w:type="dxa"/>
              <w:right w:w="0" w:type="dxa"/>
            </w:tcMar>
            <w:vAlign w:val="bottom"/>
          </w:tcPr>
          <w:p w14:paraId="7CDF340D" w14:textId="77777777" w:rsidR="001614AC" w:rsidRDefault="001614AC">
            <w:pPr>
              <w:keepNext/>
            </w:pPr>
          </w:p>
        </w:tc>
        <w:tc>
          <w:tcPr>
            <w:tcW w:w="160" w:type="dxa"/>
            <w:tcBorders>
              <w:top w:val="single" w:sz="8" w:space="0" w:color="C7C9C7"/>
              <w:left w:val="nil"/>
              <w:bottom w:val="single" w:sz="8" w:space="0" w:color="E9E9E9"/>
              <w:right w:val="nil"/>
            </w:tcBorders>
            <w:tcMar>
              <w:top w:w="0" w:type="dxa"/>
              <w:left w:w="53" w:type="dxa"/>
              <w:bottom w:w="0" w:type="dxa"/>
              <w:right w:w="0" w:type="dxa"/>
            </w:tcMar>
            <w:vAlign w:val="bottom"/>
          </w:tcPr>
          <w:p w14:paraId="19DCC6BE" w14:textId="77777777" w:rsidR="001614AC" w:rsidRDefault="004468F9">
            <w:pPr>
              <w:keepNext/>
              <w:spacing w:before="55" w:after="30" w:line="288" w:lineRule="auto"/>
            </w:pPr>
            <w:r>
              <w:rPr>
                <w:rFonts w:ascii="Arial" w:eastAsia="Arial" w:hAnsi="Arial" w:cs="Arial"/>
                <w:color w:val="000000"/>
                <w:sz w:val="18"/>
              </w:rPr>
              <w:t>$</w:t>
            </w:r>
          </w:p>
        </w:tc>
        <w:tc>
          <w:tcPr>
            <w:tcW w:w="835" w:type="dxa"/>
            <w:tcBorders>
              <w:top w:val="single" w:sz="8" w:space="0" w:color="C7C9C7"/>
              <w:left w:val="nil"/>
              <w:bottom w:val="single" w:sz="8" w:space="0" w:color="E9E9E9"/>
              <w:right w:val="nil"/>
            </w:tcBorders>
            <w:tcMar>
              <w:top w:w="0" w:type="dxa"/>
              <w:left w:w="0" w:type="dxa"/>
              <w:bottom w:w="0" w:type="dxa"/>
              <w:right w:w="0" w:type="dxa"/>
            </w:tcMar>
            <w:vAlign w:val="bottom"/>
          </w:tcPr>
          <w:p w14:paraId="45C12FC7" w14:textId="77777777" w:rsidR="001614AC" w:rsidRDefault="004468F9">
            <w:pPr>
              <w:keepNext/>
              <w:spacing w:before="55" w:after="30" w:line="288" w:lineRule="auto"/>
              <w:jc w:val="right"/>
            </w:pPr>
            <w:r>
              <w:rPr>
                <w:rFonts w:ascii="Arial" w:eastAsia="Arial" w:hAnsi="Arial" w:cs="Arial"/>
                <w:color w:val="000000"/>
                <w:sz w:val="18"/>
              </w:rPr>
              <w:t>189,292 </w:t>
            </w:r>
          </w:p>
        </w:tc>
        <w:tc>
          <w:tcPr>
            <w:tcW w:w="100" w:type="dxa"/>
            <w:tcBorders>
              <w:top w:val="single" w:sz="8" w:space="0" w:color="C7C9C7"/>
              <w:left w:val="nil"/>
              <w:bottom w:val="single" w:sz="8" w:space="0" w:color="E9E9E9"/>
              <w:right w:val="nil"/>
            </w:tcBorders>
            <w:tcMar>
              <w:top w:w="0" w:type="dxa"/>
              <w:left w:w="0" w:type="dxa"/>
              <w:bottom w:w="0" w:type="dxa"/>
              <w:right w:w="15" w:type="dxa"/>
            </w:tcMar>
            <w:vAlign w:val="bottom"/>
          </w:tcPr>
          <w:p w14:paraId="1F52CD72" w14:textId="77777777" w:rsidR="001614AC" w:rsidRDefault="001614AC">
            <w:pPr>
              <w:keepNext/>
              <w:spacing w:before="55" w:after="30" w:line="288" w:lineRule="auto"/>
              <w:jc w:val="right"/>
            </w:pPr>
          </w:p>
        </w:tc>
      </w:tr>
      <w:tr w:rsidR="001614AC" w14:paraId="7DF5673A" w14:textId="77777777">
        <w:trPr>
          <w:cantSplit/>
        </w:trPr>
        <w:tc>
          <w:tcPr>
            <w:tcW w:w="7680" w:type="dxa"/>
            <w:tcBorders>
              <w:top w:val="single" w:sz="8" w:space="0" w:color="E9E9E9"/>
              <w:left w:val="nil"/>
              <w:bottom w:val="single" w:sz="8" w:space="0" w:color="E9E9E9"/>
              <w:right w:val="nil"/>
            </w:tcBorders>
            <w:tcMar>
              <w:top w:w="0" w:type="dxa"/>
              <w:left w:w="53" w:type="dxa"/>
              <w:bottom w:w="0" w:type="dxa"/>
              <w:right w:w="53" w:type="dxa"/>
            </w:tcMar>
            <w:vAlign w:val="bottom"/>
          </w:tcPr>
          <w:p w14:paraId="0FCFB9B0" w14:textId="77777777" w:rsidR="001614AC" w:rsidRDefault="004468F9">
            <w:pPr>
              <w:keepNext/>
              <w:spacing w:before="55" w:after="30" w:line="288" w:lineRule="auto"/>
              <w:rPr>
                <w:rFonts w:ascii="Arial" w:eastAsia="Arial" w:hAnsi="Arial" w:cs="Arial"/>
                <w:sz w:val="18"/>
              </w:rPr>
            </w:pPr>
            <w:r>
              <w:rPr>
                <w:rFonts w:ascii="Arial" w:eastAsia="Arial" w:hAnsi="Arial" w:cs="Arial"/>
                <w:sz w:val="18"/>
              </w:rPr>
              <w:t xml:space="preserve">Due after one year through five years </w:t>
            </w:r>
            <w:r>
              <w:rPr>
                <w:rFonts w:ascii="Arial" w:eastAsia="Arial" w:hAnsi="Arial" w:cs="Arial"/>
                <w:sz w:val="18"/>
                <w:vertAlign w:val="superscript"/>
              </w:rPr>
              <w:t>(1)</w:t>
            </w:r>
            <w:r>
              <w:rPr>
                <w:rFonts w:ascii="Arial" w:eastAsia="Arial" w:hAnsi="Arial" w:cs="Arial"/>
                <w:sz w:val="18"/>
              </w:rPr>
              <w:t xml:space="preserve"> </w:t>
            </w:r>
          </w:p>
        </w:tc>
        <w:tc>
          <w:tcPr>
            <w:tcW w:w="105" w:type="dxa"/>
            <w:tcBorders>
              <w:top w:val="nil"/>
              <w:left w:val="nil"/>
              <w:bottom w:val="nil"/>
              <w:right w:val="nil"/>
            </w:tcBorders>
            <w:tcMar>
              <w:top w:w="0" w:type="dxa"/>
              <w:left w:w="0" w:type="dxa"/>
              <w:bottom w:w="0" w:type="dxa"/>
              <w:right w:w="0" w:type="dxa"/>
            </w:tcMar>
            <w:vAlign w:val="bottom"/>
          </w:tcPr>
          <w:p w14:paraId="2F135DFE" w14:textId="77777777" w:rsidR="001614AC" w:rsidRDefault="001614AC">
            <w:pPr>
              <w:keepNext/>
            </w:pPr>
          </w:p>
        </w:tc>
        <w:tc>
          <w:tcPr>
            <w:tcW w:w="99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1509B6F0" w14:textId="77777777" w:rsidR="001614AC" w:rsidRDefault="004468F9">
            <w:pPr>
              <w:keepNext/>
              <w:spacing w:before="55" w:after="30" w:line="288" w:lineRule="auto"/>
              <w:jc w:val="right"/>
            </w:pPr>
            <w:r>
              <w:rPr>
                <w:rFonts w:ascii="Arial" w:eastAsia="Arial" w:hAnsi="Arial" w:cs="Arial"/>
                <w:color w:val="000000"/>
                <w:sz w:val="18"/>
              </w:rPr>
              <w:t>1,130,214 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30BBCA9D" w14:textId="77777777" w:rsidR="001614AC" w:rsidRDefault="001614AC">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2F58B012" w14:textId="77777777" w:rsidR="001614AC" w:rsidRDefault="001614AC">
            <w:pPr>
              <w:keepNext/>
            </w:pPr>
          </w:p>
        </w:tc>
        <w:tc>
          <w:tcPr>
            <w:tcW w:w="99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78675D81" w14:textId="77777777" w:rsidR="001614AC" w:rsidRDefault="004468F9">
            <w:pPr>
              <w:keepNext/>
              <w:spacing w:before="55" w:after="30" w:line="288" w:lineRule="auto"/>
              <w:jc w:val="right"/>
            </w:pPr>
            <w:r>
              <w:rPr>
                <w:rFonts w:ascii="Arial" w:eastAsia="Arial" w:hAnsi="Arial" w:cs="Arial"/>
                <w:color w:val="000000"/>
                <w:sz w:val="18"/>
              </w:rPr>
              <w:t>1,182,709 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307B1C32" w14:textId="77777777" w:rsidR="001614AC" w:rsidRDefault="001614AC">
            <w:pPr>
              <w:keepNext/>
              <w:spacing w:before="55" w:after="30" w:line="288" w:lineRule="auto"/>
              <w:jc w:val="right"/>
            </w:pPr>
          </w:p>
        </w:tc>
      </w:tr>
      <w:tr w:rsidR="001614AC" w14:paraId="2312B845" w14:textId="77777777">
        <w:trPr>
          <w:cantSplit/>
        </w:trPr>
        <w:tc>
          <w:tcPr>
            <w:tcW w:w="7680" w:type="dxa"/>
            <w:tcBorders>
              <w:top w:val="single" w:sz="8" w:space="0" w:color="E9E9E9"/>
              <w:left w:val="nil"/>
              <w:bottom w:val="single" w:sz="8" w:space="0" w:color="E9E9E9"/>
              <w:right w:val="nil"/>
            </w:tcBorders>
            <w:tcMar>
              <w:top w:w="0" w:type="dxa"/>
              <w:left w:w="53" w:type="dxa"/>
              <w:bottom w:w="0" w:type="dxa"/>
              <w:right w:w="53" w:type="dxa"/>
            </w:tcMar>
            <w:vAlign w:val="bottom"/>
          </w:tcPr>
          <w:p w14:paraId="4A861DB2" w14:textId="77777777" w:rsidR="001614AC" w:rsidRDefault="004468F9">
            <w:pPr>
              <w:keepNext/>
              <w:spacing w:before="55" w:after="30" w:line="288" w:lineRule="auto"/>
              <w:rPr>
                <w:rFonts w:ascii="Arial" w:eastAsia="Arial" w:hAnsi="Arial" w:cs="Arial"/>
                <w:sz w:val="18"/>
              </w:rPr>
            </w:pPr>
            <w:r>
              <w:rPr>
                <w:rFonts w:ascii="Arial" w:eastAsia="Arial" w:hAnsi="Arial" w:cs="Arial"/>
                <w:sz w:val="18"/>
              </w:rPr>
              <w:t xml:space="preserve">Due after five years through 10 years </w:t>
            </w:r>
            <w:r>
              <w:rPr>
                <w:rFonts w:ascii="Arial" w:eastAsia="Arial" w:hAnsi="Arial" w:cs="Arial"/>
                <w:sz w:val="18"/>
                <w:vertAlign w:val="superscript"/>
              </w:rPr>
              <w:t xml:space="preserve">(1) </w:t>
            </w:r>
          </w:p>
        </w:tc>
        <w:tc>
          <w:tcPr>
            <w:tcW w:w="105" w:type="dxa"/>
            <w:tcBorders>
              <w:top w:val="nil"/>
              <w:left w:val="nil"/>
              <w:bottom w:val="nil"/>
              <w:right w:val="nil"/>
            </w:tcBorders>
            <w:tcMar>
              <w:top w:w="0" w:type="dxa"/>
              <w:left w:w="0" w:type="dxa"/>
              <w:bottom w:w="0" w:type="dxa"/>
              <w:right w:w="0" w:type="dxa"/>
            </w:tcMar>
            <w:vAlign w:val="bottom"/>
          </w:tcPr>
          <w:p w14:paraId="162E18CC" w14:textId="77777777" w:rsidR="001614AC" w:rsidRDefault="001614AC">
            <w:pPr>
              <w:keepNext/>
            </w:pPr>
          </w:p>
        </w:tc>
        <w:tc>
          <w:tcPr>
            <w:tcW w:w="99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017A0981" w14:textId="77777777" w:rsidR="001614AC" w:rsidRDefault="004468F9">
            <w:pPr>
              <w:keepNext/>
              <w:spacing w:before="55" w:after="30" w:line="288" w:lineRule="auto"/>
              <w:jc w:val="right"/>
            </w:pPr>
            <w:r>
              <w:rPr>
                <w:rFonts w:ascii="Arial" w:eastAsia="Arial" w:hAnsi="Arial" w:cs="Arial"/>
                <w:color w:val="000000"/>
                <w:sz w:val="18"/>
              </w:rPr>
              <w:t>1,242,012 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41CB409A" w14:textId="77777777" w:rsidR="001614AC" w:rsidRDefault="001614AC">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2D7A2A44" w14:textId="77777777" w:rsidR="001614AC" w:rsidRDefault="001614AC">
            <w:pPr>
              <w:keepNext/>
            </w:pPr>
          </w:p>
        </w:tc>
        <w:tc>
          <w:tcPr>
            <w:tcW w:w="99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42B43B3C" w14:textId="77777777" w:rsidR="001614AC" w:rsidRDefault="004468F9">
            <w:pPr>
              <w:keepNext/>
              <w:spacing w:before="55" w:after="30" w:line="288" w:lineRule="auto"/>
              <w:jc w:val="right"/>
            </w:pPr>
            <w:r>
              <w:rPr>
                <w:rFonts w:ascii="Arial" w:eastAsia="Arial" w:hAnsi="Arial" w:cs="Arial"/>
                <w:color w:val="000000"/>
                <w:sz w:val="18"/>
              </w:rPr>
              <w:t>1,308,582 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1751400C" w14:textId="77777777" w:rsidR="001614AC" w:rsidRDefault="001614AC">
            <w:pPr>
              <w:keepNext/>
              <w:spacing w:before="55" w:after="30" w:line="288" w:lineRule="auto"/>
              <w:jc w:val="right"/>
            </w:pPr>
          </w:p>
        </w:tc>
      </w:tr>
      <w:tr w:rsidR="001614AC" w14:paraId="4D715081" w14:textId="77777777">
        <w:trPr>
          <w:cantSplit/>
        </w:trPr>
        <w:tc>
          <w:tcPr>
            <w:tcW w:w="7680" w:type="dxa"/>
            <w:tcBorders>
              <w:top w:val="single" w:sz="8" w:space="0" w:color="E9E9E9"/>
              <w:left w:val="nil"/>
              <w:bottom w:val="single" w:sz="8" w:space="0" w:color="E9E9E9"/>
              <w:right w:val="nil"/>
            </w:tcBorders>
            <w:tcMar>
              <w:top w:w="0" w:type="dxa"/>
              <w:left w:w="53" w:type="dxa"/>
              <w:bottom w:w="0" w:type="dxa"/>
              <w:right w:w="53" w:type="dxa"/>
            </w:tcMar>
            <w:vAlign w:val="bottom"/>
          </w:tcPr>
          <w:p w14:paraId="2033F37A" w14:textId="77777777" w:rsidR="001614AC" w:rsidRDefault="004468F9">
            <w:pPr>
              <w:keepNext/>
              <w:spacing w:before="55" w:after="30" w:line="288" w:lineRule="auto"/>
              <w:rPr>
                <w:rFonts w:ascii="Arial" w:eastAsia="Arial" w:hAnsi="Arial" w:cs="Arial"/>
                <w:sz w:val="18"/>
              </w:rPr>
            </w:pPr>
            <w:r>
              <w:rPr>
                <w:rFonts w:ascii="Arial" w:eastAsia="Arial" w:hAnsi="Arial" w:cs="Arial"/>
                <w:sz w:val="18"/>
              </w:rPr>
              <w:t>Due after 10 years</w:t>
            </w:r>
            <w:r>
              <w:rPr>
                <w:rFonts w:ascii="Arial" w:eastAsia="Arial" w:hAnsi="Arial" w:cs="Arial"/>
                <w:sz w:val="18"/>
                <w:vertAlign w:val="superscript"/>
              </w:rPr>
              <w:t xml:space="preserve"> (1) </w:t>
            </w:r>
          </w:p>
        </w:tc>
        <w:tc>
          <w:tcPr>
            <w:tcW w:w="105" w:type="dxa"/>
            <w:tcBorders>
              <w:top w:val="nil"/>
              <w:left w:val="nil"/>
              <w:bottom w:val="nil"/>
              <w:right w:val="nil"/>
            </w:tcBorders>
            <w:tcMar>
              <w:top w:w="0" w:type="dxa"/>
              <w:left w:w="0" w:type="dxa"/>
              <w:bottom w:w="0" w:type="dxa"/>
              <w:right w:w="0" w:type="dxa"/>
            </w:tcMar>
            <w:vAlign w:val="bottom"/>
          </w:tcPr>
          <w:p w14:paraId="041062F2" w14:textId="77777777" w:rsidR="001614AC" w:rsidRDefault="001614AC">
            <w:pPr>
              <w:keepNext/>
            </w:pPr>
          </w:p>
        </w:tc>
        <w:tc>
          <w:tcPr>
            <w:tcW w:w="99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03B0864E" w14:textId="77777777" w:rsidR="001614AC" w:rsidRDefault="004468F9">
            <w:pPr>
              <w:keepNext/>
              <w:spacing w:before="55" w:after="30" w:line="288" w:lineRule="auto"/>
              <w:jc w:val="right"/>
            </w:pPr>
            <w:r>
              <w:rPr>
                <w:rFonts w:ascii="Arial" w:eastAsia="Arial" w:hAnsi="Arial" w:cs="Arial"/>
                <w:color w:val="000000"/>
                <w:sz w:val="18"/>
              </w:rPr>
              <w:t>710,171 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261D0E24" w14:textId="77777777" w:rsidR="001614AC" w:rsidRDefault="001614AC">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43B45092" w14:textId="77777777" w:rsidR="001614AC" w:rsidRDefault="001614AC">
            <w:pPr>
              <w:keepNext/>
            </w:pPr>
          </w:p>
        </w:tc>
        <w:tc>
          <w:tcPr>
            <w:tcW w:w="99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7783D48A" w14:textId="77777777" w:rsidR="001614AC" w:rsidRDefault="004468F9">
            <w:pPr>
              <w:keepNext/>
              <w:spacing w:before="55" w:after="30" w:line="288" w:lineRule="auto"/>
              <w:jc w:val="right"/>
            </w:pPr>
            <w:r>
              <w:rPr>
                <w:rFonts w:ascii="Arial" w:eastAsia="Arial" w:hAnsi="Arial" w:cs="Arial"/>
                <w:color w:val="000000"/>
                <w:sz w:val="18"/>
              </w:rPr>
              <w:t>762,433 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177DBABB" w14:textId="77777777" w:rsidR="001614AC" w:rsidRDefault="001614AC">
            <w:pPr>
              <w:keepNext/>
              <w:spacing w:before="55" w:after="30" w:line="288" w:lineRule="auto"/>
              <w:jc w:val="right"/>
            </w:pPr>
          </w:p>
        </w:tc>
      </w:tr>
      <w:tr w:rsidR="001614AC" w14:paraId="2119D3B7" w14:textId="77777777">
        <w:trPr>
          <w:cantSplit/>
        </w:trPr>
        <w:tc>
          <w:tcPr>
            <w:tcW w:w="7680" w:type="dxa"/>
            <w:tcBorders>
              <w:top w:val="single" w:sz="8" w:space="0" w:color="E9E9E9"/>
              <w:left w:val="nil"/>
              <w:bottom w:val="nil"/>
              <w:right w:val="nil"/>
            </w:tcBorders>
            <w:tcMar>
              <w:top w:w="0" w:type="dxa"/>
              <w:left w:w="53" w:type="dxa"/>
              <w:bottom w:w="0" w:type="dxa"/>
              <w:right w:w="53" w:type="dxa"/>
            </w:tcMar>
            <w:vAlign w:val="bottom"/>
          </w:tcPr>
          <w:p w14:paraId="0F2A4407" w14:textId="77777777" w:rsidR="001614AC" w:rsidRDefault="004468F9">
            <w:pPr>
              <w:keepNext/>
              <w:spacing w:before="55" w:after="30" w:line="288" w:lineRule="auto"/>
              <w:rPr>
                <w:rFonts w:ascii="Arial" w:eastAsia="Arial" w:hAnsi="Arial" w:cs="Arial"/>
                <w:sz w:val="18"/>
              </w:rPr>
            </w:pPr>
            <w:r>
              <w:rPr>
                <w:rFonts w:ascii="Arial" w:eastAsia="Arial" w:hAnsi="Arial" w:cs="Arial"/>
                <w:sz w:val="18"/>
              </w:rPr>
              <w:t>Asset-backed and mortgage-backed securities</w:t>
            </w:r>
            <w:r>
              <w:rPr>
                <w:rFonts w:ascii="Arial" w:eastAsia="Arial" w:hAnsi="Arial" w:cs="Arial"/>
                <w:sz w:val="18"/>
                <w:vertAlign w:val="superscript"/>
              </w:rPr>
              <w:t xml:space="preserve"> (2) </w:t>
            </w:r>
          </w:p>
        </w:tc>
        <w:tc>
          <w:tcPr>
            <w:tcW w:w="105" w:type="dxa"/>
            <w:tcBorders>
              <w:top w:val="nil"/>
              <w:left w:val="nil"/>
              <w:bottom w:val="nil"/>
              <w:right w:val="nil"/>
            </w:tcBorders>
            <w:tcMar>
              <w:top w:w="0" w:type="dxa"/>
              <w:left w:w="0" w:type="dxa"/>
              <w:bottom w:w="0" w:type="dxa"/>
              <w:right w:w="0" w:type="dxa"/>
            </w:tcMar>
            <w:vAlign w:val="bottom"/>
          </w:tcPr>
          <w:p w14:paraId="638067E1" w14:textId="77777777" w:rsidR="001614AC" w:rsidRDefault="001614AC">
            <w:pPr>
              <w:keepNext/>
            </w:pPr>
          </w:p>
        </w:tc>
        <w:tc>
          <w:tcPr>
            <w:tcW w:w="995" w:type="dxa"/>
            <w:gridSpan w:val="2"/>
            <w:tcBorders>
              <w:top w:val="single" w:sz="8" w:space="0" w:color="E9E9E9"/>
              <w:left w:val="nil"/>
              <w:bottom w:val="single" w:sz="8" w:space="0" w:color="C7C9C7"/>
              <w:right w:val="nil"/>
            </w:tcBorders>
            <w:tcMar>
              <w:top w:w="0" w:type="dxa"/>
              <w:left w:w="53" w:type="dxa"/>
              <w:bottom w:w="0" w:type="dxa"/>
              <w:right w:w="0" w:type="dxa"/>
            </w:tcMar>
            <w:vAlign w:val="bottom"/>
          </w:tcPr>
          <w:p w14:paraId="501E0A70" w14:textId="77777777" w:rsidR="001614AC" w:rsidRDefault="004468F9">
            <w:pPr>
              <w:keepNext/>
              <w:spacing w:before="55" w:after="30" w:line="288" w:lineRule="auto"/>
              <w:jc w:val="right"/>
            </w:pPr>
            <w:r>
              <w:rPr>
                <w:rFonts w:ascii="Arial" w:eastAsia="Arial" w:hAnsi="Arial" w:cs="Arial"/>
                <w:color w:val="000000"/>
                <w:sz w:val="18"/>
              </w:rPr>
              <w:t>2,177,564 </w:t>
            </w:r>
          </w:p>
        </w:tc>
        <w:tc>
          <w:tcPr>
            <w:tcW w:w="100" w:type="dxa"/>
            <w:tcBorders>
              <w:top w:val="single" w:sz="8" w:space="0" w:color="E9E9E9"/>
              <w:left w:val="nil"/>
              <w:bottom w:val="single" w:sz="8" w:space="0" w:color="C7C9C7"/>
              <w:right w:val="nil"/>
            </w:tcBorders>
            <w:tcMar>
              <w:top w:w="0" w:type="dxa"/>
              <w:left w:w="0" w:type="dxa"/>
              <w:bottom w:w="0" w:type="dxa"/>
              <w:right w:w="15" w:type="dxa"/>
            </w:tcMar>
            <w:vAlign w:val="bottom"/>
          </w:tcPr>
          <w:p w14:paraId="2B835384" w14:textId="77777777" w:rsidR="001614AC" w:rsidRDefault="001614AC">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6827A6D9" w14:textId="77777777" w:rsidR="001614AC" w:rsidRDefault="001614AC">
            <w:pPr>
              <w:keepNext/>
            </w:pPr>
          </w:p>
        </w:tc>
        <w:tc>
          <w:tcPr>
            <w:tcW w:w="995" w:type="dxa"/>
            <w:gridSpan w:val="2"/>
            <w:tcBorders>
              <w:top w:val="single" w:sz="8" w:space="0" w:color="E9E9E9"/>
              <w:left w:val="nil"/>
              <w:bottom w:val="single" w:sz="8" w:space="0" w:color="C7C9C7"/>
              <w:right w:val="nil"/>
            </w:tcBorders>
            <w:tcMar>
              <w:top w:w="0" w:type="dxa"/>
              <w:left w:w="53" w:type="dxa"/>
              <w:bottom w:w="0" w:type="dxa"/>
              <w:right w:w="0" w:type="dxa"/>
            </w:tcMar>
            <w:vAlign w:val="bottom"/>
          </w:tcPr>
          <w:p w14:paraId="5438C000" w14:textId="77777777" w:rsidR="001614AC" w:rsidRDefault="004468F9">
            <w:pPr>
              <w:keepNext/>
              <w:spacing w:before="55" w:after="30" w:line="288" w:lineRule="auto"/>
              <w:jc w:val="right"/>
            </w:pPr>
            <w:r>
              <w:rPr>
                <w:rFonts w:ascii="Arial" w:eastAsia="Arial" w:hAnsi="Arial" w:cs="Arial"/>
                <w:color w:val="000000"/>
                <w:sz w:val="18"/>
              </w:rPr>
              <w:t>2,230,665 </w:t>
            </w:r>
          </w:p>
        </w:tc>
        <w:tc>
          <w:tcPr>
            <w:tcW w:w="100" w:type="dxa"/>
            <w:tcBorders>
              <w:top w:val="single" w:sz="8" w:space="0" w:color="E9E9E9"/>
              <w:left w:val="nil"/>
              <w:bottom w:val="single" w:sz="8" w:space="0" w:color="C7C9C7"/>
              <w:right w:val="nil"/>
            </w:tcBorders>
            <w:tcMar>
              <w:top w:w="0" w:type="dxa"/>
              <w:left w:w="0" w:type="dxa"/>
              <w:bottom w:w="0" w:type="dxa"/>
              <w:right w:w="15" w:type="dxa"/>
            </w:tcMar>
            <w:vAlign w:val="bottom"/>
          </w:tcPr>
          <w:p w14:paraId="202AB2CB" w14:textId="77777777" w:rsidR="001614AC" w:rsidRDefault="001614AC">
            <w:pPr>
              <w:keepNext/>
              <w:spacing w:before="55" w:after="30" w:line="288" w:lineRule="auto"/>
              <w:jc w:val="right"/>
            </w:pPr>
          </w:p>
        </w:tc>
      </w:tr>
      <w:tr w:rsidR="001614AC" w14:paraId="780F57DF" w14:textId="77777777">
        <w:trPr>
          <w:cantSplit/>
        </w:trPr>
        <w:tc>
          <w:tcPr>
            <w:tcW w:w="7680" w:type="dxa"/>
            <w:tcBorders>
              <w:top w:val="nil"/>
              <w:left w:val="nil"/>
              <w:bottom w:val="nil"/>
              <w:right w:val="nil"/>
            </w:tcBorders>
            <w:shd w:val="clear" w:color="auto" w:fill="F4F4F4"/>
            <w:tcMar>
              <w:top w:w="0" w:type="dxa"/>
              <w:left w:w="53" w:type="dxa"/>
              <w:bottom w:w="0" w:type="dxa"/>
              <w:right w:w="53" w:type="dxa"/>
            </w:tcMar>
            <w:vAlign w:val="bottom"/>
          </w:tcPr>
          <w:p w14:paraId="76DBCF45" w14:textId="77777777" w:rsidR="001614AC" w:rsidRDefault="004468F9">
            <w:pPr>
              <w:keepNext/>
              <w:spacing w:before="75" w:after="30" w:line="288" w:lineRule="auto"/>
            </w:pPr>
            <w:r>
              <w:rPr>
                <w:rFonts w:ascii="Arial" w:eastAsia="Arial" w:hAnsi="Arial" w:cs="Arial"/>
                <w:color w:val="000000"/>
                <w:sz w:val="18"/>
              </w:rPr>
              <w:t xml:space="preserve">Total </w:t>
            </w:r>
          </w:p>
        </w:tc>
        <w:tc>
          <w:tcPr>
            <w:tcW w:w="105" w:type="dxa"/>
            <w:tcBorders>
              <w:top w:val="nil"/>
              <w:left w:val="nil"/>
              <w:bottom w:val="nil"/>
              <w:right w:val="nil"/>
            </w:tcBorders>
            <w:shd w:val="clear" w:color="auto" w:fill="F4F4F4"/>
            <w:tcMar>
              <w:top w:w="0" w:type="dxa"/>
              <w:left w:w="0" w:type="dxa"/>
              <w:bottom w:w="0" w:type="dxa"/>
              <w:right w:w="0" w:type="dxa"/>
            </w:tcMar>
            <w:vAlign w:val="bottom"/>
          </w:tcPr>
          <w:p w14:paraId="69AB8852" w14:textId="77777777" w:rsidR="001614AC" w:rsidRDefault="001614AC">
            <w:pPr>
              <w:keepNext/>
            </w:pPr>
          </w:p>
        </w:tc>
        <w:tc>
          <w:tcPr>
            <w:tcW w:w="995" w:type="dxa"/>
            <w:gridSpan w:val="2"/>
            <w:tcBorders>
              <w:top w:val="single" w:sz="8" w:space="0" w:color="C7C9C7"/>
              <w:left w:val="nil"/>
              <w:bottom w:val="nil"/>
              <w:right w:val="nil"/>
            </w:tcBorders>
            <w:shd w:val="clear" w:color="auto" w:fill="F4F4F4"/>
            <w:tcMar>
              <w:top w:w="0" w:type="dxa"/>
              <w:left w:w="53" w:type="dxa"/>
              <w:bottom w:w="0" w:type="dxa"/>
              <w:right w:w="0" w:type="dxa"/>
            </w:tcMar>
            <w:vAlign w:val="bottom"/>
          </w:tcPr>
          <w:p w14:paraId="74998E2C" w14:textId="77777777" w:rsidR="001614AC" w:rsidRDefault="004468F9">
            <w:pPr>
              <w:keepNext/>
              <w:spacing w:before="55" w:after="30" w:line="288" w:lineRule="auto"/>
              <w:jc w:val="right"/>
            </w:pPr>
            <w:r>
              <w:rPr>
                <w:rFonts w:ascii="Arial" w:eastAsia="Arial" w:hAnsi="Arial" w:cs="Arial"/>
                <w:color w:val="000000"/>
                <w:sz w:val="18"/>
              </w:rPr>
              <w:t>5,447,507 </w:t>
            </w:r>
          </w:p>
        </w:tc>
        <w:tc>
          <w:tcPr>
            <w:tcW w:w="100" w:type="dxa"/>
            <w:tcBorders>
              <w:top w:val="single" w:sz="8" w:space="0" w:color="C7C9C7"/>
              <w:left w:val="nil"/>
              <w:bottom w:val="nil"/>
              <w:right w:val="nil"/>
            </w:tcBorders>
            <w:shd w:val="clear" w:color="auto" w:fill="F4F4F4"/>
            <w:tcMar>
              <w:top w:w="0" w:type="dxa"/>
              <w:left w:w="0" w:type="dxa"/>
              <w:bottom w:w="0" w:type="dxa"/>
              <w:right w:w="15" w:type="dxa"/>
            </w:tcMar>
            <w:vAlign w:val="bottom"/>
          </w:tcPr>
          <w:p w14:paraId="41F02CC3" w14:textId="77777777" w:rsidR="001614AC" w:rsidRDefault="001614AC">
            <w:pPr>
              <w:keepNext/>
              <w:spacing w:before="55" w:after="30" w:line="288" w:lineRule="auto"/>
              <w:jc w:val="right"/>
            </w:pPr>
          </w:p>
        </w:tc>
        <w:tc>
          <w:tcPr>
            <w:tcW w:w="105" w:type="dxa"/>
            <w:tcBorders>
              <w:top w:val="nil"/>
              <w:left w:val="nil"/>
              <w:bottom w:val="nil"/>
              <w:right w:val="nil"/>
            </w:tcBorders>
            <w:shd w:val="clear" w:color="auto" w:fill="F4F4F4"/>
            <w:tcMar>
              <w:top w:w="0" w:type="dxa"/>
              <w:left w:w="0" w:type="dxa"/>
              <w:bottom w:w="0" w:type="dxa"/>
              <w:right w:w="0" w:type="dxa"/>
            </w:tcMar>
            <w:vAlign w:val="bottom"/>
          </w:tcPr>
          <w:p w14:paraId="35F21B91" w14:textId="77777777" w:rsidR="001614AC" w:rsidRDefault="001614AC">
            <w:pPr>
              <w:keepNext/>
            </w:pPr>
          </w:p>
        </w:tc>
        <w:tc>
          <w:tcPr>
            <w:tcW w:w="995" w:type="dxa"/>
            <w:gridSpan w:val="2"/>
            <w:tcBorders>
              <w:top w:val="single" w:sz="8" w:space="0" w:color="C7C9C7"/>
              <w:left w:val="nil"/>
              <w:bottom w:val="nil"/>
              <w:right w:val="nil"/>
            </w:tcBorders>
            <w:shd w:val="clear" w:color="auto" w:fill="F4F4F4"/>
            <w:tcMar>
              <w:top w:w="0" w:type="dxa"/>
              <w:left w:w="53" w:type="dxa"/>
              <w:bottom w:w="0" w:type="dxa"/>
              <w:right w:w="0" w:type="dxa"/>
            </w:tcMar>
            <w:vAlign w:val="bottom"/>
          </w:tcPr>
          <w:p w14:paraId="241864A4" w14:textId="77777777" w:rsidR="001614AC" w:rsidRDefault="004468F9">
            <w:pPr>
              <w:keepNext/>
              <w:spacing w:before="55" w:after="30" w:line="288" w:lineRule="auto"/>
              <w:jc w:val="right"/>
            </w:pPr>
            <w:r>
              <w:rPr>
                <w:rFonts w:ascii="Arial" w:eastAsia="Arial" w:hAnsi="Arial" w:cs="Arial"/>
                <w:color w:val="000000"/>
                <w:sz w:val="18"/>
              </w:rPr>
              <w:t>5,673,681 </w:t>
            </w:r>
          </w:p>
        </w:tc>
        <w:tc>
          <w:tcPr>
            <w:tcW w:w="100" w:type="dxa"/>
            <w:tcBorders>
              <w:top w:val="single" w:sz="8" w:space="0" w:color="C7C9C7"/>
              <w:left w:val="nil"/>
              <w:bottom w:val="nil"/>
              <w:right w:val="nil"/>
            </w:tcBorders>
            <w:shd w:val="clear" w:color="auto" w:fill="F4F4F4"/>
            <w:tcMar>
              <w:top w:w="0" w:type="dxa"/>
              <w:left w:w="0" w:type="dxa"/>
              <w:bottom w:w="0" w:type="dxa"/>
              <w:right w:w="15" w:type="dxa"/>
            </w:tcMar>
            <w:vAlign w:val="bottom"/>
          </w:tcPr>
          <w:p w14:paraId="56D9AEAF" w14:textId="77777777" w:rsidR="001614AC" w:rsidRDefault="001614AC">
            <w:pPr>
              <w:keepNext/>
              <w:spacing w:before="55" w:after="30" w:line="288" w:lineRule="auto"/>
              <w:jc w:val="right"/>
            </w:pPr>
          </w:p>
        </w:tc>
      </w:tr>
      <w:tr w:rsidR="001614AC" w14:paraId="52F7A221" w14:textId="77777777">
        <w:trPr>
          <w:cantSplit/>
        </w:trPr>
        <w:tc>
          <w:tcPr>
            <w:tcW w:w="7680" w:type="dxa"/>
            <w:tcBorders>
              <w:top w:val="nil"/>
              <w:left w:val="nil"/>
              <w:bottom w:val="nil"/>
              <w:right w:val="nil"/>
            </w:tcBorders>
            <w:tcMar>
              <w:top w:w="0" w:type="dxa"/>
              <w:left w:w="53" w:type="dxa"/>
              <w:bottom w:w="0" w:type="dxa"/>
              <w:right w:w="53" w:type="dxa"/>
            </w:tcMar>
            <w:vAlign w:val="bottom"/>
          </w:tcPr>
          <w:p w14:paraId="7FAB0037" w14:textId="77777777" w:rsidR="001614AC" w:rsidRDefault="004468F9">
            <w:pPr>
              <w:keepNext/>
              <w:spacing w:before="75" w:after="30" w:line="288" w:lineRule="auto"/>
            </w:pPr>
            <w:r>
              <w:rPr>
                <w:rFonts w:ascii="Arial" w:eastAsia="Arial" w:hAnsi="Arial" w:cs="Arial"/>
                <w:color w:val="000000"/>
                <w:sz w:val="18"/>
              </w:rPr>
              <w:t>Less: loaned securities</w:t>
            </w:r>
          </w:p>
        </w:tc>
        <w:tc>
          <w:tcPr>
            <w:tcW w:w="105" w:type="dxa"/>
            <w:tcBorders>
              <w:top w:val="nil"/>
              <w:left w:val="nil"/>
              <w:bottom w:val="nil"/>
              <w:right w:val="nil"/>
            </w:tcBorders>
            <w:tcMar>
              <w:top w:w="0" w:type="dxa"/>
              <w:left w:w="0" w:type="dxa"/>
              <w:bottom w:w="0" w:type="dxa"/>
              <w:right w:w="0" w:type="dxa"/>
            </w:tcMar>
            <w:vAlign w:val="bottom"/>
          </w:tcPr>
          <w:p w14:paraId="5E344812" w14:textId="77777777" w:rsidR="001614AC" w:rsidRDefault="001614AC">
            <w:pPr>
              <w:keepNext/>
            </w:pPr>
          </w:p>
        </w:tc>
        <w:tc>
          <w:tcPr>
            <w:tcW w:w="995" w:type="dxa"/>
            <w:gridSpan w:val="2"/>
            <w:tcBorders>
              <w:top w:val="nil"/>
              <w:left w:val="nil"/>
              <w:bottom w:val="single" w:sz="8" w:space="0" w:color="C7C9C7"/>
              <w:right w:val="nil"/>
            </w:tcBorders>
            <w:tcMar>
              <w:top w:w="0" w:type="dxa"/>
              <w:left w:w="53" w:type="dxa"/>
              <w:bottom w:w="0" w:type="dxa"/>
              <w:right w:w="0" w:type="dxa"/>
            </w:tcMar>
            <w:vAlign w:val="bottom"/>
          </w:tcPr>
          <w:p w14:paraId="16BDD1C1" w14:textId="77777777" w:rsidR="001614AC" w:rsidRDefault="004468F9">
            <w:pPr>
              <w:keepNext/>
              <w:spacing w:before="75" w:after="30" w:line="288" w:lineRule="auto"/>
              <w:jc w:val="right"/>
            </w:pPr>
            <w:r>
              <w:rPr>
                <w:rFonts w:ascii="Arial" w:eastAsia="Arial" w:hAnsi="Arial" w:cs="Arial"/>
                <w:color w:val="000000"/>
                <w:sz w:val="18"/>
              </w:rPr>
              <w:t>98,102 </w:t>
            </w:r>
          </w:p>
        </w:tc>
        <w:tc>
          <w:tcPr>
            <w:tcW w:w="100" w:type="dxa"/>
            <w:tcBorders>
              <w:top w:val="nil"/>
              <w:left w:val="nil"/>
              <w:bottom w:val="single" w:sz="8" w:space="0" w:color="C7C9C7"/>
              <w:right w:val="nil"/>
            </w:tcBorders>
            <w:tcMar>
              <w:top w:w="0" w:type="dxa"/>
              <w:left w:w="0" w:type="dxa"/>
              <w:bottom w:w="0" w:type="dxa"/>
              <w:right w:w="15" w:type="dxa"/>
            </w:tcMar>
            <w:vAlign w:val="bottom"/>
          </w:tcPr>
          <w:p w14:paraId="0B248C38" w14:textId="77777777" w:rsidR="001614AC" w:rsidRDefault="001614AC">
            <w:pPr>
              <w:keepNext/>
              <w:spacing w:before="7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1423EF2D" w14:textId="77777777" w:rsidR="001614AC" w:rsidRDefault="001614AC">
            <w:pPr>
              <w:keepNext/>
            </w:pPr>
          </w:p>
        </w:tc>
        <w:tc>
          <w:tcPr>
            <w:tcW w:w="995" w:type="dxa"/>
            <w:gridSpan w:val="2"/>
            <w:tcBorders>
              <w:top w:val="nil"/>
              <w:left w:val="nil"/>
              <w:bottom w:val="single" w:sz="8" w:space="0" w:color="C7C9C7"/>
              <w:right w:val="nil"/>
            </w:tcBorders>
            <w:tcMar>
              <w:top w:w="0" w:type="dxa"/>
              <w:left w:w="53" w:type="dxa"/>
              <w:bottom w:w="0" w:type="dxa"/>
              <w:right w:w="0" w:type="dxa"/>
            </w:tcMar>
            <w:vAlign w:val="bottom"/>
          </w:tcPr>
          <w:p w14:paraId="419B58FB" w14:textId="77777777" w:rsidR="001614AC" w:rsidRDefault="004468F9">
            <w:pPr>
              <w:keepNext/>
              <w:spacing w:before="75" w:after="30" w:line="288" w:lineRule="auto"/>
              <w:jc w:val="right"/>
            </w:pPr>
            <w:r>
              <w:rPr>
                <w:rFonts w:ascii="Arial" w:eastAsia="Arial" w:hAnsi="Arial" w:cs="Arial"/>
                <w:color w:val="000000"/>
                <w:sz w:val="18"/>
              </w:rPr>
              <w:t>100,868 </w:t>
            </w:r>
          </w:p>
        </w:tc>
        <w:tc>
          <w:tcPr>
            <w:tcW w:w="100" w:type="dxa"/>
            <w:tcBorders>
              <w:top w:val="nil"/>
              <w:left w:val="nil"/>
              <w:bottom w:val="single" w:sz="8" w:space="0" w:color="C7C9C7"/>
              <w:right w:val="nil"/>
            </w:tcBorders>
            <w:tcMar>
              <w:top w:w="0" w:type="dxa"/>
              <w:left w:w="0" w:type="dxa"/>
              <w:bottom w:w="0" w:type="dxa"/>
              <w:right w:w="15" w:type="dxa"/>
            </w:tcMar>
            <w:vAlign w:val="bottom"/>
          </w:tcPr>
          <w:p w14:paraId="7FB16188" w14:textId="77777777" w:rsidR="001614AC" w:rsidRDefault="001614AC">
            <w:pPr>
              <w:keepNext/>
              <w:spacing w:before="75" w:after="30" w:line="288" w:lineRule="auto"/>
              <w:jc w:val="right"/>
            </w:pPr>
          </w:p>
        </w:tc>
      </w:tr>
      <w:tr w:rsidR="001614AC" w14:paraId="6F1DCF46" w14:textId="77777777">
        <w:trPr>
          <w:cantSplit/>
        </w:trPr>
        <w:tc>
          <w:tcPr>
            <w:tcW w:w="7680" w:type="dxa"/>
            <w:tcBorders>
              <w:top w:val="nil"/>
              <w:left w:val="nil"/>
              <w:bottom w:val="nil"/>
              <w:right w:val="nil"/>
            </w:tcBorders>
            <w:shd w:val="clear" w:color="auto" w:fill="F4F4F4"/>
            <w:tcMar>
              <w:top w:w="0" w:type="dxa"/>
              <w:left w:w="53" w:type="dxa"/>
              <w:bottom w:w="0" w:type="dxa"/>
              <w:right w:w="53" w:type="dxa"/>
            </w:tcMar>
            <w:vAlign w:val="bottom"/>
          </w:tcPr>
          <w:p w14:paraId="0113B26B" w14:textId="77777777" w:rsidR="001614AC" w:rsidRDefault="004468F9">
            <w:pPr>
              <w:spacing w:before="75" w:after="30" w:line="288" w:lineRule="auto"/>
            </w:pPr>
            <w:r>
              <w:rPr>
                <w:rFonts w:ascii="Arial" w:eastAsia="Arial" w:hAnsi="Arial" w:cs="Arial"/>
                <w:color w:val="000000"/>
                <w:sz w:val="18"/>
              </w:rPr>
              <w:t>Total fixed-maturities available for sale</w:t>
            </w:r>
          </w:p>
        </w:tc>
        <w:tc>
          <w:tcPr>
            <w:tcW w:w="105" w:type="dxa"/>
            <w:tcBorders>
              <w:top w:val="nil"/>
              <w:left w:val="nil"/>
              <w:bottom w:val="nil"/>
              <w:right w:val="nil"/>
            </w:tcBorders>
            <w:shd w:val="clear" w:color="auto" w:fill="F4F4F4"/>
            <w:tcMar>
              <w:top w:w="0" w:type="dxa"/>
              <w:left w:w="0" w:type="dxa"/>
              <w:bottom w:w="0" w:type="dxa"/>
              <w:right w:w="0" w:type="dxa"/>
            </w:tcMar>
            <w:vAlign w:val="bottom"/>
          </w:tcPr>
          <w:p w14:paraId="6BB071F5" w14:textId="77777777" w:rsidR="001614AC" w:rsidRDefault="001614AC"/>
        </w:tc>
        <w:tc>
          <w:tcPr>
            <w:tcW w:w="160" w:type="dxa"/>
            <w:tcBorders>
              <w:top w:val="single" w:sz="8" w:space="0" w:color="C7C9C7"/>
              <w:left w:val="nil"/>
              <w:bottom w:val="double" w:sz="8" w:space="0" w:color="C7C9C7"/>
              <w:right w:val="nil"/>
            </w:tcBorders>
            <w:shd w:val="clear" w:color="auto" w:fill="F4F4F4"/>
            <w:tcMar>
              <w:top w:w="0" w:type="dxa"/>
              <w:left w:w="53" w:type="dxa"/>
              <w:bottom w:w="0" w:type="dxa"/>
              <w:right w:w="0" w:type="dxa"/>
            </w:tcMar>
            <w:vAlign w:val="bottom"/>
          </w:tcPr>
          <w:p w14:paraId="6B10C1F5" w14:textId="77777777" w:rsidR="001614AC" w:rsidRDefault="004468F9">
            <w:pPr>
              <w:spacing w:before="55" w:after="30" w:line="288" w:lineRule="auto"/>
            </w:pPr>
            <w:r>
              <w:rPr>
                <w:rFonts w:ascii="Arial" w:eastAsia="Arial" w:hAnsi="Arial" w:cs="Arial"/>
                <w:color w:val="000000"/>
                <w:sz w:val="18"/>
              </w:rPr>
              <w:t>$</w:t>
            </w:r>
          </w:p>
        </w:tc>
        <w:tc>
          <w:tcPr>
            <w:tcW w:w="835" w:type="dxa"/>
            <w:tcBorders>
              <w:top w:val="single" w:sz="8" w:space="0" w:color="C7C9C7"/>
              <w:left w:val="nil"/>
              <w:bottom w:val="double" w:sz="8" w:space="0" w:color="C7C9C7"/>
              <w:right w:val="nil"/>
            </w:tcBorders>
            <w:shd w:val="clear" w:color="auto" w:fill="F4F4F4"/>
            <w:tcMar>
              <w:top w:w="0" w:type="dxa"/>
              <w:left w:w="0" w:type="dxa"/>
              <w:bottom w:w="0" w:type="dxa"/>
              <w:right w:w="0" w:type="dxa"/>
            </w:tcMar>
            <w:vAlign w:val="bottom"/>
          </w:tcPr>
          <w:p w14:paraId="7CEDC66B" w14:textId="77777777" w:rsidR="001614AC" w:rsidRDefault="004468F9">
            <w:pPr>
              <w:spacing w:before="55" w:after="30" w:line="288" w:lineRule="auto"/>
              <w:jc w:val="right"/>
            </w:pPr>
            <w:r>
              <w:rPr>
                <w:rFonts w:ascii="Arial" w:eastAsia="Arial" w:hAnsi="Arial" w:cs="Arial"/>
                <w:color w:val="000000"/>
                <w:sz w:val="18"/>
              </w:rPr>
              <w:t>5,349,405 </w:t>
            </w:r>
          </w:p>
        </w:tc>
        <w:tc>
          <w:tcPr>
            <w:tcW w:w="100" w:type="dxa"/>
            <w:tcBorders>
              <w:top w:val="single" w:sz="8" w:space="0" w:color="C7C9C7"/>
              <w:left w:val="nil"/>
              <w:bottom w:val="double" w:sz="8" w:space="0" w:color="C7C9C7"/>
              <w:right w:val="nil"/>
            </w:tcBorders>
            <w:shd w:val="clear" w:color="auto" w:fill="F4F4F4"/>
            <w:tcMar>
              <w:top w:w="0" w:type="dxa"/>
              <w:left w:w="0" w:type="dxa"/>
              <w:bottom w:w="0" w:type="dxa"/>
              <w:right w:w="15" w:type="dxa"/>
            </w:tcMar>
            <w:vAlign w:val="bottom"/>
          </w:tcPr>
          <w:p w14:paraId="48E1DECC" w14:textId="77777777" w:rsidR="001614AC" w:rsidRDefault="001614AC">
            <w:pPr>
              <w:spacing w:before="55" w:after="30" w:line="288" w:lineRule="auto"/>
              <w:jc w:val="right"/>
            </w:pPr>
          </w:p>
        </w:tc>
        <w:tc>
          <w:tcPr>
            <w:tcW w:w="105" w:type="dxa"/>
            <w:tcBorders>
              <w:top w:val="nil"/>
              <w:left w:val="nil"/>
              <w:bottom w:val="nil"/>
              <w:right w:val="nil"/>
            </w:tcBorders>
            <w:shd w:val="clear" w:color="auto" w:fill="F4F4F4"/>
            <w:tcMar>
              <w:top w:w="0" w:type="dxa"/>
              <w:left w:w="0" w:type="dxa"/>
              <w:bottom w:w="0" w:type="dxa"/>
              <w:right w:w="0" w:type="dxa"/>
            </w:tcMar>
            <w:vAlign w:val="bottom"/>
          </w:tcPr>
          <w:p w14:paraId="1C2D0F8E" w14:textId="77777777" w:rsidR="001614AC" w:rsidRDefault="001614AC"/>
        </w:tc>
        <w:tc>
          <w:tcPr>
            <w:tcW w:w="160" w:type="dxa"/>
            <w:tcBorders>
              <w:top w:val="single" w:sz="8" w:space="0" w:color="C7C9C7"/>
              <w:left w:val="nil"/>
              <w:bottom w:val="double" w:sz="8" w:space="0" w:color="C7C9C7"/>
              <w:right w:val="nil"/>
            </w:tcBorders>
            <w:shd w:val="clear" w:color="auto" w:fill="F4F4F4"/>
            <w:tcMar>
              <w:top w:w="0" w:type="dxa"/>
              <w:left w:w="53" w:type="dxa"/>
              <w:bottom w:w="0" w:type="dxa"/>
              <w:right w:w="0" w:type="dxa"/>
            </w:tcMar>
            <w:vAlign w:val="bottom"/>
          </w:tcPr>
          <w:p w14:paraId="07BA6D17" w14:textId="77777777" w:rsidR="001614AC" w:rsidRDefault="004468F9">
            <w:pPr>
              <w:spacing w:before="55" w:after="30" w:line="288" w:lineRule="auto"/>
            </w:pPr>
            <w:r>
              <w:rPr>
                <w:rFonts w:ascii="Arial" w:eastAsia="Arial" w:hAnsi="Arial" w:cs="Arial"/>
                <w:color w:val="000000"/>
                <w:sz w:val="18"/>
              </w:rPr>
              <w:t>$</w:t>
            </w:r>
          </w:p>
        </w:tc>
        <w:tc>
          <w:tcPr>
            <w:tcW w:w="835" w:type="dxa"/>
            <w:tcBorders>
              <w:top w:val="single" w:sz="8" w:space="0" w:color="C7C9C7"/>
              <w:left w:val="nil"/>
              <w:bottom w:val="double" w:sz="8" w:space="0" w:color="C7C9C7"/>
              <w:right w:val="nil"/>
            </w:tcBorders>
            <w:shd w:val="clear" w:color="auto" w:fill="F4F4F4"/>
            <w:tcMar>
              <w:top w:w="0" w:type="dxa"/>
              <w:left w:w="0" w:type="dxa"/>
              <w:bottom w:w="0" w:type="dxa"/>
              <w:right w:w="0" w:type="dxa"/>
            </w:tcMar>
            <w:vAlign w:val="bottom"/>
          </w:tcPr>
          <w:p w14:paraId="15F7CF2B" w14:textId="77777777" w:rsidR="001614AC" w:rsidRDefault="004468F9">
            <w:pPr>
              <w:spacing w:before="55" w:after="30" w:line="288" w:lineRule="auto"/>
              <w:jc w:val="right"/>
            </w:pPr>
            <w:r>
              <w:rPr>
                <w:rFonts w:ascii="Arial" w:eastAsia="Arial" w:hAnsi="Arial" w:cs="Arial"/>
                <w:color w:val="000000"/>
                <w:sz w:val="18"/>
              </w:rPr>
              <w:t>5,572,813 </w:t>
            </w:r>
          </w:p>
        </w:tc>
        <w:tc>
          <w:tcPr>
            <w:tcW w:w="100" w:type="dxa"/>
            <w:tcBorders>
              <w:top w:val="single" w:sz="8" w:space="0" w:color="C7C9C7"/>
              <w:left w:val="nil"/>
              <w:bottom w:val="double" w:sz="8" w:space="0" w:color="C7C9C7"/>
              <w:right w:val="nil"/>
            </w:tcBorders>
            <w:shd w:val="clear" w:color="auto" w:fill="F4F4F4"/>
            <w:tcMar>
              <w:top w:w="0" w:type="dxa"/>
              <w:left w:w="0" w:type="dxa"/>
              <w:bottom w:w="0" w:type="dxa"/>
              <w:right w:w="15" w:type="dxa"/>
            </w:tcMar>
            <w:vAlign w:val="bottom"/>
          </w:tcPr>
          <w:p w14:paraId="5ED366DB" w14:textId="77777777" w:rsidR="001614AC" w:rsidRDefault="001614AC">
            <w:pPr>
              <w:spacing w:before="55" w:after="30" w:line="288" w:lineRule="auto"/>
              <w:jc w:val="right"/>
            </w:pPr>
          </w:p>
        </w:tc>
      </w:tr>
    </w:tbl>
    <w:p w14:paraId="65A5A9F6" w14:textId="77777777" w:rsidR="001614AC" w:rsidRDefault="004468F9" w:rsidP="004468F9">
      <w:pPr>
        <w:keepNext/>
        <w:numPr>
          <w:ilvl w:val="0"/>
          <w:numId w:val="17"/>
        </w:numPr>
        <w:spacing w:line="288" w:lineRule="auto"/>
        <w:ind w:left="360"/>
        <w:rPr>
          <w:rFonts w:ascii="Arial" w:eastAsia="Arial" w:hAnsi="Arial" w:cs="Arial"/>
          <w:b/>
          <w:color w:val="64615D"/>
          <w:sz w:val="16"/>
        </w:rPr>
      </w:pPr>
      <w:r>
        <w:rPr>
          <w:rFonts w:ascii="Arial" w:eastAsia="Arial" w:hAnsi="Arial" w:cs="Arial"/>
          <w:color w:val="64615D"/>
          <w:sz w:val="16"/>
        </w:rPr>
        <w:t>Actual maturities may differ as a result of calls before scheduled maturity.</w:t>
      </w:r>
    </w:p>
    <w:p w14:paraId="1F763430" w14:textId="77777777" w:rsidR="001614AC" w:rsidRDefault="004468F9" w:rsidP="004468F9">
      <w:pPr>
        <w:numPr>
          <w:ilvl w:val="0"/>
          <w:numId w:val="17"/>
        </w:numPr>
        <w:spacing w:line="288" w:lineRule="auto"/>
        <w:ind w:left="360"/>
        <w:rPr>
          <w:rFonts w:ascii="Arial" w:eastAsia="Arial" w:hAnsi="Arial" w:cs="Arial"/>
          <w:b/>
          <w:color w:val="64615D"/>
          <w:sz w:val="16"/>
        </w:rPr>
      </w:pPr>
      <w:r>
        <w:rPr>
          <w:rFonts w:ascii="Arial" w:eastAsia="Arial" w:hAnsi="Arial" w:cs="Arial"/>
          <w:color w:val="64615D"/>
          <w:sz w:val="16"/>
        </w:rPr>
        <w:t xml:space="preserve">Includes RMBS, CMBS, CLO, Other ABS and mortgage insurance-linked notes, which are not due at a single maturity date. </w:t>
      </w:r>
    </w:p>
    <w:p w14:paraId="14BCC58B" w14:textId="77777777" w:rsidR="001614AC" w:rsidRDefault="004468F9">
      <w:pPr>
        <w:keepNext/>
        <w:spacing w:before="180" w:after="140" w:line="288" w:lineRule="auto"/>
        <w:rPr>
          <w:rFonts w:ascii="Arial" w:eastAsia="Arial" w:hAnsi="Arial" w:cs="Arial"/>
          <w:b/>
          <w:color w:val="002B49"/>
          <w:sz w:val="26"/>
        </w:rPr>
      </w:pPr>
      <w:r>
        <w:rPr>
          <w:rFonts w:ascii="Arial" w:eastAsia="Arial" w:hAnsi="Arial" w:cs="Arial"/>
          <w:b/>
          <w:color w:val="002B49"/>
          <w:sz w:val="26"/>
        </w:rPr>
        <w:t>Other</w:t>
      </w:r>
    </w:p>
    <w:p w14:paraId="28F33080" w14:textId="77777777" w:rsidR="001614AC" w:rsidRDefault="004468F9">
      <w:pPr>
        <w:spacing w:before="100" w:after="100" w:line="288" w:lineRule="auto"/>
        <w:ind w:firstLine="450"/>
        <w:rPr>
          <w:rFonts w:ascii="Arial" w:eastAsia="Arial" w:hAnsi="Arial" w:cs="Arial"/>
          <w:b/>
          <w:color w:val="64615D"/>
          <w:sz w:val="18"/>
        </w:rPr>
      </w:pPr>
      <w:r>
        <w:rPr>
          <w:rFonts w:ascii="Arial" w:eastAsia="Arial" w:hAnsi="Arial" w:cs="Arial"/>
          <w:sz w:val="18"/>
        </w:rPr>
        <w:t xml:space="preserve">For the three </w:t>
      </w:r>
      <w:r>
        <w:rPr>
          <w:rFonts w:ascii="Arial" w:eastAsia="Arial" w:hAnsi="Arial" w:cs="Arial"/>
          <w:sz w:val="18"/>
        </w:rPr>
        <w:t>and six months ended June 30, 2021, we did not transfer any securities to or from the available for sale or trading categories.</w:t>
      </w:r>
    </w:p>
    <w:p w14:paraId="14987186" w14:textId="77777777" w:rsidR="001614AC" w:rsidRDefault="004468F9">
      <w:pPr>
        <w:spacing w:before="100" w:line="288" w:lineRule="auto"/>
        <w:ind w:firstLine="450"/>
        <w:rPr>
          <w:rFonts w:ascii="Arial" w:eastAsia="Arial" w:hAnsi="Arial" w:cs="Arial"/>
          <w:b/>
          <w:color w:val="64615D"/>
          <w:sz w:val="18"/>
        </w:rPr>
      </w:pPr>
      <w:r>
        <w:rPr>
          <w:rFonts w:ascii="Arial" w:eastAsia="Arial" w:hAnsi="Arial" w:cs="Arial"/>
          <w:sz w:val="18"/>
        </w:rPr>
        <w:t>Our fixed-maturities available for sale include securities totaling $18.1 million and $16.9 million at June 30, 2021 and Decembe</w:t>
      </w:r>
      <w:r>
        <w:rPr>
          <w:rFonts w:ascii="Arial" w:eastAsia="Arial" w:hAnsi="Arial" w:cs="Arial"/>
          <w:sz w:val="18"/>
        </w:rPr>
        <w:t>r 31, 2020, respectively, on deposit and serving as collateral with various state regulatory authorities. Our fixed-maturities available for sale also include securities serving as collateral for our FHLB advances. See Note 12 for additional information ab</w:t>
      </w:r>
      <w:r>
        <w:rPr>
          <w:rFonts w:ascii="Arial" w:eastAsia="Arial" w:hAnsi="Arial" w:cs="Arial"/>
          <w:sz w:val="18"/>
        </w:rPr>
        <w:t>out our FHLB advances.</w:t>
      </w:r>
    </w:p>
    <w:p w14:paraId="3747DF0C" w14:textId="77777777" w:rsidR="001614AC" w:rsidRDefault="001614AC">
      <w:pPr>
        <w:spacing w:before="100" w:line="288" w:lineRule="auto"/>
        <w:ind w:firstLine="450"/>
        <w:rPr>
          <w:rFonts w:ascii="Arial" w:eastAsia="Arial" w:hAnsi="Arial" w:cs="Arial"/>
          <w:b/>
          <w:color w:val="64615D"/>
          <w:sz w:val="16"/>
        </w:rPr>
        <w:sectPr w:rsidR="001614AC">
          <w:headerReference w:type="default" r:id="rId29"/>
          <w:type w:val="continuous"/>
          <w:pgSz w:w="12240" w:h="15840"/>
          <w:pgMar w:top="1260" w:right="1080" w:bottom="1080" w:left="1080" w:header="270" w:footer="270" w:gutter="0"/>
          <w:cols w:space="708"/>
        </w:sectPr>
      </w:pPr>
    </w:p>
    <w:p w14:paraId="5B44A021" w14:textId="77777777" w:rsidR="001614AC" w:rsidRDefault="004468F9">
      <w:pPr>
        <w:keepNext/>
        <w:tabs>
          <w:tab w:val="left" w:pos="360"/>
        </w:tabs>
        <w:spacing w:before="200" w:after="160" w:line="288" w:lineRule="auto"/>
        <w:ind w:left="360" w:hanging="360"/>
        <w:outlineLvl w:val="3"/>
        <w:rPr>
          <w:rFonts w:ascii="Arial" w:eastAsia="Arial" w:hAnsi="Arial" w:cs="Arial"/>
          <w:b/>
          <w:color w:val="4D6B80"/>
          <w:sz w:val="30"/>
        </w:rPr>
      </w:pPr>
      <w:bookmarkStart w:id="18" w:name="Section19"/>
      <w:bookmarkEnd w:id="18"/>
      <w:r>
        <w:rPr>
          <w:rFonts w:ascii="Arial" w:eastAsia="Arial" w:hAnsi="Arial" w:cs="Arial"/>
          <w:b/>
          <w:color w:val="4D6B80"/>
          <w:sz w:val="30"/>
        </w:rPr>
        <w:lastRenderedPageBreak/>
        <w:t xml:space="preserve">7. </w:t>
      </w:r>
      <w:r>
        <w:rPr>
          <w:rFonts w:ascii="Arial" w:eastAsia="Arial" w:hAnsi="Arial" w:cs="Arial"/>
          <w:b/>
          <w:color w:val="4D6B80"/>
          <w:sz w:val="30"/>
        </w:rPr>
        <w:t xml:space="preserve">Goodwill and Other Acquired Intangible Assets, Net </w:t>
      </w:r>
    </w:p>
    <w:p w14:paraId="72C00AD8" w14:textId="77777777" w:rsidR="001614AC" w:rsidRDefault="004468F9">
      <w:pPr>
        <w:keepNext/>
        <w:spacing w:before="100" w:after="100" w:line="288" w:lineRule="auto"/>
        <w:ind w:firstLine="450"/>
        <w:rPr>
          <w:rFonts w:ascii="Arial" w:eastAsia="Arial" w:hAnsi="Arial" w:cs="Arial"/>
          <w:b/>
          <w:color w:val="4D6B80"/>
          <w:sz w:val="18"/>
        </w:rPr>
      </w:pPr>
      <w:r>
        <w:rPr>
          <w:rFonts w:ascii="Arial" w:eastAsia="Arial" w:hAnsi="Arial" w:cs="Arial"/>
          <w:sz w:val="18"/>
        </w:rPr>
        <w:t xml:space="preserve">All of our goodwill and other acquired intangible assets relate to our homegenius segment. There was no change to our goodwill balance of $9.8 million during the three and six months ended June 30, </w:t>
      </w:r>
      <w:r>
        <w:rPr>
          <w:rFonts w:ascii="Arial" w:eastAsia="Arial" w:hAnsi="Arial" w:cs="Arial"/>
          <w:sz w:val="18"/>
        </w:rPr>
        <w:t>2021.</w:t>
      </w:r>
    </w:p>
    <w:p w14:paraId="4C6D0025" w14:textId="77777777" w:rsidR="001614AC" w:rsidRDefault="004468F9">
      <w:pPr>
        <w:keepNext/>
        <w:spacing w:before="100" w:after="100" w:line="288" w:lineRule="auto"/>
        <w:ind w:firstLine="450"/>
        <w:rPr>
          <w:rFonts w:ascii="Arial" w:eastAsia="Arial" w:hAnsi="Arial" w:cs="Arial"/>
          <w:b/>
          <w:color w:val="4D6B80"/>
          <w:sz w:val="18"/>
        </w:rPr>
      </w:pPr>
      <w:r>
        <w:rPr>
          <w:rFonts w:ascii="Arial" w:eastAsia="Arial" w:hAnsi="Arial" w:cs="Arial"/>
          <w:sz w:val="18"/>
        </w:rPr>
        <w:t>The following is a summary of the gross and net carrying amounts and accumulated amortization (including impairment) of our other acquired intangible assets as of the periods indicated.</w:t>
      </w:r>
    </w:p>
    <w:tbl>
      <w:tblPr>
        <w:tblW w:w="102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0"/>
        <w:gridCol w:w="107"/>
        <w:gridCol w:w="163"/>
        <w:gridCol w:w="1005"/>
        <w:gridCol w:w="102"/>
        <w:gridCol w:w="107"/>
        <w:gridCol w:w="163"/>
        <w:gridCol w:w="1005"/>
        <w:gridCol w:w="102"/>
        <w:gridCol w:w="107"/>
        <w:gridCol w:w="163"/>
        <w:gridCol w:w="1005"/>
        <w:gridCol w:w="102"/>
        <w:gridCol w:w="107"/>
        <w:gridCol w:w="163"/>
        <w:gridCol w:w="1005"/>
        <w:gridCol w:w="102"/>
        <w:gridCol w:w="107"/>
        <w:gridCol w:w="163"/>
        <w:gridCol w:w="1005"/>
        <w:gridCol w:w="102"/>
        <w:gridCol w:w="107"/>
        <w:gridCol w:w="163"/>
        <w:gridCol w:w="1005"/>
        <w:gridCol w:w="102"/>
      </w:tblGrid>
      <w:tr w:rsidR="001614AC" w14:paraId="29502AB0" w14:textId="77777777">
        <w:trPr>
          <w:cantSplit/>
        </w:trPr>
        <w:tc>
          <w:tcPr>
            <w:tcW w:w="10080" w:type="dxa"/>
            <w:gridSpan w:val="25"/>
            <w:tcBorders>
              <w:top w:val="nil"/>
              <w:left w:val="nil"/>
              <w:bottom w:val="single" w:sz="12" w:space="0" w:color="99AAB6"/>
              <w:right w:val="nil"/>
            </w:tcBorders>
            <w:tcMar>
              <w:top w:w="0" w:type="dxa"/>
              <w:left w:w="53" w:type="dxa"/>
              <w:bottom w:w="0" w:type="dxa"/>
              <w:right w:w="53" w:type="dxa"/>
            </w:tcMar>
            <w:vAlign w:val="bottom"/>
          </w:tcPr>
          <w:p w14:paraId="0CAB7911" w14:textId="77777777" w:rsidR="001614AC" w:rsidRDefault="004468F9">
            <w:pPr>
              <w:keepNext/>
              <w:spacing w:before="75" w:after="30" w:line="288" w:lineRule="auto"/>
              <w:rPr>
                <w:rFonts w:ascii="Arial" w:eastAsia="Arial" w:hAnsi="Arial" w:cs="Arial"/>
                <w:b/>
                <w:sz w:val="20"/>
              </w:rPr>
            </w:pPr>
            <w:r>
              <w:rPr>
                <w:rFonts w:ascii="Arial" w:eastAsia="Arial" w:hAnsi="Arial" w:cs="Arial"/>
                <w:b/>
                <w:sz w:val="20"/>
              </w:rPr>
              <w:t>Other acquired intangible assets</w:t>
            </w:r>
          </w:p>
        </w:tc>
      </w:tr>
      <w:tr w:rsidR="001614AC" w14:paraId="6B8561FD" w14:textId="77777777">
        <w:trPr>
          <w:cantSplit/>
          <w:trHeight w:hRule="exact" w:val="135"/>
        </w:trPr>
        <w:tc>
          <w:tcPr>
            <w:tcW w:w="1980" w:type="dxa"/>
            <w:tcBorders>
              <w:top w:val="nil"/>
              <w:left w:val="nil"/>
              <w:bottom w:val="nil"/>
              <w:right w:val="nil"/>
            </w:tcBorders>
            <w:tcMar>
              <w:top w:w="0" w:type="dxa"/>
              <w:left w:w="0" w:type="dxa"/>
              <w:bottom w:w="0" w:type="dxa"/>
              <w:right w:w="0" w:type="dxa"/>
            </w:tcMar>
            <w:vAlign w:val="bottom"/>
          </w:tcPr>
          <w:p w14:paraId="03826D8B" w14:textId="77777777" w:rsidR="001614AC" w:rsidRDefault="001614AC">
            <w:pPr>
              <w:keepNext/>
            </w:pPr>
          </w:p>
        </w:tc>
        <w:tc>
          <w:tcPr>
            <w:tcW w:w="105" w:type="dxa"/>
            <w:tcBorders>
              <w:top w:val="single" w:sz="12" w:space="0" w:color="99AAB6"/>
              <w:left w:val="nil"/>
              <w:bottom w:val="nil"/>
              <w:right w:val="nil"/>
            </w:tcBorders>
            <w:tcMar>
              <w:top w:w="0" w:type="dxa"/>
              <w:left w:w="0" w:type="dxa"/>
              <w:bottom w:w="0" w:type="dxa"/>
              <w:right w:w="0" w:type="dxa"/>
            </w:tcMar>
            <w:vAlign w:val="bottom"/>
          </w:tcPr>
          <w:p w14:paraId="3DB12B8A" w14:textId="77777777" w:rsidR="001614AC" w:rsidRDefault="001614AC">
            <w:pPr>
              <w:keepNext/>
            </w:pPr>
          </w:p>
        </w:tc>
        <w:tc>
          <w:tcPr>
            <w:tcW w:w="1245" w:type="dxa"/>
            <w:gridSpan w:val="3"/>
            <w:tcBorders>
              <w:top w:val="single" w:sz="12" w:space="0" w:color="99AAB6"/>
              <w:left w:val="nil"/>
              <w:bottom w:val="nil"/>
              <w:right w:val="nil"/>
            </w:tcBorders>
            <w:tcMar>
              <w:top w:w="0" w:type="dxa"/>
              <w:left w:w="0" w:type="dxa"/>
              <w:bottom w:w="0" w:type="dxa"/>
              <w:right w:w="0" w:type="dxa"/>
            </w:tcMar>
            <w:vAlign w:val="bottom"/>
          </w:tcPr>
          <w:p w14:paraId="50E00FE5" w14:textId="77777777" w:rsidR="001614AC" w:rsidRDefault="001614AC">
            <w:pPr>
              <w:keepNext/>
            </w:pPr>
          </w:p>
        </w:tc>
        <w:tc>
          <w:tcPr>
            <w:tcW w:w="105" w:type="dxa"/>
            <w:tcBorders>
              <w:top w:val="single" w:sz="12" w:space="0" w:color="99AAB6"/>
              <w:left w:val="nil"/>
              <w:bottom w:val="nil"/>
              <w:right w:val="nil"/>
            </w:tcBorders>
            <w:tcMar>
              <w:top w:w="0" w:type="dxa"/>
              <w:left w:w="0" w:type="dxa"/>
              <w:bottom w:w="0" w:type="dxa"/>
              <w:right w:w="0" w:type="dxa"/>
            </w:tcMar>
            <w:vAlign w:val="bottom"/>
          </w:tcPr>
          <w:p w14:paraId="3ECE97F6" w14:textId="77777777" w:rsidR="001614AC" w:rsidRDefault="001614AC">
            <w:pPr>
              <w:keepNext/>
            </w:pPr>
          </w:p>
        </w:tc>
        <w:tc>
          <w:tcPr>
            <w:tcW w:w="1245" w:type="dxa"/>
            <w:gridSpan w:val="3"/>
            <w:tcBorders>
              <w:top w:val="single" w:sz="12" w:space="0" w:color="99AAB6"/>
              <w:left w:val="nil"/>
              <w:bottom w:val="nil"/>
              <w:right w:val="nil"/>
            </w:tcBorders>
            <w:tcMar>
              <w:top w:w="0" w:type="dxa"/>
              <w:left w:w="0" w:type="dxa"/>
              <w:bottom w:w="0" w:type="dxa"/>
              <w:right w:w="0" w:type="dxa"/>
            </w:tcMar>
            <w:vAlign w:val="bottom"/>
          </w:tcPr>
          <w:p w14:paraId="16A8950E" w14:textId="77777777" w:rsidR="001614AC" w:rsidRDefault="001614AC">
            <w:pPr>
              <w:keepNext/>
            </w:pPr>
          </w:p>
        </w:tc>
        <w:tc>
          <w:tcPr>
            <w:tcW w:w="105" w:type="dxa"/>
            <w:tcBorders>
              <w:top w:val="single" w:sz="12" w:space="0" w:color="99AAB6"/>
              <w:left w:val="nil"/>
              <w:bottom w:val="nil"/>
              <w:right w:val="nil"/>
            </w:tcBorders>
            <w:tcMar>
              <w:top w:w="0" w:type="dxa"/>
              <w:left w:w="0" w:type="dxa"/>
              <w:bottom w:w="0" w:type="dxa"/>
              <w:right w:w="0" w:type="dxa"/>
            </w:tcMar>
            <w:vAlign w:val="bottom"/>
          </w:tcPr>
          <w:p w14:paraId="5C6B0803" w14:textId="77777777" w:rsidR="001614AC" w:rsidRDefault="001614AC">
            <w:pPr>
              <w:keepNext/>
            </w:pPr>
          </w:p>
        </w:tc>
        <w:tc>
          <w:tcPr>
            <w:tcW w:w="1245" w:type="dxa"/>
            <w:gridSpan w:val="3"/>
            <w:tcBorders>
              <w:top w:val="single" w:sz="12" w:space="0" w:color="99AAB6"/>
              <w:left w:val="nil"/>
              <w:bottom w:val="nil"/>
              <w:right w:val="nil"/>
            </w:tcBorders>
            <w:tcMar>
              <w:top w:w="0" w:type="dxa"/>
              <w:left w:w="0" w:type="dxa"/>
              <w:bottom w:w="0" w:type="dxa"/>
              <w:right w:w="0" w:type="dxa"/>
            </w:tcMar>
            <w:vAlign w:val="bottom"/>
          </w:tcPr>
          <w:p w14:paraId="111F3156" w14:textId="77777777" w:rsidR="001614AC" w:rsidRDefault="001614AC">
            <w:pPr>
              <w:keepNext/>
            </w:pPr>
          </w:p>
        </w:tc>
        <w:tc>
          <w:tcPr>
            <w:tcW w:w="105" w:type="dxa"/>
            <w:tcBorders>
              <w:top w:val="single" w:sz="12" w:space="0" w:color="99AAB6"/>
              <w:left w:val="nil"/>
              <w:bottom w:val="nil"/>
              <w:right w:val="nil"/>
            </w:tcBorders>
            <w:tcMar>
              <w:top w:w="0" w:type="dxa"/>
              <w:left w:w="0" w:type="dxa"/>
              <w:bottom w:w="0" w:type="dxa"/>
              <w:right w:w="0" w:type="dxa"/>
            </w:tcMar>
            <w:vAlign w:val="bottom"/>
          </w:tcPr>
          <w:p w14:paraId="74B46656" w14:textId="77777777" w:rsidR="001614AC" w:rsidRDefault="001614AC">
            <w:pPr>
              <w:keepNext/>
            </w:pPr>
          </w:p>
        </w:tc>
        <w:tc>
          <w:tcPr>
            <w:tcW w:w="1245" w:type="dxa"/>
            <w:gridSpan w:val="3"/>
            <w:tcBorders>
              <w:top w:val="single" w:sz="12" w:space="0" w:color="99AAB6"/>
              <w:left w:val="nil"/>
              <w:bottom w:val="nil"/>
              <w:right w:val="nil"/>
            </w:tcBorders>
            <w:tcMar>
              <w:top w:w="0" w:type="dxa"/>
              <w:left w:w="0" w:type="dxa"/>
              <w:bottom w:w="0" w:type="dxa"/>
              <w:right w:w="0" w:type="dxa"/>
            </w:tcMar>
            <w:vAlign w:val="bottom"/>
          </w:tcPr>
          <w:p w14:paraId="47C6F6FD" w14:textId="77777777" w:rsidR="001614AC" w:rsidRDefault="001614AC">
            <w:pPr>
              <w:keepNext/>
            </w:pPr>
          </w:p>
        </w:tc>
        <w:tc>
          <w:tcPr>
            <w:tcW w:w="105" w:type="dxa"/>
            <w:tcBorders>
              <w:top w:val="single" w:sz="12" w:space="0" w:color="99AAB6"/>
              <w:left w:val="nil"/>
              <w:bottom w:val="nil"/>
              <w:right w:val="nil"/>
            </w:tcBorders>
            <w:tcMar>
              <w:top w:w="0" w:type="dxa"/>
              <w:left w:w="0" w:type="dxa"/>
              <w:bottom w:w="0" w:type="dxa"/>
              <w:right w:w="0" w:type="dxa"/>
            </w:tcMar>
            <w:vAlign w:val="bottom"/>
          </w:tcPr>
          <w:p w14:paraId="36FE2A97" w14:textId="77777777" w:rsidR="001614AC" w:rsidRDefault="001614AC">
            <w:pPr>
              <w:keepNext/>
            </w:pPr>
          </w:p>
        </w:tc>
        <w:tc>
          <w:tcPr>
            <w:tcW w:w="1245" w:type="dxa"/>
            <w:gridSpan w:val="3"/>
            <w:tcBorders>
              <w:top w:val="single" w:sz="12" w:space="0" w:color="99AAB6"/>
              <w:left w:val="nil"/>
              <w:bottom w:val="nil"/>
              <w:right w:val="nil"/>
            </w:tcBorders>
            <w:tcMar>
              <w:top w:w="0" w:type="dxa"/>
              <w:left w:w="0" w:type="dxa"/>
              <w:bottom w:w="0" w:type="dxa"/>
              <w:right w:w="0" w:type="dxa"/>
            </w:tcMar>
            <w:vAlign w:val="bottom"/>
          </w:tcPr>
          <w:p w14:paraId="4FB4C529" w14:textId="77777777" w:rsidR="001614AC" w:rsidRDefault="001614AC">
            <w:pPr>
              <w:keepNext/>
            </w:pPr>
          </w:p>
        </w:tc>
        <w:tc>
          <w:tcPr>
            <w:tcW w:w="105" w:type="dxa"/>
            <w:tcBorders>
              <w:top w:val="single" w:sz="12" w:space="0" w:color="99AAB6"/>
              <w:left w:val="nil"/>
              <w:bottom w:val="nil"/>
              <w:right w:val="nil"/>
            </w:tcBorders>
            <w:tcMar>
              <w:top w:w="0" w:type="dxa"/>
              <w:left w:w="0" w:type="dxa"/>
              <w:bottom w:w="0" w:type="dxa"/>
              <w:right w:w="0" w:type="dxa"/>
            </w:tcMar>
            <w:vAlign w:val="bottom"/>
          </w:tcPr>
          <w:p w14:paraId="64FC9BB8" w14:textId="77777777" w:rsidR="001614AC" w:rsidRDefault="001614AC">
            <w:pPr>
              <w:keepNext/>
            </w:pPr>
          </w:p>
        </w:tc>
        <w:tc>
          <w:tcPr>
            <w:tcW w:w="1245" w:type="dxa"/>
            <w:gridSpan w:val="3"/>
            <w:tcBorders>
              <w:top w:val="single" w:sz="12" w:space="0" w:color="99AAB6"/>
              <w:left w:val="nil"/>
              <w:bottom w:val="nil"/>
              <w:right w:val="nil"/>
            </w:tcBorders>
            <w:tcMar>
              <w:top w:w="0" w:type="dxa"/>
              <w:left w:w="0" w:type="dxa"/>
              <w:bottom w:w="0" w:type="dxa"/>
              <w:right w:w="0" w:type="dxa"/>
            </w:tcMar>
            <w:vAlign w:val="bottom"/>
          </w:tcPr>
          <w:p w14:paraId="49EEDC47" w14:textId="77777777" w:rsidR="001614AC" w:rsidRDefault="001614AC">
            <w:pPr>
              <w:keepNext/>
            </w:pPr>
          </w:p>
        </w:tc>
      </w:tr>
      <w:tr w:rsidR="001614AC" w14:paraId="03DFD085" w14:textId="77777777">
        <w:trPr>
          <w:cantSplit/>
        </w:trPr>
        <w:tc>
          <w:tcPr>
            <w:tcW w:w="1980" w:type="dxa"/>
            <w:tcBorders>
              <w:top w:val="nil"/>
              <w:left w:val="nil"/>
              <w:bottom w:val="single" w:sz="8" w:space="0" w:color="FFFFFF"/>
              <w:right w:val="nil"/>
            </w:tcBorders>
            <w:tcMar>
              <w:top w:w="0" w:type="dxa"/>
              <w:left w:w="0" w:type="dxa"/>
              <w:bottom w:w="0" w:type="dxa"/>
              <w:right w:w="0" w:type="dxa"/>
            </w:tcMar>
            <w:vAlign w:val="bottom"/>
          </w:tcPr>
          <w:p w14:paraId="770D0AB6" w14:textId="77777777" w:rsidR="001614AC" w:rsidRDefault="001614AC">
            <w:pPr>
              <w:keepNext/>
            </w:pPr>
          </w:p>
        </w:tc>
        <w:tc>
          <w:tcPr>
            <w:tcW w:w="105" w:type="dxa"/>
            <w:tcBorders>
              <w:top w:val="nil"/>
              <w:left w:val="nil"/>
              <w:bottom w:val="single" w:sz="8" w:space="0" w:color="FFFFFF"/>
              <w:right w:val="nil"/>
            </w:tcBorders>
            <w:tcMar>
              <w:top w:w="0" w:type="dxa"/>
              <w:left w:w="0" w:type="dxa"/>
              <w:bottom w:w="0" w:type="dxa"/>
              <w:right w:w="0" w:type="dxa"/>
            </w:tcMar>
            <w:vAlign w:val="bottom"/>
          </w:tcPr>
          <w:p w14:paraId="4A60E639" w14:textId="77777777" w:rsidR="001614AC" w:rsidRDefault="001614AC">
            <w:pPr>
              <w:keepNext/>
            </w:pPr>
          </w:p>
        </w:tc>
        <w:tc>
          <w:tcPr>
            <w:tcW w:w="3945" w:type="dxa"/>
            <w:gridSpan w:val="11"/>
            <w:tcBorders>
              <w:top w:val="nil"/>
              <w:left w:val="nil"/>
              <w:bottom w:val="nil"/>
              <w:right w:val="nil"/>
            </w:tcBorders>
            <w:shd w:val="clear" w:color="auto" w:fill="E6F8F8"/>
            <w:tcMar>
              <w:top w:w="0" w:type="dxa"/>
              <w:left w:w="53" w:type="dxa"/>
              <w:bottom w:w="0" w:type="dxa"/>
              <w:right w:w="53" w:type="dxa"/>
            </w:tcMar>
            <w:vAlign w:val="bottom"/>
          </w:tcPr>
          <w:p w14:paraId="026CE729" w14:textId="77777777" w:rsidR="001614AC" w:rsidRDefault="004468F9">
            <w:pPr>
              <w:keepNext/>
              <w:spacing w:before="75" w:after="30" w:line="288" w:lineRule="auto"/>
              <w:jc w:val="center"/>
            </w:pPr>
            <w:r>
              <w:rPr>
                <w:rFonts w:ascii="Arial" w:eastAsia="Arial" w:hAnsi="Arial" w:cs="Arial"/>
                <w:b/>
                <w:color w:val="00BAB3"/>
                <w:sz w:val="18"/>
              </w:rPr>
              <w:t xml:space="preserve">June 30, </w:t>
            </w:r>
            <w:r>
              <w:rPr>
                <w:rFonts w:ascii="Arial" w:eastAsia="Arial" w:hAnsi="Arial" w:cs="Arial"/>
                <w:b/>
                <w:color w:val="00BAB3"/>
                <w:sz w:val="18"/>
              </w:rPr>
              <w:t>2021</w:t>
            </w:r>
          </w:p>
        </w:tc>
        <w:tc>
          <w:tcPr>
            <w:tcW w:w="105" w:type="dxa"/>
            <w:tcBorders>
              <w:top w:val="nil"/>
              <w:left w:val="nil"/>
              <w:bottom w:val="single" w:sz="8" w:space="0" w:color="FFFFFF"/>
              <w:right w:val="nil"/>
            </w:tcBorders>
            <w:tcMar>
              <w:top w:w="0" w:type="dxa"/>
              <w:left w:w="0" w:type="dxa"/>
              <w:bottom w:w="0" w:type="dxa"/>
              <w:right w:w="0" w:type="dxa"/>
            </w:tcMar>
            <w:vAlign w:val="bottom"/>
          </w:tcPr>
          <w:p w14:paraId="26ECCA31" w14:textId="77777777" w:rsidR="001614AC" w:rsidRDefault="001614AC">
            <w:pPr>
              <w:keepNext/>
            </w:pPr>
          </w:p>
        </w:tc>
        <w:tc>
          <w:tcPr>
            <w:tcW w:w="3945" w:type="dxa"/>
            <w:gridSpan w:val="11"/>
            <w:tcBorders>
              <w:top w:val="nil"/>
              <w:left w:val="nil"/>
              <w:bottom w:val="nil"/>
              <w:right w:val="nil"/>
            </w:tcBorders>
            <w:tcMar>
              <w:top w:w="0" w:type="dxa"/>
              <w:left w:w="53" w:type="dxa"/>
              <w:bottom w:w="0" w:type="dxa"/>
              <w:right w:w="53" w:type="dxa"/>
            </w:tcMar>
            <w:vAlign w:val="bottom"/>
          </w:tcPr>
          <w:p w14:paraId="6515796A" w14:textId="77777777" w:rsidR="001614AC" w:rsidRDefault="004468F9">
            <w:pPr>
              <w:keepNext/>
              <w:spacing w:before="75" w:after="30" w:line="288" w:lineRule="auto"/>
              <w:jc w:val="center"/>
            </w:pPr>
            <w:r>
              <w:rPr>
                <w:rFonts w:ascii="Arial" w:eastAsia="Arial" w:hAnsi="Arial" w:cs="Arial"/>
                <w:b/>
                <w:color w:val="00BAB3"/>
                <w:sz w:val="18"/>
              </w:rPr>
              <w:t>December 31, 2020</w:t>
            </w:r>
          </w:p>
        </w:tc>
      </w:tr>
      <w:tr w:rsidR="001614AC" w14:paraId="4541ADDC" w14:textId="77777777">
        <w:trPr>
          <w:cantSplit/>
        </w:trPr>
        <w:tc>
          <w:tcPr>
            <w:tcW w:w="1980" w:type="dxa"/>
            <w:tcBorders>
              <w:top w:val="single" w:sz="8" w:space="0" w:color="FFFFFF"/>
              <w:left w:val="nil"/>
              <w:bottom w:val="single" w:sz="8" w:space="0" w:color="C7C9C7"/>
              <w:right w:val="nil"/>
            </w:tcBorders>
            <w:tcMar>
              <w:top w:w="0" w:type="dxa"/>
              <w:left w:w="53" w:type="dxa"/>
              <w:bottom w:w="0" w:type="dxa"/>
              <w:right w:w="53" w:type="dxa"/>
            </w:tcMar>
            <w:vAlign w:val="bottom"/>
          </w:tcPr>
          <w:p w14:paraId="3C4F3F34" w14:textId="77777777" w:rsidR="001614AC" w:rsidRDefault="004468F9">
            <w:pPr>
              <w:keepNext/>
              <w:spacing w:before="55" w:after="30" w:line="288" w:lineRule="auto"/>
            </w:pPr>
            <w:r>
              <w:rPr>
                <w:rFonts w:ascii="Arial" w:eastAsia="Arial" w:hAnsi="Arial" w:cs="Arial"/>
                <w:color w:val="8B8886"/>
                <w:sz w:val="16"/>
              </w:rPr>
              <w:t>(In thousands)</w:t>
            </w:r>
          </w:p>
        </w:tc>
        <w:tc>
          <w:tcPr>
            <w:tcW w:w="105" w:type="dxa"/>
            <w:tcBorders>
              <w:top w:val="single" w:sz="8" w:space="0" w:color="FFFFFF"/>
              <w:left w:val="nil"/>
              <w:bottom w:val="single" w:sz="8" w:space="0" w:color="C7C9C7"/>
              <w:right w:val="nil"/>
            </w:tcBorders>
            <w:tcMar>
              <w:top w:w="0" w:type="dxa"/>
              <w:left w:w="0" w:type="dxa"/>
              <w:bottom w:w="0" w:type="dxa"/>
              <w:right w:w="0" w:type="dxa"/>
            </w:tcMar>
            <w:vAlign w:val="bottom"/>
          </w:tcPr>
          <w:p w14:paraId="47389345" w14:textId="77777777" w:rsidR="001614AC" w:rsidRDefault="001614AC">
            <w:pPr>
              <w:keepNext/>
            </w:pPr>
          </w:p>
        </w:tc>
        <w:tc>
          <w:tcPr>
            <w:tcW w:w="1245" w:type="dxa"/>
            <w:gridSpan w:val="3"/>
            <w:tcBorders>
              <w:top w:val="single" w:sz="8" w:space="0" w:color="FFFFFF"/>
              <w:left w:val="nil"/>
              <w:bottom w:val="single" w:sz="8" w:space="0" w:color="C7C9C7"/>
              <w:right w:val="nil"/>
            </w:tcBorders>
            <w:shd w:val="clear" w:color="auto" w:fill="F4F4F4"/>
            <w:tcMar>
              <w:top w:w="0" w:type="dxa"/>
              <w:left w:w="53" w:type="dxa"/>
              <w:bottom w:w="0" w:type="dxa"/>
              <w:right w:w="53" w:type="dxa"/>
            </w:tcMar>
            <w:vAlign w:val="bottom"/>
          </w:tcPr>
          <w:p w14:paraId="60768EB0" w14:textId="77777777" w:rsidR="001614AC" w:rsidRDefault="004468F9">
            <w:pPr>
              <w:keepNext/>
              <w:spacing w:before="55" w:after="30" w:line="288" w:lineRule="auto"/>
              <w:jc w:val="center"/>
            </w:pPr>
            <w:r>
              <w:rPr>
                <w:rFonts w:ascii="Arial" w:eastAsia="Arial" w:hAnsi="Arial" w:cs="Arial"/>
                <w:b/>
                <w:color w:val="000000"/>
                <w:sz w:val="18"/>
              </w:rPr>
              <w:t>Gross Carrying Amount</w:t>
            </w:r>
          </w:p>
        </w:tc>
        <w:tc>
          <w:tcPr>
            <w:tcW w:w="105" w:type="dxa"/>
            <w:tcBorders>
              <w:top w:val="single" w:sz="8" w:space="0" w:color="FFFFFF"/>
              <w:left w:val="nil"/>
              <w:bottom w:val="single" w:sz="8" w:space="0" w:color="C7C9C7"/>
              <w:right w:val="nil"/>
            </w:tcBorders>
            <w:tcMar>
              <w:top w:w="0" w:type="dxa"/>
              <w:left w:w="0" w:type="dxa"/>
              <w:bottom w:w="0" w:type="dxa"/>
              <w:right w:w="0" w:type="dxa"/>
            </w:tcMar>
            <w:vAlign w:val="bottom"/>
          </w:tcPr>
          <w:p w14:paraId="3F4CE0DC" w14:textId="77777777" w:rsidR="001614AC" w:rsidRDefault="001614AC">
            <w:pPr>
              <w:keepNext/>
            </w:pPr>
          </w:p>
        </w:tc>
        <w:tc>
          <w:tcPr>
            <w:tcW w:w="1245" w:type="dxa"/>
            <w:gridSpan w:val="3"/>
            <w:tcBorders>
              <w:top w:val="single" w:sz="8" w:space="0" w:color="FFFFFF"/>
              <w:left w:val="nil"/>
              <w:bottom w:val="single" w:sz="8" w:space="0" w:color="C7C9C7"/>
              <w:right w:val="nil"/>
            </w:tcBorders>
            <w:shd w:val="clear" w:color="auto" w:fill="F4F4F4"/>
            <w:tcMar>
              <w:top w:w="0" w:type="dxa"/>
              <w:left w:w="53" w:type="dxa"/>
              <w:bottom w:w="0" w:type="dxa"/>
              <w:right w:w="53" w:type="dxa"/>
            </w:tcMar>
            <w:vAlign w:val="bottom"/>
          </w:tcPr>
          <w:p w14:paraId="035B397C" w14:textId="77777777" w:rsidR="001614AC" w:rsidRDefault="004468F9">
            <w:pPr>
              <w:keepNext/>
              <w:spacing w:before="55" w:after="30" w:line="288" w:lineRule="auto"/>
              <w:jc w:val="center"/>
            </w:pPr>
            <w:r>
              <w:rPr>
                <w:rFonts w:ascii="Arial" w:eastAsia="Arial" w:hAnsi="Arial" w:cs="Arial"/>
                <w:b/>
                <w:color w:val="000000"/>
                <w:sz w:val="18"/>
              </w:rPr>
              <w:t>Accumulated Amortization</w:t>
            </w:r>
          </w:p>
        </w:tc>
        <w:tc>
          <w:tcPr>
            <w:tcW w:w="105" w:type="dxa"/>
            <w:tcBorders>
              <w:top w:val="single" w:sz="8" w:space="0" w:color="FFFFFF"/>
              <w:left w:val="nil"/>
              <w:bottom w:val="single" w:sz="8" w:space="0" w:color="C7C9C7"/>
              <w:right w:val="nil"/>
            </w:tcBorders>
            <w:tcMar>
              <w:top w:w="0" w:type="dxa"/>
              <w:left w:w="0" w:type="dxa"/>
              <w:bottom w:w="0" w:type="dxa"/>
              <w:right w:w="0" w:type="dxa"/>
            </w:tcMar>
            <w:vAlign w:val="bottom"/>
          </w:tcPr>
          <w:p w14:paraId="5DB8EA31" w14:textId="77777777" w:rsidR="001614AC" w:rsidRDefault="001614AC">
            <w:pPr>
              <w:keepNext/>
            </w:pPr>
          </w:p>
        </w:tc>
        <w:tc>
          <w:tcPr>
            <w:tcW w:w="1245" w:type="dxa"/>
            <w:gridSpan w:val="3"/>
            <w:tcBorders>
              <w:top w:val="single" w:sz="8" w:space="0" w:color="FFFFFF"/>
              <w:left w:val="nil"/>
              <w:bottom w:val="single" w:sz="8" w:space="0" w:color="C7C9C7"/>
              <w:right w:val="nil"/>
            </w:tcBorders>
            <w:shd w:val="clear" w:color="auto" w:fill="F4F4F4"/>
            <w:tcMar>
              <w:top w:w="0" w:type="dxa"/>
              <w:left w:w="53" w:type="dxa"/>
              <w:bottom w:w="0" w:type="dxa"/>
              <w:right w:w="53" w:type="dxa"/>
            </w:tcMar>
            <w:vAlign w:val="bottom"/>
          </w:tcPr>
          <w:p w14:paraId="19FD30B8" w14:textId="77777777" w:rsidR="001614AC" w:rsidRDefault="004468F9">
            <w:pPr>
              <w:keepNext/>
              <w:spacing w:before="55" w:after="30" w:line="288" w:lineRule="auto"/>
              <w:jc w:val="center"/>
            </w:pPr>
            <w:r>
              <w:rPr>
                <w:rFonts w:ascii="Arial" w:eastAsia="Arial" w:hAnsi="Arial" w:cs="Arial"/>
                <w:b/>
                <w:color w:val="000000"/>
                <w:sz w:val="18"/>
              </w:rPr>
              <w:t>Net Carrying Amount</w:t>
            </w:r>
          </w:p>
        </w:tc>
        <w:tc>
          <w:tcPr>
            <w:tcW w:w="105" w:type="dxa"/>
            <w:tcBorders>
              <w:top w:val="single" w:sz="8" w:space="0" w:color="FFFFFF"/>
              <w:left w:val="nil"/>
              <w:bottom w:val="single" w:sz="8" w:space="0" w:color="C7C9C7"/>
              <w:right w:val="nil"/>
            </w:tcBorders>
            <w:tcMar>
              <w:top w:w="0" w:type="dxa"/>
              <w:left w:w="0" w:type="dxa"/>
              <w:bottom w:w="0" w:type="dxa"/>
              <w:right w:w="0" w:type="dxa"/>
            </w:tcMar>
            <w:vAlign w:val="bottom"/>
          </w:tcPr>
          <w:p w14:paraId="2142D14C" w14:textId="77777777" w:rsidR="001614AC" w:rsidRDefault="001614AC">
            <w:pPr>
              <w:keepNext/>
            </w:pPr>
          </w:p>
        </w:tc>
        <w:tc>
          <w:tcPr>
            <w:tcW w:w="1245" w:type="dxa"/>
            <w:gridSpan w:val="3"/>
            <w:tcBorders>
              <w:top w:val="single" w:sz="8" w:space="0" w:color="FFFFFF"/>
              <w:left w:val="nil"/>
              <w:bottom w:val="single" w:sz="8" w:space="0" w:color="C7C9C7"/>
              <w:right w:val="nil"/>
            </w:tcBorders>
            <w:shd w:val="clear" w:color="auto" w:fill="F4F4F4"/>
            <w:tcMar>
              <w:top w:w="0" w:type="dxa"/>
              <w:left w:w="53" w:type="dxa"/>
              <w:bottom w:w="0" w:type="dxa"/>
              <w:right w:w="53" w:type="dxa"/>
            </w:tcMar>
            <w:vAlign w:val="bottom"/>
          </w:tcPr>
          <w:p w14:paraId="1B640AE8" w14:textId="77777777" w:rsidR="001614AC" w:rsidRDefault="004468F9">
            <w:pPr>
              <w:keepNext/>
              <w:spacing w:before="55" w:after="30" w:line="288" w:lineRule="auto"/>
              <w:jc w:val="center"/>
            </w:pPr>
            <w:r>
              <w:rPr>
                <w:rFonts w:ascii="Arial" w:eastAsia="Arial" w:hAnsi="Arial" w:cs="Arial"/>
                <w:b/>
                <w:color w:val="000000"/>
                <w:sz w:val="18"/>
              </w:rPr>
              <w:t>Gross Carrying Amount</w:t>
            </w:r>
          </w:p>
        </w:tc>
        <w:tc>
          <w:tcPr>
            <w:tcW w:w="105" w:type="dxa"/>
            <w:tcBorders>
              <w:top w:val="single" w:sz="8" w:space="0" w:color="FFFFFF"/>
              <w:left w:val="nil"/>
              <w:bottom w:val="single" w:sz="8" w:space="0" w:color="C7C9C7"/>
              <w:right w:val="nil"/>
            </w:tcBorders>
            <w:tcMar>
              <w:top w:w="0" w:type="dxa"/>
              <w:left w:w="0" w:type="dxa"/>
              <w:bottom w:w="0" w:type="dxa"/>
              <w:right w:w="0" w:type="dxa"/>
            </w:tcMar>
            <w:vAlign w:val="bottom"/>
          </w:tcPr>
          <w:p w14:paraId="680325E5" w14:textId="77777777" w:rsidR="001614AC" w:rsidRDefault="001614AC">
            <w:pPr>
              <w:keepNext/>
            </w:pPr>
          </w:p>
        </w:tc>
        <w:tc>
          <w:tcPr>
            <w:tcW w:w="1245" w:type="dxa"/>
            <w:gridSpan w:val="3"/>
            <w:tcBorders>
              <w:top w:val="single" w:sz="8" w:space="0" w:color="FFFFFF"/>
              <w:left w:val="nil"/>
              <w:bottom w:val="single" w:sz="8" w:space="0" w:color="C7C9C7"/>
              <w:right w:val="nil"/>
            </w:tcBorders>
            <w:shd w:val="clear" w:color="auto" w:fill="F4F4F4"/>
            <w:tcMar>
              <w:top w:w="0" w:type="dxa"/>
              <w:left w:w="53" w:type="dxa"/>
              <w:bottom w:w="0" w:type="dxa"/>
              <w:right w:w="53" w:type="dxa"/>
            </w:tcMar>
            <w:vAlign w:val="bottom"/>
          </w:tcPr>
          <w:p w14:paraId="5BD1A432" w14:textId="77777777" w:rsidR="001614AC" w:rsidRDefault="004468F9">
            <w:pPr>
              <w:keepNext/>
              <w:spacing w:before="55" w:after="30" w:line="288" w:lineRule="auto"/>
              <w:jc w:val="center"/>
            </w:pPr>
            <w:r>
              <w:rPr>
                <w:rFonts w:ascii="Arial" w:eastAsia="Arial" w:hAnsi="Arial" w:cs="Arial"/>
                <w:b/>
                <w:color w:val="000000"/>
                <w:sz w:val="18"/>
              </w:rPr>
              <w:t>Accumulated Amortization</w:t>
            </w:r>
          </w:p>
        </w:tc>
        <w:tc>
          <w:tcPr>
            <w:tcW w:w="105" w:type="dxa"/>
            <w:tcBorders>
              <w:top w:val="single" w:sz="8" w:space="0" w:color="FFFFFF"/>
              <w:left w:val="nil"/>
              <w:bottom w:val="single" w:sz="8" w:space="0" w:color="C7C9C7"/>
              <w:right w:val="nil"/>
            </w:tcBorders>
            <w:tcMar>
              <w:top w:w="0" w:type="dxa"/>
              <w:left w:w="0" w:type="dxa"/>
              <w:bottom w:w="0" w:type="dxa"/>
              <w:right w:w="0" w:type="dxa"/>
            </w:tcMar>
            <w:vAlign w:val="bottom"/>
          </w:tcPr>
          <w:p w14:paraId="1495027C" w14:textId="77777777" w:rsidR="001614AC" w:rsidRDefault="001614AC">
            <w:pPr>
              <w:keepNext/>
            </w:pPr>
          </w:p>
        </w:tc>
        <w:tc>
          <w:tcPr>
            <w:tcW w:w="1245" w:type="dxa"/>
            <w:gridSpan w:val="3"/>
            <w:tcBorders>
              <w:top w:val="single" w:sz="8" w:space="0" w:color="FFFFFF"/>
              <w:left w:val="nil"/>
              <w:bottom w:val="single" w:sz="8" w:space="0" w:color="C7C9C7"/>
              <w:right w:val="nil"/>
            </w:tcBorders>
            <w:shd w:val="clear" w:color="auto" w:fill="F4F4F4"/>
            <w:tcMar>
              <w:top w:w="0" w:type="dxa"/>
              <w:left w:w="53" w:type="dxa"/>
              <w:bottom w:w="0" w:type="dxa"/>
              <w:right w:w="53" w:type="dxa"/>
            </w:tcMar>
            <w:vAlign w:val="bottom"/>
          </w:tcPr>
          <w:p w14:paraId="338D0D3D" w14:textId="77777777" w:rsidR="001614AC" w:rsidRDefault="004468F9">
            <w:pPr>
              <w:keepNext/>
              <w:spacing w:before="55" w:after="30" w:line="288" w:lineRule="auto"/>
              <w:jc w:val="center"/>
            </w:pPr>
            <w:r>
              <w:rPr>
                <w:rFonts w:ascii="Arial" w:eastAsia="Arial" w:hAnsi="Arial" w:cs="Arial"/>
                <w:b/>
                <w:color w:val="000000"/>
                <w:sz w:val="18"/>
              </w:rPr>
              <w:t>Net Carrying Amount</w:t>
            </w:r>
          </w:p>
        </w:tc>
      </w:tr>
      <w:tr w:rsidR="001614AC" w14:paraId="0DD626E1" w14:textId="77777777">
        <w:trPr>
          <w:cantSplit/>
        </w:trPr>
        <w:tc>
          <w:tcPr>
            <w:tcW w:w="1980" w:type="dxa"/>
            <w:tcBorders>
              <w:top w:val="single" w:sz="8" w:space="0" w:color="C7C9C7"/>
              <w:left w:val="nil"/>
              <w:bottom w:val="single" w:sz="8" w:space="0" w:color="E9E9E9"/>
              <w:right w:val="nil"/>
            </w:tcBorders>
            <w:tcMar>
              <w:top w:w="0" w:type="dxa"/>
              <w:left w:w="53" w:type="dxa"/>
              <w:bottom w:w="0" w:type="dxa"/>
              <w:right w:w="53" w:type="dxa"/>
            </w:tcMar>
            <w:vAlign w:val="bottom"/>
          </w:tcPr>
          <w:p w14:paraId="03B79C74" w14:textId="77777777" w:rsidR="001614AC" w:rsidRDefault="004468F9">
            <w:pPr>
              <w:keepNext/>
              <w:spacing w:before="55" w:after="30" w:line="288" w:lineRule="auto"/>
            </w:pPr>
            <w:r>
              <w:rPr>
                <w:rFonts w:ascii="Arial" w:eastAsia="Arial" w:hAnsi="Arial" w:cs="Arial"/>
                <w:color w:val="000000"/>
                <w:sz w:val="18"/>
              </w:rPr>
              <w:t>Client relationships</w:t>
            </w:r>
          </w:p>
        </w:tc>
        <w:tc>
          <w:tcPr>
            <w:tcW w:w="105" w:type="dxa"/>
            <w:tcBorders>
              <w:top w:val="single" w:sz="8" w:space="0" w:color="C7C9C7"/>
              <w:left w:val="nil"/>
              <w:bottom w:val="nil"/>
              <w:right w:val="nil"/>
            </w:tcBorders>
            <w:tcMar>
              <w:top w:w="0" w:type="dxa"/>
              <w:left w:w="0" w:type="dxa"/>
              <w:bottom w:w="0" w:type="dxa"/>
              <w:right w:w="0" w:type="dxa"/>
            </w:tcMar>
            <w:vAlign w:val="bottom"/>
          </w:tcPr>
          <w:p w14:paraId="35F9C537" w14:textId="77777777" w:rsidR="001614AC" w:rsidRDefault="001614AC">
            <w:pPr>
              <w:keepNext/>
            </w:pPr>
          </w:p>
        </w:tc>
        <w:tc>
          <w:tcPr>
            <w:tcW w:w="160" w:type="dxa"/>
            <w:tcBorders>
              <w:top w:val="single" w:sz="8" w:space="0" w:color="C7C9C7"/>
              <w:left w:val="nil"/>
              <w:bottom w:val="single" w:sz="8" w:space="0" w:color="E9E9E9"/>
              <w:right w:val="nil"/>
            </w:tcBorders>
            <w:tcMar>
              <w:top w:w="0" w:type="dxa"/>
              <w:left w:w="53" w:type="dxa"/>
              <w:bottom w:w="0" w:type="dxa"/>
              <w:right w:w="0" w:type="dxa"/>
            </w:tcMar>
            <w:vAlign w:val="bottom"/>
          </w:tcPr>
          <w:p w14:paraId="4A0F95DD" w14:textId="77777777" w:rsidR="001614AC" w:rsidRDefault="004468F9">
            <w:pPr>
              <w:keepNext/>
              <w:spacing w:before="55" w:after="30" w:line="288" w:lineRule="auto"/>
            </w:pPr>
            <w:r>
              <w:rPr>
                <w:rFonts w:ascii="Arial" w:eastAsia="Arial" w:hAnsi="Arial" w:cs="Arial"/>
                <w:color w:val="000000"/>
                <w:sz w:val="18"/>
              </w:rPr>
              <w:t>$</w:t>
            </w:r>
          </w:p>
        </w:tc>
        <w:tc>
          <w:tcPr>
            <w:tcW w:w="985" w:type="dxa"/>
            <w:tcBorders>
              <w:top w:val="single" w:sz="8" w:space="0" w:color="C7C9C7"/>
              <w:left w:val="nil"/>
              <w:bottom w:val="single" w:sz="8" w:space="0" w:color="E9E9E9"/>
              <w:right w:val="nil"/>
            </w:tcBorders>
            <w:tcMar>
              <w:top w:w="0" w:type="dxa"/>
              <w:left w:w="0" w:type="dxa"/>
              <w:bottom w:w="0" w:type="dxa"/>
              <w:right w:w="0" w:type="dxa"/>
            </w:tcMar>
            <w:vAlign w:val="bottom"/>
          </w:tcPr>
          <w:p w14:paraId="52F512AE" w14:textId="77777777" w:rsidR="001614AC" w:rsidRDefault="004468F9">
            <w:pPr>
              <w:keepNext/>
              <w:spacing w:before="55" w:after="30" w:line="288" w:lineRule="auto"/>
              <w:jc w:val="right"/>
            </w:pPr>
            <w:r>
              <w:rPr>
                <w:rFonts w:ascii="Arial" w:eastAsia="Arial" w:hAnsi="Arial" w:cs="Arial"/>
                <w:color w:val="000000"/>
                <w:sz w:val="18"/>
              </w:rPr>
              <w:t>43,550 </w:t>
            </w:r>
          </w:p>
        </w:tc>
        <w:tc>
          <w:tcPr>
            <w:tcW w:w="100" w:type="dxa"/>
            <w:tcBorders>
              <w:top w:val="single" w:sz="8" w:space="0" w:color="C7C9C7"/>
              <w:left w:val="nil"/>
              <w:bottom w:val="single" w:sz="8" w:space="0" w:color="E9E9E9"/>
              <w:right w:val="nil"/>
            </w:tcBorders>
            <w:tcMar>
              <w:top w:w="0" w:type="dxa"/>
              <w:left w:w="0" w:type="dxa"/>
              <w:bottom w:w="0" w:type="dxa"/>
              <w:right w:w="15" w:type="dxa"/>
            </w:tcMar>
            <w:vAlign w:val="bottom"/>
          </w:tcPr>
          <w:p w14:paraId="1EDA7D6C" w14:textId="77777777" w:rsidR="001614AC" w:rsidRDefault="001614AC">
            <w:pPr>
              <w:keepNext/>
              <w:spacing w:before="55" w:after="30" w:line="288" w:lineRule="auto"/>
              <w:jc w:val="right"/>
            </w:pPr>
          </w:p>
        </w:tc>
        <w:tc>
          <w:tcPr>
            <w:tcW w:w="105" w:type="dxa"/>
            <w:tcBorders>
              <w:top w:val="single" w:sz="8" w:space="0" w:color="C7C9C7"/>
              <w:left w:val="nil"/>
              <w:bottom w:val="nil"/>
              <w:right w:val="nil"/>
            </w:tcBorders>
            <w:tcMar>
              <w:top w:w="0" w:type="dxa"/>
              <w:left w:w="0" w:type="dxa"/>
              <w:bottom w:w="0" w:type="dxa"/>
              <w:right w:w="0" w:type="dxa"/>
            </w:tcMar>
            <w:vAlign w:val="bottom"/>
          </w:tcPr>
          <w:p w14:paraId="3F0A5467" w14:textId="77777777" w:rsidR="001614AC" w:rsidRDefault="001614AC">
            <w:pPr>
              <w:keepNext/>
            </w:pPr>
          </w:p>
        </w:tc>
        <w:tc>
          <w:tcPr>
            <w:tcW w:w="160" w:type="dxa"/>
            <w:tcBorders>
              <w:top w:val="single" w:sz="8" w:space="0" w:color="C7C9C7"/>
              <w:left w:val="nil"/>
              <w:bottom w:val="single" w:sz="8" w:space="0" w:color="E9E9E9"/>
              <w:right w:val="nil"/>
            </w:tcBorders>
            <w:tcMar>
              <w:top w:w="0" w:type="dxa"/>
              <w:left w:w="53" w:type="dxa"/>
              <w:bottom w:w="0" w:type="dxa"/>
              <w:right w:w="0" w:type="dxa"/>
            </w:tcMar>
            <w:vAlign w:val="bottom"/>
          </w:tcPr>
          <w:p w14:paraId="0A54C7CA" w14:textId="77777777" w:rsidR="001614AC" w:rsidRDefault="004468F9">
            <w:pPr>
              <w:keepNext/>
              <w:spacing w:before="55" w:after="30" w:line="288" w:lineRule="auto"/>
            </w:pPr>
            <w:r>
              <w:rPr>
                <w:rFonts w:ascii="Arial" w:eastAsia="Arial" w:hAnsi="Arial" w:cs="Arial"/>
                <w:color w:val="000000"/>
                <w:sz w:val="18"/>
              </w:rPr>
              <w:t>$</w:t>
            </w:r>
          </w:p>
        </w:tc>
        <w:tc>
          <w:tcPr>
            <w:tcW w:w="985" w:type="dxa"/>
            <w:tcBorders>
              <w:top w:val="single" w:sz="8" w:space="0" w:color="C7C9C7"/>
              <w:left w:val="nil"/>
              <w:bottom w:val="single" w:sz="8" w:space="0" w:color="E9E9E9"/>
              <w:right w:val="nil"/>
            </w:tcBorders>
            <w:tcMar>
              <w:top w:w="0" w:type="dxa"/>
              <w:left w:w="0" w:type="dxa"/>
              <w:bottom w:w="0" w:type="dxa"/>
              <w:right w:w="0" w:type="dxa"/>
            </w:tcMar>
            <w:vAlign w:val="bottom"/>
          </w:tcPr>
          <w:p w14:paraId="71815816" w14:textId="77777777" w:rsidR="001614AC" w:rsidRDefault="004468F9">
            <w:pPr>
              <w:keepNext/>
              <w:spacing w:before="55" w:after="30" w:line="288" w:lineRule="auto"/>
              <w:jc w:val="right"/>
            </w:pPr>
            <w:r>
              <w:rPr>
                <w:rFonts w:ascii="Arial" w:eastAsia="Arial" w:hAnsi="Arial" w:cs="Arial"/>
                <w:color w:val="000000"/>
                <w:sz w:val="18"/>
              </w:rPr>
              <w:t>(33,090)</w:t>
            </w:r>
          </w:p>
        </w:tc>
        <w:tc>
          <w:tcPr>
            <w:tcW w:w="100" w:type="dxa"/>
            <w:tcBorders>
              <w:top w:val="single" w:sz="8" w:space="0" w:color="C7C9C7"/>
              <w:left w:val="nil"/>
              <w:bottom w:val="single" w:sz="8" w:space="0" w:color="E9E9E9"/>
              <w:right w:val="nil"/>
            </w:tcBorders>
            <w:tcMar>
              <w:top w:w="0" w:type="dxa"/>
              <w:left w:w="0" w:type="dxa"/>
              <w:bottom w:w="0" w:type="dxa"/>
              <w:right w:w="15" w:type="dxa"/>
            </w:tcMar>
            <w:vAlign w:val="bottom"/>
          </w:tcPr>
          <w:p w14:paraId="0A1D3DAE" w14:textId="77777777" w:rsidR="001614AC" w:rsidRDefault="001614AC">
            <w:pPr>
              <w:keepNext/>
              <w:spacing w:before="55" w:after="30" w:line="288" w:lineRule="auto"/>
              <w:jc w:val="right"/>
            </w:pPr>
          </w:p>
        </w:tc>
        <w:tc>
          <w:tcPr>
            <w:tcW w:w="105" w:type="dxa"/>
            <w:tcBorders>
              <w:top w:val="single" w:sz="8" w:space="0" w:color="C7C9C7"/>
              <w:left w:val="nil"/>
              <w:bottom w:val="nil"/>
              <w:right w:val="nil"/>
            </w:tcBorders>
            <w:tcMar>
              <w:top w:w="0" w:type="dxa"/>
              <w:left w:w="0" w:type="dxa"/>
              <w:bottom w:w="0" w:type="dxa"/>
              <w:right w:w="0" w:type="dxa"/>
            </w:tcMar>
            <w:vAlign w:val="bottom"/>
          </w:tcPr>
          <w:p w14:paraId="1ED3EF17" w14:textId="77777777" w:rsidR="001614AC" w:rsidRDefault="001614AC">
            <w:pPr>
              <w:keepNext/>
            </w:pPr>
          </w:p>
        </w:tc>
        <w:tc>
          <w:tcPr>
            <w:tcW w:w="160" w:type="dxa"/>
            <w:tcBorders>
              <w:top w:val="single" w:sz="8" w:space="0" w:color="C7C9C7"/>
              <w:left w:val="nil"/>
              <w:bottom w:val="single" w:sz="8" w:space="0" w:color="E9E9E9"/>
              <w:right w:val="nil"/>
            </w:tcBorders>
            <w:tcMar>
              <w:top w:w="0" w:type="dxa"/>
              <w:left w:w="53" w:type="dxa"/>
              <w:bottom w:w="0" w:type="dxa"/>
              <w:right w:w="0" w:type="dxa"/>
            </w:tcMar>
            <w:vAlign w:val="bottom"/>
          </w:tcPr>
          <w:p w14:paraId="438805A5" w14:textId="77777777" w:rsidR="001614AC" w:rsidRDefault="004468F9">
            <w:pPr>
              <w:keepNext/>
              <w:spacing w:before="55" w:after="30" w:line="288" w:lineRule="auto"/>
            </w:pPr>
            <w:r>
              <w:rPr>
                <w:rFonts w:ascii="Arial" w:eastAsia="Arial" w:hAnsi="Arial" w:cs="Arial"/>
                <w:color w:val="000000"/>
                <w:sz w:val="18"/>
              </w:rPr>
              <w:t>$</w:t>
            </w:r>
          </w:p>
        </w:tc>
        <w:tc>
          <w:tcPr>
            <w:tcW w:w="985" w:type="dxa"/>
            <w:tcBorders>
              <w:top w:val="single" w:sz="8" w:space="0" w:color="C7C9C7"/>
              <w:left w:val="nil"/>
              <w:bottom w:val="single" w:sz="8" w:space="0" w:color="E9E9E9"/>
              <w:right w:val="nil"/>
            </w:tcBorders>
            <w:tcMar>
              <w:top w:w="0" w:type="dxa"/>
              <w:left w:w="0" w:type="dxa"/>
              <w:bottom w:w="0" w:type="dxa"/>
              <w:right w:w="0" w:type="dxa"/>
            </w:tcMar>
            <w:vAlign w:val="bottom"/>
          </w:tcPr>
          <w:p w14:paraId="544D5EEF" w14:textId="77777777" w:rsidR="001614AC" w:rsidRDefault="004468F9">
            <w:pPr>
              <w:keepNext/>
              <w:spacing w:before="55" w:after="30" w:line="288" w:lineRule="auto"/>
              <w:jc w:val="right"/>
            </w:pPr>
            <w:r>
              <w:rPr>
                <w:rFonts w:ascii="Arial" w:eastAsia="Arial" w:hAnsi="Arial" w:cs="Arial"/>
                <w:color w:val="000000"/>
                <w:sz w:val="18"/>
              </w:rPr>
              <w:t>10,460 </w:t>
            </w:r>
          </w:p>
        </w:tc>
        <w:tc>
          <w:tcPr>
            <w:tcW w:w="100" w:type="dxa"/>
            <w:tcBorders>
              <w:top w:val="single" w:sz="8" w:space="0" w:color="C7C9C7"/>
              <w:left w:val="nil"/>
              <w:bottom w:val="single" w:sz="8" w:space="0" w:color="E9E9E9"/>
              <w:right w:val="nil"/>
            </w:tcBorders>
            <w:tcMar>
              <w:top w:w="0" w:type="dxa"/>
              <w:left w:w="0" w:type="dxa"/>
              <w:bottom w:w="0" w:type="dxa"/>
              <w:right w:w="15" w:type="dxa"/>
            </w:tcMar>
            <w:vAlign w:val="bottom"/>
          </w:tcPr>
          <w:p w14:paraId="373FE86B" w14:textId="77777777" w:rsidR="001614AC" w:rsidRDefault="001614AC">
            <w:pPr>
              <w:keepNext/>
              <w:spacing w:before="55" w:after="30" w:line="288" w:lineRule="auto"/>
              <w:jc w:val="right"/>
            </w:pPr>
          </w:p>
        </w:tc>
        <w:tc>
          <w:tcPr>
            <w:tcW w:w="105" w:type="dxa"/>
            <w:tcBorders>
              <w:top w:val="single" w:sz="8" w:space="0" w:color="C7C9C7"/>
              <w:left w:val="nil"/>
              <w:bottom w:val="nil"/>
              <w:right w:val="nil"/>
            </w:tcBorders>
            <w:tcMar>
              <w:top w:w="0" w:type="dxa"/>
              <w:left w:w="0" w:type="dxa"/>
              <w:bottom w:w="0" w:type="dxa"/>
              <w:right w:w="0" w:type="dxa"/>
            </w:tcMar>
            <w:vAlign w:val="bottom"/>
          </w:tcPr>
          <w:p w14:paraId="29C4126F" w14:textId="77777777" w:rsidR="001614AC" w:rsidRDefault="001614AC">
            <w:pPr>
              <w:keepNext/>
            </w:pPr>
          </w:p>
        </w:tc>
        <w:tc>
          <w:tcPr>
            <w:tcW w:w="160" w:type="dxa"/>
            <w:tcBorders>
              <w:top w:val="single" w:sz="8" w:space="0" w:color="C7C9C7"/>
              <w:left w:val="nil"/>
              <w:bottom w:val="single" w:sz="8" w:space="0" w:color="E9E9E9"/>
              <w:right w:val="nil"/>
            </w:tcBorders>
            <w:tcMar>
              <w:top w:w="0" w:type="dxa"/>
              <w:left w:w="53" w:type="dxa"/>
              <w:bottom w:w="0" w:type="dxa"/>
              <w:right w:w="0" w:type="dxa"/>
            </w:tcMar>
            <w:vAlign w:val="bottom"/>
          </w:tcPr>
          <w:p w14:paraId="620403B0" w14:textId="77777777" w:rsidR="001614AC" w:rsidRDefault="004468F9">
            <w:pPr>
              <w:keepNext/>
              <w:spacing w:before="55" w:after="30" w:line="288" w:lineRule="auto"/>
            </w:pPr>
            <w:r>
              <w:rPr>
                <w:rFonts w:ascii="Arial" w:eastAsia="Arial" w:hAnsi="Arial" w:cs="Arial"/>
                <w:color w:val="000000"/>
                <w:sz w:val="18"/>
              </w:rPr>
              <w:t>$</w:t>
            </w:r>
          </w:p>
        </w:tc>
        <w:tc>
          <w:tcPr>
            <w:tcW w:w="985" w:type="dxa"/>
            <w:tcBorders>
              <w:top w:val="single" w:sz="8" w:space="0" w:color="C7C9C7"/>
              <w:left w:val="nil"/>
              <w:bottom w:val="single" w:sz="8" w:space="0" w:color="E9E9E9"/>
              <w:right w:val="nil"/>
            </w:tcBorders>
            <w:tcMar>
              <w:top w:w="0" w:type="dxa"/>
              <w:left w:w="0" w:type="dxa"/>
              <w:bottom w:w="0" w:type="dxa"/>
              <w:right w:w="0" w:type="dxa"/>
            </w:tcMar>
            <w:vAlign w:val="bottom"/>
          </w:tcPr>
          <w:p w14:paraId="4F0E6F32" w14:textId="77777777" w:rsidR="001614AC" w:rsidRDefault="004468F9">
            <w:pPr>
              <w:keepNext/>
              <w:spacing w:before="55" w:after="30" w:line="288" w:lineRule="auto"/>
              <w:jc w:val="right"/>
            </w:pPr>
            <w:r>
              <w:rPr>
                <w:rFonts w:ascii="Arial" w:eastAsia="Arial" w:hAnsi="Arial" w:cs="Arial"/>
                <w:color w:val="000000"/>
                <w:sz w:val="18"/>
              </w:rPr>
              <w:t>43,550 </w:t>
            </w:r>
          </w:p>
        </w:tc>
        <w:tc>
          <w:tcPr>
            <w:tcW w:w="100" w:type="dxa"/>
            <w:tcBorders>
              <w:top w:val="single" w:sz="8" w:space="0" w:color="C7C9C7"/>
              <w:left w:val="nil"/>
              <w:bottom w:val="single" w:sz="8" w:space="0" w:color="E9E9E9"/>
              <w:right w:val="nil"/>
            </w:tcBorders>
            <w:tcMar>
              <w:top w:w="0" w:type="dxa"/>
              <w:left w:w="0" w:type="dxa"/>
              <w:bottom w:w="0" w:type="dxa"/>
              <w:right w:w="15" w:type="dxa"/>
            </w:tcMar>
            <w:vAlign w:val="bottom"/>
          </w:tcPr>
          <w:p w14:paraId="77CCBF75" w14:textId="77777777" w:rsidR="001614AC" w:rsidRDefault="001614AC">
            <w:pPr>
              <w:keepNext/>
              <w:spacing w:before="55" w:after="30" w:line="288" w:lineRule="auto"/>
              <w:jc w:val="right"/>
            </w:pPr>
          </w:p>
        </w:tc>
        <w:tc>
          <w:tcPr>
            <w:tcW w:w="105" w:type="dxa"/>
            <w:tcBorders>
              <w:top w:val="single" w:sz="8" w:space="0" w:color="C7C9C7"/>
              <w:left w:val="nil"/>
              <w:bottom w:val="nil"/>
              <w:right w:val="nil"/>
            </w:tcBorders>
            <w:tcMar>
              <w:top w:w="0" w:type="dxa"/>
              <w:left w:w="0" w:type="dxa"/>
              <w:bottom w:w="0" w:type="dxa"/>
              <w:right w:w="0" w:type="dxa"/>
            </w:tcMar>
            <w:vAlign w:val="bottom"/>
          </w:tcPr>
          <w:p w14:paraId="04D9D3BC" w14:textId="77777777" w:rsidR="001614AC" w:rsidRDefault="001614AC">
            <w:pPr>
              <w:keepNext/>
            </w:pPr>
          </w:p>
        </w:tc>
        <w:tc>
          <w:tcPr>
            <w:tcW w:w="160" w:type="dxa"/>
            <w:tcBorders>
              <w:top w:val="single" w:sz="8" w:space="0" w:color="C7C9C7"/>
              <w:left w:val="nil"/>
              <w:bottom w:val="single" w:sz="8" w:space="0" w:color="E9E9E9"/>
              <w:right w:val="nil"/>
            </w:tcBorders>
            <w:tcMar>
              <w:top w:w="0" w:type="dxa"/>
              <w:left w:w="53" w:type="dxa"/>
              <w:bottom w:w="0" w:type="dxa"/>
              <w:right w:w="0" w:type="dxa"/>
            </w:tcMar>
            <w:vAlign w:val="bottom"/>
          </w:tcPr>
          <w:p w14:paraId="339C79E3" w14:textId="77777777" w:rsidR="001614AC" w:rsidRDefault="004468F9">
            <w:pPr>
              <w:keepNext/>
              <w:spacing w:before="55" w:after="30" w:line="288" w:lineRule="auto"/>
            </w:pPr>
            <w:r>
              <w:rPr>
                <w:rFonts w:ascii="Arial" w:eastAsia="Arial" w:hAnsi="Arial" w:cs="Arial"/>
                <w:color w:val="000000"/>
                <w:sz w:val="18"/>
              </w:rPr>
              <w:t>$</w:t>
            </w:r>
          </w:p>
        </w:tc>
        <w:tc>
          <w:tcPr>
            <w:tcW w:w="985" w:type="dxa"/>
            <w:tcBorders>
              <w:top w:val="single" w:sz="8" w:space="0" w:color="C7C9C7"/>
              <w:left w:val="nil"/>
              <w:bottom w:val="single" w:sz="8" w:space="0" w:color="E9E9E9"/>
              <w:right w:val="nil"/>
            </w:tcBorders>
            <w:tcMar>
              <w:top w:w="0" w:type="dxa"/>
              <w:left w:w="0" w:type="dxa"/>
              <w:bottom w:w="0" w:type="dxa"/>
              <w:right w:w="0" w:type="dxa"/>
            </w:tcMar>
            <w:vAlign w:val="bottom"/>
          </w:tcPr>
          <w:p w14:paraId="14FCC1D9" w14:textId="77777777" w:rsidR="001614AC" w:rsidRDefault="004468F9">
            <w:pPr>
              <w:keepNext/>
              <w:spacing w:before="55" w:after="30" w:line="288" w:lineRule="auto"/>
              <w:jc w:val="right"/>
            </w:pPr>
            <w:r>
              <w:rPr>
                <w:rFonts w:ascii="Arial" w:eastAsia="Arial" w:hAnsi="Arial" w:cs="Arial"/>
                <w:color w:val="000000"/>
                <w:sz w:val="18"/>
              </w:rPr>
              <w:t>(31,559)</w:t>
            </w:r>
          </w:p>
        </w:tc>
        <w:tc>
          <w:tcPr>
            <w:tcW w:w="100" w:type="dxa"/>
            <w:tcBorders>
              <w:top w:val="single" w:sz="8" w:space="0" w:color="C7C9C7"/>
              <w:left w:val="nil"/>
              <w:bottom w:val="single" w:sz="8" w:space="0" w:color="E9E9E9"/>
              <w:right w:val="nil"/>
            </w:tcBorders>
            <w:tcMar>
              <w:top w:w="0" w:type="dxa"/>
              <w:left w:w="0" w:type="dxa"/>
              <w:bottom w:w="0" w:type="dxa"/>
              <w:right w:w="15" w:type="dxa"/>
            </w:tcMar>
            <w:vAlign w:val="bottom"/>
          </w:tcPr>
          <w:p w14:paraId="3FA56724" w14:textId="77777777" w:rsidR="001614AC" w:rsidRDefault="001614AC">
            <w:pPr>
              <w:keepNext/>
              <w:spacing w:before="55" w:after="30" w:line="288" w:lineRule="auto"/>
              <w:jc w:val="right"/>
            </w:pPr>
          </w:p>
        </w:tc>
        <w:tc>
          <w:tcPr>
            <w:tcW w:w="105" w:type="dxa"/>
            <w:tcBorders>
              <w:top w:val="single" w:sz="8" w:space="0" w:color="C7C9C7"/>
              <w:left w:val="nil"/>
              <w:bottom w:val="nil"/>
              <w:right w:val="nil"/>
            </w:tcBorders>
            <w:tcMar>
              <w:top w:w="0" w:type="dxa"/>
              <w:left w:w="0" w:type="dxa"/>
              <w:bottom w:w="0" w:type="dxa"/>
              <w:right w:w="0" w:type="dxa"/>
            </w:tcMar>
            <w:vAlign w:val="bottom"/>
          </w:tcPr>
          <w:p w14:paraId="4772AA97" w14:textId="77777777" w:rsidR="001614AC" w:rsidRDefault="001614AC">
            <w:pPr>
              <w:keepNext/>
            </w:pPr>
          </w:p>
        </w:tc>
        <w:tc>
          <w:tcPr>
            <w:tcW w:w="160" w:type="dxa"/>
            <w:tcBorders>
              <w:top w:val="single" w:sz="8" w:space="0" w:color="C7C9C7"/>
              <w:left w:val="nil"/>
              <w:bottom w:val="single" w:sz="8" w:space="0" w:color="E9E9E9"/>
              <w:right w:val="nil"/>
            </w:tcBorders>
            <w:tcMar>
              <w:top w:w="0" w:type="dxa"/>
              <w:left w:w="53" w:type="dxa"/>
              <w:bottom w:w="0" w:type="dxa"/>
              <w:right w:w="0" w:type="dxa"/>
            </w:tcMar>
            <w:vAlign w:val="bottom"/>
          </w:tcPr>
          <w:p w14:paraId="15074CE2" w14:textId="77777777" w:rsidR="001614AC" w:rsidRDefault="004468F9">
            <w:pPr>
              <w:keepNext/>
              <w:spacing w:before="55" w:after="30" w:line="288" w:lineRule="auto"/>
            </w:pPr>
            <w:r>
              <w:rPr>
                <w:rFonts w:ascii="Arial" w:eastAsia="Arial" w:hAnsi="Arial" w:cs="Arial"/>
                <w:color w:val="000000"/>
                <w:sz w:val="18"/>
              </w:rPr>
              <w:t>$</w:t>
            </w:r>
          </w:p>
        </w:tc>
        <w:tc>
          <w:tcPr>
            <w:tcW w:w="985" w:type="dxa"/>
            <w:tcBorders>
              <w:top w:val="single" w:sz="8" w:space="0" w:color="C7C9C7"/>
              <w:left w:val="nil"/>
              <w:bottom w:val="single" w:sz="8" w:space="0" w:color="E9E9E9"/>
              <w:right w:val="nil"/>
            </w:tcBorders>
            <w:tcMar>
              <w:top w:w="0" w:type="dxa"/>
              <w:left w:w="0" w:type="dxa"/>
              <w:bottom w:w="0" w:type="dxa"/>
              <w:right w:w="0" w:type="dxa"/>
            </w:tcMar>
            <w:vAlign w:val="bottom"/>
          </w:tcPr>
          <w:p w14:paraId="541D2E67" w14:textId="77777777" w:rsidR="001614AC" w:rsidRDefault="004468F9">
            <w:pPr>
              <w:keepNext/>
              <w:spacing w:before="55" w:after="30" w:line="288" w:lineRule="auto"/>
              <w:jc w:val="right"/>
            </w:pPr>
            <w:r>
              <w:rPr>
                <w:rFonts w:ascii="Arial" w:eastAsia="Arial" w:hAnsi="Arial" w:cs="Arial"/>
                <w:color w:val="000000"/>
                <w:sz w:val="18"/>
              </w:rPr>
              <w:t>11,991 </w:t>
            </w:r>
          </w:p>
        </w:tc>
        <w:tc>
          <w:tcPr>
            <w:tcW w:w="100" w:type="dxa"/>
            <w:tcBorders>
              <w:top w:val="single" w:sz="8" w:space="0" w:color="C7C9C7"/>
              <w:left w:val="nil"/>
              <w:bottom w:val="single" w:sz="8" w:space="0" w:color="E9E9E9"/>
              <w:right w:val="nil"/>
            </w:tcBorders>
            <w:tcMar>
              <w:top w:w="0" w:type="dxa"/>
              <w:left w:w="0" w:type="dxa"/>
              <w:bottom w:w="0" w:type="dxa"/>
              <w:right w:w="15" w:type="dxa"/>
            </w:tcMar>
            <w:vAlign w:val="bottom"/>
          </w:tcPr>
          <w:p w14:paraId="7E89F703" w14:textId="77777777" w:rsidR="001614AC" w:rsidRDefault="001614AC">
            <w:pPr>
              <w:keepNext/>
              <w:spacing w:before="55" w:after="30" w:line="288" w:lineRule="auto"/>
              <w:jc w:val="right"/>
            </w:pPr>
          </w:p>
        </w:tc>
      </w:tr>
      <w:tr w:rsidR="001614AC" w14:paraId="6C17A515" w14:textId="77777777">
        <w:trPr>
          <w:cantSplit/>
        </w:trPr>
        <w:tc>
          <w:tcPr>
            <w:tcW w:w="1980" w:type="dxa"/>
            <w:tcBorders>
              <w:top w:val="single" w:sz="8" w:space="0" w:color="E9E9E9"/>
              <w:left w:val="nil"/>
              <w:bottom w:val="single" w:sz="8" w:space="0" w:color="E9E9E9"/>
              <w:right w:val="nil"/>
            </w:tcBorders>
            <w:tcMar>
              <w:top w:w="0" w:type="dxa"/>
              <w:left w:w="53" w:type="dxa"/>
              <w:bottom w:w="0" w:type="dxa"/>
              <w:right w:w="53" w:type="dxa"/>
            </w:tcMar>
            <w:vAlign w:val="bottom"/>
          </w:tcPr>
          <w:p w14:paraId="6B9E31B8" w14:textId="77777777" w:rsidR="001614AC" w:rsidRDefault="004468F9">
            <w:pPr>
              <w:keepNext/>
              <w:spacing w:before="55" w:after="30" w:line="288" w:lineRule="auto"/>
            </w:pPr>
            <w:r>
              <w:rPr>
                <w:rFonts w:ascii="Arial" w:eastAsia="Arial" w:hAnsi="Arial" w:cs="Arial"/>
                <w:color w:val="000000"/>
                <w:sz w:val="18"/>
              </w:rPr>
              <w:t>Technology</w:t>
            </w:r>
          </w:p>
        </w:tc>
        <w:tc>
          <w:tcPr>
            <w:tcW w:w="105" w:type="dxa"/>
            <w:tcBorders>
              <w:top w:val="nil"/>
              <w:left w:val="nil"/>
              <w:bottom w:val="nil"/>
              <w:right w:val="nil"/>
            </w:tcBorders>
            <w:tcMar>
              <w:top w:w="0" w:type="dxa"/>
              <w:left w:w="0" w:type="dxa"/>
              <w:bottom w:w="0" w:type="dxa"/>
              <w:right w:w="0" w:type="dxa"/>
            </w:tcMar>
            <w:vAlign w:val="bottom"/>
          </w:tcPr>
          <w:p w14:paraId="2EE65196" w14:textId="77777777" w:rsidR="001614AC" w:rsidRDefault="001614AC">
            <w:pPr>
              <w:keepNext/>
            </w:pPr>
          </w:p>
        </w:tc>
        <w:tc>
          <w:tcPr>
            <w:tcW w:w="114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54D4B724" w14:textId="77777777" w:rsidR="001614AC" w:rsidRDefault="004468F9">
            <w:pPr>
              <w:keepNext/>
              <w:spacing w:before="55" w:after="30" w:line="288" w:lineRule="auto"/>
              <w:jc w:val="right"/>
            </w:pPr>
            <w:r>
              <w:rPr>
                <w:rFonts w:ascii="Arial" w:eastAsia="Arial" w:hAnsi="Arial" w:cs="Arial"/>
                <w:color w:val="000000"/>
                <w:sz w:val="18"/>
              </w:rPr>
              <w:t>8,285 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7F82BD23" w14:textId="77777777" w:rsidR="001614AC" w:rsidRDefault="001614AC">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559ED87B" w14:textId="77777777" w:rsidR="001614AC" w:rsidRDefault="001614AC">
            <w:pPr>
              <w:keepNext/>
            </w:pPr>
          </w:p>
        </w:tc>
        <w:tc>
          <w:tcPr>
            <w:tcW w:w="114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49E3CEC2" w14:textId="77777777" w:rsidR="001614AC" w:rsidRDefault="004468F9">
            <w:pPr>
              <w:keepNext/>
              <w:spacing w:before="55" w:after="30" w:line="288" w:lineRule="auto"/>
              <w:jc w:val="right"/>
            </w:pPr>
            <w:r>
              <w:rPr>
                <w:rFonts w:ascii="Arial" w:eastAsia="Arial" w:hAnsi="Arial" w:cs="Arial"/>
                <w:color w:val="000000"/>
                <w:sz w:val="18"/>
              </w:rPr>
              <w:t>(7,523)</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437FCDC8" w14:textId="77777777" w:rsidR="001614AC" w:rsidRDefault="001614AC">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19063B50" w14:textId="77777777" w:rsidR="001614AC" w:rsidRDefault="001614AC">
            <w:pPr>
              <w:keepNext/>
            </w:pPr>
          </w:p>
        </w:tc>
        <w:tc>
          <w:tcPr>
            <w:tcW w:w="114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1F1E34BF" w14:textId="77777777" w:rsidR="001614AC" w:rsidRDefault="004468F9">
            <w:pPr>
              <w:keepNext/>
              <w:spacing w:before="55" w:after="30" w:line="288" w:lineRule="auto"/>
              <w:jc w:val="right"/>
            </w:pPr>
            <w:r>
              <w:rPr>
                <w:rFonts w:ascii="Arial" w:eastAsia="Arial" w:hAnsi="Arial" w:cs="Arial"/>
                <w:color w:val="000000"/>
                <w:sz w:val="18"/>
              </w:rPr>
              <w:t>762 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64DA3E34" w14:textId="77777777" w:rsidR="001614AC" w:rsidRDefault="001614AC">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23914149" w14:textId="77777777" w:rsidR="001614AC" w:rsidRDefault="001614AC">
            <w:pPr>
              <w:keepNext/>
            </w:pPr>
          </w:p>
        </w:tc>
        <w:tc>
          <w:tcPr>
            <w:tcW w:w="114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168252AE" w14:textId="77777777" w:rsidR="001614AC" w:rsidRDefault="004468F9">
            <w:pPr>
              <w:keepNext/>
              <w:spacing w:before="55" w:after="30" w:line="288" w:lineRule="auto"/>
              <w:jc w:val="right"/>
            </w:pPr>
            <w:r>
              <w:rPr>
                <w:rFonts w:ascii="Arial" w:eastAsia="Arial" w:hAnsi="Arial" w:cs="Arial"/>
                <w:color w:val="000000"/>
                <w:sz w:val="18"/>
              </w:rPr>
              <w:t>8,285 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20AAA9CA" w14:textId="77777777" w:rsidR="001614AC" w:rsidRDefault="001614AC">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4E407649" w14:textId="77777777" w:rsidR="001614AC" w:rsidRDefault="001614AC">
            <w:pPr>
              <w:keepNext/>
            </w:pPr>
          </w:p>
        </w:tc>
        <w:tc>
          <w:tcPr>
            <w:tcW w:w="114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1A06A870" w14:textId="77777777" w:rsidR="001614AC" w:rsidRDefault="004468F9">
            <w:pPr>
              <w:keepNext/>
              <w:spacing w:before="55" w:after="30" w:line="288" w:lineRule="auto"/>
              <w:jc w:val="right"/>
            </w:pPr>
            <w:r>
              <w:rPr>
                <w:rFonts w:ascii="Arial" w:eastAsia="Arial" w:hAnsi="Arial" w:cs="Arial"/>
                <w:color w:val="000000"/>
                <w:sz w:val="18"/>
              </w:rPr>
              <w:t>(7,370)</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0C7882F8" w14:textId="77777777" w:rsidR="001614AC" w:rsidRDefault="001614AC">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06451301" w14:textId="77777777" w:rsidR="001614AC" w:rsidRDefault="001614AC">
            <w:pPr>
              <w:keepNext/>
            </w:pPr>
          </w:p>
        </w:tc>
        <w:tc>
          <w:tcPr>
            <w:tcW w:w="114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22F6B59A" w14:textId="77777777" w:rsidR="001614AC" w:rsidRDefault="004468F9">
            <w:pPr>
              <w:keepNext/>
              <w:spacing w:before="55" w:after="30" w:line="288" w:lineRule="auto"/>
              <w:jc w:val="right"/>
            </w:pPr>
            <w:r>
              <w:rPr>
                <w:rFonts w:ascii="Arial" w:eastAsia="Arial" w:hAnsi="Arial" w:cs="Arial"/>
                <w:color w:val="000000"/>
                <w:sz w:val="18"/>
              </w:rPr>
              <w:t>915 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6DA19D2C" w14:textId="77777777" w:rsidR="001614AC" w:rsidRDefault="001614AC">
            <w:pPr>
              <w:keepNext/>
              <w:spacing w:before="55" w:after="30" w:line="288" w:lineRule="auto"/>
              <w:jc w:val="right"/>
            </w:pPr>
          </w:p>
        </w:tc>
      </w:tr>
      <w:tr w:rsidR="001614AC" w14:paraId="23217F33" w14:textId="77777777">
        <w:trPr>
          <w:cantSplit/>
        </w:trPr>
        <w:tc>
          <w:tcPr>
            <w:tcW w:w="1980" w:type="dxa"/>
            <w:tcBorders>
              <w:top w:val="single" w:sz="8" w:space="0" w:color="E9E9E9"/>
              <w:left w:val="nil"/>
              <w:bottom w:val="nil"/>
              <w:right w:val="nil"/>
            </w:tcBorders>
            <w:tcMar>
              <w:top w:w="0" w:type="dxa"/>
              <w:left w:w="53" w:type="dxa"/>
              <w:bottom w:w="0" w:type="dxa"/>
              <w:right w:w="53" w:type="dxa"/>
            </w:tcMar>
            <w:vAlign w:val="bottom"/>
          </w:tcPr>
          <w:p w14:paraId="6224F975" w14:textId="77777777" w:rsidR="001614AC" w:rsidRDefault="004468F9">
            <w:pPr>
              <w:keepNext/>
              <w:spacing w:before="55" w:after="30" w:line="288" w:lineRule="auto"/>
            </w:pPr>
            <w:r>
              <w:rPr>
                <w:rFonts w:ascii="Arial" w:eastAsia="Arial" w:hAnsi="Arial" w:cs="Arial"/>
                <w:color w:val="000000"/>
                <w:sz w:val="18"/>
              </w:rPr>
              <w:t>Licenses</w:t>
            </w:r>
          </w:p>
        </w:tc>
        <w:tc>
          <w:tcPr>
            <w:tcW w:w="105" w:type="dxa"/>
            <w:tcBorders>
              <w:top w:val="nil"/>
              <w:left w:val="nil"/>
              <w:bottom w:val="nil"/>
              <w:right w:val="nil"/>
            </w:tcBorders>
            <w:tcMar>
              <w:top w:w="0" w:type="dxa"/>
              <w:left w:w="0" w:type="dxa"/>
              <w:bottom w:w="0" w:type="dxa"/>
              <w:right w:w="0" w:type="dxa"/>
            </w:tcMar>
            <w:vAlign w:val="bottom"/>
          </w:tcPr>
          <w:p w14:paraId="3F82EDD2" w14:textId="77777777" w:rsidR="001614AC" w:rsidRDefault="001614AC">
            <w:pPr>
              <w:keepNext/>
            </w:pPr>
          </w:p>
        </w:tc>
        <w:tc>
          <w:tcPr>
            <w:tcW w:w="1145" w:type="dxa"/>
            <w:gridSpan w:val="2"/>
            <w:tcBorders>
              <w:top w:val="single" w:sz="8" w:space="0" w:color="E9E9E9"/>
              <w:left w:val="nil"/>
              <w:bottom w:val="single" w:sz="8" w:space="0" w:color="C7C9C7"/>
              <w:right w:val="nil"/>
            </w:tcBorders>
            <w:tcMar>
              <w:top w:w="0" w:type="dxa"/>
              <w:left w:w="53" w:type="dxa"/>
              <w:bottom w:w="0" w:type="dxa"/>
              <w:right w:w="0" w:type="dxa"/>
            </w:tcMar>
            <w:vAlign w:val="bottom"/>
          </w:tcPr>
          <w:p w14:paraId="1CEA75D8" w14:textId="77777777" w:rsidR="001614AC" w:rsidRDefault="004468F9">
            <w:pPr>
              <w:keepNext/>
              <w:spacing w:before="55" w:after="30" w:line="288" w:lineRule="auto"/>
              <w:jc w:val="right"/>
            </w:pPr>
            <w:r>
              <w:rPr>
                <w:rFonts w:ascii="Arial" w:eastAsia="Arial" w:hAnsi="Arial" w:cs="Arial"/>
                <w:color w:val="000000"/>
                <w:sz w:val="18"/>
              </w:rPr>
              <w:t>463 </w:t>
            </w:r>
          </w:p>
        </w:tc>
        <w:tc>
          <w:tcPr>
            <w:tcW w:w="100" w:type="dxa"/>
            <w:tcBorders>
              <w:top w:val="single" w:sz="8" w:space="0" w:color="E9E9E9"/>
              <w:left w:val="nil"/>
              <w:bottom w:val="single" w:sz="8" w:space="0" w:color="C7C9C7"/>
              <w:right w:val="nil"/>
            </w:tcBorders>
            <w:tcMar>
              <w:top w:w="0" w:type="dxa"/>
              <w:left w:w="0" w:type="dxa"/>
              <w:bottom w:w="0" w:type="dxa"/>
              <w:right w:w="15" w:type="dxa"/>
            </w:tcMar>
            <w:vAlign w:val="bottom"/>
          </w:tcPr>
          <w:p w14:paraId="69B7B02A" w14:textId="77777777" w:rsidR="001614AC" w:rsidRDefault="001614AC">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46EE2D26" w14:textId="77777777" w:rsidR="001614AC" w:rsidRDefault="001614AC">
            <w:pPr>
              <w:keepNext/>
            </w:pPr>
          </w:p>
        </w:tc>
        <w:tc>
          <w:tcPr>
            <w:tcW w:w="1145" w:type="dxa"/>
            <w:gridSpan w:val="2"/>
            <w:tcBorders>
              <w:top w:val="single" w:sz="8" w:space="0" w:color="E9E9E9"/>
              <w:left w:val="nil"/>
              <w:bottom w:val="single" w:sz="8" w:space="0" w:color="C7C9C7"/>
              <w:right w:val="nil"/>
            </w:tcBorders>
            <w:tcMar>
              <w:top w:w="0" w:type="dxa"/>
              <w:left w:w="53" w:type="dxa"/>
              <w:bottom w:w="0" w:type="dxa"/>
              <w:right w:w="0" w:type="dxa"/>
            </w:tcMar>
            <w:vAlign w:val="bottom"/>
          </w:tcPr>
          <w:p w14:paraId="3A46E83E" w14:textId="77777777" w:rsidR="001614AC" w:rsidRDefault="004468F9">
            <w:pPr>
              <w:keepNext/>
              <w:spacing w:before="55" w:after="30" w:line="288" w:lineRule="auto"/>
              <w:jc w:val="right"/>
            </w:pPr>
            <w:r>
              <w:rPr>
                <w:rFonts w:ascii="Arial" w:eastAsia="Arial" w:hAnsi="Arial" w:cs="Arial"/>
                <w:color w:val="000000"/>
                <w:sz w:val="18"/>
              </w:rPr>
              <w:t>(169)</w:t>
            </w:r>
          </w:p>
        </w:tc>
        <w:tc>
          <w:tcPr>
            <w:tcW w:w="100" w:type="dxa"/>
            <w:tcBorders>
              <w:top w:val="single" w:sz="8" w:space="0" w:color="E9E9E9"/>
              <w:left w:val="nil"/>
              <w:bottom w:val="single" w:sz="8" w:space="0" w:color="C7C9C7"/>
              <w:right w:val="nil"/>
            </w:tcBorders>
            <w:tcMar>
              <w:top w:w="0" w:type="dxa"/>
              <w:left w:w="0" w:type="dxa"/>
              <w:bottom w:w="0" w:type="dxa"/>
              <w:right w:w="15" w:type="dxa"/>
            </w:tcMar>
            <w:vAlign w:val="bottom"/>
          </w:tcPr>
          <w:p w14:paraId="4D485968" w14:textId="77777777" w:rsidR="001614AC" w:rsidRDefault="001614AC">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6B9ABE2D" w14:textId="77777777" w:rsidR="001614AC" w:rsidRDefault="001614AC">
            <w:pPr>
              <w:keepNext/>
            </w:pPr>
          </w:p>
        </w:tc>
        <w:tc>
          <w:tcPr>
            <w:tcW w:w="1145" w:type="dxa"/>
            <w:gridSpan w:val="2"/>
            <w:tcBorders>
              <w:top w:val="single" w:sz="8" w:space="0" w:color="E9E9E9"/>
              <w:left w:val="nil"/>
              <w:bottom w:val="single" w:sz="8" w:space="0" w:color="C7C9C7"/>
              <w:right w:val="nil"/>
            </w:tcBorders>
            <w:tcMar>
              <w:top w:w="0" w:type="dxa"/>
              <w:left w:w="53" w:type="dxa"/>
              <w:bottom w:w="0" w:type="dxa"/>
              <w:right w:w="0" w:type="dxa"/>
            </w:tcMar>
            <w:vAlign w:val="bottom"/>
          </w:tcPr>
          <w:p w14:paraId="2A7EA48F" w14:textId="77777777" w:rsidR="001614AC" w:rsidRDefault="004468F9">
            <w:pPr>
              <w:keepNext/>
              <w:spacing w:before="55" w:after="30" w:line="288" w:lineRule="auto"/>
              <w:jc w:val="right"/>
            </w:pPr>
            <w:r>
              <w:rPr>
                <w:rFonts w:ascii="Arial" w:eastAsia="Arial" w:hAnsi="Arial" w:cs="Arial"/>
                <w:color w:val="000000"/>
                <w:sz w:val="18"/>
              </w:rPr>
              <w:t>294 </w:t>
            </w:r>
          </w:p>
        </w:tc>
        <w:tc>
          <w:tcPr>
            <w:tcW w:w="100" w:type="dxa"/>
            <w:tcBorders>
              <w:top w:val="single" w:sz="8" w:space="0" w:color="E9E9E9"/>
              <w:left w:val="nil"/>
              <w:bottom w:val="single" w:sz="8" w:space="0" w:color="C7C9C7"/>
              <w:right w:val="nil"/>
            </w:tcBorders>
            <w:tcMar>
              <w:top w:w="0" w:type="dxa"/>
              <w:left w:w="0" w:type="dxa"/>
              <w:bottom w:w="0" w:type="dxa"/>
              <w:right w:w="15" w:type="dxa"/>
            </w:tcMar>
            <w:vAlign w:val="bottom"/>
          </w:tcPr>
          <w:p w14:paraId="577BBE1E" w14:textId="77777777" w:rsidR="001614AC" w:rsidRDefault="001614AC">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41395945" w14:textId="77777777" w:rsidR="001614AC" w:rsidRDefault="001614AC">
            <w:pPr>
              <w:keepNext/>
            </w:pPr>
          </w:p>
        </w:tc>
        <w:tc>
          <w:tcPr>
            <w:tcW w:w="1145" w:type="dxa"/>
            <w:gridSpan w:val="2"/>
            <w:tcBorders>
              <w:top w:val="single" w:sz="8" w:space="0" w:color="E9E9E9"/>
              <w:left w:val="nil"/>
              <w:bottom w:val="single" w:sz="8" w:space="0" w:color="C7C9C7"/>
              <w:right w:val="nil"/>
            </w:tcBorders>
            <w:tcMar>
              <w:top w:w="0" w:type="dxa"/>
              <w:left w:w="53" w:type="dxa"/>
              <w:bottom w:w="0" w:type="dxa"/>
              <w:right w:w="0" w:type="dxa"/>
            </w:tcMar>
            <w:vAlign w:val="bottom"/>
          </w:tcPr>
          <w:p w14:paraId="502273C6" w14:textId="77777777" w:rsidR="001614AC" w:rsidRDefault="004468F9">
            <w:pPr>
              <w:keepNext/>
              <w:spacing w:before="55" w:after="30" w:line="288" w:lineRule="auto"/>
              <w:jc w:val="right"/>
            </w:pPr>
            <w:r>
              <w:rPr>
                <w:rFonts w:ascii="Arial" w:eastAsia="Arial" w:hAnsi="Arial" w:cs="Arial"/>
                <w:color w:val="000000"/>
                <w:sz w:val="18"/>
              </w:rPr>
              <w:t>463 </w:t>
            </w:r>
          </w:p>
        </w:tc>
        <w:tc>
          <w:tcPr>
            <w:tcW w:w="100" w:type="dxa"/>
            <w:tcBorders>
              <w:top w:val="single" w:sz="8" w:space="0" w:color="E9E9E9"/>
              <w:left w:val="nil"/>
              <w:bottom w:val="single" w:sz="8" w:space="0" w:color="C7C9C7"/>
              <w:right w:val="nil"/>
            </w:tcBorders>
            <w:tcMar>
              <w:top w:w="0" w:type="dxa"/>
              <w:left w:w="0" w:type="dxa"/>
              <w:bottom w:w="0" w:type="dxa"/>
              <w:right w:w="15" w:type="dxa"/>
            </w:tcMar>
            <w:vAlign w:val="bottom"/>
          </w:tcPr>
          <w:p w14:paraId="54C04640" w14:textId="77777777" w:rsidR="001614AC" w:rsidRDefault="001614AC">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6F53DE7D" w14:textId="77777777" w:rsidR="001614AC" w:rsidRDefault="001614AC">
            <w:pPr>
              <w:keepNext/>
            </w:pPr>
          </w:p>
        </w:tc>
        <w:tc>
          <w:tcPr>
            <w:tcW w:w="1145" w:type="dxa"/>
            <w:gridSpan w:val="2"/>
            <w:tcBorders>
              <w:top w:val="single" w:sz="8" w:space="0" w:color="E9E9E9"/>
              <w:left w:val="nil"/>
              <w:bottom w:val="single" w:sz="8" w:space="0" w:color="C7C9C7"/>
              <w:right w:val="nil"/>
            </w:tcBorders>
            <w:tcMar>
              <w:top w:w="0" w:type="dxa"/>
              <w:left w:w="53" w:type="dxa"/>
              <w:bottom w:w="0" w:type="dxa"/>
              <w:right w:w="0" w:type="dxa"/>
            </w:tcMar>
            <w:vAlign w:val="bottom"/>
          </w:tcPr>
          <w:p w14:paraId="7F8B480F" w14:textId="77777777" w:rsidR="001614AC" w:rsidRDefault="004468F9">
            <w:pPr>
              <w:keepNext/>
              <w:spacing w:before="55" w:after="30" w:line="288" w:lineRule="auto"/>
              <w:jc w:val="right"/>
            </w:pPr>
            <w:r>
              <w:rPr>
                <w:rFonts w:ascii="Arial" w:eastAsia="Arial" w:hAnsi="Arial" w:cs="Arial"/>
                <w:color w:val="000000"/>
                <w:sz w:val="18"/>
              </w:rPr>
              <w:t>(128)</w:t>
            </w:r>
          </w:p>
        </w:tc>
        <w:tc>
          <w:tcPr>
            <w:tcW w:w="100" w:type="dxa"/>
            <w:tcBorders>
              <w:top w:val="single" w:sz="8" w:space="0" w:color="E9E9E9"/>
              <w:left w:val="nil"/>
              <w:bottom w:val="single" w:sz="8" w:space="0" w:color="C7C9C7"/>
              <w:right w:val="nil"/>
            </w:tcBorders>
            <w:tcMar>
              <w:top w:w="0" w:type="dxa"/>
              <w:left w:w="0" w:type="dxa"/>
              <w:bottom w:w="0" w:type="dxa"/>
              <w:right w:w="15" w:type="dxa"/>
            </w:tcMar>
            <w:vAlign w:val="bottom"/>
          </w:tcPr>
          <w:p w14:paraId="1D5861F6" w14:textId="77777777" w:rsidR="001614AC" w:rsidRDefault="001614AC">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62B2CD3E" w14:textId="77777777" w:rsidR="001614AC" w:rsidRDefault="001614AC">
            <w:pPr>
              <w:keepNext/>
            </w:pPr>
          </w:p>
        </w:tc>
        <w:tc>
          <w:tcPr>
            <w:tcW w:w="1145" w:type="dxa"/>
            <w:gridSpan w:val="2"/>
            <w:tcBorders>
              <w:top w:val="single" w:sz="8" w:space="0" w:color="E9E9E9"/>
              <w:left w:val="nil"/>
              <w:bottom w:val="single" w:sz="8" w:space="0" w:color="C7C9C7"/>
              <w:right w:val="nil"/>
            </w:tcBorders>
            <w:tcMar>
              <w:top w:w="0" w:type="dxa"/>
              <w:left w:w="53" w:type="dxa"/>
              <w:bottom w:w="0" w:type="dxa"/>
              <w:right w:w="0" w:type="dxa"/>
            </w:tcMar>
            <w:vAlign w:val="bottom"/>
          </w:tcPr>
          <w:p w14:paraId="0078AA2E" w14:textId="77777777" w:rsidR="001614AC" w:rsidRDefault="004468F9">
            <w:pPr>
              <w:keepNext/>
              <w:spacing w:before="55" w:after="30" w:line="288" w:lineRule="auto"/>
              <w:jc w:val="right"/>
            </w:pPr>
            <w:r>
              <w:rPr>
                <w:rFonts w:ascii="Arial" w:eastAsia="Arial" w:hAnsi="Arial" w:cs="Arial"/>
                <w:color w:val="000000"/>
                <w:sz w:val="18"/>
              </w:rPr>
              <w:t>335 </w:t>
            </w:r>
          </w:p>
        </w:tc>
        <w:tc>
          <w:tcPr>
            <w:tcW w:w="100" w:type="dxa"/>
            <w:tcBorders>
              <w:top w:val="single" w:sz="8" w:space="0" w:color="E9E9E9"/>
              <w:left w:val="nil"/>
              <w:bottom w:val="single" w:sz="8" w:space="0" w:color="C7C9C7"/>
              <w:right w:val="nil"/>
            </w:tcBorders>
            <w:tcMar>
              <w:top w:w="0" w:type="dxa"/>
              <w:left w:w="0" w:type="dxa"/>
              <w:bottom w:w="0" w:type="dxa"/>
              <w:right w:w="15" w:type="dxa"/>
            </w:tcMar>
            <w:vAlign w:val="bottom"/>
          </w:tcPr>
          <w:p w14:paraId="30255458" w14:textId="77777777" w:rsidR="001614AC" w:rsidRDefault="001614AC">
            <w:pPr>
              <w:keepNext/>
              <w:spacing w:before="55" w:after="30" w:line="288" w:lineRule="auto"/>
              <w:jc w:val="right"/>
            </w:pPr>
          </w:p>
        </w:tc>
      </w:tr>
      <w:tr w:rsidR="001614AC" w14:paraId="4D10E35C" w14:textId="77777777">
        <w:trPr>
          <w:cantSplit/>
        </w:trPr>
        <w:tc>
          <w:tcPr>
            <w:tcW w:w="1980" w:type="dxa"/>
            <w:tcBorders>
              <w:top w:val="nil"/>
              <w:left w:val="nil"/>
              <w:bottom w:val="nil"/>
              <w:right w:val="nil"/>
            </w:tcBorders>
            <w:shd w:val="clear" w:color="auto" w:fill="F4F4F4"/>
            <w:tcMar>
              <w:top w:w="0" w:type="dxa"/>
              <w:left w:w="53" w:type="dxa"/>
              <w:bottom w:w="0" w:type="dxa"/>
              <w:right w:w="53" w:type="dxa"/>
            </w:tcMar>
            <w:vAlign w:val="bottom"/>
          </w:tcPr>
          <w:p w14:paraId="57199497" w14:textId="77777777" w:rsidR="001614AC" w:rsidRDefault="004468F9">
            <w:pPr>
              <w:spacing w:before="75" w:after="30" w:line="288" w:lineRule="auto"/>
            </w:pPr>
            <w:r>
              <w:rPr>
                <w:rFonts w:ascii="Arial" w:eastAsia="Arial" w:hAnsi="Arial" w:cs="Arial"/>
                <w:color w:val="000000"/>
                <w:sz w:val="18"/>
              </w:rPr>
              <w:t>Total</w:t>
            </w:r>
          </w:p>
        </w:tc>
        <w:tc>
          <w:tcPr>
            <w:tcW w:w="105" w:type="dxa"/>
            <w:tcBorders>
              <w:top w:val="nil"/>
              <w:left w:val="nil"/>
              <w:bottom w:val="nil"/>
              <w:right w:val="nil"/>
            </w:tcBorders>
            <w:shd w:val="clear" w:color="auto" w:fill="F4F4F4"/>
            <w:tcMar>
              <w:top w:w="0" w:type="dxa"/>
              <w:left w:w="0" w:type="dxa"/>
              <w:bottom w:w="0" w:type="dxa"/>
              <w:right w:w="0" w:type="dxa"/>
            </w:tcMar>
            <w:vAlign w:val="bottom"/>
          </w:tcPr>
          <w:p w14:paraId="0B664AE0" w14:textId="77777777" w:rsidR="001614AC" w:rsidRDefault="001614AC"/>
        </w:tc>
        <w:tc>
          <w:tcPr>
            <w:tcW w:w="160" w:type="dxa"/>
            <w:tcBorders>
              <w:top w:val="single" w:sz="8" w:space="0" w:color="C7C9C7"/>
              <w:left w:val="nil"/>
              <w:bottom w:val="double" w:sz="8" w:space="0" w:color="C7C9C7"/>
              <w:right w:val="nil"/>
            </w:tcBorders>
            <w:shd w:val="clear" w:color="auto" w:fill="F4F4F4"/>
            <w:tcMar>
              <w:top w:w="0" w:type="dxa"/>
              <w:left w:w="53" w:type="dxa"/>
              <w:bottom w:w="0" w:type="dxa"/>
              <w:right w:w="0" w:type="dxa"/>
            </w:tcMar>
            <w:vAlign w:val="bottom"/>
          </w:tcPr>
          <w:p w14:paraId="6E531F48" w14:textId="77777777" w:rsidR="001614AC" w:rsidRDefault="004468F9">
            <w:pPr>
              <w:spacing w:before="55" w:after="30" w:line="288" w:lineRule="auto"/>
            </w:pPr>
            <w:r>
              <w:rPr>
                <w:rFonts w:ascii="Arial" w:eastAsia="Arial" w:hAnsi="Arial" w:cs="Arial"/>
                <w:color w:val="000000"/>
                <w:sz w:val="18"/>
              </w:rPr>
              <w:t>$</w:t>
            </w:r>
          </w:p>
        </w:tc>
        <w:tc>
          <w:tcPr>
            <w:tcW w:w="985" w:type="dxa"/>
            <w:tcBorders>
              <w:top w:val="single" w:sz="8" w:space="0" w:color="C7C9C7"/>
              <w:left w:val="nil"/>
              <w:bottom w:val="double" w:sz="8" w:space="0" w:color="C7C9C7"/>
              <w:right w:val="nil"/>
            </w:tcBorders>
            <w:shd w:val="clear" w:color="auto" w:fill="F4F4F4"/>
            <w:tcMar>
              <w:top w:w="0" w:type="dxa"/>
              <w:left w:w="0" w:type="dxa"/>
              <w:bottom w:w="0" w:type="dxa"/>
              <w:right w:w="0" w:type="dxa"/>
            </w:tcMar>
            <w:vAlign w:val="bottom"/>
          </w:tcPr>
          <w:p w14:paraId="05E3F7EF" w14:textId="77777777" w:rsidR="001614AC" w:rsidRDefault="004468F9">
            <w:pPr>
              <w:spacing w:before="55" w:after="30" w:line="288" w:lineRule="auto"/>
              <w:jc w:val="right"/>
            </w:pPr>
            <w:r>
              <w:rPr>
                <w:rFonts w:ascii="Arial" w:eastAsia="Arial" w:hAnsi="Arial" w:cs="Arial"/>
                <w:color w:val="000000"/>
                <w:sz w:val="18"/>
              </w:rPr>
              <w:t>52,298 </w:t>
            </w:r>
          </w:p>
        </w:tc>
        <w:tc>
          <w:tcPr>
            <w:tcW w:w="100" w:type="dxa"/>
            <w:tcBorders>
              <w:top w:val="single" w:sz="8" w:space="0" w:color="C7C9C7"/>
              <w:left w:val="nil"/>
              <w:bottom w:val="double" w:sz="8" w:space="0" w:color="C7C9C7"/>
              <w:right w:val="nil"/>
            </w:tcBorders>
            <w:shd w:val="clear" w:color="auto" w:fill="F4F4F4"/>
            <w:tcMar>
              <w:top w:w="0" w:type="dxa"/>
              <w:left w:w="0" w:type="dxa"/>
              <w:bottom w:w="0" w:type="dxa"/>
              <w:right w:w="15" w:type="dxa"/>
            </w:tcMar>
            <w:vAlign w:val="bottom"/>
          </w:tcPr>
          <w:p w14:paraId="15AB3929" w14:textId="77777777" w:rsidR="001614AC" w:rsidRDefault="001614AC">
            <w:pPr>
              <w:spacing w:before="55" w:after="30" w:line="288" w:lineRule="auto"/>
              <w:jc w:val="right"/>
            </w:pPr>
          </w:p>
        </w:tc>
        <w:tc>
          <w:tcPr>
            <w:tcW w:w="105" w:type="dxa"/>
            <w:tcBorders>
              <w:top w:val="nil"/>
              <w:left w:val="nil"/>
              <w:bottom w:val="nil"/>
              <w:right w:val="nil"/>
            </w:tcBorders>
            <w:shd w:val="clear" w:color="auto" w:fill="F4F4F4"/>
            <w:tcMar>
              <w:top w:w="0" w:type="dxa"/>
              <w:left w:w="0" w:type="dxa"/>
              <w:bottom w:w="0" w:type="dxa"/>
              <w:right w:w="0" w:type="dxa"/>
            </w:tcMar>
            <w:vAlign w:val="bottom"/>
          </w:tcPr>
          <w:p w14:paraId="64BC893F" w14:textId="77777777" w:rsidR="001614AC" w:rsidRDefault="001614AC"/>
        </w:tc>
        <w:tc>
          <w:tcPr>
            <w:tcW w:w="160" w:type="dxa"/>
            <w:tcBorders>
              <w:top w:val="single" w:sz="8" w:space="0" w:color="C7C9C7"/>
              <w:left w:val="nil"/>
              <w:bottom w:val="double" w:sz="8" w:space="0" w:color="C7C9C7"/>
              <w:right w:val="nil"/>
            </w:tcBorders>
            <w:shd w:val="clear" w:color="auto" w:fill="F4F4F4"/>
            <w:tcMar>
              <w:top w:w="0" w:type="dxa"/>
              <w:left w:w="53" w:type="dxa"/>
              <w:bottom w:w="0" w:type="dxa"/>
              <w:right w:w="0" w:type="dxa"/>
            </w:tcMar>
            <w:vAlign w:val="bottom"/>
          </w:tcPr>
          <w:p w14:paraId="2FEA2E4C" w14:textId="77777777" w:rsidR="001614AC" w:rsidRDefault="004468F9">
            <w:pPr>
              <w:spacing w:before="55" w:after="30" w:line="288" w:lineRule="auto"/>
            </w:pPr>
            <w:r>
              <w:rPr>
                <w:rFonts w:ascii="Arial" w:eastAsia="Arial" w:hAnsi="Arial" w:cs="Arial"/>
                <w:color w:val="000000"/>
                <w:sz w:val="18"/>
              </w:rPr>
              <w:t>$</w:t>
            </w:r>
          </w:p>
        </w:tc>
        <w:tc>
          <w:tcPr>
            <w:tcW w:w="985" w:type="dxa"/>
            <w:tcBorders>
              <w:top w:val="single" w:sz="8" w:space="0" w:color="C7C9C7"/>
              <w:left w:val="nil"/>
              <w:bottom w:val="double" w:sz="8" w:space="0" w:color="C7C9C7"/>
              <w:right w:val="nil"/>
            </w:tcBorders>
            <w:shd w:val="clear" w:color="auto" w:fill="F4F4F4"/>
            <w:tcMar>
              <w:top w:w="0" w:type="dxa"/>
              <w:left w:w="0" w:type="dxa"/>
              <w:bottom w:w="0" w:type="dxa"/>
              <w:right w:w="0" w:type="dxa"/>
            </w:tcMar>
            <w:vAlign w:val="bottom"/>
          </w:tcPr>
          <w:p w14:paraId="45FEEF7A" w14:textId="77777777" w:rsidR="001614AC" w:rsidRDefault="004468F9">
            <w:pPr>
              <w:spacing w:before="55" w:after="30" w:line="288" w:lineRule="auto"/>
              <w:jc w:val="right"/>
            </w:pPr>
            <w:r>
              <w:rPr>
                <w:rFonts w:ascii="Arial" w:eastAsia="Arial" w:hAnsi="Arial" w:cs="Arial"/>
                <w:color w:val="000000"/>
                <w:sz w:val="18"/>
              </w:rPr>
              <w:t>(40,782)</w:t>
            </w:r>
          </w:p>
        </w:tc>
        <w:tc>
          <w:tcPr>
            <w:tcW w:w="100" w:type="dxa"/>
            <w:tcBorders>
              <w:top w:val="single" w:sz="8" w:space="0" w:color="C7C9C7"/>
              <w:left w:val="nil"/>
              <w:bottom w:val="double" w:sz="8" w:space="0" w:color="C7C9C7"/>
              <w:right w:val="nil"/>
            </w:tcBorders>
            <w:shd w:val="clear" w:color="auto" w:fill="F4F4F4"/>
            <w:tcMar>
              <w:top w:w="0" w:type="dxa"/>
              <w:left w:w="0" w:type="dxa"/>
              <w:bottom w:w="0" w:type="dxa"/>
              <w:right w:w="15" w:type="dxa"/>
            </w:tcMar>
            <w:vAlign w:val="bottom"/>
          </w:tcPr>
          <w:p w14:paraId="6035FB4D" w14:textId="77777777" w:rsidR="001614AC" w:rsidRDefault="001614AC">
            <w:pPr>
              <w:spacing w:before="55" w:after="30" w:line="288" w:lineRule="auto"/>
              <w:jc w:val="right"/>
            </w:pPr>
          </w:p>
        </w:tc>
        <w:tc>
          <w:tcPr>
            <w:tcW w:w="105" w:type="dxa"/>
            <w:tcBorders>
              <w:top w:val="nil"/>
              <w:left w:val="nil"/>
              <w:bottom w:val="nil"/>
              <w:right w:val="nil"/>
            </w:tcBorders>
            <w:shd w:val="clear" w:color="auto" w:fill="F4F4F4"/>
            <w:tcMar>
              <w:top w:w="0" w:type="dxa"/>
              <w:left w:w="0" w:type="dxa"/>
              <w:bottom w:w="0" w:type="dxa"/>
              <w:right w:w="0" w:type="dxa"/>
            </w:tcMar>
            <w:vAlign w:val="bottom"/>
          </w:tcPr>
          <w:p w14:paraId="11F6ACF7" w14:textId="77777777" w:rsidR="001614AC" w:rsidRDefault="001614AC"/>
        </w:tc>
        <w:tc>
          <w:tcPr>
            <w:tcW w:w="160" w:type="dxa"/>
            <w:tcBorders>
              <w:top w:val="single" w:sz="8" w:space="0" w:color="C7C9C7"/>
              <w:left w:val="nil"/>
              <w:bottom w:val="double" w:sz="8" w:space="0" w:color="C7C9C7"/>
              <w:right w:val="nil"/>
            </w:tcBorders>
            <w:shd w:val="clear" w:color="auto" w:fill="F4F4F4"/>
            <w:tcMar>
              <w:top w:w="0" w:type="dxa"/>
              <w:left w:w="53" w:type="dxa"/>
              <w:bottom w:w="0" w:type="dxa"/>
              <w:right w:w="0" w:type="dxa"/>
            </w:tcMar>
            <w:vAlign w:val="bottom"/>
          </w:tcPr>
          <w:p w14:paraId="3F563A1A" w14:textId="77777777" w:rsidR="001614AC" w:rsidRDefault="004468F9">
            <w:pPr>
              <w:spacing w:before="55" w:after="30" w:line="288" w:lineRule="auto"/>
            </w:pPr>
            <w:r>
              <w:rPr>
                <w:rFonts w:ascii="Arial" w:eastAsia="Arial" w:hAnsi="Arial" w:cs="Arial"/>
                <w:color w:val="000000"/>
                <w:sz w:val="18"/>
              </w:rPr>
              <w:t>$</w:t>
            </w:r>
          </w:p>
        </w:tc>
        <w:tc>
          <w:tcPr>
            <w:tcW w:w="985" w:type="dxa"/>
            <w:tcBorders>
              <w:top w:val="single" w:sz="8" w:space="0" w:color="C7C9C7"/>
              <w:left w:val="nil"/>
              <w:bottom w:val="double" w:sz="8" w:space="0" w:color="C7C9C7"/>
              <w:right w:val="nil"/>
            </w:tcBorders>
            <w:shd w:val="clear" w:color="auto" w:fill="F4F4F4"/>
            <w:tcMar>
              <w:top w:w="0" w:type="dxa"/>
              <w:left w:w="0" w:type="dxa"/>
              <w:bottom w:w="0" w:type="dxa"/>
              <w:right w:w="0" w:type="dxa"/>
            </w:tcMar>
            <w:vAlign w:val="bottom"/>
          </w:tcPr>
          <w:p w14:paraId="69FFBE07" w14:textId="77777777" w:rsidR="001614AC" w:rsidRDefault="004468F9">
            <w:pPr>
              <w:spacing w:before="55" w:after="30" w:line="288" w:lineRule="auto"/>
              <w:jc w:val="right"/>
            </w:pPr>
            <w:r>
              <w:rPr>
                <w:rFonts w:ascii="Arial" w:eastAsia="Arial" w:hAnsi="Arial" w:cs="Arial"/>
                <w:color w:val="000000"/>
                <w:sz w:val="18"/>
              </w:rPr>
              <w:t>11,516 </w:t>
            </w:r>
          </w:p>
        </w:tc>
        <w:tc>
          <w:tcPr>
            <w:tcW w:w="100" w:type="dxa"/>
            <w:tcBorders>
              <w:top w:val="single" w:sz="8" w:space="0" w:color="C7C9C7"/>
              <w:left w:val="nil"/>
              <w:bottom w:val="double" w:sz="8" w:space="0" w:color="C7C9C7"/>
              <w:right w:val="nil"/>
            </w:tcBorders>
            <w:shd w:val="clear" w:color="auto" w:fill="F4F4F4"/>
            <w:tcMar>
              <w:top w:w="0" w:type="dxa"/>
              <w:left w:w="0" w:type="dxa"/>
              <w:bottom w:w="0" w:type="dxa"/>
              <w:right w:w="15" w:type="dxa"/>
            </w:tcMar>
            <w:vAlign w:val="bottom"/>
          </w:tcPr>
          <w:p w14:paraId="1329F06E" w14:textId="77777777" w:rsidR="001614AC" w:rsidRDefault="001614AC">
            <w:pPr>
              <w:spacing w:before="55" w:after="30" w:line="288" w:lineRule="auto"/>
              <w:jc w:val="right"/>
            </w:pPr>
          </w:p>
        </w:tc>
        <w:tc>
          <w:tcPr>
            <w:tcW w:w="105" w:type="dxa"/>
            <w:tcBorders>
              <w:top w:val="nil"/>
              <w:left w:val="nil"/>
              <w:bottom w:val="nil"/>
              <w:right w:val="nil"/>
            </w:tcBorders>
            <w:shd w:val="clear" w:color="auto" w:fill="F4F4F4"/>
            <w:tcMar>
              <w:top w:w="0" w:type="dxa"/>
              <w:left w:w="0" w:type="dxa"/>
              <w:bottom w:w="0" w:type="dxa"/>
              <w:right w:w="0" w:type="dxa"/>
            </w:tcMar>
            <w:vAlign w:val="bottom"/>
          </w:tcPr>
          <w:p w14:paraId="4AF9764A" w14:textId="77777777" w:rsidR="001614AC" w:rsidRDefault="001614AC"/>
        </w:tc>
        <w:tc>
          <w:tcPr>
            <w:tcW w:w="160" w:type="dxa"/>
            <w:tcBorders>
              <w:top w:val="single" w:sz="8" w:space="0" w:color="C7C9C7"/>
              <w:left w:val="nil"/>
              <w:bottom w:val="double" w:sz="8" w:space="0" w:color="C7C9C7"/>
              <w:right w:val="nil"/>
            </w:tcBorders>
            <w:shd w:val="clear" w:color="auto" w:fill="F4F4F4"/>
            <w:tcMar>
              <w:top w:w="0" w:type="dxa"/>
              <w:left w:w="53" w:type="dxa"/>
              <w:bottom w:w="0" w:type="dxa"/>
              <w:right w:w="0" w:type="dxa"/>
            </w:tcMar>
            <w:vAlign w:val="bottom"/>
          </w:tcPr>
          <w:p w14:paraId="5F3BD5EA" w14:textId="77777777" w:rsidR="001614AC" w:rsidRDefault="004468F9">
            <w:pPr>
              <w:spacing w:before="55" w:after="30" w:line="288" w:lineRule="auto"/>
            </w:pPr>
            <w:r>
              <w:rPr>
                <w:rFonts w:ascii="Arial" w:eastAsia="Arial" w:hAnsi="Arial" w:cs="Arial"/>
                <w:color w:val="000000"/>
                <w:sz w:val="18"/>
              </w:rPr>
              <w:t>$</w:t>
            </w:r>
          </w:p>
        </w:tc>
        <w:tc>
          <w:tcPr>
            <w:tcW w:w="985" w:type="dxa"/>
            <w:tcBorders>
              <w:top w:val="single" w:sz="8" w:space="0" w:color="C7C9C7"/>
              <w:left w:val="nil"/>
              <w:bottom w:val="double" w:sz="8" w:space="0" w:color="C7C9C7"/>
              <w:right w:val="nil"/>
            </w:tcBorders>
            <w:shd w:val="clear" w:color="auto" w:fill="F4F4F4"/>
            <w:tcMar>
              <w:top w:w="0" w:type="dxa"/>
              <w:left w:w="0" w:type="dxa"/>
              <w:bottom w:w="0" w:type="dxa"/>
              <w:right w:w="0" w:type="dxa"/>
            </w:tcMar>
            <w:vAlign w:val="bottom"/>
          </w:tcPr>
          <w:p w14:paraId="158A5477" w14:textId="77777777" w:rsidR="001614AC" w:rsidRDefault="004468F9">
            <w:pPr>
              <w:spacing w:before="55" w:after="30" w:line="288" w:lineRule="auto"/>
              <w:jc w:val="right"/>
            </w:pPr>
            <w:r>
              <w:rPr>
                <w:rFonts w:ascii="Arial" w:eastAsia="Arial" w:hAnsi="Arial" w:cs="Arial"/>
                <w:color w:val="000000"/>
                <w:sz w:val="18"/>
              </w:rPr>
              <w:t>52,298 </w:t>
            </w:r>
          </w:p>
        </w:tc>
        <w:tc>
          <w:tcPr>
            <w:tcW w:w="100" w:type="dxa"/>
            <w:tcBorders>
              <w:top w:val="single" w:sz="8" w:space="0" w:color="C7C9C7"/>
              <w:left w:val="nil"/>
              <w:bottom w:val="double" w:sz="8" w:space="0" w:color="C7C9C7"/>
              <w:right w:val="nil"/>
            </w:tcBorders>
            <w:shd w:val="clear" w:color="auto" w:fill="F4F4F4"/>
            <w:tcMar>
              <w:top w:w="0" w:type="dxa"/>
              <w:left w:w="0" w:type="dxa"/>
              <w:bottom w:w="0" w:type="dxa"/>
              <w:right w:w="15" w:type="dxa"/>
            </w:tcMar>
            <w:vAlign w:val="bottom"/>
          </w:tcPr>
          <w:p w14:paraId="76D726A1" w14:textId="77777777" w:rsidR="001614AC" w:rsidRDefault="001614AC">
            <w:pPr>
              <w:spacing w:before="55" w:after="30" w:line="288" w:lineRule="auto"/>
              <w:jc w:val="right"/>
            </w:pPr>
          </w:p>
        </w:tc>
        <w:tc>
          <w:tcPr>
            <w:tcW w:w="105" w:type="dxa"/>
            <w:tcBorders>
              <w:top w:val="nil"/>
              <w:left w:val="nil"/>
              <w:bottom w:val="nil"/>
              <w:right w:val="nil"/>
            </w:tcBorders>
            <w:shd w:val="clear" w:color="auto" w:fill="F4F4F4"/>
            <w:tcMar>
              <w:top w:w="0" w:type="dxa"/>
              <w:left w:w="0" w:type="dxa"/>
              <w:bottom w:w="0" w:type="dxa"/>
              <w:right w:w="0" w:type="dxa"/>
            </w:tcMar>
            <w:vAlign w:val="bottom"/>
          </w:tcPr>
          <w:p w14:paraId="36F1E0AE" w14:textId="77777777" w:rsidR="001614AC" w:rsidRDefault="001614AC"/>
        </w:tc>
        <w:tc>
          <w:tcPr>
            <w:tcW w:w="160" w:type="dxa"/>
            <w:tcBorders>
              <w:top w:val="single" w:sz="8" w:space="0" w:color="C7C9C7"/>
              <w:left w:val="nil"/>
              <w:bottom w:val="double" w:sz="8" w:space="0" w:color="C7C9C7"/>
              <w:right w:val="nil"/>
            </w:tcBorders>
            <w:shd w:val="clear" w:color="auto" w:fill="F4F4F4"/>
            <w:tcMar>
              <w:top w:w="0" w:type="dxa"/>
              <w:left w:w="53" w:type="dxa"/>
              <w:bottom w:w="0" w:type="dxa"/>
              <w:right w:w="0" w:type="dxa"/>
            </w:tcMar>
            <w:vAlign w:val="bottom"/>
          </w:tcPr>
          <w:p w14:paraId="78454627" w14:textId="77777777" w:rsidR="001614AC" w:rsidRDefault="004468F9">
            <w:pPr>
              <w:spacing w:before="55" w:after="30" w:line="288" w:lineRule="auto"/>
            </w:pPr>
            <w:r>
              <w:rPr>
                <w:rFonts w:ascii="Arial" w:eastAsia="Arial" w:hAnsi="Arial" w:cs="Arial"/>
                <w:color w:val="000000"/>
                <w:sz w:val="18"/>
              </w:rPr>
              <w:t>$</w:t>
            </w:r>
          </w:p>
        </w:tc>
        <w:tc>
          <w:tcPr>
            <w:tcW w:w="985" w:type="dxa"/>
            <w:tcBorders>
              <w:top w:val="single" w:sz="8" w:space="0" w:color="C7C9C7"/>
              <w:left w:val="nil"/>
              <w:bottom w:val="double" w:sz="8" w:space="0" w:color="C7C9C7"/>
              <w:right w:val="nil"/>
            </w:tcBorders>
            <w:shd w:val="clear" w:color="auto" w:fill="F4F4F4"/>
            <w:tcMar>
              <w:top w:w="0" w:type="dxa"/>
              <w:left w:w="0" w:type="dxa"/>
              <w:bottom w:w="0" w:type="dxa"/>
              <w:right w:w="0" w:type="dxa"/>
            </w:tcMar>
            <w:vAlign w:val="bottom"/>
          </w:tcPr>
          <w:p w14:paraId="14A1494C" w14:textId="77777777" w:rsidR="001614AC" w:rsidRDefault="004468F9">
            <w:pPr>
              <w:spacing w:before="55" w:after="30" w:line="288" w:lineRule="auto"/>
              <w:jc w:val="right"/>
            </w:pPr>
            <w:r>
              <w:rPr>
                <w:rFonts w:ascii="Arial" w:eastAsia="Arial" w:hAnsi="Arial" w:cs="Arial"/>
                <w:color w:val="000000"/>
                <w:sz w:val="18"/>
              </w:rPr>
              <w:t>(39,057)</w:t>
            </w:r>
          </w:p>
        </w:tc>
        <w:tc>
          <w:tcPr>
            <w:tcW w:w="100" w:type="dxa"/>
            <w:tcBorders>
              <w:top w:val="single" w:sz="8" w:space="0" w:color="C7C9C7"/>
              <w:left w:val="nil"/>
              <w:bottom w:val="double" w:sz="8" w:space="0" w:color="C7C9C7"/>
              <w:right w:val="nil"/>
            </w:tcBorders>
            <w:shd w:val="clear" w:color="auto" w:fill="F4F4F4"/>
            <w:tcMar>
              <w:top w:w="0" w:type="dxa"/>
              <w:left w:w="0" w:type="dxa"/>
              <w:bottom w:w="0" w:type="dxa"/>
              <w:right w:w="15" w:type="dxa"/>
            </w:tcMar>
            <w:vAlign w:val="bottom"/>
          </w:tcPr>
          <w:p w14:paraId="0A85974B" w14:textId="77777777" w:rsidR="001614AC" w:rsidRDefault="001614AC">
            <w:pPr>
              <w:spacing w:before="55" w:after="30" w:line="288" w:lineRule="auto"/>
              <w:jc w:val="right"/>
            </w:pPr>
          </w:p>
        </w:tc>
        <w:tc>
          <w:tcPr>
            <w:tcW w:w="105" w:type="dxa"/>
            <w:tcBorders>
              <w:top w:val="nil"/>
              <w:left w:val="nil"/>
              <w:bottom w:val="nil"/>
              <w:right w:val="nil"/>
            </w:tcBorders>
            <w:shd w:val="clear" w:color="auto" w:fill="F4F4F4"/>
            <w:tcMar>
              <w:top w:w="0" w:type="dxa"/>
              <w:left w:w="0" w:type="dxa"/>
              <w:bottom w:w="0" w:type="dxa"/>
              <w:right w:w="0" w:type="dxa"/>
            </w:tcMar>
            <w:vAlign w:val="bottom"/>
          </w:tcPr>
          <w:p w14:paraId="4209D1F1" w14:textId="77777777" w:rsidR="001614AC" w:rsidRDefault="001614AC"/>
        </w:tc>
        <w:tc>
          <w:tcPr>
            <w:tcW w:w="160" w:type="dxa"/>
            <w:tcBorders>
              <w:top w:val="single" w:sz="8" w:space="0" w:color="C7C9C7"/>
              <w:left w:val="nil"/>
              <w:bottom w:val="double" w:sz="8" w:space="0" w:color="C7C9C7"/>
              <w:right w:val="nil"/>
            </w:tcBorders>
            <w:shd w:val="clear" w:color="auto" w:fill="F4F4F4"/>
            <w:tcMar>
              <w:top w:w="0" w:type="dxa"/>
              <w:left w:w="53" w:type="dxa"/>
              <w:bottom w:w="0" w:type="dxa"/>
              <w:right w:w="0" w:type="dxa"/>
            </w:tcMar>
            <w:vAlign w:val="bottom"/>
          </w:tcPr>
          <w:p w14:paraId="0DC7DF26" w14:textId="77777777" w:rsidR="001614AC" w:rsidRDefault="004468F9">
            <w:pPr>
              <w:spacing w:before="55" w:after="30" w:line="288" w:lineRule="auto"/>
            </w:pPr>
            <w:r>
              <w:rPr>
                <w:rFonts w:ascii="Arial" w:eastAsia="Arial" w:hAnsi="Arial" w:cs="Arial"/>
                <w:color w:val="000000"/>
                <w:sz w:val="18"/>
              </w:rPr>
              <w:t>$</w:t>
            </w:r>
          </w:p>
        </w:tc>
        <w:tc>
          <w:tcPr>
            <w:tcW w:w="985" w:type="dxa"/>
            <w:tcBorders>
              <w:top w:val="single" w:sz="8" w:space="0" w:color="C7C9C7"/>
              <w:left w:val="nil"/>
              <w:bottom w:val="double" w:sz="8" w:space="0" w:color="C7C9C7"/>
              <w:right w:val="nil"/>
            </w:tcBorders>
            <w:shd w:val="clear" w:color="auto" w:fill="F4F4F4"/>
            <w:tcMar>
              <w:top w:w="0" w:type="dxa"/>
              <w:left w:w="0" w:type="dxa"/>
              <w:bottom w:w="0" w:type="dxa"/>
              <w:right w:w="0" w:type="dxa"/>
            </w:tcMar>
            <w:vAlign w:val="bottom"/>
          </w:tcPr>
          <w:p w14:paraId="47C86B0D" w14:textId="77777777" w:rsidR="001614AC" w:rsidRDefault="004468F9">
            <w:pPr>
              <w:spacing w:before="55" w:after="30" w:line="288" w:lineRule="auto"/>
              <w:jc w:val="right"/>
            </w:pPr>
            <w:r>
              <w:rPr>
                <w:rFonts w:ascii="Arial" w:eastAsia="Arial" w:hAnsi="Arial" w:cs="Arial"/>
                <w:color w:val="000000"/>
                <w:sz w:val="18"/>
              </w:rPr>
              <w:t>13,241 </w:t>
            </w:r>
          </w:p>
        </w:tc>
        <w:tc>
          <w:tcPr>
            <w:tcW w:w="100" w:type="dxa"/>
            <w:tcBorders>
              <w:top w:val="single" w:sz="8" w:space="0" w:color="C7C9C7"/>
              <w:left w:val="nil"/>
              <w:bottom w:val="double" w:sz="8" w:space="0" w:color="C7C9C7"/>
              <w:right w:val="nil"/>
            </w:tcBorders>
            <w:shd w:val="clear" w:color="auto" w:fill="F4F4F4"/>
            <w:tcMar>
              <w:top w:w="0" w:type="dxa"/>
              <w:left w:w="0" w:type="dxa"/>
              <w:bottom w:w="0" w:type="dxa"/>
              <w:right w:w="15" w:type="dxa"/>
            </w:tcMar>
            <w:vAlign w:val="bottom"/>
          </w:tcPr>
          <w:p w14:paraId="6EBFBF0A" w14:textId="77777777" w:rsidR="001614AC" w:rsidRDefault="001614AC">
            <w:pPr>
              <w:spacing w:before="55" w:after="30" w:line="288" w:lineRule="auto"/>
              <w:jc w:val="right"/>
            </w:pPr>
          </w:p>
        </w:tc>
      </w:tr>
    </w:tbl>
    <w:p w14:paraId="1BEF1CA9" w14:textId="77777777" w:rsidR="001614AC" w:rsidRDefault="004468F9">
      <w:pPr>
        <w:spacing w:before="200" w:line="288" w:lineRule="auto"/>
        <w:ind w:firstLine="450"/>
        <w:rPr>
          <w:rFonts w:ascii="Arial" w:eastAsia="Arial" w:hAnsi="Arial" w:cs="Arial"/>
          <w:b/>
          <w:color w:val="4D6B80"/>
          <w:sz w:val="18"/>
        </w:rPr>
      </w:pPr>
      <w:r>
        <w:rPr>
          <w:rFonts w:ascii="Arial" w:eastAsia="Arial" w:hAnsi="Arial" w:cs="Arial"/>
          <w:sz w:val="18"/>
        </w:rPr>
        <w:t>For additional information on our accounting policies for goodwill and other acquired intangible assets, see Notes 2 and 7 of Notes to Consolidated Financial Statements in our 2020 Form 10-K.</w:t>
      </w:r>
    </w:p>
    <w:p w14:paraId="3F2B49E0" w14:textId="77777777" w:rsidR="001614AC" w:rsidRDefault="001614AC">
      <w:pPr>
        <w:spacing w:before="200" w:line="288" w:lineRule="auto"/>
        <w:ind w:firstLine="450"/>
        <w:rPr>
          <w:rFonts w:ascii="Arial" w:eastAsia="Arial" w:hAnsi="Arial" w:cs="Arial"/>
          <w:b/>
          <w:color w:val="4D6B80"/>
          <w:sz w:val="18"/>
        </w:rPr>
        <w:sectPr w:rsidR="001614AC">
          <w:headerReference w:type="default" r:id="rId30"/>
          <w:type w:val="continuous"/>
          <w:pgSz w:w="12240" w:h="15840"/>
          <w:pgMar w:top="1260" w:right="1080" w:bottom="1080" w:left="1080" w:header="270" w:footer="270" w:gutter="0"/>
          <w:cols w:space="708"/>
        </w:sectPr>
      </w:pPr>
    </w:p>
    <w:p w14:paraId="7ABDDEFA" w14:textId="77777777" w:rsidR="001614AC" w:rsidRDefault="004468F9">
      <w:pPr>
        <w:keepNext/>
        <w:tabs>
          <w:tab w:val="left" w:pos="440"/>
        </w:tabs>
        <w:spacing w:after="160" w:line="288" w:lineRule="auto"/>
        <w:ind w:left="360" w:hanging="360"/>
        <w:outlineLvl w:val="3"/>
        <w:rPr>
          <w:rFonts w:ascii="Arial" w:eastAsia="Arial" w:hAnsi="Arial" w:cs="Arial"/>
          <w:b/>
          <w:color w:val="4D6B80"/>
          <w:sz w:val="30"/>
        </w:rPr>
      </w:pPr>
      <w:bookmarkStart w:id="19" w:name="Section20"/>
      <w:bookmarkEnd w:id="19"/>
      <w:r>
        <w:rPr>
          <w:rFonts w:ascii="Arial" w:eastAsia="Arial" w:hAnsi="Arial" w:cs="Arial"/>
          <w:b/>
          <w:color w:val="4D6B80"/>
          <w:sz w:val="30"/>
        </w:rPr>
        <w:lastRenderedPageBreak/>
        <w:t>8. Reinsurance</w:t>
      </w:r>
    </w:p>
    <w:p w14:paraId="61201D65" w14:textId="77777777" w:rsidR="001614AC" w:rsidRDefault="004468F9">
      <w:pPr>
        <w:spacing w:before="100" w:after="100" w:line="288" w:lineRule="auto"/>
        <w:ind w:firstLine="450"/>
        <w:rPr>
          <w:rFonts w:ascii="Arial" w:eastAsia="Arial" w:hAnsi="Arial" w:cs="Arial"/>
          <w:b/>
          <w:color w:val="4D6B80"/>
          <w:sz w:val="18"/>
        </w:rPr>
      </w:pPr>
      <w:r>
        <w:rPr>
          <w:rFonts w:ascii="Arial" w:eastAsia="Arial" w:hAnsi="Arial" w:cs="Arial"/>
          <w:sz w:val="18"/>
          <w:shd w:val="clear" w:color="auto" w:fill="FFFFFF"/>
        </w:rPr>
        <w:t xml:space="preserve">In our mortgage </w:t>
      </w:r>
      <w:r>
        <w:rPr>
          <w:rFonts w:ascii="Arial" w:eastAsia="Arial" w:hAnsi="Arial" w:cs="Arial"/>
          <w:sz w:val="18"/>
        </w:rPr>
        <w:t>insurance</w:t>
      </w:r>
      <w:r>
        <w:rPr>
          <w:rFonts w:ascii="Arial" w:eastAsia="Arial" w:hAnsi="Arial" w:cs="Arial"/>
          <w:sz w:val="18"/>
          <w:shd w:val="clear" w:color="auto" w:fill="FFFFFF"/>
        </w:rPr>
        <w:t xml:space="preserve"> and</w:t>
      </w:r>
      <w:r>
        <w:rPr>
          <w:rFonts w:ascii="Arial" w:eastAsia="Arial" w:hAnsi="Arial" w:cs="Arial"/>
          <w:sz w:val="18"/>
        </w:rPr>
        <w:t xml:space="preserve"> title insurance businesses, we use reinsurance as part of our risk distribution strategy, including to manage our capital position and risk profile. The reinsurance arrangements for our mortgage insurance business include p</w:t>
      </w:r>
      <w:r>
        <w:rPr>
          <w:rFonts w:ascii="Arial" w:eastAsia="Arial" w:hAnsi="Arial" w:cs="Arial"/>
          <w:sz w:val="18"/>
          <w:shd w:val="clear" w:color="auto" w:fill="FFFFFF"/>
        </w:rPr>
        <w:t>remiums ceded under the QSR Prog</w:t>
      </w:r>
      <w:r>
        <w:rPr>
          <w:rFonts w:ascii="Arial" w:eastAsia="Arial" w:hAnsi="Arial" w:cs="Arial"/>
          <w:sz w:val="18"/>
          <w:shd w:val="clear" w:color="auto" w:fill="FFFFFF"/>
        </w:rPr>
        <w:t>ram, the Single Premium QSR Program and the Excess-of-Loss Program. The amount of credit that we receive under the PMIERs financial requirements for our third-party reinsurance transactions is subject to ongoing review and approval by the GSEs.</w:t>
      </w:r>
    </w:p>
    <w:p w14:paraId="2814A035" w14:textId="77777777" w:rsidR="001614AC" w:rsidRDefault="004468F9">
      <w:pPr>
        <w:keepNext/>
        <w:spacing w:before="100" w:after="100" w:line="288" w:lineRule="auto"/>
        <w:ind w:firstLine="450"/>
        <w:rPr>
          <w:rFonts w:ascii="Arial" w:eastAsia="Arial" w:hAnsi="Arial" w:cs="Arial"/>
          <w:b/>
          <w:color w:val="4D6B80"/>
          <w:sz w:val="18"/>
        </w:rPr>
      </w:pPr>
      <w:r>
        <w:rPr>
          <w:rFonts w:ascii="Arial" w:eastAsia="Arial" w:hAnsi="Arial" w:cs="Arial"/>
          <w:sz w:val="18"/>
        </w:rPr>
        <w:t xml:space="preserve">The effect </w:t>
      </w:r>
      <w:r>
        <w:rPr>
          <w:rFonts w:ascii="Arial" w:eastAsia="Arial" w:hAnsi="Arial" w:cs="Arial"/>
          <w:sz w:val="18"/>
        </w:rPr>
        <w:t>of all of our reinsurance programs on our net income (loss) is as follows.</w:t>
      </w:r>
    </w:p>
    <w:tbl>
      <w:tblPr>
        <w:tblW w:w="102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54"/>
        <w:gridCol w:w="107"/>
        <w:gridCol w:w="163"/>
        <w:gridCol w:w="760"/>
        <w:gridCol w:w="102"/>
        <w:gridCol w:w="107"/>
        <w:gridCol w:w="163"/>
        <w:gridCol w:w="760"/>
        <w:gridCol w:w="102"/>
        <w:gridCol w:w="107"/>
        <w:gridCol w:w="163"/>
        <w:gridCol w:w="760"/>
        <w:gridCol w:w="102"/>
        <w:gridCol w:w="107"/>
        <w:gridCol w:w="163"/>
        <w:gridCol w:w="760"/>
        <w:gridCol w:w="102"/>
      </w:tblGrid>
      <w:tr w:rsidR="001614AC" w14:paraId="16EA0DBC" w14:textId="77777777">
        <w:trPr>
          <w:cantSplit/>
        </w:trPr>
        <w:tc>
          <w:tcPr>
            <w:tcW w:w="10080" w:type="dxa"/>
            <w:gridSpan w:val="17"/>
            <w:tcBorders>
              <w:top w:val="nil"/>
              <w:left w:val="nil"/>
              <w:bottom w:val="single" w:sz="12" w:space="0" w:color="99AAB6"/>
              <w:right w:val="nil"/>
            </w:tcBorders>
            <w:tcMar>
              <w:top w:w="0" w:type="dxa"/>
              <w:left w:w="53" w:type="dxa"/>
              <w:bottom w:w="0" w:type="dxa"/>
              <w:right w:w="53" w:type="dxa"/>
            </w:tcMar>
            <w:vAlign w:val="bottom"/>
          </w:tcPr>
          <w:p w14:paraId="3A52D60A" w14:textId="77777777" w:rsidR="001614AC" w:rsidRDefault="004468F9">
            <w:pPr>
              <w:keepNext/>
              <w:spacing w:before="75" w:after="30" w:line="288" w:lineRule="auto"/>
              <w:rPr>
                <w:rFonts w:ascii="Arial" w:eastAsia="Arial" w:hAnsi="Arial" w:cs="Arial"/>
                <w:b/>
                <w:sz w:val="20"/>
              </w:rPr>
            </w:pPr>
            <w:r>
              <w:rPr>
                <w:rFonts w:ascii="Arial" w:eastAsia="Arial" w:hAnsi="Arial" w:cs="Arial"/>
                <w:b/>
                <w:sz w:val="20"/>
              </w:rPr>
              <w:t>Reinsurance impacts</w:t>
            </w:r>
          </w:p>
        </w:tc>
      </w:tr>
      <w:tr w:rsidR="001614AC" w14:paraId="7095D9F2" w14:textId="77777777">
        <w:trPr>
          <w:cantSplit/>
          <w:trHeight w:hRule="exact" w:val="135"/>
        </w:trPr>
        <w:tc>
          <w:tcPr>
            <w:tcW w:w="5640" w:type="dxa"/>
            <w:tcBorders>
              <w:top w:val="nil"/>
              <w:left w:val="nil"/>
              <w:bottom w:val="nil"/>
              <w:right w:val="nil"/>
            </w:tcBorders>
            <w:tcMar>
              <w:top w:w="0" w:type="dxa"/>
              <w:left w:w="0" w:type="dxa"/>
              <w:bottom w:w="0" w:type="dxa"/>
              <w:right w:w="0" w:type="dxa"/>
            </w:tcMar>
            <w:vAlign w:val="bottom"/>
          </w:tcPr>
          <w:p w14:paraId="2C1D9F71" w14:textId="77777777" w:rsidR="001614AC" w:rsidRDefault="001614AC">
            <w:pPr>
              <w:keepNext/>
            </w:pPr>
          </w:p>
        </w:tc>
        <w:tc>
          <w:tcPr>
            <w:tcW w:w="105" w:type="dxa"/>
            <w:tcBorders>
              <w:top w:val="single" w:sz="12" w:space="0" w:color="99AAB6"/>
              <w:left w:val="nil"/>
              <w:bottom w:val="nil"/>
              <w:right w:val="nil"/>
            </w:tcBorders>
            <w:tcMar>
              <w:top w:w="0" w:type="dxa"/>
              <w:left w:w="0" w:type="dxa"/>
              <w:bottom w:w="0" w:type="dxa"/>
              <w:right w:w="0" w:type="dxa"/>
            </w:tcMar>
            <w:vAlign w:val="bottom"/>
          </w:tcPr>
          <w:p w14:paraId="077A8A18" w14:textId="77777777" w:rsidR="001614AC" w:rsidRDefault="001614AC">
            <w:pPr>
              <w:keepNext/>
            </w:pPr>
          </w:p>
        </w:tc>
        <w:tc>
          <w:tcPr>
            <w:tcW w:w="1005" w:type="dxa"/>
            <w:gridSpan w:val="3"/>
            <w:tcBorders>
              <w:top w:val="single" w:sz="12" w:space="0" w:color="99AAB6"/>
              <w:left w:val="nil"/>
              <w:bottom w:val="nil"/>
              <w:right w:val="nil"/>
            </w:tcBorders>
            <w:tcMar>
              <w:top w:w="0" w:type="dxa"/>
              <w:left w:w="0" w:type="dxa"/>
              <w:bottom w:w="0" w:type="dxa"/>
              <w:right w:w="0" w:type="dxa"/>
            </w:tcMar>
            <w:vAlign w:val="bottom"/>
          </w:tcPr>
          <w:p w14:paraId="03107E9C" w14:textId="77777777" w:rsidR="001614AC" w:rsidRDefault="001614AC">
            <w:pPr>
              <w:keepNext/>
            </w:pPr>
          </w:p>
        </w:tc>
        <w:tc>
          <w:tcPr>
            <w:tcW w:w="105" w:type="dxa"/>
            <w:tcBorders>
              <w:top w:val="single" w:sz="12" w:space="0" w:color="99AAB6"/>
              <w:left w:val="nil"/>
              <w:bottom w:val="nil"/>
              <w:right w:val="nil"/>
            </w:tcBorders>
            <w:tcMar>
              <w:top w:w="0" w:type="dxa"/>
              <w:left w:w="0" w:type="dxa"/>
              <w:bottom w:w="0" w:type="dxa"/>
              <w:right w:w="0" w:type="dxa"/>
            </w:tcMar>
            <w:vAlign w:val="bottom"/>
          </w:tcPr>
          <w:p w14:paraId="2AD5C984" w14:textId="77777777" w:rsidR="001614AC" w:rsidRDefault="001614AC">
            <w:pPr>
              <w:keepNext/>
            </w:pPr>
          </w:p>
        </w:tc>
        <w:tc>
          <w:tcPr>
            <w:tcW w:w="1005" w:type="dxa"/>
            <w:gridSpan w:val="3"/>
            <w:tcBorders>
              <w:top w:val="single" w:sz="12" w:space="0" w:color="99AAB6"/>
              <w:left w:val="nil"/>
              <w:bottom w:val="nil"/>
              <w:right w:val="nil"/>
            </w:tcBorders>
            <w:tcMar>
              <w:top w:w="0" w:type="dxa"/>
              <w:left w:w="0" w:type="dxa"/>
              <w:bottom w:w="0" w:type="dxa"/>
              <w:right w:w="0" w:type="dxa"/>
            </w:tcMar>
            <w:vAlign w:val="bottom"/>
          </w:tcPr>
          <w:p w14:paraId="66A09230" w14:textId="77777777" w:rsidR="001614AC" w:rsidRDefault="001614AC">
            <w:pPr>
              <w:keepNext/>
            </w:pPr>
          </w:p>
        </w:tc>
        <w:tc>
          <w:tcPr>
            <w:tcW w:w="105" w:type="dxa"/>
            <w:tcBorders>
              <w:top w:val="single" w:sz="12" w:space="0" w:color="99AAB6"/>
              <w:left w:val="nil"/>
              <w:bottom w:val="nil"/>
              <w:right w:val="nil"/>
            </w:tcBorders>
            <w:tcMar>
              <w:top w:w="0" w:type="dxa"/>
              <w:left w:w="0" w:type="dxa"/>
              <w:bottom w:w="0" w:type="dxa"/>
              <w:right w:w="0" w:type="dxa"/>
            </w:tcMar>
            <w:vAlign w:val="bottom"/>
          </w:tcPr>
          <w:p w14:paraId="391525FC" w14:textId="77777777" w:rsidR="001614AC" w:rsidRDefault="001614AC">
            <w:pPr>
              <w:keepNext/>
            </w:pPr>
          </w:p>
        </w:tc>
        <w:tc>
          <w:tcPr>
            <w:tcW w:w="1005" w:type="dxa"/>
            <w:gridSpan w:val="3"/>
            <w:tcBorders>
              <w:top w:val="single" w:sz="12" w:space="0" w:color="99AAB6"/>
              <w:left w:val="nil"/>
              <w:bottom w:val="nil"/>
              <w:right w:val="nil"/>
            </w:tcBorders>
            <w:tcMar>
              <w:top w:w="0" w:type="dxa"/>
              <w:left w:w="0" w:type="dxa"/>
              <w:bottom w:w="0" w:type="dxa"/>
              <w:right w:w="0" w:type="dxa"/>
            </w:tcMar>
            <w:vAlign w:val="bottom"/>
          </w:tcPr>
          <w:p w14:paraId="7B5F199F" w14:textId="77777777" w:rsidR="001614AC" w:rsidRDefault="001614AC">
            <w:pPr>
              <w:keepNext/>
            </w:pPr>
          </w:p>
        </w:tc>
        <w:tc>
          <w:tcPr>
            <w:tcW w:w="105" w:type="dxa"/>
            <w:tcBorders>
              <w:top w:val="single" w:sz="12" w:space="0" w:color="99AAB6"/>
              <w:left w:val="nil"/>
              <w:bottom w:val="nil"/>
              <w:right w:val="nil"/>
            </w:tcBorders>
            <w:tcMar>
              <w:top w:w="0" w:type="dxa"/>
              <w:left w:w="0" w:type="dxa"/>
              <w:bottom w:w="0" w:type="dxa"/>
              <w:right w:w="0" w:type="dxa"/>
            </w:tcMar>
            <w:vAlign w:val="bottom"/>
          </w:tcPr>
          <w:p w14:paraId="0A66EA3E" w14:textId="77777777" w:rsidR="001614AC" w:rsidRDefault="001614AC">
            <w:pPr>
              <w:keepNext/>
            </w:pPr>
          </w:p>
        </w:tc>
        <w:tc>
          <w:tcPr>
            <w:tcW w:w="1005" w:type="dxa"/>
            <w:gridSpan w:val="3"/>
            <w:tcBorders>
              <w:top w:val="single" w:sz="12" w:space="0" w:color="99AAB6"/>
              <w:left w:val="nil"/>
              <w:bottom w:val="nil"/>
              <w:right w:val="nil"/>
            </w:tcBorders>
            <w:tcMar>
              <w:top w:w="0" w:type="dxa"/>
              <w:left w:w="0" w:type="dxa"/>
              <w:bottom w:w="0" w:type="dxa"/>
              <w:right w:w="0" w:type="dxa"/>
            </w:tcMar>
            <w:vAlign w:val="bottom"/>
          </w:tcPr>
          <w:p w14:paraId="2934FB35" w14:textId="77777777" w:rsidR="001614AC" w:rsidRDefault="001614AC">
            <w:pPr>
              <w:keepNext/>
            </w:pPr>
          </w:p>
        </w:tc>
      </w:tr>
      <w:tr w:rsidR="001614AC" w14:paraId="4C6D54FE" w14:textId="77777777">
        <w:trPr>
          <w:cantSplit/>
        </w:trPr>
        <w:tc>
          <w:tcPr>
            <w:tcW w:w="5640" w:type="dxa"/>
            <w:tcBorders>
              <w:top w:val="nil"/>
              <w:left w:val="nil"/>
              <w:bottom w:val="single" w:sz="8" w:space="0" w:color="FFFFFF"/>
              <w:right w:val="nil"/>
            </w:tcBorders>
            <w:tcMar>
              <w:top w:w="0" w:type="dxa"/>
              <w:left w:w="0" w:type="dxa"/>
              <w:bottom w:w="0" w:type="dxa"/>
              <w:right w:w="0" w:type="dxa"/>
            </w:tcMar>
            <w:vAlign w:val="bottom"/>
          </w:tcPr>
          <w:p w14:paraId="3FD713DF" w14:textId="77777777" w:rsidR="001614AC" w:rsidRDefault="001614AC">
            <w:pPr>
              <w:keepNext/>
            </w:pPr>
          </w:p>
        </w:tc>
        <w:tc>
          <w:tcPr>
            <w:tcW w:w="105" w:type="dxa"/>
            <w:tcBorders>
              <w:top w:val="nil"/>
              <w:left w:val="nil"/>
              <w:bottom w:val="nil"/>
              <w:right w:val="nil"/>
            </w:tcBorders>
            <w:tcMar>
              <w:top w:w="0" w:type="dxa"/>
              <w:left w:w="0" w:type="dxa"/>
              <w:bottom w:w="0" w:type="dxa"/>
              <w:right w:w="0" w:type="dxa"/>
            </w:tcMar>
            <w:vAlign w:val="bottom"/>
          </w:tcPr>
          <w:p w14:paraId="39222EB3" w14:textId="77777777" w:rsidR="001614AC" w:rsidRDefault="001614AC">
            <w:pPr>
              <w:keepNext/>
            </w:pPr>
          </w:p>
        </w:tc>
        <w:tc>
          <w:tcPr>
            <w:tcW w:w="2115" w:type="dxa"/>
            <w:gridSpan w:val="7"/>
            <w:tcBorders>
              <w:top w:val="nil"/>
              <w:left w:val="nil"/>
              <w:bottom w:val="single" w:sz="8" w:space="0" w:color="FFFFFF"/>
              <w:right w:val="nil"/>
            </w:tcBorders>
            <w:tcMar>
              <w:top w:w="0" w:type="dxa"/>
              <w:left w:w="53" w:type="dxa"/>
              <w:bottom w:w="0" w:type="dxa"/>
              <w:right w:w="53" w:type="dxa"/>
            </w:tcMar>
            <w:vAlign w:val="bottom"/>
          </w:tcPr>
          <w:p w14:paraId="6F6656F3" w14:textId="77777777" w:rsidR="001614AC" w:rsidRDefault="004468F9">
            <w:pPr>
              <w:keepNext/>
              <w:spacing w:before="75" w:line="288" w:lineRule="auto"/>
              <w:jc w:val="center"/>
            </w:pPr>
            <w:r>
              <w:rPr>
                <w:rFonts w:ascii="Arial" w:eastAsia="Arial" w:hAnsi="Arial" w:cs="Arial"/>
                <w:b/>
                <w:color w:val="00BAB3"/>
                <w:sz w:val="18"/>
              </w:rPr>
              <w:t>Three Months Ended</w:t>
            </w:r>
          </w:p>
          <w:p w14:paraId="4422A4E2" w14:textId="77777777" w:rsidR="001614AC" w:rsidRDefault="004468F9">
            <w:pPr>
              <w:spacing w:after="30" w:line="288" w:lineRule="auto"/>
              <w:jc w:val="center"/>
            </w:pPr>
            <w:r>
              <w:rPr>
                <w:rFonts w:ascii="Arial" w:eastAsia="Arial" w:hAnsi="Arial" w:cs="Arial"/>
                <w:b/>
                <w:color w:val="00BAB3"/>
                <w:sz w:val="18"/>
              </w:rPr>
              <w:t>June 30,</w:t>
            </w:r>
          </w:p>
        </w:tc>
        <w:tc>
          <w:tcPr>
            <w:tcW w:w="105" w:type="dxa"/>
            <w:tcBorders>
              <w:top w:val="nil"/>
              <w:left w:val="nil"/>
              <w:bottom w:val="single" w:sz="8" w:space="0" w:color="FFFFFF"/>
              <w:right w:val="nil"/>
            </w:tcBorders>
            <w:tcMar>
              <w:top w:w="0" w:type="dxa"/>
              <w:left w:w="0" w:type="dxa"/>
              <w:bottom w:w="0" w:type="dxa"/>
              <w:right w:w="0" w:type="dxa"/>
            </w:tcMar>
            <w:vAlign w:val="bottom"/>
          </w:tcPr>
          <w:p w14:paraId="001C4EA4" w14:textId="77777777" w:rsidR="001614AC" w:rsidRDefault="001614AC">
            <w:pPr>
              <w:keepNext/>
            </w:pPr>
          </w:p>
        </w:tc>
        <w:tc>
          <w:tcPr>
            <w:tcW w:w="2115" w:type="dxa"/>
            <w:gridSpan w:val="7"/>
            <w:tcBorders>
              <w:top w:val="nil"/>
              <w:left w:val="nil"/>
              <w:bottom w:val="nil"/>
              <w:right w:val="nil"/>
            </w:tcBorders>
            <w:tcMar>
              <w:top w:w="0" w:type="dxa"/>
              <w:left w:w="53" w:type="dxa"/>
              <w:bottom w:w="0" w:type="dxa"/>
              <w:right w:w="53" w:type="dxa"/>
            </w:tcMar>
            <w:vAlign w:val="bottom"/>
          </w:tcPr>
          <w:p w14:paraId="5901A991" w14:textId="77777777" w:rsidR="001614AC" w:rsidRDefault="004468F9">
            <w:pPr>
              <w:keepNext/>
              <w:spacing w:before="75" w:line="288" w:lineRule="auto"/>
              <w:jc w:val="center"/>
            </w:pPr>
            <w:r>
              <w:rPr>
                <w:rFonts w:ascii="Arial" w:eastAsia="Arial" w:hAnsi="Arial" w:cs="Arial"/>
                <w:b/>
                <w:color w:val="00BAB3"/>
                <w:sz w:val="18"/>
              </w:rPr>
              <w:t>Six Months Ended</w:t>
            </w:r>
          </w:p>
          <w:p w14:paraId="2FD2FE2A" w14:textId="77777777" w:rsidR="001614AC" w:rsidRDefault="004468F9">
            <w:pPr>
              <w:spacing w:after="30" w:line="288" w:lineRule="auto"/>
              <w:jc w:val="center"/>
            </w:pPr>
            <w:r>
              <w:rPr>
                <w:rFonts w:ascii="Arial" w:eastAsia="Arial" w:hAnsi="Arial" w:cs="Arial"/>
                <w:b/>
                <w:color w:val="00BAB3"/>
                <w:sz w:val="18"/>
              </w:rPr>
              <w:t>June 30,</w:t>
            </w:r>
          </w:p>
        </w:tc>
      </w:tr>
      <w:tr w:rsidR="001614AC" w14:paraId="1F546558" w14:textId="77777777">
        <w:trPr>
          <w:cantSplit/>
        </w:trPr>
        <w:tc>
          <w:tcPr>
            <w:tcW w:w="5640" w:type="dxa"/>
            <w:tcBorders>
              <w:top w:val="single" w:sz="8" w:space="0" w:color="FFFFFF"/>
              <w:left w:val="nil"/>
              <w:bottom w:val="single" w:sz="8" w:space="0" w:color="C7C9C7"/>
              <w:right w:val="nil"/>
            </w:tcBorders>
            <w:tcMar>
              <w:top w:w="0" w:type="dxa"/>
              <w:left w:w="53" w:type="dxa"/>
              <w:bottom w:w="0" w:type="dxa"/>
              <w:right w:w="53" w:type="dxa"/>
            </w:tcMar>
            <w:vAlign w:val="bottom"/>
          </w:tcPr>
          <w:p w14:paraId="196275E8" w14:textId="77777777" w:rsidR="001614AC" w:rsidRDefault="004468F9">
            <w:pPr>
              <w:keepNext/>
              <w:spacing w:before="55" w:after="30" w:line="288" w:lineRule="auto"/>
            </w:pPr>
            <w:r>
              <w:rPr>
                <w:rFonts w:ascii="Arial" w:eastAsia="Arial" w:hAnsi="Arial" w:cs="Arial"/>
                <w:color w:val="8B8886"/>
                <w:sz w:val="16"/>
              </w:rPr>
              <w:t>(In thousands)</w:t>
            </w:r>
          </w:p>
        </w:tc>
        <w:tc>
          <w:tcPr>
            <w:tcW w:w="105" w:type="dxa"/>
            <w:tcBorders>
              <w:top w:val="nil"/>
              <w:left w:val="nil"/>
              <w:bottom w:val="single" w:sz="8" w:space="0" w:color="C7C9C7"/>
              <w:right w:val="nil"/>
            </w:tcBorders>
            <w:tcMar>
              <w:top w:w="0" w:type="dxa"/>
              <w:left w:w="0" w:type="dxa"/>
              <w:bottom w:w="0" w:type="dxa"/>
              <w:right w:w="0" w:type="dxa"/>
            </w:tcMar>
            <w:vAlign w:val="bottom"/>
          </w:tcPr>
          <w:p w14:paraId="715212C1" w14:textId="77777777" w:rsidR="001614AC" w:rsidRDefault="001614AC">
            <w:pPr>
              <w:keepNext/>
            </w:pPr>
          </w:p>
        </w:tc>
        <w:tc>
          <w:tcPr>
            <w:tcW w:w="1005" w:type="dxa"/>
            <w:gridSpan w:val="3"/>
            <w:tcBorders>
              <w:top w:val="nil"/>
              <w:left w:val="nil"/>
              <w:bottom w:val="single" w:sz="8" w:space="0" w:color="C7C9C7"/>
              <w:right w:val="nil"/>
            </w:tcBorders>
            <w:shd w:val="clear" w:color="auto" w:fill="E6F8F8"/>
            <w:tcMar>
              <w:top w:w="0" w:type="dxa"/>
              <w:left w:w="53" w:type="dxa"/>
              <w:bottom w:w="0" w:type="dxa"/>
              <w:right w:w="53" w:type="dxa"/>
            </w:tcMar>
            <w:vAlign w:val="bottom"/>
          </w:tcPr>
          <w:p w14:paraId="74A66F45" w14:textId="77777777" w:rsidR="001614AC" w:rsidRDefault="004468F9">
            <w:pPr>
              <w:keepNext/>
              <w:spacing w:before="55" w:after="30" w:line="288" w:lineRule="auto"/>
              <w:jc w:val="center"/>
            </w:pPr>
            <w:r>
              <w:rPr>
                <w:rFonts w:ascii="Arial" w:eastAsia="Arial" w:hAnsi="Arial" w:cs="Arial"/>
                <w:b/>
                <w:color w:val="00BAB3"/>
                <w:sz w:val="18"/>
              </w:rPr>
              <w:t>2021</w:t>
            </w:r>
          </w:p>
        </w:tc>
        <w:tc>
          <w:tcPr>
            <w:tcW w:w="105" w:type="dxa"/>
            <w:tcBorders>
              <w:top w:val="single" w:sz="8" w:space="0" w:color="FFFFFF"/>
              <w:left w:val="nil"/>
              <w:bottom w:val="single" w:sz="8" w:space="0" w:color="C7C9C7"/>
              <w:right w:val="nil"/>
            </w:tcBorders>
            <w:tcMar>
              <w:top w:w="0" w:type="dxa"/>
              <w:left w:w="0" w:type="dxa"/>
              <w:bottom w:w="0" w:type="dxa"/>
              <w:right w:w="0" w:type="dxa"/>
            </w:tcMar>
            <w:vAlign w:val="bottom"/>
          </w:tcPr>
          <w:p w14:paraId="30079F55" w14:textId="77777777" w:rsidR="001614AC" w:rsidRDefault="001614AC">
            <w:pPr>
              <w:keepNext/>
            </w:pPr>
          </w:p>
        </w:tc>
        <w:tc>
          <w:tcPr>
            <w:tcW w:w="1005" w:type="dxa"/>
            <w:gridSpan w:val="3"/>
            <w:tcBorders>
              <w:top w:val="single" w:sz="8" w:space="0" w:color="FFFFFF"/>
              <w:left w:val="nil"/>
              <w:bottom w:val="single" w:sz="8" w:space="0" w:color="C7C9C7"/>
              <w:right w:val="nil"/>
            </w:tcBorders>
            <w:shd w:val="clear" w:color="auto" w:fill="F4F4F4"/>
            <w:tcMar>
              <w:top w:w="0" w:type="dxa"/>
              <w:left w:w="53" w:type="dxa"/>
              <w:bottom w:w="0" w:type="dxa"/>
              <w:right w:w="53" w:type="dxa"/>
            </w:tcMar>
            <w:vAlign w:val="bottom"/>
          </w:tcPr>
          <w:p w14:paraId="2F783DB2" w14:textId="77777777" w:rsidR="001614AC" w:rsidRDefault="004468F9">
            <w:pPr>
              <w:keepNext/>
              <w:spacing w:before="55" w:after="30" w:line="288" w:lineRule="auto"/>
              <w:jc w:val="center"/>
            </w:pPr>
            <w:r>
              <w:rPr>
                <w:rFonts w:ascii="Arial" w:eastAsia="Arial" w:hAnsi="Arial" w:cs="Arial"/>
                <w:b/>
                <w:color w:val="00BAB3"/>
                <w:sz w:val="18"/>
              </w:rPr>
              <w:t>2020</w:t>
            </w:r>
          </w:p>
        </w:tc>
        <w:tc>
          <w:tcPr>
            <w:tcW w:w="105" w:type="dxa"/>
            <w:tcBorders>
              <w:top w:val="single" w:sz="8" w:space="0" w:color="FFFFFF"/>
              <w:left w:val="nil"/>
              <w:bottom w:val="single" w:sz="8" w:space="0" w:color="C7C9C7"/>
              <w:right w:val="nil"/>
            </w:tcBorders>
            <w:tcMar>
              <w:top w:w="0" w:type="dxa"/>
              <w:left w:w="0" w:type="dxa"/>
              <w:bottom w:w="0" w:type="dxa"/>
              <w:right w:w="0" w:type="dxa"/>
            </w:tcMar>
            <w:vAlign w:val="bottom"/>
          </w:tcPr>
          <w:p w14:paraId="32E3A9E2" w14:textId="77777777" w:rsidR="001614AC" w:rsidRDefault="001614AC">
            <w:pPr>
              <w:keepNext/>
            </w:pPr>
          </w:p>
        </w:tc>
        <w:tc>
          <w:tcPr>
            <w:tcW w:w="1005" w:type="dxa"/>
            <w:gridSpan w:val="3"/>
            <w:tcBorders>
              <w:top w:val="single" w:sz="8" w:space="0" w:color="FFFFFF"/>
              <w:left w:val="nil"/>
              <w:bottom w:val="single" w:sz="8" w:space="0" w:color="C7C9C7"/>
              <w:right w:val="nil"/>
            </w:tcBorders>
            <w:shd w:val="clear" w:color="auto" w:fill="E6F8F8"/>
            <w:tcMar>
              <w:top w:w="0" w:type="dxa"/>
              <w:left w:w="53" w:type="dxa"/>
              <w:bottom w:w="0" w:type="dxa"/>
              <w:right w:w="53" w:type="dxa"/>
            </w:tcMar>
            <w:vAlign w:val="bottom"/>
          </w:tcPr>
          <w:p w14:paraId="62F9233C" w14:textId="77777777" w:rsidR="001614AC" w:rsidRDefault="004468F9">
            <w:pPr>
              <w:keepNext/>
              <w:spacing w:before="55" w:after="30" w:line="288" w:lineRule="auto"/>
              <w:jc w:val="center"/>
            </w:pPr>
            <w:r>
              <w:rPr>
                <w:rFonts w:ascii="Arial" w:eastAsia="Arial" w:hAnsi="Arial" w:cs="Arial"/>
                <w:b/>
                <w:color w:val="00BAB3"/>
                <w:sz w:val="18"/>
              </w:rPr>
              <w:t>2021</w:t>
            </w:r>
          </w:p>
        </w:tc>
        <w:tc>
          <w:tcPr>
            <w:tcW w:w="105" w:type="dxa"/>
            <w:tcBorders>
              <w:top w:val="single" w:sz="8" w:space="0" w:color="FFFFFF"/>
              <w:left w:val="nil"/>
              <w:bottom w:val="single" w:sz="8" w:space="0" w:color="C7C9C7"/>
              <w:right w:val="nil"/>
            </w:tcBorders>
            <w:tcMar>
              <w:top w:w="0" w:type="dxa"/>
              <w:left w:w="0" w:type="dxa"/>
              <w:bottom w:w="0" w:type="dxa"/>
              <w:right w:w="0" w:type="dxa"/>
            </w:tcMar>
            <w:vAlign w:val="bottom"/>
          </w:tcPr>
          <w:p w14:paraId="0AC9905D" w14:textId="77777777" w:rsidR="001614AC" w:rsidRDefault="001614AC">
            <w:pPr>
              <w:keepNext/>
            </w:pPr>
          </w:p>
        </w:tc>
        <w:tc>
          <w:tcPr>
            <w:tcW w:w="1005" w:type="dxa"/>
            <w:gridSpan w:val="3"/>
            <w:tcBorders>
              <w:top w:val="single" w:sz="8" w:space="0" w:color="FFFFFF"/>
              <w:left w:val="nil"/>
              <w:bottom w:val="single" w:sz="8" w:space="0" w:color="C7C9C7"/>
              <w:right w:val="nil"/>
            </w:tcBorders>
            <w:shd w:val="clear" w:color="auto" w:fill="F4F4F4"/>
            <w:tcMar>
              <w:top w:w="0" w:type="dxa"/>
              <w:left w:w="53" w:type="dxa"/>
              <w:bottom w:w="0" w:type="dxa"/>
              <w:right w:w="53" w:type="dxa"/>
            </w:tcMar>
            <w:vAlign w:val="bottom"/>
          </w:tcPr>
          <w:p w14:paraId="71B3F1E9" w14:textId="77777777" w:rsidR="001614AC" w:rsidRDefault="004468F9">
            <w:pPr>
              <w:keepNext/>
              <w:spacing w:before="55" w:after="30" w:line="288" w:lineRule="auto"/>
              <w:jc w:val="center"/>
            </w:pPr>
            <w:r>
              <w:rPr>
                <w:rFonts w:ascii="Arial" w:eastAsia="Arial" w:hAnsi="Arial" w:cs="Arial"/>
                <w:b/>
                <w:color w:val="00BAB3"/>
                <w:sz w:val="18"/>
              </w:rPr>
              <w:t>2020</w:t>
            </w:r>
          </w:p>
        </w:tc>
      </w:tr>
      <w:tr w:rsidR="001614AC" w14:paraId="59588D52" w14:textId="77777777">
        <w:trPr>
          <w:cantSplit/>
        </w:trPr>
        <w:tc>
          <w:tcPr>
            <w:tcW w:w="5640" w:type="dxa"/>
            <w:tcBorders>
              <w:top w:val="single" w:sz="8" w:space="0" w:color="C7C9C7"/>
              <w:left w:val="nil"/>
              <w:bottom w:val="single" w:sz="8" w:space="0" w:color="E9E9E9"/>
              <w:right w:val="nil"/>
            </w:tcBorders>
            <w:tcMar>
              <w:top w:w="0" w:type="dxa"/>
              <w:left w:w="53" w:type="dxa"/>
              <w:bottom w:w="0" w:type="dxa"/>
              <w:right w:w="53" w:type="dxa"/>
            </w:tcMar>
            <w:vAlign w:val="bottom"/>
          </w:tcPr>
          <w:p w14:paraId="03C09174" w14:textId="77777777" w:rsidR="001614AC" w:rsidRDefault="004468F9">
            <w:pPr>
              <w:keepNext/>
              <w:spacing w:before="55" w:after="30" w:line="288" w:lineRule="auto"/>
            </w:pPr>
            <w:r>
              <w:rPr>
                <w:rFonts w:ascii="Arial" w:eastAsia="Arial" w:hAnsi="Arial" w:cs="Arial"/>
                <w:color w:val="000000"/>
                <w:sz w:val="18"/>
              </w:rPr>
              <w:t>Net premiums written</w:t>
            </w:r>
          </w:p>
        </w:tc>
        <w:tc>
          <w:tcPr>
            <w:tcW w:w="105" w:type="dxa"/>
            <w:tcBorders>
              <w:top w:val="single" w:sz="8" w:space="0" w:color="C7C9C7"/>
              <w:left w:val="nil"/>
              <w:bottom w:val="nil"/>
              <w:right w:val="nil"/>
            </w:tcBorders>
            <w:tcMar>
              <w:top w:w="0" w:type="dxa"/>
              <w:left w:w="0" w:type="dxa"/>
              <w:bottom w:w="0" w:type="dxa"/>
              <w:right w:w="0" w:type="dxa"/>
            </w:tcMar>
            <w:vAlign w:val="bottom"/>
          </w:tcPr>
          <w:p w14:paraId="0D98B043" w14:textId="77777777" w:rsidR="001614AC" w:rsidRDefault="001614AC">
            <w:pPr>
              <w:keepNext/>
            </w:pPr>
          </w:p>
        </w:tc>
        <w:tc>
          <w:tcPr>
            <w:tcW w:w="1005" w:type="dxa"/>
            <w:gridSpan w:val="3"/>
            <w:tcBorders>
              <w:top w:val="single" w:sz="8" w:space="0" w:color="C7C9C7"/>
              <w:left w:val="nil"/>
              <w:bottom w:val="single" w:sz="8" w:space="0" w:color="E9E9E9"/>
              <w:right w:val="nil"/>
            </w:tcBorders>
            <w:tcMar>
              <w:top w:w="0" w:type="dxa"/>
              <w:left w:w="0" w:type="dxa"/>
              <w:bottom w:w="0" w:type="dxa"/>
              <w:right w:w="0" w:type="dxa"/>
            </w:tcMar>
            <w:vAlign w:val="bottom"/>
          </w:tcPr>
          <w:p w14:paraId="35AEB8C2" w14:textId="77777777" w:rsidR="001614AC" w:rsidRDefault="001614AC">
            <w:pPr>
              <w:keepNext/>
            </w:pPr>
          </w:p>
        </w:tc>
        <w:tc>
          <w:tcPr>
            <w:tcW w:w="105" w:type="dxa"/>
            <w:tcBorders>
              <w:top w:val="single" w:sz="8" w:space="0" w:color="C7C9C7"/>
              <w:left w:val="nil"/>
              <w:bottom w:val="nil"/>
              <w:right w:val="nil"/>
            </w:tcBorders>
            <w:tcMar>
              <w:top w:w="0" w:type="dxa"/>
              <w:left w:w="0" w:type="dxa"/>
              <w:bottom w:w="0" w:type="dxa"/>
              <w:right w:w="0" w:type="dxa"/>
            </w:tcMar>
            <w:vAlign w:val="bottom"/>
          </w:tcPr>
          <w:p w14:paraId="0AF2A9B8" w14:textId="77777777" w:rsidR="001614AC" w:rsidRDefault="001614AC">
            <w:pPr>
              <w:keepNext/>
            </w:pPr>
          </w:p>
        </w:tc>
        <w:tc>
          <w:tcPr>
            <w:tcW w:w="1005" w:type="dxa"/>
            <w:gridSpan w:val="3"/>
            <w:tcBorders>
              <w:top w:val="single" w:sz="8" w:space="0" w:color="C7C9C7"/>
              <w:left w:val="nil"/>
              <w:bottom w:val="single" w:sz="8" w:space="0" w:color="E9E9E9"/>
              <w:right w:val="nil"/>
            </w:tcBorders>
            <w:tcMar>
              <w:top w:w="0" w:type="dxa"/>
              <w:left w:w="0" w:type="dxa"/>
              <w:bottom w:w="0" w:type="dxa"/>
              <w:right w:w="0" w:type="dxa"/>
            </w:tcMar>
            <w:vAlign w:val="bottom"/>
          </w:tcPr>
          <w:p w14:paraId="1A65B703" w14:textId="77777777" w:rsidR="001614AC" w:rsidRDefault="001614AC">
            <w:pPr>
              <w:keepNext/>
            </w:pPr>
          </w:p>
        </w:tc>
        <w:tc>
          <w:tcPr>
            <w:tcW w:w="105" w:type="dxa"/>
            <w:tcBorders>
              <w:top w:val="single" w:sz="8" w:space="0" w:color="C7C9C7"/>
              <w:left w:val="nil"/>
              <w:bottom w:val="nil"/>
              <w:right w:val="nil"/>
            </w:tcBorders>
            <w:tcMar>
              <w:top w:w="0" w:type="dxa"/>
              <w:left w:w="0" w:type="dxa"/>
              <w:bottom w:w="0" w:type="dxa"/>
              <w:right w:w="0" w:type="dxa"/>
            </w:tcMar>
            <w:vAlign w:val="bottom"/>
          </w:tcPr>
          <w:p w14:paraId="4B2AA649" w14:textId="77777777" w:rsidR="001614AC" w:rsidRDefault="001614AC">
            <w:pPr>
              <w:keepNext/>
            </w:pPr>
          </w:p>
        </w:tc>
        <w:tc>
          <w:tcPr>
            <w:tcW w:w="1005" w:type="dxa"/>
            <w:gridSpan w:val="3"/>
            <w:tcBorders>
              <w:top w:val="single" w:sz="8" w:space="0" w:color="C7C9C7"/>
              <w:left w:val="nil"/>
              <w:bottom w:val="single" w:sz="8" w:space="0" w:color="E9E9E9"/>
              <w:right w:val="nil"/>
            </w:tcBorders>
            <w:tcMar>
              <w:top w:w="0" w:type="dxa"/>
              <w:left w:w="0" w:type="dxa"/>
              <w:bottom w:w="0" w:type="dxa"/>
              <w:right w:w="0" w:type="dxa"/>
            </w:tcMar>
            <w:vAlign w:val="bottom"/>
          </w:tcPr>
          <w:p w14:paraId="3E3A2133" w14:textId="77777777" w:rsidR="001614AC" w:rsidRDefault="001614AC">
            <w:pPr>
              <w:keepNext/>
            </w:pPr>
          </w:p>
        </w:tc>
        <w:tc>
          <w:tcPr>
            <w:tcW w:w="105" w:type="dxa"/>
            <w:tcBorders>
              <w:top w:val="single" w:sz="8" w:space="0" w:color="C7C9C7"/>
              <w:left w:val="nil"/>
              <w:bottom w:val="nil"/>
              <w:right w:val="nil"/>
            </w:tcBorders>
            <w:tcMar>
              <w:top w:w="0" w:type="dxa"/>
              <w:left w:w="0" w:type="dxa"/>
              <w:bottom w:w="0" w:type="dxa"/>
              <w:right w:w="0" w:type="dxa"/>
            </w:tcMar>
            <w:vAlign w:val="bottom"/>
          </w:tcPr>
          <w:p w14:paraId="571883D5" w14:textId="77777777" w:rsidR="001614AC" w:rsidRDefault="001614AC">
            <w:pPr>
              <w:keepNext/>
            </w:pPr>
          </w:p>
        </w:tc>
        <w:tc>
          <w:tcPr>
            <w:tcW w:w="1005" w:type="dxa"/>
            <w:gridSpan w:val="3"/>
            <w:tcBorders>
              <w:top w:val="single" w:sz="8" w:space="0" w:color="C7C9C7"/>
              <w:left w:val="nil"/>
              <w:bottom w:val="single" w:sz="8" w:space="0" w:color="E9E9E9"/>
              <w:right w:val="nil"/>
            </w:tcBorders>
            <w:tcMar>
              <w:top w:w="0" w:type="dxa"/>
              <w:left w:w="0" w:type="dxa"/>
              <w:bottom w:w="0" w:type="dxa"/>
              <w:right w:w="0" w:type="dxa"/>
            </w:tcMar>
            <w:vAlign w:val="bottom"/>
          </w:tcPr>
          <w:p w14:paraId="62866834" w14:textId="77777777" w:rsidR="001614AC" w:rsidRDefault="001614AC">
            <w:pPr>
              <w:keepNext/>
            </w:pPr>
          </w:p>
        </w:tc>
      </w:tr>
      <w:tr w:rsidR="001614AC" w14:paraId="0FCF1DE8" w14:textId="77777777">
        <w:trPr>
          <w:cantSplit/>
        </w:trPr>
        <w:tc>
          <w:tcPr>
            <w:tcW w:w="5640" w:type="dxa"/>
            <w:tcBorders>
              <w:top w:val="single" w:sz="8" w:space="0" w:color="E9E9E9"/>
              <w:left w:val="nil"/>
              <w:bottom w:val="single" w:sz="8" w:space="0" w:color="E9E9E9"/>
              <w:right w:val="nil"/>
            </w:tcBorders>
            <w:tcMar>
              <w:top w:w="0" w:type="dxa"/>
              <w:left w:w="53" w:type="dxa"/>
              <w:bottom w:w="0" w:type="dxa"/>
              <w:right w:w="53" w:type="dxa"/>
            </w:tcMar>
            <w:vAlign w:val="bottom"/>
          </w:tcPr>
          <w:p w14:paraId="35327B5A" w14:textId="77777777" w:rsidR="001614AC" w:rsidRDefault="004468F9">
            <w:pPr>
              <w:keepNext/>
              <w:spacing w:before="55" w:after="30" w:line="288" w:lineRule="auto"/>
              <w:ind w:left="240"/>
            </w:pPr>
            <w:r>
              <w:rPr>
                <w:rFonts w:ascii="Arial" w:eastAsia="Arial" w:hAnsi="Arial" w:cs="Arial"/>
                <w:color w:val="000000"/>
                <w:sz w:val="18"/>
              </w:rPr>
              <w:t>Direct</w:t>
            </w:r>
          </w:p>
        </w:tc>
        <w:tc>
          <w:tcPr>
            <w:tcW w:w="105" w:type="dxa"/>
            <w:tcBorders>
              <w:top w:val="nil"/>
              <w:left w:val="nil"/>
              <w:bottom w:val="nil"/>
              <w:right w:val="nil"/>
            </w:tcBorders>
            <w:tcMar>
              <w:top w:w="0" w:type="dxa"/>
              <w:left w:w="0" w:type="dxa"/>
              <w:bottom w:w="0" w:type="dxa"/>
              <w:right w:w="0" w:type="dxa"/>
            </w:tcMar>
            <w:vAlign w:val="bottom"/>
          </w:tcPr>
          <w:p w14:paraId="6CB2E922" w14:textId="77777777" w:rsidR="001614AC" w:rsidRDefault="001614AC">
            <w:pPr>
              <w:keepNext/>
            </w:pPr>
          </w:p>
        </w:tc>
        <w:tc>
          <w:tcPr>
            <w:tcW w:w="160" w:type="dxa"/>
            <w:tcBorders>
              <w:top w:val="single" w:sz="8" w:space="0" w:color="E9E9E9"/>
              <w:left w:val="nil"/>
              <w:bottom w:val="single" w:sz="8" w:space="0" w:color="E9E9E9"/>
              <w:right w:val="nil"/>
            </w:tcBorders>
            <w:tcMar>
              <w:top w:w="0" w:type="dxa"/>
              <w:left w:w="53" w:type="dxa"/>
              <w:bottom w:w="0" w:type="dxa"/>
              <w:right w:w="0" w:type="dxa"/>
            </w:tcMar>
            <w:vAlign w:val="bottom"/>
          </w:tcPr>
          <w:p w14:paraId="26A6BB75" w14:textId="77777777" w:rsidR="001614AC" w:rsidRDefault="004468F9">
            <w:pPr>
              <w:keepNext/>
              <w:spacing w:before="55" w:after="30" w:line="288" w:lineRule="auto"/>
            </w:pPr>
            <w:r>
              <w:rPr>
                <w:rFonts w:ascii="Arial" w:eastAsia="Arial" w:hAnsi="Arial" w:cs="Arial"/>
                <w:color w:val="000000"/>
                <w:sz w:val="18"/>
              </w:rPr>
              <w:t>$</w:t>
            </w:r>
          </w:p>
        </w:tc>
        <w:tc>
          <w:tcPr>
            <w:tcW w:w="745" w:type="dxa"/>
            <w:tcBorders>
              <w:top w:val="single" w:sz="8" w:space="0" w:color="E9E9E9"/>
              <w:left w:val="nil"/>
              <w:bottom w:val="single" w:sz="8" w:space="0" w:color="E9E9E9"/>
              <w:right w:val="nil"/>
            </w:tcBorders>
            <w:tcMar>
              <w:top w:w="0" w:type="dxa"/>
              <w:left w:w="0" w:type="dxa"/>
              <w:bottom w:w="0" w:type="dxa"/>
              <w:right w:w="0" w:type="dxa"/>
            </w:tcMar>
            <w:vAlign w:val="bottom"/>
          </w:tcPr>
          <w:p w14:paraId="657245F4" w14:textId="77777777" w:rsidR="001614AC" w:rsidRDefault="004468F9">
            <w:pPr>
              <w:keepNext/>
              <w:spacing w:before="55" w:after="30" w:line="288" w:lineRule="auto"/>
              <w:jc w:val="right"/>
            </w:pPr>
            <w:r>
              <w:rPr>
                <w:rFonts w:ascii="Arial" w:eastAsia="Arial" w:hAnsi="Arial" w:cs="Arial"/>
                <w:color w:val="000000"/>
                <w:sz w:val="18"/>
              </w:rPr>
              <w:t>248,849 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6BF2824C" w14:textId="77777777" w:rsidR="001614AC" w:rsidRDefault="001614AC">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517D8396" w14:textId="77777777" w:rsidR="001614AC" w:rsidRDefault="001614AC">
            <w:pPr>
              <w:keepNext/>
            </w:pPr>
          </w:p>
        </w:tc>
        <w:tc>
          <w:tcPr>
            <w:tcW w:w="160" w:type="dxa"/>
            <w:tcBorders>
              <w:top w:val="single" w:sz="8" w:space="0" w:color="E9E9E9"/>
              <w:left w:val="nil"/>
              <w:bottom w:val="single" w:sz="8" w:space="0" w:color="E9E9E9"/>
              <w:right w:val="nil"/>
            </w:tcBorders>
            <w:tcMar>
              <w:top w:w="0" w:type="dxa"/>
              <w:left w:w="53" w:type="dxa"/>
              <w:bottom w:w="0" w:type="dxa"/>
              <w:right w:w="0" w:type="dxa"/>
            </w:tcMar>
            <w:vAlign w:val="bottom"/>
          </w:tcPr>
          <w:p w14:paraId="572DF392" w14:textId="77777777" w:rsidR="001614AC" w:rsidRDefault="004468F9">
            <w:pPr>
              <w:keepNext/>
              <w:spacing w:before="55" w:after="30" w:line="288" w:lineRule="auto"/>
            </w:pPr>
            <w:r>
              <w:rPr>
                <w:rFonts w:ascii="Arial" w:eastAsia="Arial" w:hAnsi="Arial" w:cs="Arial"/>
                <w:color w:val="000000"/>
                <w:sz w:val="18"/>
              </w:rPr>
              <w:t>$</w:t>
            </w:r>
          </w:p>
        </w:tc>
        <w:tc>
          <w:tcPr>
            <w:tcW w:w="745" w:type="dxa"/>
            <w:tcBorders>
              <w:top w:val="single" w:sz="8" w:space="0" w:color="E9E9E9"/>
              <w:left w:val="nil"/>
              <w:bottom w:val="single" w:sz="8" w:space="0" w:color="E9E9E9"/>
              <w:right w:val="nil"/>
            </w:tcBorders>
            <w:tcMar>
              <w:top w:w="0" w:type="dxa"/>
              <w:left w:w="0" w:type="dxa"/>
              <w:bottom w:w="0" w:type="dxa"/>
              <w:right w:w="0" w:type="dxa"/>
            </w:tcMar>
            <w:vAlign w:val="bottom"/>
          </w:tcPr>
          <w:p w14:paraId="18E61F54" w14:textId="77777777" w:rsidR="001614AC" w:rsidRDefault="004468F9">
            <w:pPr>
              <w:keepNext/>
              <w:spacing w:before="55" w:after="30" w:line="288" w:lineRule="auto"/>
              <w:jc w:val="right"/>
            </w:pPr>
            <w:r>
              <w:rPr>
                <w:rFonts w:ascii="Arial" w:eastAsia="Arial" w:hAnsi="Arial" w:cs="Arial"/>
                <w:color w:val="000000"/>
                <w:sz w:val="18"/>
              </w:rPr>
              <w:t>271,545 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4F4C9396" w14:textId="77777777" w:rsidR="001614AC" w:rsidRDefault="001614AC">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47C6B290" w14:textId="77777777" w:rsidR="001614AC" w:rsidRDefault="001614AC">
            <w:pPr>
              <w:keepNext/>
            </w:pPr>
          </w:p>
        </w:tc>
        <w:tc>
          <w:tcPr>
            <w:tcW w:w="160" w:type="dxa"/>
            <w:tcBorders>
              <w:top w:val="single" w:sz="8" w:space="0" w:color="E9E9E9"/>
              <w:left w:val="nil"/>
              <w:bottom w:val="single" w:sz="8" w:space="0" w:color="E9E9E9"/>
              <w:right w:val="nil"/>
            </w:tcBorders>
            <w:tcMar>
              <w:top w:w="0" w:type="dxa"/>
              <w:left w:w="53" w:type="dxa"/>
              <w:bottom w:w="0" w:type="dxa"/>
              <w:right w:w="0" w:type="dxa"/>
            </w:tcMar>
            <w:vAlign w:val="bottom"/>
          </w:tcPr>
          <w:p w14:paraId="2CBD2CAF" w14:textId="77777777" w:rsidR="001614AC" w:rsidRDefault="004468F9">
            <w:pPr>
              <w:keepNext/>
              <w:spacing w:before="55" w:after="30" w:line="288" w:lineRule="auto"/>
            </w:pPr>
            <w:r>
              <w:rPr>
                <w:rFonts w:ascii="Arial" w:eastAsia="Arial" w:hAnsi="Arial" w:cs="Arial"/>
                <w:color w:val="000000"/>
                <w:sz w:val="18"/>
              </w:rPr>
              <w:t>$</w:t>
            </w:r>
          </w:p>
        </w:tc>
        <w:tc>
          <w:tcPr>
            <w:tcW w:w="745" w:type="dxa"/>
            <w:tcBorders>
              <w:top w:val="single" w:sz="8" w:space="0" w:color="E9E9E9"/>
              <w:left w:val="nil"/>
              <w:bottom w:val="single" w:sz="8" w:space="0" w:color="E9E9E9"/>
              <w:right w:val="nil"/>
            </w:tcBorders>
            <w:tcMar>
              <w:top w:w="0" w:type="dxa"/>
              <w:left w:w="0" w:type="dxa"/>
              <w:bottom w:w="0" w:type="dxa"/>
              <w:right w:w="0" w:type="dxa"/>
            </w:tcMar>
            <w:vAlign w:val="bottom"/>
          </w:tcPr>
          <w:p w14:paraId="7067FE67" w14:textId="77777777" w:rsidR="001614AC" w:rsidRDefault="004468F9">
            <w:pPr>
              <w:keepNext/>
              <w:spacing w:before="55" w:after="30" w:line="288" w:lineRule="auto"/>
              <w:jc w:val="right"/>
            </w:pPr>
            <w:r>
              <w:rPr>
                <w:rFonts w:ascii="Arial" w:eastAsia="Arial" w:hAnsi="Arial" w:cs="Arial"/>
                <w:color w:val="000000"/>
                <w:sz w:val="18"/>
              </w:rPr>
              <w:t>509,468 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6097A489" w14:textId="77777777" w:rsidR="001614AC" w:rsidRDefault="001614AC">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349003FF" w14:textId="77777777" w:rsidR="001614AC" w:rsidRDefault="001614AC">
            <w:pPr>
              <w:keepNext/>
            </w:pPr>
          </w:p>
        </w:tc>
        <w:tc>
          <w:tcPr>
            <w:tcW w:w="160" w:type="dxa"/>
            <w:tcBorders>
              <w:top w:val="single" w:sz="8" w:space="0" w:color="E9E9E9"/>
              <w:left w:val="nil"/>
              <w:bottom w:val="single" w:sz="8" w:space="0" w:color="E9E9E9"/>
              <w:right w:val="nil"/>
            </w:tcBorders>
            <w:tcMar>
              <w:top w:w="0" w:type="dxa"/>
              <w:left w:w="53" w:type="dxa"/>
              <w:bottom w:w="0" w:type="dxa"/>
              <w:right w:w="0" w:type="dxa"/>
            </w:tcMar>
            <w:vAlign w:val="bottom"/>
          </w:tcPr>
          <w:p w14:paraId="13F61A84" w14:textId="77777777" w:rsidR="001614AC" w:rsidRDefault="004468F9">
            <w:pPr>
              <w:keepNext/>
              <w:spacing w:before="55" w:after="30" w:line="288" w:lineRule="auto"/>
            </w:pPr>
            <w:r>
              <w:rPr>
                <w:rFonts w:ascii="Arial" w:eastAsia="Arial" w:hAnsi="Arial" w:cs="Arial"/>
                <w:color w:val="000000"/>
                <w:sz w:val="18"/>
              </w:rPr>
              <w:t>$</w:t>
            </w:r>
          </w:p>
        </w:tc>
        <w:tc>
          <w:tcPr>
            <w:tcW w:w="745" w:type="dxa"/>
            <w:tcBorders>
              <w:top w:val="single" w:sz="8" w:space="0" w:color="E9E9E9"/>
              <w:left w:val="nil"/>
              <w:bottom w:val="single" w:sz="8" w:space="0" w:color="E9E9E9"/>
              <w:right w:val="nil"/>
            </w:tcBorders>
            <w:tcMar>
              <w:top w:w="0" w:type="dxa"/>
              <w:left w:w="0" w:type="dxa"/>
              <w:bottom w:w="0" w:type="dxa"/>
              <w:right w:w="0" w:type="dxa"/>
            </w:tcMar>
            <w:vAlign w:val="bottom"/>
          </w:tcPr>
          <w:p w14:paraId="6363FB5D" w14:textId="77777777" w:rsidR="001614AC" w:rsidRDefault="004468F9">
            <w:pPr>
              <w:keepNext/>
              <w:spacing w:before="55" w:after="30" w:line="288" w:lineRule="auto"/>
              <w:jc w:val="right"/>
            </w:pPr>
            <w:r>
              <w:rPr>
                <w:rFonts w:ascii="Arial" w:eastAsia="Arial" w:hAnsi="Arial" w:cs="Arial"/>
                <w:color w:val="000000"/>
                <w:sz w:val="18"/>
              </w:rPr>
              <w:t>551,027 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0DAF0E95" w14:textId="77777777" w:rsidR="001614AC" w:rsidRDefault="001614AC">
            <w:pPr>
              <w:keepNext/>
              <w:spacing w:before="55" w:after="30" w:line="288" w:lineRule="auto"/>
              <w:jc w:val="right"/>
            </w:pPr>
          </w:p>
        </w:tc>
      </w:tr>
      <w:tr w:rsidR="001614AC" w14:paraId="69588347" w14:textId="77777777">
        <w:trPr>
          <w:cantSplit/>
        </w:trPr>
        <w:tc>
          <w:tcPr>
            <w:tcW w:w="5640" w:type="dxa"/>
            <w:tcBorders>
              <w:top w:val="single" w:sz="8" w:space="0" w:color="E9E9E9"/>
              <w:left w:val="nil"/>
              <w:bottom w:val="single" w:sz="8" w:space="0" w:color="E9E9E9"/>
              <w:right w:val="nil"/>
            </w:tcBorders>
            <w:tcMar>
              <w:top w:w="0" w:type="dxa"/>
              <w:left w:w="53" w:type="dxa"/>
              <w:bottom w:w="0" w:type="dxa"/>
              <w:right w:w="53" w:type="dxa"/>
            </w:tcMar>
            <w:vAlign w:val="bottom"/>
          </w:tcPr>
          <w:p w14:paraId="17BB1477" w14:textId="77777777" w:rsidR="001614AC" w:rsidRDefault="004468F9">
            <w:pPr>
              <w:keepNext/>
              <w:spacing w:before="55" w:after="30" w:line="288" w:lineRule="auto"/>
              <w:ind w:left="240"/>
              <w:rPr>
                <w:rFonts w:ascii="Arial" w:eastAsia="Arial" w:hAnsi="Arial" w:cs="Arial"/>
                <w:sz w:val="18"/>
              </w:rPr>
            </w:pPr>
            <w:r>
              <w:rPr>
                <w:rFonts w:ascii="Arial" w:eastAsia="Arial" w:hAnsi="Arial" w:cs="Arial"/>
                <w:sz w:val="18"/>
              </w:rPr>
              <w:t>Assumed</w:t>
            </w:r>
            <w:r>
              <w:rPr>
                <w:rFonts w:ascii="Arial" w:eastAsia="Arial" w:hAnsi="Arial" w:cs="Arial"/>
                <w:sz w:val="18"/>
                <w:vertAlign w:val="superscript"/>
              </w:rPr>
              <w:t xml:space="preserve"> (1) </w:t>
            </w:r>
          </w:p>
        </w:tc>
        <w:tc>
          <w:tcPr>
            <w:tcW w:w="105" w:type="dxa"/>
            <w:tcBorders>
              <w:top w:val="nil"/>
              <w:left w:val="nil"/>
              <w:bottom w:val="nil"/>
              <w:right w:val="nil"/>
            </w:tcBorders>
            <w:tcMar>
              <w:top w:w="0" w:type="dxa"/>
              <w:left w:w="0" w:type="dxa"/>
              <w:bottom w:w="0" w:type="dxa"/>
              <w:right w:w="0" w:type="dxa"/>
            </w:tcMar>
            <w:vAlign w:val="bottom"/>
          </w:tcPr>
          <w:p w14:paraId="7F0CE222" w14:textId="77777777" w:rsidR="001614AC" w:rsidRDefault="001614AC">
            <w:pPr>
              <w:keepNext/>
            </w:pPr>
          </w:p>
        </w:tc>
        <w:tc>
          <w:tcPr>
            <w:tcW w:w="90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2C4C2871" w14:textId="77777777" w:rsidR="001614AC" w:rsidRDefault="004468F9">
            <w:pPr>
              <w:keepNext/>
              <w:spacing w:before="55" w:after="30" w:line="288" w:lineRule="auto"/>
              <w:jc w:val="right"/>
            </w:pPr>
            <w:r>
              <w:rPr>
                <w:rFonts w:ascii="Arial" w:eastAsia="Arial" w:hAnsi="Arial" w:cs="Arial"/>
                <w:color w:val="000000"/>
                <w:sz w:val="18"/>
              </w:rPr>
              <w:t>1,615 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00B834B9" w14:textId="77777777" w:rsidR="001614AC" w:rsidRDefault="001614AC">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35CB3D21" w14:textId="77777777" w:rsidR="001614AC" w:rsidRDefault="001614AC">
            <w:pPr>
              <w:keepNext/>
            </w:pPr>
          </w:p>
        </w:tc>
        <w:tc>
          <w:tcPr>
            <w:tcW w:w="90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50F4DD00" w14:textId="77777777" w:rsidR="001614AC" w:rsidRDefault="004468F9">
            <w:pPr>
              <w:keepNext/>
              <w:spacing w:before="55" w:after="30" w:line="288" w:lineRule="auto"/>
              <w:jc w:val="right"/>
            </w:pPr>
            <w:r>
              <w:rPr>
                <w:rFonts w:ascii="Arial" w:eastAsia="Arial" w:hAnsi="Arial" w:cs="Arial"/>
                <w:color w:val="000000"/>
                <w:sz w:val="18"/>
              </w:rPr>
              <w:t>3,192 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5CCF2F47" w14:textId="77777777" w:rsidR="001614AC" w:rsidRDefault="001614AC">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13558E50" w14:textId="77777777" w:rsidR="001614AC" w:rsidRDefault="001614AC">
            <w:pPr>
              <w:keepNext/>
            </w:pPr>
          </w:p>
        </w:tc>
        <w:tc>
          <w:tcPr>
            <w:tcW w:w="90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54414C88" w14:textId="77777777" w:rsidR="001614AC" w:rsidRDefault="004468F9">
            <w:pPr>
              <w:keepNext/>
              <w:spacing w:before="55" w:after="30" w:line="288" w:lineRule="auto"/>
              <w:jc w:val="right"/>
            </w:pPr>
            <w:r>
              <w:rPr>
                <w:rFonts w:ascii="Arial" w:eastAsia="Arial" w:hAnsi="Arial" w:cs="Arial"/>
                <w:color w:val="000000"/>
                <w:sz w:val="18"/>
              </w:rPr>
              <w:t>3,913 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6821E375" w14:textId="77777777" w:rsidR="001614AC" w:rsidRDefault="001614AC">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771FE87A" w14:textId="77777777" w:rsidR="001614AC" w:rsidRDefault="001614AC">
            <w:pPr>
              <w:keepNext/>
            </w:pPr>
          </w:p>
        </w:tc>
        <w:tc>
          <w:tcPr>
            <w:tcW w:w="90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1E267C85" w14:textId="77777777" w:rsidR="001614AC" w:rsidRDefault="004468F9">
            <w:pPr>
              <w:keepNext/>
              <w:spacing w:before="55" w:after="30" w:line="288" w:lineRule="auto"/>
              <w:jc w:val="right"/>
            </w:pPr>
            <w:r>
              <w:rPr>
                <w:rFonts w:ascii="Arial" w:eastAsia="Arial" w:hAnsi="Arial" w:cs="Arial"/>
                <w:color w:val="000000"/>
                <w:sz w:val="18"/>
              </w:rPr>
              <w:t>6,643 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4583B8E2" w14:textId="77777777" w:rsidR="001614AC" w:rsidRDefault="001614AC">
            <w:pPr>
              <w:keepNext/>
              <w:spacing w:before="55" w:after="30" w:line="288" w:lineRule="auto"/>
              <w:jc w:val="right"/>
            </w:pPr>
          </w:p>
        </w:tc>
      </w:tr>
      <w:tr w:rsidR="001614AC" w14:paraId="4BFC8576" w14:textId="77777777">
        <w:trPr>
          <w:cantSplit/>
        </w:trPr>
        <w:tc>
          <w:tcPr>
            <w:tcW w:w="5640" w:type="dxa"/>
            <w:tcBorders>
              <w:top w:val="single" w:sz="8" w:space="0" w:color="E9E9E9"/>
              <w:left w:val="nil"/>
              <w:bottom w:val="nil"/>
              <w:right w:val="nil"/>
            </w:tcBorders>
            <w:tcMar>
              <w:top w:w="0" w:type="dxa"/>
              <w:left w:w="53" w:type="dxa"/>
              <w:bottom w:w="0" w:type="dxa"/>
              <w:right w:w="53" w:type="dxa"/>
            </w:tcMar>
            <w:vAlign w:val="bottom"/>
          </w:tcPr>
          <w:p w14:paraId="03B11815" w14:textId="77777777" w:rsidR="001614AC" w:rsidRDefault="004468F9">
            <w:pPr>
              <w:keepNext/>
              <w:spacing w:before="55" w:after="30" w:line="288" w:lineRule="auto"/>
              <w:ind w:left="240"/>
              <w:rPr>
                <w:rFonts w:ascii="Arial" w:eastAsia="Arial" w:hAnsi="Arial" w:cs="Arial"/>
                <w:sz w:val="18"/>
              </w:rPr>
            </w:pPr>
            <w:r>
              <w:rPr>
                <w:rFonts w:ascii="Arial" w:eastAsia="Arial" w:hAnsi="Arial" w:cs="Arial"/>
                <w:sz w:val="18"/>
              </w:rPr>
              <w:t xml:space="preserve">Ceded </w:t>
            </w:r>
            <w:r>
              <w:rPr>
                <w:rFonts w:ascii="Arial" w:eastAsia="Arial" w:hAnsi="Arial" w:cs="Arial"/>
                <w:sz w:val="18"/>
                <w:vertAlign w:val="superscript"/>
              </w:rPr>
              <w:t xml:space="preserve">(2) </w:t>
            </w:r>
          </w:p>
        </w:tc>
        <w:tc>
          <w:tcPr>
            <w:tcW w:w="105" w:type="dxa"/>
            <w:tcBorders>
              <w:top w:val="nil"/>
              <w:left w:val="nil"/>
              <w:bottom w:val="nil"/>
              <w:right w:val="nil"/>
            </w:tcBorders>
            <w:tcMar>
              <w:top w:w="0" w:type="dxa"/>
              <w:left w:w="0" w:type="dxa"/>
              <w:bottom w:w="0" w:type="dxa"/>
              <w:right w:w="0" w:type="dxa"/>
            </w:tcMar>
            <w:vAlign w:val="bottom"/>
          </w:tcPr>
          <w:p w14:paraId="3BF59693" w14:textId="77777777" w:rsidR="001614AC" w:rsidRDefault="001614AC">
            <w:pPr>
              <w:keepNext/>
            </w:pPr>
          </w:p>
        </w:tc>
        <w:tc>
          <w:tcPr>
            <w:tcW w:w="905" w:type="dxa"/>
            <w:gridSpan w:val="2"/>
            <w:tcBorders>
              <w:top w:val="single" w:sz="8" w:space="0" w:color="E9E9E9"/>
              <w:left w:val="nil"/>
              <w:bottom w:val="single" w:sz="8" w:space="0" w:color="C7C9C7"/>
              <w:right w:val="nil"/>
            </w:tcBorders>
            <w:tcMar>
              <w:top w:w="0" w:type="dxa"/>
              <w:left w:w="53" w:type="dxa"/>
              <w:bottom w:w="0" w:type="dxa"/>
              <w:right w:w="0" w:type="dxa"/>
            </w:tcMar>
            <w:vAlign w:val="bottom"/>
          </w:tcPr>
          <w:p w14:paraId="579E610A" w14:textId="77777777" w:rsidR="001614AC" w:rsidRDefault="004468F9">
            <w:pPr>
              <w:keepNext/>
              <w:spacing w:before="55" w:after="30" w:line="288" w:lineRule="auto"/>
              <w:jc w:val="right"/>
            </w:pPr>
            <w:r>
              <w:rPr>
                <w:rFonts w:ascii="Arial" w:eastAsia="Arial" w:hAnsi="Arial" w:cs="Arial"/>
                <w:color w:val="000000"/>
                <w:sz w:val="18"/>
              </w:rPr>
              <w:t>(11,766)</w:t>
            </w:r>
          </w:p>
        </w:tc>
        <w:tc>
          <w:tcPr>
            <w:tcW w:w="100" w:type="dxa"/>
            <w:tcBorders>
              <w:top w:val="single" w:sz="8" w:space="0" w:color="E9E9E9"/>
              <w:left w:val="nil"/>
              <w:bottom w:val="single" w:sz="8" w:space="0" w:color="C7C9C7"/>
              <w:right w:val="nil"/>
            </w:tcBorders>
            <w:tcMar>
              <w:top w:w="0" w:type="dxa"/>
              <w:left w:w="0" w:type="dxa"/>
              <w:bottom w:w="0" w:type="dxa"/>
              <w:right w:w="15" w:type="dxa"/>
            </w:tcMar>
            <w:vAlign w:val="bottom"/>
          </w:tcPr>
          <w:p w14:paraId="71FD9C17" w14:textId="77777777" w:rsidR="001614AC" w:rsidRDefault="001614AC">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295A07EE" w14:textId="77777777" w:rsidR="001614AC" w:rsidRDefault="001614AC">
            <w:pPr>
              <w:keepNext/>
            </w:pPr>
          </w:p>
        </w:tc>
        <w:tc>
          <w:tcPr>
            <w:tcW w:w="905" w:type="dxa"/>
            <w:gridSpan w:val="2"/>
            <w:tcBorders>
              <w:top w:val="single" w:sz="8" w:space="0" w:color="E9E9E9"/>
              <w:left w:val="nil"/>
              <w:bottom w:val="single" w:sz="8" w:space="0" w:color="C7C9C7"/>
              <w:right w:val="nil"/>
            </w:tcBorders>
            <w:tcMar>
              <w:top w:w="0" w:type="dxa"/>
              <w:left w:w="53" w:type="dxa"/>
              <w:bottom w:w="0" w:type="dxa"/>
              <w:right w:w="0" w:type="dxa"/>
            </w:tcMar>
            <w:vAlign w:val="bottom"/>
          </w:tcPr>
          <w:p w14:paraId="7DEF0CC0" w14:textId="77777777" w:rsidR="001614AC" w:rsidRDefault="004468F9">
            <w:pPr>
              <w:keepNext/>
              <w:spacing w:before="55" w:after="30" w:line="288" w:lineRule="auto"/>
              <w:jc w:val="right"/>
            </w:pPr>
            <w:r>
              <w:rPr>
                <w:rFonts w:ascii="Arial" w:eastAsia="Arial" w:hAnsi="Arial" w:cs="Arial"/>
                <w:color w:val="000000"/>
                <w:sz w:val="18"/>
              </w:rPr>
              <w:t>(43,580)</w:t>
            </w:r>
          </w:p>
        </w:tc>
        <w:tc>
          <w:tcPr>
            <w:tcW w:w="100" w:type="dxa"/>
            <w:tcBorders>
              <w:top w:val="single" w:sz="8" w:space="0" w:color="E9E9E9"/>
              <w:left w:val="nil"/>
              <w:bottom w:val="single" w:sz="8" w:space="0" w:color="C7C9C7"/>
              <w:right w:val="nil"/>
            </w:tcBorders>
            <w:tcMar>
              <w:top w:w="0" w:type="dxa"/>
              <w:left w:w="0" w:type="dxa"/>
              <w:bottom w:w="0" w:type="dxa"/>
              <w:right w:w="15" w:type="dxa"/>
            </w:tcMar>
            <w:vAlign w:val="bottom"/>
          </w:tcPr>
          <w:p w14:paraId="56C9130A" w14:textId="77777777" w:rsidR="001614AC" w:rsidRDefault="001614AC">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7AEC590C" w14:textId="77777777" w:rsidR="001614AC" w:rsidRDefault="001614AC">
            <w:pPr>
              <w:keepNext/>
            </w:pPr>
          </w:p>
        </w:tc>
        <w:tc>
          <w:tcPr>
            <w:tcW w:w="905" w:type="dxa"/>
            <w:gridSpan w:val="2"/>
            <w:tcBorders>
              <w:top w:val="single" w:sz="8" w:space="0" w:color="E9E9E9"/>
              <w:left w:val="nil"/>
              <w:bottom w:val="single" w:sz="8" w:space="0" w:color="C7C9C7"/>
              <w:right w:val="nil"/>
            </w:tcBorders>
            <w:tcMar>
              <w:top w:w="0" w:type="dxa"/>
              <w:left w:w="53" w:type="dxa"/>
              <w:bottom w:w="0" w:type="dxa"/>
              <w:right w:w="0" w:type="dxa"/>
            </w:tcMar>
            <w:vAlign w:val="bottom"/>
          </w:tcPr>
          <w:p w14:paraId="58210935" w14:textId="77777777" w:rsidR="001614AC" w:rsidRDefault="004468F9">
            <w:pPr>
              <w:keepNext/>
              <w:spacing w:before="55" w:after="30" w:line="288" w:lineRule="auto"/>
              <w:jc w:val="right"/>
            </w:pPr>
            <w:r>
              <w:rPr>
                <w:rFonts w:ascii="Arial" w:eastAsia="Arial" w:hAnsi="Arial" w:cs="Arial"/>
                <w:color w:val="000000"/>
                <w:sz w:val="18"/>
              </w:rPr>
              <w:t>(20,601)</w:t>
            </w:r>
          </w:p>
        </w:tc>
        <w:tc>
          <w:tcPr>
            <w:tcW w:w="100" w:type="dxa"/>
            <w:tcBorders>
              <w:top w:val="single" w:sz="8" w:space="0" w:color="E9E9E9"/>
              <w:left w:val="nil"/>
              <w:bottom w:val="single" w:sz="8" w:space="0" w:color="C7C9C7"/>
              <w:right w:val="nil"/>
            </w:tcBorders>
            <w:tcMar>
              <w:top w:w="0" w:type="dxa"/>
              <w:left w:w="0" w:type="dxa"/>
              <w:bottom w:w="0" w:type="dxa"/>
              <w:right w:w="15" w:type="dxa"/>
            </w:tcMar>
            <w:vAlign w:val="bottom"/>
          </w:tcPr>
          <w:p w14:paraId="066B2D2B" w14:textId="77777777" w:rsidR="001614AC" w:rsidRDefault="001614AC">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58B08836" w14:textId="77777777" w:rsidR="001614AC" w:rsidRDefault="001614AC">
            <w:pPr>
              <w:keepNext/>
            </w:pPr>
          </w:p>
        </w:tc>
        <w:tc>
          <w:tcPr>
            <w:tcW w:w="905" w:type="dxa"/>
            <w:gridSpan w:val="2"/>
            <w:tcBorders>
              <w:top w:val="single" w:sz="8" w:space="0" w:color="E9E9E9"/>
              <w:left w:val="nil"/>
              <w:bottom w:val="single" w:sz="8" w:space="0" w:color="C7C9C7"/>
              <w:right w:val="nil"/>
            </w:tcBorders>
            <w:tcMar>
              <w:top w:w="0" w:type="dxa"/>
              <w:left w:w="53" w:type="dxa"/>
              <w:bottom w:w="0" w:type="dxa"/>
              <w:right w:w="0" w:type="dxa"/>
            </w:tcMar>
            <w:vAlign w:val="bottom"/>
          </w:tcPr>
          <w:p w14:paraId="0766654C" w14:textId="77777777" w:rsidR="001614AC" w:rsidRDefault="004468F9">
            <w:pPr>
              <w:keepNext/>
              <w:spacing w:before="55" w:after="30" w:line="288" w:lineRule="auto"/>
              <w:jc w:val="right"/>
            </w:pPr>
            <w:r>
              <w:rPr>
                <w:rFonts w:ascii="Arial" w:eastAsia="Arial" w:hAnsi="Arial" w:cs="Arial"/>
                <w:color w:val="000000"/>
                <w:sz w:val="18"/>
              </w:rPr>
              <w:t>(63,123)</w:t>
            </w:r>
          </w:p>
        </w:tc>
        <w:tc>
          <w:tcPr>
            <w:tcW w:w="100" w:type="dxa"/>
            <w:tcBorders>
              <w:top w:val="single" w:sz="8" w:space="0" w:color="E9E9E9"/>
              <w:left w:val="nil"/>
              <w:bottom w:val="single" w:sz="8" w:space="0" w:color="C7C9C7"/>
              <w:right w:val="nil"/>
            </w:tcBorders>
            <w:tcMar>
              <w:top w:w="0" w:type="dxa"/>
              <w:left w:w="0" w:type="dxa"/>
              <w:bottom w:w="0" w:type="dxa"/>
              <w:right w:w="15" w:type="dxa"/>
            </w:tcMar>
            <w:vAlign w:val="bottom"/>
          </w:tcPr>
          <w:p w14:paraId="7E48DABD" w14:textId="77777777" w:rsidR="001614AC" w:rsidRDefault="001614AC">
            <w:pPr>
              <w:keepNext/>
              <w:spacing w:before="55" w:after="30" w:line="288" w:lineRule="auto"/>
              <w:jc w:val="right"/>
            </w:pPr>
          </w:p>
        </w:tc>
      </w:tr>
      <w:tr w:rsidR="001614AC" w14:paraId="5BD10035" w14:textId="77777777">
        <w:trPr>
          <w:cantSplit/>
        </w:trPr>
        <w:tc>
          <w:tcPr>
            <w:tcW w:w="5640" w:type="dxa"/>
            <w:tcBorders>
              <w:top w:val="nil"/>
              <w:left w:val="nil"/>
              <w:bottom w:val="nil"/>
              <w:right w:val="nil"/>
            </w:tcBorders>
            <w:shd w:val="clear" w:color="auto" w:fill="F4F4F4"/>
            <w:tcMar>
              <w:top w:w="0" w:type="dxa"/>
              <w:left w:w="53" w:type="dxa"/>
              <w:bottom w:w="0" w:type="dxa"/>
              <w:right w:w="53" w:type="dxa"/>
            </w:tcMar>
            <w:vAlign w:val="bottom"/>
          </w:tcPr>
          <w:p w14:paraId="3198E300" w14:textId="77777777" w:rsidR="001614AC" w:rsidRDefault="004468F9">
            <w:pPr>
              <w:keepNext/>
              <w:spacing w:before="75" w:after="30" w:line="288" w:lineRule="auto"/>
              <w:ind w:left="240"/>
            </w:pPr>
            <w:r>
              <w:rPr>
                <w:rFonts w:ascii="Arial" w:eastAsia="Arial" w:hAnsi="Arial" w:cs="Arial"/>
                <w:color w:val="000000"/>
                <w:sz w:val="18"/>
              </w:rPr>
              <w:t>Net premiums written</w:t>
            </w:r>
          </w:p>
        </w:tc>
        <w:tc>
          <w:tcPr>
            <w:tcW w:w="105" w:type="dxa"/>
            <w:tcBorders>
              <w:top w:val="nil"/>
              <w:left w:val="nil"/>
              <w:bottom w:val="nil"/>
              <w:right w:val="nil"/>
            </w:tcBorders>
            <w:shd w:val="clear" w:color="auto" w:fill="F4F4F4"/>
            <w:tcMar>
              <w:top w:w="0" w:type="dxa"/>
              <w:left w:w="0" w:type="dxa"/>
              <w:bottom w:w="0" w:type="dxa"/>
              <w:right w:w="0" w:type="dxa"/>
            </w:tcMar>
            <w:vAlign w:val="bottom"/>
          </w:tcPr>
          <w:p w14:paraId="51493663" w14:textId="77777777" w:rsidR="001614AC" w:rsidRDefault="001614AC">
            <w:pPr>
              <w:keepNext/>
            </w:pPr>
          </w:p>
        </w:tc>
        <w:tc>
          <w:tcPr>
            <w:tcW w:w="160" w:type="dxa"/>
            <w:tcBorders>
              <w:top w:val="single" w:sz="8" w:space="0" w:color="C7C9C7"/>
              <w:left w:val="nil"/>
              <w:bottom w:val="double" w:sz="8" w:space="0" w:color="C7C9C7"/>
              <w:right w:val="nil"/>
            </w:tcBorders>
            <w:shd w:val="clear" w:color="auto" w:fill="F4F4F4"/>
            <w:tcMar>
              <w:top w:w="0" w:type="dxa"/>
              <w:left w:w="53" w:type="dxa"/>
              <w:bottom w:w="0" w:type="dxa"/>
              <w:right w:w="0" w:type="dxa"/>
            </w:tcMar>
            <w:vAlign w:val="bottom"/>
          </w:tcPr>
          <w:p w14:paraId="00B8676F" w14:textId="77777777" w:rsidR="001614AC" w:rsidRDefault="004468F9">
            <w:pPr>
              <w:keepNext/>
              <w:spacing w:before="55" w:after="30" w:line="288" w:lineRule="auto"/>
            </w:pPr>
            <w:r>
              <w:rPr>
                <w:rFonts w:ascii="Arial" w:eastAsia="Arial" w:hAnsi="Arial" w:cs="Arial"/>
                <w:color w:val="000000"/>
                <w:sz w:val="18"/>
              </w:rPr>
              <w:t>$</w:t>
            </w:r>
          </w:p>
        </w:tc>
        <w:tc>
          <w:tcPr>
            <w:tcW w:w="745" w:type="dxa"/>
            <w:tcBorders>
              <w:top w:val="single" w:sz="8" w:space="0" w:color="C7C9C7"/>
              <w:left w:val="nil"/>
              <w:bottom w:val="double" w:sz="8" w:space="0" w:color="C7C9C7"/>
              <w:right w:val="nil"/>
            </w:tcBorders>
            <w:shd w:val="clear" w:color="auto" w:fill="F4F4F4"/>
            <w:tcMar>
              <w:top w:w="0" w:type="dxa"/>
              <w:left w:w="0" w:type="dxa"/>
              <w:bottom w:w="0" w:type="dxa"/>
              <w:right w:w="0" w:type="dxa"/>
            </w:tcMar>
            <w:vAlign w:val="bottom"/>
          </w:tcPr>
          <w:p w14:paraId="3D64BD47" w14:textId="77777777" w:rsidR="001614AC" w:rsidRDefault="004468F9">
            <w:pPr>
              <w:keepNext/>
              <w:spacing w:before="55" w:after="30" w:line="288" w:lineRule="auto"/>
              <w:jc w:val="right"/>
            </w:pPr>
            <w:r>
              <w:rPr>
                <w:rFonts w:ascii="Arial" w:eastAsia="Arial" w:hAnsi="Arial" w:cs="Arial"/>
                <w:color w:val="000000"/>
                <w:sz w:val="18"/>
              </w:rPr>
              <w:t>238,698 </w:t>
            </w:r>
          </w:p>
        </w:tc>
        <w:tc>
          <w:tcPr>
            <w:tcW w:w="100" w:type="dxa"/>
            <w:tcBorders>
              <w:top w:val="single" w:sz="8" w:space="0" w:color="C7C9C7"/>
              <w:left w:val="nil"/>
              <w:bottom w:val="double" w:sz="8" w:space="0" w:color="C7C9C7"/>
              <w:right w:val="nil"/>
            </w:tcBorders>
            <w:shd w:val="clear" w:color="auto" w:fill="F4F4F4"/>
            <w:tcMar>
              <w:top w:w="0" w:type="dxa"/>
              <w:left w:w="0" w:type="dxa"/>
              <w:bottom w:w="0" w:type="dxa"/>
              <w:right w:w="15" w:type="dxa"/>
            </w:tcMar>
            <w:vAlign w:val="bottom"/>
          </w:tcPr>
          <w:p w14:paraId="5CBE3039" w14:textId="77777777" w:rsidR="001614AC" w:rsidRDefault="001614AC">
            <w:pPr>
              <w:keepNext/>
              <w:spacing w:before="55" w:after="30" w:line="288" w:lineRule="auto"/>
              <w:jc w:val="right"/>
            </w:pPr>
          </w:p>
        </w:tc>
        <w:tc>
          <w:tcPr>
            <w:tcW w:w="105" w:type="dxa"/>
            <w:tcBorders>
              <w:top w:val="nil"/>
              <w:left w:val="nil"/>
              <w:bottom w:val="nil"/>
              <w:right w:val="nil"/>
            </w:tcBorders>
            <w:shd w:val="clear" w:color="auto" w:fill="F4F4F4"/>
            <w:tcMar>
              <w:top w:w="0" w:type="dxa"/>
              <w:left w:w="0" w:type="dxa"/>
              <w:bottom w:w="0" w:type="dxa"/>
              <w:right w:w="0" w:type="dxa"/>
            </w:tcMar>
            <w:vAlign w:val="bottom"/>
          </w:tcPr>
          <w:p w14:paraId="074CE170" w14:textId="77777777" w:rsidR="001614AC" w:rsidRDefault="001614AC">
            <w:pPr>
              <w:keepNext/>
            </w:pPr>
          </w:p>
        </w:tc>
        <w:tc>
          <w:tcPr>
            <w:tcW w:w="160" w:type="dxa"/>
            <w:tcBorders>
              <w:top w:val="single" w:sz="8" w:space="0" w:color="C7C9C7"/>
              <w:left w:val="nil"/>
              <w:bottom w:val="double" w:sz="8" w:space="0" w:color="C7C9C7"/>
              <w:right w:val="nil"/>
            </w:tcBorders>
            <w:shd w:val="clear" w:color="auto" w:fill="F4F4F4"/>
            <w:tcMar>
              <w:top w:w="0" w:type="dxa"/>
              <w:left w:w="53" w:type="dxa"/>
              <w:bottom w:w="0" w:type="dxa"/>
              <w:right w:w="0" w:type="dxa"/>
            </w:tcMar>
            <w:vAlign w:val="bottom"/>
          </w:tcPr>
          <w:p w14:paraId="2B713A4A" w14:textId="77777777" w:rsidR="001614AC" w:rsidRDefault="004468F9">
            <w:pPr>
              <w:keepNext/>
              <w:spacing w:before="55" w:after="30" w:line="288" w:lineRule="auto"/>
            </w:pPr>
            <w:r>
              <w:rPr>
                <w:rFonts w:ascii="Arial" w:eastAsia="Arial" w:hAnsi="Arial" w:cs="Arial"/>
                <w:color w:val="000000"/>
                <w:sz w:val="18"/>
              </w:rPr>
              <w:t>$</w:t>
            </w:r>
          </w:p>
        </w:tc>
        <w:tc>
          <w:tcPr>
            <w:tcW w:w="745" w:type="dxa"/>
            <w:tcBorders>
              <w:top w:val="single" w:sz="8" w:space="0" w:color="C7C9C7"/>
              <w:left w:val="nil"/>
              <w:bottom w:val="double" w:sz="8" w:space="0" w:color="C7C9C7"/>
              <w:right w:val="nil"/>
            </w:tcBorders>
            <w:shd w:val="clear" w:color="auto" w:fill="F4F4F4"/>
            <w:tcMar>
              <w:top w:w="0" w:type="dxa"/>
              <w:left w:w="0" w:type="dxa"/>
              <w:bottom w:w="0" w:type="dxa"/>
              <w:right w:w="0" w:type="dxa"/>
            </w:tcMar>
            <w:vAlign w:val="bottom"/>
          </w:tcPr>
          <w:p w14:paraId="31D5EFFE" w14:textId="77777777" w:rsidR="001614AC" w:rsidRDefault="004468F9">
            <w:pPr>
              <w:keepNext/>
              <w:spacing w:before="55" w:after="30" w:line="288" w:lineRule="auto"/>
              <w:jc w:val="right"/>
            </w:pPr>
            <w:r>
              <w:rPr>
                <w:rFonts w:ascii="Arial" w:eastAsia="Arial" w:hAnsi="Arial" w:cs="Arial"/>
                <w:color w:val="000000"/>
                <w:sz w:val="18"/>
              </w:rPr>
              <w:t>231,157 </w:t>
            </w:r>
          </w:p>
        </w:tc>
        <w:tc>
          <w:tcPr>
            <w:tcW w:w="100" w:type="dxa"/>
            <w:tcBorders>
              <w:top w:val="single" w:sz="8" w:space="0" w:color="C7C9C7"/>
              <w:left w:val="nil"/>
              <w:bottom w:val="double" w:sz="8" w:space="0" w:color="C7C9C7"/>
              <w:right w:val="nil"/>
            </w:tcBorders>
            <w:shd w:val="clear" w:color="auto" w:fill="F4F4F4"/>
            <w:tcMar>
              <w:top w:w="0" w:type="dxa"/>
              <w:left w:w="0" w:type="dxa"/>
              <w:bottom w:w="0" w:type="dxa"/>
              <w:right w:w="15" w:type="dxa"/>
            </w:tcMar>
            <w:vAlign w:val="bottom"/>
          </w:tcPr>
          <w:p w14:paraId="7764A535" w14:textId="77777777" w:rsidR="001614AC" w:rsidRDefault="001614AC">
            <w:pPr>
              <w:keepNext/>
              <w:spacing w:before="55" w:after="30" w:line="288" w:lineRule="auto"/>
              <w:jc w:val="right"/>
            </w:pPr>
          </w:p>
        </w:tc>
        <w:tc>
          <w:tcPr>
            <w:tcW w:w="105" w:type="dxa"/>
            <w:tcBorders>
              <w:top w:val="nil"/>
              <w:left w:val="nil"/>
              <w:bottom w:val="nil"/>
              <w:right w:val="nil"/>
            </w:tcBorders>
            <w:shd w:val="clear" w:color="auto" w:fill="F4F4F4"/>
            <w:tcMar>
              <w:top w:w="0" w:type="dxa"/>
              <w:left w:w="0" w:type="dxa"/>
              <w:bottom w:w="0" w:type="dxa"/>
              <w:right w:w="0" w:type="dxa"/>
            </w:tcMar>
            <w:vAlign w:val="bottom"/>
          </w:tcPr>
          <w:p w14:paraId="6B22DC76" w14:textId="77777777" w:rsidR="001614AC" w:rsidRDefault="001614AC">
            <w:pPr>
              <w:keepNext/>
            </w:pPr>
          </w:p>
        </w:tc>
        <w:tc>
          <w:tcPr>
            <w:tcW w:w="160" w:type="dxa"/>
            <w:tcBorders>
              <w:top w:val="single" w:sz="8" w:space="0" w:color="C7C9C7"/>
              <w:left w:val="nil"/>
              <w:bottom w:val="double" w:sz="8" w:space="0" w:color="C7C9C7"/>
              <w:right w:val="nil"/>
            </w:tcBorders>
            <w:shd w:val="clear" w:color="auto" w:fill="F4F4F4"/>
            <w:tcMar>
              <w:top w:w="0" w:type="dxa"/>
              <w:left w:w="53" w:type="dxa"/>
              <w:bottom w:w="0" w:type="dxa"/>
              <w:right w:w="0" w:type="dxa"/>
            </w:tcMar>
            <w:vAlign w:val="bottom"/>
          </w:tcPr>
          <w:p w14:paraId="33707E99" w14:textId="77777777" w:rsidR="001614AC" w:rsidRDefault="004468F9">
            <w:pPr>
              <w:keepNext/>
              <w:spacing w:before="55" w:after="30" w:line="288" w:lineRule="auto"/>
            </w:pPr>
            <w:r>
              <w:rPr>
                <w:rFonts w:ascii="Arial" w:eastAsia="Arial" w:hAnsi="Arial" w:cs="Arial"/>
                <w:color w:val="000000"/>
                <w:sz w:val="18"/>
              </w:rPr>
              <w:t>$</w:t>
            </w:r>
          </w:p>
        </w:tc>
        <w:tc>
          <w:tcPr>
            <w:tcW w:w="745" w:type="dxa"/>
            <w:tcBorders>
              <w:top w:val="single" w:sz="8" w:space="0" w:color="C7C9C7"/>
              <w:left w:val="nil"/>
              <w:bottom w:val="double" w:sz="8" w:space="0" w:color="C7C9C7"/>
              <w:right w:val="nil"/>
            </w:tcBorders>
            <w:shd w:val="clear" w:color="auto" w:fill="F4F4F4"/>
            <w:tcMar>
              <w:top w:w="0" w:type="dxa"/>
              <w:left w:w="0" w:type="dxa"/>
              <w:bottom w:w="0" w:type="dxa"/>
              <w:right w:w="0" w:type="dxa"/>
            </w:tcMar>
            <w:vAlign w:val="bottom"/>
          </w:tcPr>
          <w:p w14:paraId="7DB5846D" w14:textId="77777777" w:rsidR="001614AC" w:rsidRDefault="004468F9">
            <w:pPr>
              <w:keepNext/>
              <w:spacing w:before="55" w:after="30" w:line="288" w:lineRule="auto"/>
              <w:jc w:val="right"/>
            </w:pPr>
            <w:r>
              <w:rPr>
                <w:rFonts w:ascii="Arial" w:eastAsia="Arial" w:hAnsi="Arial" w:cs="Arial"/>
                <w:color w:val="000000"/>
                <w:sz w:val="18"/>
              </w:rPr>
              <w:t>492,780 </w:t>
            </w:r>
          </w:p>
        </w:tc>
        <w:tc>
          <w:tcPr>
            <w:tcW w:w="100" w:type="dxa"/>
            <w:tcBorders>
              <w:top w:val="single" w:sz="8" w:space="0" w:color="C7C9C7"/>
              <w:left w:val="nil"/>
              <w:bottom w:val="double" w:sz="8" w:space="0" w:color="C7C9C7"/>
              <w:right w:val="nil"/>
            </w:tcBorders>
            <w:shd w:val="clear" w:color="auto" w:fill="F4F4F4"/>
            <w:tcMar>
              <w:top w:w="0" w:type="dxa"/>
              <w:left w:w="0" w:type="dxa"/>
              <w:bottom w:w="0" w:type="dxa"/>
              <w:right w:w="15" w:type="dxa"/>
            </w:tcMar>
            <w:vAlign w:val="bottom"/>
          </w:tcPr>
          <w:p w14:paraId="37A6496D" w14:textId="77777777" w:rsidR="001614AC" w:rsidRDefault="001614AC">
            <w:pPr>
              <w:keepNext/>
              <w:spacing w:before="55" w:after="30" w:line="288" w:lineRule="auto"/>
              <w:jc w:val="right"/>
            </w:pPr>
          </w:p>
        </w:tc>
        <w:tc>
          <w:tcPr>
            <w:tcW w:w="105" w:type="dxa"/>
            <w:tcBorders>
              <w:top w:val="nil"/>
              <w:left w:val="nil"/>
              <w:bottom w:val="nil"/>
              <w:right w:val="nil"/>
            </w:tcBorders>
            <w:shd w:val="clear" w:color="auto" w:fill="F4F4F4"/>
            <w:tcMar>
              <w:top w:w="0" w:type="dxa"/>
              <w:left w:w="0" w:type="dxa"/>
              <w:bottom w:w="0" w:type="dxa"/>
              <w:right w:w="0" w:type="dxa"/>
            </w:tcMar>
            <w:vAlign w:val="bottom"/>
          </w:tcPr>
          <w:p w14:paraId="015BAFF2" w14:textId="77777777" w:rsidR="001614AC" w:rsidRDefault="001614AC">
            <w:pPr>
              <w:keepNext/>
            </w:pPr>
          </w:p>
        </w:tc>
        <w:tc>
          <w:tcPr>
            <w:tcW w:w="160" w:type="dxa"/>
            <w:tcBorders>
              <w:top w:val="single" w:sz="8" w:space="0" w:color="C7C9C7"/>
              <w:left w:val="nil"/>
              <w:bottom w:val="double" w:sz="8" w:space="0" w:color="C7C9C7"/>
              <w:right w:val="nil"/>
            </w:tcBorders>
            <w:shd w:val="clear" w:color="auto" w:fill="F4F4F4"/>
            <w:tcMar>
              <w:top w:w="0" w:type="dxa"/>
              <w:left w:w="53" w:type="dxa"/>
              <w:bottom w:w="0" w:type="dxa"/>
              <w:right w:w="0" w:type="dxa"/>
            </w:tcMar>
            <w:vAlign w:val="bottom"/>
          </w:tcPr>
          <w:p w14:paraId="3579861F" w14:textId="77777777" w:rsidR="001614AC" w:rsidRDefault="004468F9">
            <w:pPr>
              <w:keepNext/>
              <w:spacing w:before="55" w:after="30" w:line="288" w:lineRule="auto"/>
            </w:pPr>
            <w:r>
              <w:rPr>
                <w:rFonts w:ascii="Arial" w:eastAsia="Arial" w:hAnsi="Arial" w:cs="Arial"/>
                <w:color w:val="000000"/>
                <w:sz w:val="18"/>
              </w:rPr>
              <w:t>$</w:t>
            </w:r>
          </w:p>
        </w:tc>
        <w:tc>
          <w:tcPr>
            <w:tcW w:w="745" w:type="dxa"/>
            <w:tcBorders>
              <w:top w:val="single" w:sz="8" w:space="0" w:color="C7C9C7"/>
              <w:left w:val="nil"/>
              <w:bottom w:val="double" w:sz="8" w:space="0" w:color="C7C9C7"/>
              <w:right w:val="nil"/>
            </w:tcBorders>
            <w:shd w:val="clear" w:color="auto" w:fill="F4F4F4"/>
            <w:tcMar>
              <w:top w:w="0" w:type="dxa"/>
              <w:left w:w="0" w:type="dxa"/>
              <w:bottom w:w="0" w:type="dxa"/>
              <w:right w:w="0" w:type="dxa"/>
            </w:tcMar>
            <w:vAlign w:val="bottom"/>
          </w:tcPr>
          <w:p w14:paraId="121B1760" w14:textId="77777777" w:rsidR="001614AC" w:rsidRDefault="004468F9">
            <w:pPr>
              <w:keepNext/>
              <w:spacing w:before="55" w:after="30" w:line="288" w:lineRule="auto"/>
              <w:jc w:val="right"/>
            </w:pPr>
            <w:r>
              <w:rPr>
                <w:rFonts w:ascii="Arial" w:eastAsia="Arial" w:hAnsi="Arial" w:cs="Arial"/>
                <w:color w:val="000000"/>
                <w:sz w:val="18"/>
              </w:rPr>
              <w:t>494,547 </w:t>
            </w:r>
          </w:p>
        </w:tc>
        <w:tc>
          <w:tcPr>
            <w:tcW w:w="100" w:type="dxa"/>
            <w:tcBorders>
              <w:top w:val="single" w:sz="8" w:space="0" w:color="C7C9C7"/>
              <w:left w:val="nil"/>
              <w:bottom w:val="double" w:sz="8" w:space="0" w:color="C7C9C7"/>
              <w:right w:val="nil"/>
            </w:tcBorders>
            <w:shd w:val="clear" w:color="auto" w:fill="F4F4F4"/>
            <w:tcMar>
              <w:top w:w="0" w:type="dxa"/>
              <w:left w:w="0" w:type="dxa"/>
              <w:bottom w:w="0" w:type="dxa"/>
              <w:right w:w="15" w:type="dxa"/>
            </w:tcMar>
            <w:vAlign w:val="bottom"/>
          </w:tcPr>
          <w:p w14:paraId="345C8116" w14:textId="77777777" w:rsidR="001614AC" w:rsidRDefault="001614AC">
            <w:pPr>
              <w:keepNext/>
              <w:spacing w:before="55" w:after="30" w:line="288" w:lineRule="auto"/>
              <w:jc w:val="right"/>
            </w:pPr>
          </w:p>
        </w:tc>
      </w:tr>
      <w:tr w:rsidR="001614AC" w14:paraId="0638C03D" w14:textId="77777777">
        <w:trPr>
          <w:cantSplit/>
        </w:trPr>
        <w:tc>
          <w:tcPr>
            <w:tcW w:w="5640" w:type="dxa"/>
            <w:tcBorders>
              <w:top w:val="nil"/>
              <w:left w:val="nil"/>
              <w:bottom w:val="single" w:sz="8" w:space="0" w:color="E9E9E9"/>
              <w:right w:val="nil"/>
            </w:tcBorders>
            <w:tcMar>
              <w:top w:w="0" w:type="dxa"/>
              <w:left w:w="53" w:type="dxa"/>
              <w:bottom w:w="0" w:type="dxa"/>
              <w:right w:w="53" w:type="dxa"/>
            </w:tcMar>
            <w:vAlign w:val="bottom"/>
          </w:tcPr>
          <w:p w14:paraId="7C01DB93" w14:textId="77777777" w:rsidR="001614AC" w:rsidRDefault="004468F9">
            <w:pPr>
              <w:keepNext/>
              <w:spacing w:before="75" w:after="30" w:line="288" w:lineRule="auto"/>
            </w:pPr>
            <w:r>
              <w:rPr>
                <w:rFonts w:ascii="Arial" w:eastAsia="Arial" w:hAnsi="Arial" w:cs="Arial"/>
                <w:color w:val="000000"/>
                <w:sz w:val="18"/>
              </w:rPr>
              <w:t>N</w:t>
            </w:r>
            <w:r>
              <w:rPr>
                <w:rFonts w:ascii="Arial" w:eastAsia="Arial" w:hAnsi="Arial" w:cs="Arial"/>
                <w:color w:val="000000"/>
                <w:sz w:val="18"/>
              </w:rPr>
              <w:t>et premiums earned</w:t>
            </w:r>
          </w:p>
        </w:tc>
        <w:tc>
          <w:tcPr>
            <w:tcW w:w="105" w:type="dxa"/>
            <w:tcBorders>
              <w:top w:val="nil"/>
              <w:left w:val="nil"/>
              <w:bottom w:val="nil"/>
              <w:right w:val="nil"/>
            </w:tcBorders>
            <w:tcMar>
              <w:top w:w="0" w:type="dxa"/>
              <w:left w:w="0" w:type="dxa"/>
              <w:bottom w:w="0" w:type="dxa"/>
              <w:right w:w="0" w:type="dxa"/>
            </w:tcMar>
            <w:vAlign w:val="bottom"/>
          </w:tcPr>
          <w:p w14:paraId="6E518CF0" w14:textId="77777777" w:rsidR="001614AC" w:rsidRDefault="001614AC">
            <w:pPr>
              <w:keepNext/>
            </w:pPr>
          </w:p>
        </w:tc>
        <w:tc>
          <w:tcPr>
            <w:tcW w:w="1005" w:type="dxa"/>
            <w:gridSpan w:val="3"/>
            <w:tcBorders>
              <w:top w:val="double" w:sz="8" w:space="0" w:color="C7C9C7"/>
              <w:left w:val="nil"/>
              <w:bottom w:val="single" w:sz="8" w:space="0" w:color="E9E9E9"/>
              <w:right w:val="nil"/>
            </w:tcBorders>
            <w:tcMar>
              <w:top w:w="0" w:type="dxa"/>
              <w:left w:w="0" w:type="dxa"/>
              <w:bottom w:w="0" w:type="dxa"/>
              <w:right w:w="0" w:type="dxa"/>
            </w:tcMar>
            <w:vAlign w:val="bottom"/>
          </w:tcPr>
          <w:p w14:paraId="4998BAD0" w14:textId="77777777" w:rsidR="001614AC" w:rsidRDefault="001614AC">
            <w:pPr>
              <w:keepNext/>
            </w:pPr>
          </w:p>
        </w:tc>
        <w:tc>
          <w:tcPr>
            <w:tcW w:w="105" w:type="dxa"/>
            <w:tcBorders>
              <w:top w:val="nil"/>
              <w:left w:val="nil"/>
              <w:bottom w:val="nil"/>
              <w:right w:val="nil"/>
            </w:tcBorders>
            <w:tcMar>
              <w:top w:w="0" w:type="dxa"/>
              <w:left w:w="0" w:type="dxa"/>
              <w:bottom w:w="0" w:type="dxa"/>
              <w:right w:w="0" w:type="dxa"/>
            </w:tcMar>
            <w:vAlign w:val="bottom"/>
          </w:tcPr>
          <w:p w14:paraId="03439F7F" w14:textId="77777777" w:rsidR="001614AC" w:rsidRDefault="001614AC">
            <w:pPr>
              <w:keepNext/>
            </w:pPr>
          </w:p>
        </w:tc>
        <w:tc>
          <w:tcPr>
            <w:tcW w:w="1005" w:type="dxa"/>
            <w:gridSpan w:val="3"/>
            <w:tcBorders>
              <w:top w:val="double" w:sz="8" w:space="0" w:color="C7C9C7"/>
              <w:left w:val="nil"/>
              <w:bottom w:val="single" w:sz="8" w:space="0" w:color="E9E9E9"/>
              <w:right w:val="nil"/>
            </w:tcBorders>
            <w:tcMar>
              <w:top w:w="0" w:type="dxa"/>
              <w:left w:w="0" w:type="dxa"/>
              <w:bottom w:w="0" w:type="dxa"/>
              <w:right w:w="0" w:type="dxa"/>
            </w:tcMar>
            <w:vAlign w:val="bottom"/>
          </w:tcPr>
          <w:p w14:paraId="544A8E1F" w14:textId="77777777" w:rsidR="001614AC" w:rsidRDefault="001614AC">
            <w:pPr>
              <w:keepNext/>
            </w:pPr>
          </w:p>
        </w:tc>
        <w:tc>
          <w:tcPr>
            <w:tcW w:w="105" w:type="dxa"/>
            <w:tcBorders>
              <w:top w:val="nil"/>
              <w:left w:val="nil"/>
              <w:bottom w:val="nil"/>
              <w:right w:val="nil"/>
            </w:tcBorders>
            <w:tcMar>
              <w:top w:w="0" w:type="dxa"/>
              <w:left w:w="0" w:type="dxa"/>
              <w:bottom w:w="0" w:type="dxa"/>
              <w:right w:w="0" w:type="dxa"/>
            </w:tcMar>
            <w:vAlign w:val="bottom"/>
          </w:tcPr>
          <w:p w14:paraId="4B3B23F0" w14:textId="77777777" w:rsidR="001614AC" w:rsidRDefault="001614AC">
            <w:pPr>
              <w:keepNext/>
            </w:pPr>
          </w:p>
        </w:tc>
        <w:tc>
          <w:tcPr>
            <w:tcW w:w="1005" w:type="dxa"/>
            <w:gridSpan w:val="3"/>
            <w:tcBorders>
              <w:top w:val="double" w:sz="8" w:space="0" w:color="C7C9C7"/>
              <w:left w:val="nil"/>
              <w:bottom w:val="single" w:sz="8" w:space="0" w:color="E9E9E9"/>
              <w:right w:val="nil"/>
            </w:tcBorders>
            <w:tcMar>
              <w:top w:w="0" w:type="dxa"/>
              <w:left w:w="0" w:type="dxa"/>
              <w:bottom w:w="0" w:type="dxa"/>
              <w:right w:w="0" w:type="dxa"/>
            </w:tcMar>
            <w:vAlign w:val="bottom"/>
          </w:tcPr>
          <w:p w14:paraId="36DE9584" w14:textId="77777777" w:rsidR="001614AC" w:rsidRDefault="001614AC">
            <w:pPr>
              <w:keepNext/>
            </w:pPr>
          </w:p>
        </w:tc>
        <w:tc>
          <w:tcPr>
            <w:tcW w:w="105" w:type="dxa"/>
            <w:tcBorders>
              <w:top w:val="nil"/>
              <w:left w:val="nil"/>
              <w:bottom w:val="nil"/>
              <w:right w:val="nil"/>
            </w:tcBorders>
            <w:tcMar>
              <w:top w:w="0" w:type="dxa"/>
              <w:left w:w="0" w:type="dxa"/>
              <w:bottom w:w="0" w:type="dxa"/>
              <w:right w:w="0" w:type="dxa"/>
            </w:tcMar>
            <w:vAlign w:val="bottom"/>
          </w:tcPr>
          <w:p w14:paraId="141AAEF0" w14:textId="77777777" w:rsidR="001614AC" w:rsidRDefault="001614AC">
            <w:pPr>
              <w:keepNext/>
            </w:pPr>
          </w:p>
        </w:tc>
        <w:tc>
          <w:tcPr>
            <w:tcW w:w="1005" w:type="dxa"/>
            <w:gridSpan w:val="3"/>
            <w:tcBorders>
              <w:top w:val="double" w:sz="8" w:space="0" w:color="C7C9C7"/>
              <w:left w:val="nil"/>
              <w:bottom w:val="single" w:sz="8" w:space="0" w:color="E9E9E9"/>
              <w:right w:val="nil"/>
            </w:tcBorders>
            <w:tcMar>
              <w:top w:w="0" w:type="dxa"/>
              <w:left w:w="0" w:type="dxa"/>
              <w:bottom w:w="0" w:type="dxa"/>
              <w:right w:w="0" w:type="dxa"/>
            </w:tcMar>
            <w:vAlign w:val="bottom"/>
          </w:tcPr>
          <w:p w14:paraId="5EB5F9B0" w14:textId="77777777" w:rsidR="001614AC" w:rsidRDefault="001614AC">
            <w:pPr>
              <w:keepNext/>
            </w:pPr>
          </w:p>
        </w:tc>
      </w:tr>
      <w:tr w:rsidR="001614AC" w14:paraId="059D9EE6" w14:textId="77777777">
        <w:trPr>
          <w:cantSplit/>
        </w:trPr>
        <w:tc>
          <w:tcPr>
            <w:tcW w:w="5640" w:type="dxa"/>
            <w:tcBorders>
              <w:top w:val="single" w:sz="8" w:space="0" w:color="E9E9E9"/>
              <w:left w:val="nil"/>
              <w:bottom w:val="single" w:sz="8" w:space="0" w:color="E9E9E9"/>
              <w:right w:val="nil"/>
            </w:tcBorders>
            <w:tcMar>
              <w:top w:w="0" w:type="dxa"/>
              <w:left w:w="53" w:type="dxa"/>
              <w:bottom w:w="0" w:type="dxa"/>
              <w:right w:w="53" w:type="dxa"/>
            </w:tcMar>
            <w:vAlign w:val="bottom"/>
          </w:tcPr>
          <w:p w14:paraId="4A339BD5" w14:textId="77777777" w:rsidR="001614AC" w:rsidRDefault="004468F9">
            <w:pPr>
              <w:keepNext/>
              <w:spacing w:before="55" w:after="30" w:line="288" w:lineRule="auto"/>
              <w:ind w:left="240"/>
            </w:pPr>
            <w:r>
              <w:rPr>
                <w:rFonts w:ascii="Arial" w:eastAsia="Arial" w:hAnsi="Arial" w:cs="Arial"/>
                <w:color w:val="000000"/>
                <w:sz w:val="18"/>
              </w:rPr>
              <w:t>Direct</w:t>
            </w:r>
          </w:p>
        </w:tc>
        <w:tc>
          <w:tcPr>
            <w:tcW w:w="105" w:type="dxa"/>
            <w:tcBorders>
              <w:top w:val="nil"/>
              <w:left w:val="nil"/>
              <w:bottom w:val="nil"/>
              <w:right w:val="nil"/>
            </w:tcBorders>
            <w:tcMar>
              <w:top w:w="0" w:type="dxa"/>
              <w:left w:w="0" w:type="dxa"/>
              <w:bottom w:w="0" w:type="dxa"/>
              <w:right w:w="0" w:type="dxa"/>
            </w:tcMar>
            <w:vAlign w:val="bottom"/>
          </w:tcPr>
          <w:p w14:paraId="38EE12A5" w14:textId="77777777" w:rsidR="001614AC" w:rsidRDefault="001614AC">
            <w:pPr>
              <w:keepNext/>
            </w:pPr>
          </w:p>
        </w:tc>
        <w:tc>
          <w:tcPr>
            <w:tcW w:w="160" w:type="dxa"/>
            <w:tcBorders>
              <w:top w:val="single" w:sz="8" w:space="0" w:color="E9E9E9"/>
              <w:left w:val="nil"/>
              <w:bottom w:val="single" w:sz="8" w:space="0" w:color="E9E9E9"/>
              <w:right w:val="nil"/>
            </w:tcBorders>
            <w:tcMar>
              <w:top w:w="0" w:type="dxa"/>
              <w:left w:w="53" w:type="dxa"/>
              <w:bottom w:w="0" w:type="dxa"/>
              <w:right w:w="0" w:type="dxa"/>
            </w:tcMar>
            <w:vAlign w:val="bottom"/>
          </w:tcPr>
          <w:p w14:paraId="204E1CBC" w14:textId="77777777" w:rsidR="001614AC" w:rsidRDefault="004468F9">
            <w:pPr>
              <w:keepNext/>
              <w:spacing w:before="55" w:after="30" w:line="288" w:lineRule="auto"/>
            </w:pPr>
            <w:r>
              <w:rPr>
                <w:rFonts w:ascii="Arial" w:eastAsia="Arial" w:hAnsi="Arial" w:cs="Arial"/>
                <w:color w:val="000000"/>
                <w:sz w:val="18"/>
              </w:rPr>
              <w:t>$</w:t>
            </w:r>
          </w:p>
        </w:tc>
        <w:tc>
          <w:tcPr>
            <w:tcW w:w="745" w:type="dxa"/>
            <w:tcBorders>
              <w:top w:val="single" w:sz="8" w:space="0" w:color="E9E9E9"/>
              <w:left w:val="nil"/>
              <w:bottom w:val="single" w:sz="8" w:space="0" w:color="E9E9E9"/>
              <w:right w:val="nil"/>
            </w:tcBorders>
            <w:tcMar>
              <w:top w:w="0" w:type="dxa"/>
              <w:left w:w="0" w:type="dxa"/>
              <w:bottom w:w="0" w:type="dxa"/>
              <w:right w:w="0" w:type="dxa"/>
            </w:tcMar>
            <w:vAlign w:val="bottom"/>
          </w:tcPr>
          <w:p w14:paraId="6FB11523" w14:textId="77777777" w:rsidR="001614AC" w:rsidRDefault="004468F9">
            <w:pPr>
              <w:keepNext/>
              <w:spacing w:before="55" w:after="30" w:line="288" w:lineRule="auto"/>
              <w:jc w:val="right"/>
            </w:pPr>
            <w:r>
              <w:rPr>
                <w:rFonts w:ascii="Arial" w:eastAsia="Arial" w:hAnsi="Arial" w:cs="Arial"/>
                <w:color w:val="000000"/>
                <w:sz w:val="18"/>
              </w:rPr>
              <w:t>282,507 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7784CC6F" w14:textId="77777777" w:rsidR="001614AC" w:rsidRDefault="001614AC">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3CA3ADBE" w14:textId="77777777" w:rsidR="001614AC" w:rsidRDefault="001614AC">
            <w:pPr>
              <w:keepNext/>
            </w:pPr>
          </w:p>
        </w:tc>
        <w:tc>
          <w:tcPr>
            <w:tcW w:w="160" w:type="dxa"/>
            <w:tcBorders>
              <w:top w:val="single" w:sz="8" w:space="0" w:color="E9E9E9"/>
              <w:left w:val="nil"/>
              <w:bottom w:val="single" w:sz="8" w:space="0" w:color="E9E9E9"/>
              <w:right w:val="nil"/>
            </w:tcBorders>
            <w:tcMar>
              <w:top w:w="0" w:type="dxa"/>
              <w:left w:w="53" w:type="dxa"/>
              <w:bottom w:w="0" w:type="dxa"/>
              <w:right w:w="0" w:type="dxa"/>
            </w:tcMar>
            <w:vAlign w:val="bottom"/>
          </w:tcPr>
          <w:p w14:paraId="6E4D2FC2" w14:textId="77777777" w:rsidR="001614AC" w:rsidRDefault="004468F9">
            <w:pPr>
              <w:keepNext/>
              <w:spacing w:before="55" w:after="30" w:line="288" w:lineRule="auto"/>
            </w:pPr>
            <w:r>
              <w:rPr>
                <w:rFonts w:ascii="Arial" w:eastAsia="Arial" w:hAnsi="Arial" w:cs="Arial"/>
                <w:color w:val="000000"/>
                <w:sz w:val="18"/>
              </w:rPr>
              <w:t>$</w:t>
            </w:r>
          </w:p>
        </w:tc>
        <w:tc>
          <w:tcPr>
            <w:tcW w:w="745" w:type="dxa"/>
            <w:tcBorders>
              <w:top w:val="single" w:sz="8" w:space="0" w:color="E9E9E9"/>
              <w:left w:val="nil"/>
              <w:bottom w:val="single" w:sz="8" w:space="0" w:color="E9E9E9"/>
              <w:right w:val="nil"/>
            </w:tcBorders>
            <w:tcMar>
              <w:top w:w="0" w:type="dxa"/>
              <w:left w:w="0" w:type="dxa"/>
              <w:bottom w:w="0" w:type="dxa"/>
              <w:right w:w="0" w:type="dxa"/>
            </w:tcMar>
            <w:vAlign w:val="bottom"/>
          </w:tcPr>
          <w:p w14:paraId="222E083C" w14:textId="77777777" w:rsidR="001614AC" w:rsidRDefault="004468F9">
            <w:pPr>
              <w:keepNext/>
              <w:spacing w:before="55" w:after="30" w:line="288" w:lineRule="auto"/>
              <w:jc w:val="right"/>
            </w:pPr>
            <w:r>
              <w:rPr>
                <w:rFonts w:ascii="Arial" w:eastAsia="Arial" w:hAnsi="Arial" w:cs="Arial"/>
                <w:color w:val="000000"/>
                <w:sz w:val="18"/>
              </w:rPr>
              <w:t>315,305 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5AFEA8DB" w14:textId="77777777" w:rsidR="001614AC" w:rsidRDefault="001614AC">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76A0C933" w14:textId="77777777" w:rsidR="001614AC" w:rsidRDefault="001614AC">
            <w:pPr>
              <w:keepNext/>
            </w:pPr>
          </w:p>
        </w:tc>
        <w:tc>
          <w:tcPr>
            <w:tcW w:w="160" w:type="dxa"/>
            <w:tcBorders>
              <w:top w:val="single" w:sz="8" w:space="0" w:color="E9E9E9"/>
              <w:left w:val="nil"/>
              <w:bottom w:val="single" w:sz="8" w:space="0" w:color="E9E9E9"/>
              <w:right w:val="nil"/>
            </w:tcBorders>
            <w:tcMar>
              <w:top w:w="0" w:type="dxa"/>
              <w:left w:w="53" w:type="dxa"/>
              <w:bottom w:w="0" w:type="dxa"/>
              <w:right w:w="0" w:type="dxa"/>
            </w:tcMar>
            <w:vAlign w:val="bottom"/>
          </w:tcPr>
          <w:p w14:paraId="11539C19" w14:textId="77777777" w:rsidR="001614AC" w:rsidRDefault="004468F9">
            <w:pPr>
              <w:keepNext/>
              <w:spacing w:before="55" w:after="30" w:line="288" w:lineRule="auto"/>
            </w:pPr>
            <w:r>
              <w:rPr>
                <w:rFonts w:ascii="Arial" w:eastAsia="Arial" w:hAnsi="Arial" w:cs="Arial"/>
                <w:color w:val="000000"/>
                <w:sz w:val="18"/>
              </w:rPr>
              <w:t>$</w:t>
            </w:r>
          </w:p>
        </w:tc>
        <w:tc>
          <w:tcPr>
            <w:tcW w:w="745" w:type="dxa"/>
            <w:tcBorders>
              <w:top w:val="single" w:sz="8" w:space="0" w:color="E9E9E9"/>
              <w:left w:val="nil"/>
              <w:bottom w:val="single" w:sz="8" w:space="0" w:color="E9E9E9"/>
              <w:right w:val="nil"/>
            </w:tcBorders>
            <w:tcMar>
              <w:top w:w="0" w:type="dxa"/>
              <w:left w:w="0" w:type="dxa"/>
              <w:bottom w:w="0" w:type="dxa"/>
              <w:right w:w="0" w:type="dxa"/>
            </w:tcMar>
            <w:vAlign w:val="bottom"/>
          </w:tcPr>
          <w:p w14:paraId="4F981438" w14:textId="77777777" w:rsidR="001614AC" w:rsidRDefault="004468F9">
            <w:pPr>
              <w:keepNext/>
              <w:spacing w:before="55" w:after="30" w:line="288" w:lineRule="auto"/>
              <w:jc w:val="right"/>
            </w:pPr>
            <w:r>
              <w:rPr>
                <w:rFonts w:ascii="Arial" w:eastAsia="Arial" w:hAnsi="Arial" w:cs="Arial"/>
                <w:color w:val="000000"/>
                <w:sz w:val="18"/>
              </w:rPr>
              <w:t>585,228 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184C7779" w14:textId="77777777" w:rsidR="001614AC" w:rsidRDefault="001614AC">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4890093D" w14:textId="77777777" w:rsidR="001614AC" w:rsidRDefault="001614AC">
            <w:pPr>
              <w:keepNext/>
            </w:pPr>
          </w:p>
        </w:tc>
        <w:tc>
          <w:tcPr>
            <w:tcW w:w="160" w:type="dxa"/>
            <w:tcBorders>
              <w:top w:val="single" w:sz="8" w:space="0" w:color="E9E9E9"/>
              <w:left w:val="nil"/>
              <w:bottom w:val="single" w:sz="8" w:space="0" w:color="E9E9E9"/>
              <w:right w:val="nil"/>
            </w:tcBorders>
            <w:tcMar>
              <w:top w:w="0" w:type="dxa"/>
              <w:left w:w="53" w:type="dxa"/>
              <w:bottom w:w="0" w:type="dxa"/>
              <w:right w:w="0" w:type="dxa"/>
            </w:tcMar>
            <w:vAlign w:val="bottom"/>
          </w:tcPr>
          <w:p w14:paraId="58BF5069" w14:textId="77777777" w:rsidR="001614AC" w:rsidRDefault="004468F9">
            <w:pPr>
              <w:keepNext/>
              <w:spacing w:before="55" w:after="30" w:line="288" w:lineRule="auto"/>
            </w:pPr>
            <w:r>
              <w:rPr>
                <w:rFonts w:ascii="Arial" w:eastAsia="Arial" w:hAnsi="Arial" w:cs="Arial"/>
                <w:color w:val="000000"/>
                <w:sz w:val="18"/>
              </w:rPr>
              <w:t>$</w:t>
            </w:r>
          </w:p>
        </w:tc>
        <w:tc>
          <w:tcPr>
            <w:tcW w:w="745" w:type="dxa"/>
            <w:tcBorders>
              <w:top w:val="single" w:sz="8" w:space="0" w:color="E9E9E9"/>
              <w:left w:val="nil"/>
              <w:bottom w:val="single" w:sz="8" w:space="0" w:color="E9E9E9"/>
              <w:right w:val="nil"/>
            </w:tcBorders>
            <w:tcMar>
              <w:top w:w="0" w:type="dxa"/>
              <w:left w:w="0" w:type="dxa"/>
              <w:bottom w:w="0" w:type="dxa"/>
              <w:right w:w="0" w:type="dxa"/>
            </w:tcMar>
            <w:vAlign w:val="bottom"/>
          </w:tcPr>
          <w:p w14:paraId="3E7CB186" w14:textId="77777777" w:rsidR="001614AC" w:rsidRDefault="004468F9">
            <w:pPr>
              <w:keepNext/>
              <w:spacing w:before="55" w:after="30" w:line="288" w:lineRule="auto"/>
              <w:jc w:val="right"/>
            </w:pPr>
            <w:r>
              <w:rPr>
                <w:rFonts w:ascii="Arial" w:eastAsia="Arial" w:hAnsi="Arial" w:cs="Arial"/>
                <w:color w:val="000000"/>
                <w:sz w:val="18"/>
              </w:rPr>
              <w:t>616,559 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50B3324D" w14:textId="77777777" w:rsidR="001614AC" w:rsidRDefault="001614AC">
            <w:pPr>
              <w:keepNext/>
              <w:spacing w:before="55" w:after="30" w:line="288" w:lineRule="auto"/>
              <w:jc w:val="right"/>
            </w:pPr>
          </w:p>
        </w:tc>
      </w:tr>
      <w:tr w:rsidR="001614AC" w14:paraId="57FD7650" w14:textId="77777777">
        <w:trPr>
          <w:cantSplit/>
        </w:trPr>
        <w:tc>
          <w:tcPr>
            <w:tcW w:w="5640" w:type="dxa"/>
            <w:tcBorders>
              <w:top w:val="single" w:sz="8" w:space="0" w:color="E9E9E9"/>
              <w:left w:val="nil"/>
              <w:bottom w:val="single" w:sz="8" w:space="0" w:color="E9E9E9"/>
              <w:right w:val="nil"/>
            </w:tcBorders>
            <w:tcMar>
              <w:top w:w="0" w:type="dxa"/>
              <w:left w:w="53" w:type="dxa"/>
              <w:bottom w:w="0" w:type="dxa"/>
              <w:right w:w="53" w:type="dxa"/>
            </w:tcMar>
            <w:vAlign w:val="bottom"/>
          </w:tcPr>
          <w:p w14:paraId="0AE598C0" w14:textId="77777777" w:rsidR="001614AC" w:rsidRDefault="004468F9">
            <w:pPr>
              <w:keepNext/>
              <w:spacing w:before="55" w:after="30" w:line="288" w:lineRule="auto"/>
              <w:ind w:left="240"/>
              <w:rPr>
                <w:rFonts w:ascii="Arial" w:eastAsia="Arial" w:hAnsi="Arial" w:cs="Arial"/>
                <w:sz w:val="18"/>
              </w:rPr>
            </w:pPr>
            <w:r>
              <w:rPr>
                <w:rFonts w:ascii="Arial" w:eastAsia="Arial" w:hAnsi="Arial" w:cs="Arial"/>
                <w:sz w:val="18"/>
              </w:rPr>
              <w:t>Assumed</w:t>
            </w:r>
            <w:r>
              <w:rPr>
                <w:rFonts w:ascii="Arial" w:eastAsia="Arial" w:hAnsi="Arial" w:cs="Arial"/>
                <w:sz w:val="18"/>
                <w:vertAlign w:val="superscript"/>
              </w:rPr>
              <w:t xml:space="preserve"> (1) </w:t>
            </w:r>
          </w:p>
        </w:tc>
        <w:tc>
          <w:tcPr>
            <w:tcW w:w="105" w:type="dxa"/>
            <w:tcBorders>
              <w:top w:val="nil"/>
              <w:left w:val="nil"/>
              <w:bottom w:val="nil"/>
              <w:right w:val="nil"/>
            </w:tcBorders>
            <w:tcMar>
              <w:top w:w="0" w:type="dxa"/>
              <w:left w:w="0" w:type="dxa"/>
              <w:bottom w:w="0" w:type="dxa"/>
              <w:right w:w="0" w:type="dxa"/>
            </w:tcMar>
            <w:vAlign w:val="bottom"/>
          </w:tcPr>
          <w:p w14:paraId="2521C442" w14:textId="77777777" w:rsidR="001614AC" w:rsidRDefault="001614AC">
            <w:pPr>
              <w:keepNext/>
            </w:pPr>
          </w:p>
        </w:tc>
        <w:tc>
          <w:tcPr>
            <w:tcW w:w="90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1B72EEE5" w14:textId="77777777" w:rsidR="001614AC" w:rsidRDefault="004468F9">
            <w:pPr>
              <w:keepNext/>
              <w:spacing w:before="55" w:after="30" w:line="288" w:lineRule="auto"/>
              <w:jc w:val="right"/>
            </w:pPr>
            <w:r>
              <w:rPr>
                <w:rFonts w:ascii="Arial" w:eastAsia="Arial" w:hAnsi="Arial" w:cs="Arial"/>
                <w:color w:val="000000"/>
                <w:sz w:val="18"/>
              </w:rPr>
              <w:t>1,615 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234395A5" w14:textId="77777777" w:rsidR="001614AC" w:rsidRDefault="001614AC">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72D0953C" w14:textId="77777777" w:rsidR="001614AC" w:rsidRDefault="001614AC">
            <w:pPr>
              <w:keepNext/>
            </w:pPr>
          </w:p>
        </w:tc>
        <w:tc>
          <w:tcPr>
            <w:tcW w:w="90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46FA04C6" w14:textId="77777777" w:rsidR="001614AC" w:rsidRDefault="004468F9">
            <w:pPr>
              <w:keepNext/>
              <w:spacing w:before="55" w:after="30" w:line="288" w:lineRule="auto"/>
              <w:jc w:val="right"/>
            </w:pPr>
            <w:r>
              <w:rPr>
                <w:rFonts w:ascii="Arial" w:eastAsia="Arial" w:hAnsi="Arial" w:cs="Arial"/>
                <w:color w:val="000000"/>
                <w:sz w:val="18"/>
              </w:rPr>
              <w:t>3,197 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00960204" w14:textId="77777777" w:rsidR="001614AC" w:rsidRDefault="001614AC">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15D7FE04" w14:textId="77777777" w:rsidR="001614AC" w:rsidRDefault="001614AC">
            <w:pPr>
              <w:keepNext/>
            </w:pPr>
          </w:p>
        </w:tc>
        <w:tc>
          <w:tcPr>
            <w:tcW w:w="90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1A389987" w14:textId="77777777" w:rsidR="001614AC" w:rsidRDefault="004468F9">
            <w:pPr>
              <w:keepNext/>
              <w:spacing w:before="55" w:after="30" w:line="288" w:lineRule="auto"/>
              <w:jc w:val="right"/>
            </w:pPr>
            <w:r>
              <w:rPr>
                <w:rFonts w:ascii="Arial" w:eastAsia="Arial" w:hAnsi="Arial" w:cs="Arial"/>
                <w:color w:val="000000"/>
                <w:sz w:val="18"/>
              </w:rPr>
              <w:t>3,913 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08668642" w14:textId="77777777" w:rsidR="001614AC" w:rsidRDefault="001614AC">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60394244" w14:textId="77777777" w:rsidR="001614AC" w:rsidRDefault="001614AC">
            <w:pPr>
              <w:keepNext/>
            </w:pPr>
          </w:p>
        </w:tc>
        <w:tc>
          <w:tcPr>
            <w:tcW w:w="90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0FB01A50" w14:textId="77777777" w:rsidR="001614AC" w:rsidRDefault="004468F9">
            <w:pPr>
              <w:keepNext/>
              <w:spacing w:before="55" w:after="30" w:line="288" w:lineRule="auto"/>
              <w:jc w:val="right"/>
            </w:pPr>
            <w:r>
              <w:rPr>
                <w:rFonts w:ascii="Arial" w:eastAsia="Arial" w:hAnsi="Arial" w:cs="Arial"/>
                <w:color w:val="000000"/>
                <w:sz w:val="18"/>
              </w:rPr>
              <w:t>6,653 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71EE248F" w14:textId="77777777" w:rsidR="001614AC" w:rsidRDefault="001614AC">
            <w:pPr>
              <w:keepNext/>
              <w:spacing w:before="55" w:after="30" w:line="288" w:lineRule="auto"/>
              <w:jc w:val="right"/>
            </w:pPr>
          </w:p>
        </w:tc>
      </w:tr>
      <w:tr w:rsidR="001614AC" w14:paraId="5BE4416E" w14:textId="77777777">
        <w:trPr>
          <w:cantSplit/>
        </w:trPr>
        <w:tc>
          <w:tcPr>
            <w:tcW w:w="5640" w:type="dxa"/>
            <w:tcBorders>
              <w:top w:val="single" w:sz="8" w:space="0" w:color="E9E9E9"/>
              <w:left w:val="nil"/>
              <w:bottom w:val="nil"/>
              <w:right w:val="nil"/>
            </w:tcBorders>
            <w:tcMar>
              <w:top w:w="0" w:type="dxa"/>
              <w:left w:w="53" w:type="dxa"/>
              <w:bottom w:w="0" w:type="dxa"/>
              <w:right w:w="53" w:type="dxa"/>
            </w:tcMar>
            <w:vAlign w:val="bottom"/>
          </w:tcPr>
          <w:p w14:paraId="31B0B859" w14:textId="77777777" w:rsidR="001614AC" w:rsidRDefault="004468F9">
            <w:pPr>
              <w:keepNext/>
              <w:spacing w:before="55" w:after="30" w:line="288" w:lineRule="auto"/>
              <w:ind w:left="240"/>
              <w:rPr>
                <w:rFonts w:ascii="Arial" w:eastAsia="Arial" w:hAnsi="Arial" w:cs="Arial"/>
                <w:sz w:val="18"/>
              </w:rPr>
            </w:pPr>
            <w:r>
              <w:rPr>
                <w:rFonts w:ascii="Arial" w:eastAsia="Arial" w:hAnsi="Arial" w:cs="Arial"/>
                <w:sz w:val="18"/>
              </w:rPr>
              <w:t xml:space="preserve">Ceded </w:t>
            </w:r>
            <w:r>
              <w:rPr>
                <w:rFonts w:ascii="Arial" w:eastAsia="Arial" w:hAnsi="Arial" w:cs="Arial"/>
                <w:sz w:val="18"/>
                <w:vertAlign w:val="superscript"/>
              </w:rPr>
              <w:t xml:space="preserve">(2) </w:t>
            </w:r>
          </w:p>
        </w:tc>
        <w:tc>
          <w:tcPr>
            <w:tcW w:w="105" w:type="dxa"/>
            <w:tcBorders>
              <w:top w:val="nil"/>
              <w:left w:val="nil"/>
              <w:bottom w:val="nil"/>
              <w:right w:val="nil"/>
            </w:tcBorders>
            <w:tcMar>
              <w:top w:w="0" w:type="dxa"/>
              <w:left w:w="0" w:type="dxa"/>
              <w:bottom w:w="0" w:type="dxa"/>
              <w:right w:w="0" w:type="dxa"/>
            </w:tcMar>
            <w:vAlign w:val="bottom"/>
          </w:tcPr>
          <w:p w14:paraId="639D0DA4" w14:textId="77777777" w:rsidR="001614AC" w:rsidRDefault="001614AC">
            <w:pPr>
              <w:keepNext/>
            </w:pPr>
          </w:p>
        </w:tc>
        <w:tc>
          <w:tcPr>
            <w:tcW w:w="905" w:type="dxa"/>
            <w:gridSpan w:val="2"/>
            <w:tcBorders>
              <w:top w:val="single" w:sz="8" w:space="0" w:color="E9E9E9"/>
              <w:left w:val="nil"/>
              <w:bottom w:val="single" w:sz="8" w:space="0" w:color="C7C9C7"/>
              <w:right w:val="nil"/>
            </w:tcBorders>
            <w:tcMar>
              <w:top w:w="0" w:type="dxa"/>
              <w:left w:w="53" w:type="dxa"/>
              <w:bottom w:w="0" w:type="dxa"/>
              <w:right w:w="0" w:type="dxa"/>
            </w:tcMar>
            <w:vAlign w:val="bottom"/>
          </w:tcPr>
          <w:p w14:paraId="1B212838" w14:textId="77777777" w:rsidR="001614AC" w:rsidRDefault="004468F9">
            <w:pPr>
              <w:keepNext/>
              <w:spacing w:before="55" w:after="30" w:line="288" w:lineRule="auto"/>
              <w:jc w:val="right"/>
            </w:pPr>
            <w:r>
              <w:rPr>
                <w:rFonts w:ascii="Arial" w:eastAsia="Arial" w:hAnsi="Arial" w:cs="Arial"/>
                <w:color w:val="000000"/>
                <w:sz w:val="18"/>
              </w:rPr>
              <w:t>(29,366)</w:t>
            </w:r>
          </w:p>
        </w:tc>
        <w:tc>
          <w:tcPr>
            <w:tcW w:w="100" w:type="dxa"/>
            <w:tcBorders>
              <w:top w:val="single" w:sz="8" w:space="0" w:color="E9E9E9"/>
              <w:left w:val="nil"/>
              <w:bottom w:val="single" w:sz="8" w:space="0" w:color="C7C9C7"/>
              <w:right w:val="nil"/>
            </w:tcBorders>
            <w:tcMar>
              <w:top w:w="0" w:type="dxa"/>
              <w:left w:w="0" w:type="dxa"/>
              <w:bottom w:w="0" w:type="dxa"/>
              <w:right w:w="15" w:type="dxa"/>
            </w:tcMar>
            <w:vAlign w:val="bottom"/>
          </w:tcPr>
          <w:p w14:paraId="6210A570" w14:textId="77777777" w:rsidR="001614AC" w:rsidRDefault="001614AC">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33A7A343" w14:textId="77777777" w:rsidR="001614AC" w:rsidRDefault="001614AC">
            <w:pPr>
              <w:keepNext/>
            </w:pPr>
          </w:p>
        </w:tc>
        <w:tc>
          <w:tcPr>
            <w:tcW w:w="905" w:type="dxa"/>
            <w:gridSpan w:val="2"/>
            <w:tcBorders>
              <w:top w:val="single" w:sz="8" w:space="0" w:color="E9E9E9"/>
              <w:left w:val="nil"/>
              <w:bottom w:val="single" w:sz="8" w:space="0" w:color="C7C9C7"/>
              <w:right w:val="nil"/>
            </w:tcBorders>
            <w:tcMar>
              <w:top w:w="0" w:type="dxa"/>
              <w:left w:w="53" w:type="dxa"/>
              <w:bottom w:w="0" w:type="dxa"/>
              <w:right w:w="0" w:type="dxa"/>
            </w:tcMar>
            <w:vAlign w:val="bottom"/>
          </w:tcPr>
          <w:p w14:paraId="412F188E" w14:textId="77777777" w:rsidR="001614AC" w:rsidRDefault="004468F9">
            <w:pPr>
              <w:keepNext/>
              <w:spacing w:before="55" w:after="30" w:line="288" w:lineRule="auto"/>
              <w:jc w:val="right"/>
            </w:pPr>
            <w:r>
              <w:rPr>
                <w:rFonts w:ascii="Arial" w:eastAsia="Arial" w:hAnsi="Arial" w:cs="Arial"/>
                <w:color w:val="000000"/>
                <w:sz w:val="18"/>
              </w:rPr>
              <w:t>(69,207)</w:t>
            </w:r>
          </w:p>
        </w:tc>
        <w:tc>
          <w:tcPr>
            <w:tcW w:w="100" w:type="dxa"/>
            <w:tcBorders>
              <w:top w:val="single" w:sz="8" w:space="0" w:color="E9E9E9"/>
              <w:left w:val="nil"/>
              <w:bottom w:val="single" w:sz="8" w:space="0" w:color="C7C9C7"/>
              <w:right w:val="nil"/>
            </w:tcBorders>
            <w:tcMar>
              <w:top w:w="0" w:type="dxa"/>
              <w:left w:w="0" w:type="dxa"/>
              <w:bottom w:w="0" w:type="dxa"/>
              <w:right w:w="15" w:type="dxa"/>
            </w:tcMar>
            <w:vAlign w:val="bottom"/>
          </w:tcPr>
          <w:p w14:paraId="46CDE9E9" w14:textId="77777777" w:rsidR="001614AC" w:rsidRDefault="001614AC">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64935FD1" w14:textId="77777777" w:rsidR="001614AC" w:rsidRDefault="001614AC">
            <w:pPr>
              <w:keepNext/>
            </w:pPr>
          </w:p>
        </w:tc>
        <w:tc>
          <w:tcPr>
            <w:tcW w:w="905" w:type="dxa"/>
            <w:gridSpan w:val="2"/>
            <w:tcBorders>
              <w:top w:val="single" w:sz="8" w:space="0" w:color="E9E9E9"/>
              <w:left w:val="nil"/>
              <w:bottom w:val="single" w:sz="8" w:space="0" w:color="C7C9C7"/>
              <w:right w:val="nil"/>
            </w:tcBorders>
            <w:tcMar>
              <w:top w:w="0" w:type="dxa"/>
              <w:left w:w="53" w:type="dxa"/>
              <w:bottom w:w="0" w:type="dxa"/>
              <w:right w:w="0" w:type="dxa"/>
            </w:tcMar>
            <w:vAlign w:val="bottom"/>
          </w:tcPr>
          <w:p w14:paraId="04CFBC68" w14:textId="77777777" w:rsidR="001614AC" w:rsidRDefault="004468F9">
            <w:pPr>
              <w:keepNext/>
              <w:spacing w:before="55" w:after="30" w:line="288" w:lineRule="auto"/>
              <w:jc w:val="right"/>
            </w:pPr>
            <w:r>
              <w:rPr>
                <w:rFonts w:ascii="Arial" w:eastAsia="Arial" w:hAnsi="Arial" w:cs="Arial"/>
                <w:color w:val="000000"/>
                <w:sz w:val="18"/>
              </w:rPr>
              <w:t>(62,513)</w:t>
            </w:r>
          </w:p>
        </w:tc>
        <w:tc>
          <w:tcPr>
            <w:tcW w:w="100" w:type="dxa"/>
            <w:tcBorders>
              <w:top w:val="single" w:sz="8" w:space="0" w:color="E9E9E9"/>
              <w:left w:val="nil"/>
              <w:bottom w:val="single" w:sz="8" w:space="0" w:color="C7C9C7"/>
              <w:right w:val="nil"/>
            </w:tcBorders>
            <w:tcMar>
              <w:top w:w="0" w:type="dxa"/>
              <w:left w:w="0" w:type="dxa"/>
              <w:bottom w:w="0" w:type="dxa"/>
              <w:right w:w="15" w:type="dxa"/>
            </w:tcMar>
            <w:vAlign w:val="bottom"/>
          </w:tcPr>
          <w:p w14:paraId="307B8F57" w14:textId="77777777" w:rsidR="001614AC" w:rsidRDefault="001614AC">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0F36C0DE" w14:textId="77777777" w:rsidR="001614AC" w:rsidRDefault="001614AC">
            <w:pPr>
              <w:keepNext/>
            </w:pPr>
          </w:p>
        </w:tc>
        <w:tc>
          <w:tcPr>
            <w:tcW w:w="905" w:type="dxa"/>
            <w:gridSpan w:val="2"/>
            <w:tcBorders>
              <w:top w:val="single" w:sz="8" w:space="0" w:color="E9E9E9"/>
              <w:left w:val="nil"/>
              <w:bottom w:val="single" w:sz="8" w:space="0" w:color="C7C9C7"/>
              <w:right w:val="nil"/>
            </w:tcBorders>
            <w:tcMar>
              <w:top w:w="0" w:type="dxa"/>
              <w:left w:w="53" w:type="dxa"/>
              <w:bottom w:w="0" w:type="dxa"/>
              <w:right w:w="0" w:type="dxa"/>
            </w:tcMar>
            <w:vAlign w:val="bottom"/>
          </w:tcPr>
          <w:p w14:paraId="4291CA55" w14:textId="77777777" w:rsidR="001614AC" w:rsidRDefault="004468F9">
            <w:pPr>
              <w:keepNext/>
              <w:spacing w:before="55" w:after="30" w:line="288" w:lineRule="auto"/>
              <w:jc w:val="right"/>
            </w:pPr>
            <w:r>
              <w:rPr>
                <w:rFonts w:ascii="Arial" w:eastAsia="Arial" w:hAnsi="Arial" w:cs="Arial"/>
                <w:color w:val="000000"/>
                <w:sz w:val="18"/>
              </w:rPr>
              <w:t>(96,502)</w:t>
            </w:r>
          </w:p>
        </w:tc>
        <w:tc>
          <w:tcPr>
            <w:tcW w:w="100" w:type="dxa"/>
            <w:tcBorders>
              <w:top w:val="single" w:sz="8" w:space="0" w:color="E9E9E9"/>
              <w:left w:val="nil"/>
              <w:bottom w:val="single" w:sz="8" w:space="0" w:color="C7C9C7"/>
              <w:right w:val="nil"/>
            </w:tcBorders>
            <w:tcMar>
              <w:top w:w="0" w:type="dxa"/>
              <w:left w:w="0" w:type="dxa"/>
              <w:bottom w:w="0" w:type="dxa"/>
              <w:right w:w="15" w:type="dxa"/>
            </w:tcMar>
            <w:vAlign w:val="bottom"/>
          </w:tcPr>
          <w:p w14:paraId="6E0BF5DE" w14:textId="77777777" w:rsidR="001614AC" w:rsidRDefault="001614AC">
            <w:pPr>
              <w:keepNext/>
              <w:spacing w:before="55" w:after="30" w:line="288" w:lineRule="auto"/>
              <w:jc w:val="right"/>
            </w:pPr>
          </w:p>
        </w:tc>
      </w:tr>
      <w:tr w:rsidR="001614AC" w14:paraId="42DAB196" w14:textId="77777777">
        <w:trPr>
          <w:cantSplit/>
        </w:trPr>
        <w:tc>
          <w:tcPr>
            <w:tcW w:w="5640" w:type="dxa"/>
            <w:tcBorders>
              <w:top w:val="nil"/>
              <w:left w:val="nil"/>
              <w:bottom w:val="nil"/>
              <w:right w:val="nil"/>
            </w:tcBorders>
            <w:shd w:val="clear" w:color="auto" w:fill="F4F4F4"/>
            <w:tcMar>
              <w:top w:w="0" w:type="dxa"/>
              <w:left w:w="53" w:type="dxa"/>
              <w:bottom w:w="0" w:type="dxa"/>
              <w:right w:w="53" w:type="dxa"/>
            </w:tcMar>
            <w:vAlign w:val="bottom"/>
          </w:tcPr>
          <w:p w14:paraId="5EAEF57F" w14:textId="77777777" w:rsidR="001614AC" w:rsidRDefault="004468F9">
            <w:pPr>
              <w:keepNext/>
              <w:spacing w:before="75" w:after="30" w:line="288" w:lineRule="auto"/>
              <w:ind w:left="240"/>
            </w:pPr>
            <w:r>
              <w:rPr>
                <w:rFonts w:ascii="Arial" w:eastAsia="Arial" w:hAnsi="Arial" w:cs="Arial"/>
                <w:color w:val="000000"/>
                <w:sz w:val="18"/>
              </w:rPr>
              <w:t>Net premiums earned</w:t>
            </w:r>
          </w:p>
        </w:tc>
        <w:tc>
          <w:tcPr>
            <w:tcW w:w="105" w:type="dxa"/>
            <w:tcBorders>
              <w:top w:val="nil"/>
              <w:left w:val="nil"/>
              <w:bottom w:val="nil"/>
              <w:right w:val="nil"/>
            </w:tcBorders>
            <w:shd w:val="clear" w:color="auto" w:fill="F4F4F4"/>
            <w:tcMar>
              <w:top w:w="0" w:type="dxa"/>
              <w:left w:w="0" w:type="dxa"/>
              <w:bottom w:w="0" w:type="dxa"/>
              <w:right w:w="0" w:type="dxa"/>
            </w:tcMar>
            <w:vAlign w:val="bottom"/>
          </w:tcPr>
          <w:p w14:paraId="790CEF7C" w14:textId="77777777" w:rsidR="001614AC" w:rsidRDefault="001614AC">
            <w:pPr>
              <w:keepNext/>
            </w:pPr>
          </w:p>
        </w:tc>
        <w:tc>
          <w:tcPr>
            <w:tcW w:w="160" w:type="dxa"/>
            <w:tcBorders>
              <w:top w:val="single" w:sz="8" w:space="0" w:color="C7C9C7"/>
              <w:left w:val="nil"/>
              <w:bottom w:val="double" w:sz="8" w:space="0" w:color="C7C9C7"/>
              <w:right w:val="nil"/>
            </w:tcBorders>
            <w:shd w:val="clear" w:color="auto" w:fill="F4F4F4"/>
            <w:tcMar>
              <w:top w:w="0" w:type="dxa"/>
              <w:left w:w="53" w:type="dxa"/>
              <w:bottom w:w="0" w:type="dxa"/>
              <w:right w:w="0" w:type="dxa"/>
            </w:tcMar>
            <w:vAlign w:val="bottom"/>
          </w:tcPr>
          <w:p w14:paraId="004C6CE6" w14:textId="77777777" w:rsidR="001614AC" w:rsidRDefault="004468F9">
            <w:pPr>
              <w:keepNext/>
              <w:spacing w:before="55" w:after="30" w:line="288" w:lineRule="auto"/>
            </w:pPr>
            <w:r>
              <w:rPr>
                <w:rFonts w:ascii="Arial" w:eastAsia="Arial" w:hAnsi="Arial" w:cs="Arial"/>
                <w:color w:val="000000"/>
                <w:sz w:val="18"/>
              </w:rPr>
              <w:t>$</w:t>
            </w:r>
          </w:p>
        </w:tc>
        <w:tc>
          <w:tcPr>
            <w:tcW w:w="745" w:type="dxa"/>
            <w:tcBorders>
              <w:top w:val="single" w:sz="8" w:space="0" w:color="C7C9C7"/>
              <w:left w:val="nil"/>
              <w:bottom w:val="double" w:sz="8" w:space="0" w:color="C7C9C7"/>
              <w:right w:val="nil"/>
            </w:tcBorders>
            <w:shd w:val="clear" w:color="auto" w:fill="F4F4F4"/>
            <w:tcMar>
              <w:top w:w="0" w:type="dxa"/>
              <w:left w:w="0" w:type="dxa"/>
              <w:bottom w:w="0" w:type="dxa"/>
              <w:right w:w="0" w:type="dxa"/>
            </w:tcMar>
            <w:vAlign w:val="bottom"/>
          </w:tcPr>
          <w:p w14:paraId="0EFA68FB" w14:textId="77777777" w:rsidR="001614AC" w:rsidRDefault="004468F9">
            <w:pPr>
              <w:keepNext/>
              <w:spacing w:before="55" w:after="30" w:line="288" w:lineRule="auto"/>
              <w:jc w:val="right"/>
            </w:pPr>
            <w:r>
              <w:rPr>
                <w:rFonts w:ascii="Arial" w:eastAsia="Arial" w:hAnsi="Arial" w:cs="Arial"/>
                <w:color w:val="000000"/>
                <w:sz w:val="18"/>
              </w:rPr>
              <w:t>254,756 </w:t>
            </w:r>
          </w:p>
        </w:tc>
        <w:tc>
          <w:tcPr>
            <w:tcW w:w="100" w:type="dxa"/>
            <w:tcBorders>
              <w:top w:val="single" w:sz="8" w:space="0" w:color="C7C9C7"/>
              <w:left w:val="nil"/>
              <w:bottom w:val="double" w:sz="8" w:space="0" w:color="C7C9C7"/>
              <w:right w:val="nil"/>
            </w:tcBorders>
            <w:shd w:val="clear" w:color="auto" w:fill="F4F4F4"/>
            <w:tcMar>
              <w:top w:w="0" w:type="dxa"/>
              <w:left w:w="0" w:type="dxa"/>
              <w:bottom w:w="0" w:type="dxa"/>
              <w:right w:w="15" w:type="dxa"/>
            </w:tcMar>
            <w:vAlign w:val="bottom"/>
          </w:tcPr>
          <w:p w14:paraId="379A2C38" w14:textId="77777777" w:rsidR="001614AC" w:rsidRDefault="001614AC">
            <w:pPr>
              <w:keepNext/>
              <w:spacing w:before="55" w:after="30" w:line="288" w:lineRule="auto"/>
              <w:jc w:val="right"/>
            </w:pPr>
          </w:p>
        </w:tc>
        <w:tc>
          <w:tcPr>
            <w:tcW w:w="105" w:type="dxa"/>
            <w:tcBorders>
              <w:top w:val="nil"/>
              <w:left w:val="nil"/>
              <w:bottom w:val="nil"/>
              <w:right w:val="nil"/>
            </w:tcBorders>
            <w:shd w:val="clear" w:color="auto" w:fill="F4F4F4"/>
            <w:tcMar>
              <w:top w:w="0" w:type="dxa"/>
              <w:left w:w="0" w:type="dxa"/>
              <w:bottom w:w="0" w:type="dxa"/>
              <w:right w:w="0" w:type="dxa"/>
            </w:tcMar>
            <w:vAlign w:val="bottom"/>
          </w:tcPr>
          <w:p w14:paraId="309F29AE" w14:textId="77777777" w:rsidR="001614AC" w:rsidRDefault="001614AC">
            <w:pPr>
              <w:keepNext/>
            </w:pPr>
          </w:p>
        </w:tc>
        <w:tc>
          <w:tcPr>
            <w:tcW w:w="160" w:type="dxa"/>
            <w:tcBorders>
              <w:top w:val="single" w:sz="8" w:space="0" w:color="C7C9C7"/>
              <w:left w:val="nil"/>
              <w:bottom w:val="double" w:sz="8" w:space="0" w:color="C7C9C7"/>
              <w:right w:val="nil"/>
            </w:tcBorders>
            <w:shd w:val="clear" w:color="auto" w:fill="F4F4F4"/>
            <w:tcMar>
              <w:top w:w="0" w:type="dxa"/>
              <w:left w:w="53" w:type="dxa"/>
              <w:bottom w:w="0" w:type="dxa"/>
              <w:right w:w="0" w:type="dxa"/>
            </w:tcMar>
            <w:vAlign w:val="bottom"/>
          </w:tcPr>
          <w:p w14:paraId="650ED33F" w14:textId="77777777" w:rsidR="001614AC" w:rsidRDefault="004468F9">
            <w:pPr>
              <w:keepNext/>
              <w:spacing w:before="55" w:after="30" w:line="288" w:lineRule="auto"/>
            </w:pPr>
            <w:r>
              <w:rPr>
                <w:rFonts w:ascii="Arial" w:eastAsia="Arial" w:hAnsi="Arial" w:cs="Arial"/>
                <w:color w:val="000000"/>
                <w:sz w:val="18"/>
              </w:rPr>
              <w:t>$</w:t>
            </w:r>
          </w:p>
        </w:tc>
        <w:tc>
          <w:tcPr>
            <w:tcW w:w="745" w:type="dxa"/>
            <w:tcBorders>
              <w:top w:val="single" w:sz="8" w:space="0" w:color="C7C9C7"/>
              <w:left w:val="nil"/>
              <w:bottom w:val="double" w:sz="8" w:space="0" w:color="C7C9C7"/>
              <w:right w:val="nil"/>
            </w:tcBorders>
            <w:shd w:val="clear" w:color="auto" w:fill="F4F4F4"/>
            <w:tcMar>
              <w:top w:w="0" w:type="dxa"/>
              <w:left w:w="0" w:type="dxa"/>
              <w:bottom w:w="0" w:type="dxa"/>
              <w:right w:w="0" w:type="dxa"/>
            </w:tcMar>
            <w:vAlign w:val="bottom"/>
          </w:tcPr>
          <w:p w14:paraId="04CB0C54" w14:textId="77777777" w:rsidR="001614AC" w:rsidRDefault="004468F9">
            <w:pPr>
              <w:keepNext/>
              <w:spacing w:before="55" w:after="30" w:line="288" w:lineRule="auto"/>
              <w:jc w:val="right"/>
            </w:pPr>
            <w:r>
              <w:rPr>
                <w:rFonts w:ascii="Arial" w:eastAsia="Arial" w:hAnsi="Arial" w:cs="Arial"/>
                <w:color w:val="000000"/>
                <w:sz w:val="18"/>
              </w:rPr>
              <w:t>249,295 </w:t>
            </w:r>
          </w:p>
        </w:tc>
        <w:tc>
          <w:tcPr>
            <w:tcW w:w="100" w:type="dxa"/>
            <w:tcBorders>
              <w:top w:val="single" w:sz="8" w:space="0" w:color="C7C9C7"/>
              <w:left w:val="nil"/>
              <w:bottom w:val="double" w:sz="8" w:space="0" w:color="C7C9C7"/>
              <w:right w:val="nil"/>
            </w:tcBorders>
            <w:shd w:val="clear" w:color="auto" w:fill="F4F4F4"/>
            <w:tcMar>
              <w:top w:w="0" w:type="dxa"/>
              <w:left w:w="0" w:type="dxa"/>
              <w:bottom w:w="0" w:type="dxa"/>
              <w:right w:w="15" w:type="dxa"/>
            </w:tcMar>
            <w:vAlign w:val="bottom"/>
          </w:tcPr>
          <w:p w14:paraId="7CA4B054" w14:textId="77777777" w:rsidR="001614AC" w:rsidRDefault="001614AC">
            <w:pPr>
              <w:keepNext/>
              <w:spacing w:before="55" w:after="30" w:line="288" w:lineRule="auto"/>
              <w:jc w:val="right"/>
            </w:pPr>
          </w:p>
        </w:tc>
        <w:tc>
          <w:tcPr>
            <w:tcW w:w="105" w:type="dxa"/>
            <w:tcBorders>
              <w:top w:val="nil"/>
              <w:left w:val="nil"/>
              <w:bottom w:val="nil"/>
              <w:right w:val="nil"/>
            </w:tcBorders>
            <w:shd w:val="clear" w:color="auto" w:fill="F4F4F4"/>
            <w:tcMar>
              <w:top w:w="0" w:type="dxa"/>
              <w:left w:w="0" w:type="dxa"/>
              <w:bottom w:w="0" w:type="dxa"/>
              <w:right w:w="0" w:type="dxa"/>
            </w:tcMar>
            <w:vAlign w:val="bottom"/>
          </w:tcPr>
          <w:p w14:paraId="550D8119" w14:textId="77777777" w:rsidR="001614AC" w:rsidRDefault="001614AC">
            <w:pPr>
              <w:keepNext/>
            </w:pPr>
          </w:p>
        </w:tc>
        <w:tc>
          <w:tcPr>
            <w:tcW w:w="160" w:type="dxa"/>
            <w:tcBorders>
              <w:top w:val="single" w:sz="8" w:space="0" w:color="C7C9C7"/>
              <w:left w:val="nil"/>
              <w:bottom w:val="double" w:sz="8" w:space="0" w:color="C7C9C7"/>
              <w:right w:val="nil"/>
            </w:tcBorders>
            <w:shd w:val="clear" w:color="auto" w:fill="F4F4F4"/>
            <w:tcMar>
              <w:top w:w="0" w:type="dxa"/>
              <w:left w:w="53" w:type="dxa"/>
              <w:bottom w:w="0" w:type="dxa"/>
              <w:right w:w="0" w:type="dxa"/>
            </w:tcMar>
            <w:vAlign w:val="bottom"/>
          </w:tcPr>
          <w:p w14:paraId="021E7C38" w14:textId="77777777" w:rsidR="001614AC" w:rsidRDefault="004468F9">
            <w:pPr>
              <w:keepNext/>
              <w:spacing w:before="55" w:after="30" w:line="288" w:lineRule="auto"/>
            </w:pPr>
            <w:r>
              <w:rPr>
                <w:rFonts w:ascii="Arial" w:eastAsia="Arial" w:hAnsi="Arial" w:cs="Arial"/>
                <w:color w:val="000000"/>
                <w:sz w:val="18"/>
              </w:rPr>
              <w:t>$</w:t>
            </w:r>
          </w:p>
        </w:tc>
        <w:tc>
          <w:tcPr>
            <w:tcW w:w="745" w:type="dxa"/>
            <w:tcBorders>
              <w:top w:val="single" w:sz="8" w:space="0" w:color="C7C9C7"/>
              <w:left w:val="nil"/>
              <w:bottom w:val="double" w:sz="8" w:space="0" w:color="C7C9C7"/>
              <w:right w:val="nil"/>
            </w:tcBorders>
            <w:shd w:val="clear" w:color="auto" w:fill="F4F4F4"/>
            <w:tcMar>
              <w:top w:w="0" w:type="dxa"/>
              <w:left w:w="0" w:type="dxa"/>
              <w:bottom w:w="0" w:type="dxa"/>
              <w:right w:w="0" w:type="dxa"/>
            </w:tcMar>
            <w:vAlign w:val="bottom"/>
          </w:tcPr>
          <w:p w14:paraId="6690258A" w14:textId="77777777" w:rsidR="001614AC" w:rsidRDefault="004468F9">
            <w:pPr>
              <w:keepNext/>
              <w:spacing w:before="55" w:after="30" w:line="288" w:lineRule="auto"/>
              <w:jc w:val="right"/>
            </w:pPr>
            <w:r>
              <w:rPr>
                <w:rFonts w:ascii="Arial" w:eastAsia="Arial" w:hAnsi="Arial" w:cs="Arial"/>
                <w:color w:val="000000"/>
                <w:sz w:val="18"/>
              </w:rPr>
              <w:t>526,628 </w:t>
            </w:r>
          </w:p>
        </w:tc>
        <w:tc>
          <w:tcPr>
            <w:tcW w:w="100" w:type="dxa"/>
            <w:tcBorders>
              <w:top w:val="single" w:sz="8" w:space="0" w:color="C7C9C7"/>
              <w:left w:val="nil"/>
              <w:bottom w:val="double" w:sz="8" w:space="0" w:color="C7C9C7"/>
              <w:right w:val="nil"/>
            </w:tcBorders>
            <w:shd w:val="clear" w:color="auto" w:fill="F4F4F4"/>
            <w:tcMar>
              <w:top w:w="0" w:type="dxa"/>
              <w:left w:w="0" w:type="dxa"/>
              <w:bottom w:w="0" w:type="dxa"/>
              <w:right w:w="15" w:type="dxa"/>
            </w:tcMar>
            <w:vAlign w:val="bottom"/>
          </w:tcPr>
          <w:p w14:paraId="42FD1DFD" w14:textId="77777777" w:rsidR="001614AC" w:rsidRDefault="001614AC">
            <w:pPr>
              <w:keepNext/>
              <w:spacing w:before="55" w:after="30" w:line="288" w:lineRule="auto"/>
              <w:jc w:val="right"/>
            </w:pPr>
          </w:p>
        </w:tc>
        <w:tc>
          <w:tcPr>
            <w:tcW w:w="105" w:type="dxa"/>
            <w:tcBorders>
              <w:top w:val="nil"/>
              <w:left w:val="nil"/>
              <w:bottom w:val="nil"/>
              <w:right w:val="nil"/>
            </w:tcBorders>
            <w:shd w:val="clear" w:color="auto" w:fill="F4F4F4"/>
            <w:tcMar>
              <w:top w:w="0" w:type="dxa"/>
              <w:left w:w="0" w:type="dxa"/>
              <w:bottom w:w="0" w:type="dxa"/>
              <w:right w:w="0" w:type="dxa"/>
            </w:tcMar>
            <w:vAlign w:val="bottom"/>
          </w:tcPr>
          <w:p w14:paraId="03745140" w14:textId="77777777" w:rsidR="001614AC" w:rsidRDefault="001614AC">
            <w:pPr>
              <w:keepNext/>
            </w:pPr>
          </w:p>
        </w:tc>
        <w:tc>
          <w:tcPr>
            <w:tcW w:w="160" w:type="dxa"/>
            <w:tcBorders>
              <w:top w:val="single" w:sz="8" w:space="0" w:color="C7C9C7"/>
              <w:left w:val="nil"/>
              <w:bottom w:val="double" w:sz="8" w:space="0" w:color="C7C9C7"/>
              <w:right w:val="nil"/>
            </w:tcBorders>
            <w:shd w:val="clear" w:color="auto" w:fill="F4F4F4"/>
            <w:tcMar>
              <w:top w:w="0" w:type="dxa"/>
              <w:left w:w="53" w:type="dxa"/>
              <w:bottom w:w="0" w:type="dxa"/>
              <w:right w:w="0" w:type="dxa"/>
            </w:tcMar>
            <w:vAlign w:val="bottom"/>
          </w:tcPr>
          <w:p w14:paraId="205DABAA" w14:textId="77777777" w:rsidR="001614AC" w:rsidRDefault="004468F9">
            <w:pPr>
              <w:keepNext/>
              <w:spacing w:before="55" w:after="30" w:line="288" w:lineRule="auto"/>
            </w:pPr>
            <w:r>
              <w:rPr>
                <w:rFonts w:ascii="Arial" w:eastAsia="Arial" w:hAnsi="Arial" w:cs="Arial"/>
                <w:color w:val="000000"/>
                <w:sz w:val="18"/>
              </w:rPr>
              <w:t>$</w:t>
            </w:r>
          </w:p>
        </w:tc>
        <w:tc>
          <w:tcPr>
            <w:tcW w:w="745" w:type="dxa"/>
            <w:tcBorders>
              <w:top w:val="single" w:sz="8" w:space="0" w:color="C7C9C7"/>
              <w:left w:val="nil"/>
              <w:bottom w:val="double" w:sz="8" w:space="0" w:color="C7C9C7"/>
              <w:right w:val="nil"/>
            </w:tcBorders>
            <w:shd w:val="clear" w:color="auto" w:fill="F4F4F4"/>
            <w:tcMar>
              <w:top w:w="0" w:type="dxa"/>
              <w:left w:w="0" w:type="dxa"/>
              <w:bottom w:w="0" w:type="dxa"/>
              <w:right w:w="0" w:type="dxa"/>
            </w:tcMar>
            <w:vAlign w:val="bottom"/>
          </w:tcPr>
          <w:p w14:paraId="448F6110" w14:textId="77777777" w:rsidR="001614AC" w:rsidRDefault="004468F9">
            <w:pPr>
              <w:keepNext/>
              <w:spacing w:before="55" w:after="30" w:line="288" w:lineRule="auto"/>
              <w:jc w:val="right"/>
            </w:pPr>
            <w:r>
              <w:rPr>
                <w:rFonts w:ascii="Arial" w:eastAsia="Arial" w:hAnsi="Arial" w:cs="Arial"/>
                <w:color w:val="000000"/>
                <w:sz w:val="18"/>
              </w:rPr>
              <w:t>526,710 </w:t>
            </w:r>
          </w:p>
        </w:tc>
        <w:tc>
          <w:tcPr>
            <w:tcW w:w="100" w:type="dxa"/>
            <w:tcBorders>
              <w:top w:val="single" w:sz="8" w:space="0" w:color="C7C9C7"/>
              <w:left w:val="nil"/>
              <w:bottom w:val="double" w:sz="8" w:space="0" w:color="C7C9C7"/>
              <w:right w:val="nil"/>
            </w:tcBorders>
            <w:shd w:val="clear" w:color="auto" w:fill="F4F4F4"/>
            <w:tcMar>
              <w:top w:w="0" w:type="dxa"/>
              <w:left w:w="0" w:type="dxa"/>
              <w:bottom w:w="0" w:type="dxa"/>
              <w:right w:w="15" w:type="dxa"/>
            </w:tcMar>
            <w:vAlign w:val="bottom"/>
          </w:tcPr>
          <w:p w14:paraId="4B8B8784" w14:textId="77777777" w:rsidR="001614AC" w:rsidRDefault="001614AC">
            <w:pPr>
              <w:keepNext/>
              <w:spacing w:before="55" w:after="30" w:line="288" w:lineRule="auto"/>
              <w:jc w:val="right"/>
            </w:pPr>
          </w:p>
        </w:tc>
      </w:tr>
      <w:tr w:rsidR="001614AC" w14:paraId="60036BB1" w14:textId="77777777">
        <w:trPr>
          <w:cantSplit/>
        </w:trPr>
        <w:tc>
          <w:tcPr>
            <w:tcW w:w="5640" w:type="dxa"/>
            <w:tcBorders>
              <w:top w:val="nil"/>
              <w:left w:val="nil"/>
              <w:bottom w:val="single" w:sz="8" w:space="0" w:color="E9E9E9"/>
              <w:right w:val="nil"/>
            </w:tcBorders>
            <w:tcMar>
              <w:top w:w="0" w:type="dxa"/>
              <w:left w:w="0" w:type="dxa"/>
              <w:bottom w:w="0" w:type="dxa"/>
              <w:right w:w="0" w:type="dxa"/>
            </w:tcMar>
            <w:vAlign w:val="bottom"/>
          </w:tcPr>
          <w:p w14:paraId="5ADBB124" w14:textId="77777777" w:rsidR="001614AC" w:rsidRDefault="001614AC">
            <w:pPr>
              <w:keepNext/>
            </w:pPr>
          </w:p>
        </w:tc>
        <w:tc>
          <w:tcPr>
            <w:tcW w:w="105" w:type="dxa"/>
            <w:tcBorders>
              <w:top w:val="nil"/>
              <w:left w:val="nil"/>
              <w:bottom w:val="nil"/>
              <w:right w:val="nil"/>
            </w:tcBorders>
            <w:tcMar>
              <w:top w:w="0" w:type="dxa"/>
              <w:left w:w="0" w:type="dxa"/>
              <w:bottom w:w="0" w:type="dxa"/>
              <w:right w:w="0" w:type="dxa"/>
            </w:tcMar>
            <w:vAlign w:val="bottom"/>
          </w:tcPr>
          <w:p w14:paraId="39279044" w14:textId="77777777" w:rsidR="001614AC" w:rsidRDefault="001614AC">
            <w:pPr>
              <w:keepNext/>
            </w:pPr>
          </w:p>
        </w:tc>
        <w:tc>
          <w:tcPr>
            <w:tcW w:w="1005" w:type="dxa"/>
            <w:gridSpan w:val="3"/>
            <w:tcBorders>
              <w:top w:val="double" w:sz="8" w:space="0" w:color="C7C9C7"/>
              <w:left w:val="nil"/>
              <w:bottom w:val="single" w:sz="8" w:space="0" w:color="E9E9E9"/>
              <w:right w:val="nil"/>
            </w:tcBorders>
            <w:tcMar>
              <w:top w:w="0" w:type="dxa"/>
              <w:left w:w="0" w:type="dxa"/>
              <w:bottom w:w="0" w:type="dxa"/>
              <w:right w:w="0" w:type="dxa"/>
            </w:tcMar>
            <w:vAlign w:val="bottom"/>
          </w:tcPr>
          <w:p w14:paraId="3DD6408B" w14:textId="77777777" w:rsidR="001614AC" w:rsidRDefault="001614AC">
            <w:pPr>
              <w:keepNext/>
            </w:pPr>
          </w:p>
        </w:tc>
        <w:tc>
          <w:tcPr>
            <w:tcW w:w="105" w:type="dxa"/>
            <w:tcBorders>
              <w:top w:val="nil"/>
              <w:left w:val="nil"/>
              <w:bottom w:val="nil"/>
              <w:right w:val="nil"/>
            </w:tcBorders>
            <w:tcMar>
              <w:top w:w="0" w:type="dxa"/>
              <w:left w:w="0" w:type="dxa"/>
              <w:bottom w:w="0" w:type="dxa"/>
              <w:right w:w="0" w:type="dxa"/>
            </w:tcMar>
            <w:vAlign w:val="bottom"/>
          </w:tcPr>
          <w:p w14:paraId="5F76E50B" w14:textId="77777777" w:rsidR="001614AC" w:rsidRDefault="001614AC">
            <w:pPr>
              <w:keepNext/>
            </w:pPr>
          </w:p>
        </w:tc>
        <w:tc>
          <w:tcPr>
            <w:tcW w:w="1005" w:type="dxa"/>
            <w:gridSpan w:val="3"/>
            <w:tcBorders>
              <w:top w:val="double" w:sz="8" w:space="0" w:color="C7C9C7"/>
              <w:left w:val="nil"/>
              <w:bottom w:val="single" w:sz="8" w:space="0" w:color="E9E9E9"/>
              <w:right w:val="nil"/>
            </w:tcBorders>
            <w:tcMar>
              <w:top w:w="0" w:type="dxa"/>
              <w:left w:w="0" w:type="dxa"/>
              <w:bottom w:w="0" w:type="dxa"/>
              <w:right w:w="0" w:type="dxa"/>
            </w:tcMar>
            <w:vAlign w:val="bottom"/>
          </w:tcPr>
          <w:p w14:paraId="6F3DBAF3" w14:textId="77777777" w:rsidR="001614AC" w:rsidRDefault="001614AC">
            <w:pPr>
              <w:keepNext/>
            </w:pPr>
          </w:p>
        </w:tc>
        <w:tc>
          <w:tcPr>
            <w:tcW w:w="105" w:type="dxa"/>
            <w:tcBorders>
              <w:top w:val="nil"/>
              <w:left w:val="nil"/>
              <w:bottom w:val="nil"/>
              <w:right w:val="nil"/>
            </w:tcBorders>
            <w:tcMar>
              <w:top w:w="0" w:type="dxa"/>
              <w:left w:w="0" w:type="dxa"/>
              <w:bottom w:w="0" w:type="dxa"/>
              <w:right w:w="0" w:type="dxa"/>
            </w:tcMar>
            <w:vAlign w:val="bottom"/>
          </w:tcPr>
          <w:p w14:paraId="2E39E1F5" w14:textId="77777777" w:rsidR="001614AC" w:rsidRDefault="001614AC">
            <w:pPr>
              <w:keepNext/>
            </w:pPr>
          </w:p>
        </w:tc>
        <w:tc>
          <w:tcPr>
            <w:tcW w:w="1005" w:type="dxa"/>
            <w:gridSpan w:val="3"/>
            <w:tcBorders>
              <w:top w:val="double" w:sz="8" w:space="0" w:color="C7C9C7"/>
              <w:left w:val="nil"/>
              <w:bottom w:val="single" w:sz="8" w:space="0" w:color="E9E9E9"/>
              <w:right w:val="nil"/>
            </w:tcBorders>
            <w:tcMar>
              <w:top w:w="0" w:type="dxa"/>
              <w:left w:w="0" w:type="dxa"/>
              <w:bottom w:w="0" w:type="dxa"/>
              <w:right w:w="0" w:type="dxa"/>
            </w:tcMar>
            <w:vAlign w:val="bottom"/>
          </w:tcPr>
          <w:p w14:paraId="7D9E3A35" w14:textId="77777777" w:rsidR="001614AC" w:rsidRDefault="001614AC">
            <w:pPr>
              <w:keepNext/>
            </w:pPr>
          </w:p>
        </w:tc>
        <w:tc>
          <w:tcPr>
            <w:tcW w:w="105" w:type="dxa"/>
            <w:tcBorders>
              <w:top w:val="nil"/>
              <w:left w:val="nil"/>
              <w:bottom w:val="nil"/>
              <w:right w:val="nil"/>
            </w:tcBorders>
            <w:tcMar>
              <w:top w:w="0" w:type="dxa"/>
              <w:left w:w="0" w:type="dxa"/>
              <w:bottom w:w="0" w:type="dxa"/>
              <w:right w:w="0" w:type="dxa"/>
            </w:tcMar>
            <w:vAlign w:val="bottom"/>
          </w:tcPr>
          <w:p w14:paraId="3A2C0B06" w14:textId="77777777" w:rsidR="001614AC" w:rsidRDefault="001614AC">
            <w:pPr>
              <w:keepNext/>
            </w:pPr>
          </w:p>
        </w:tc>
        <w:tc>
          <w:tcPr>
            <w:tcW w:w="1005" w:type="dxa"/>
            <w:gridSpan w:val="3"/>
            <w:tcBorders>
              <w:top w:val="double" w:sz="8" w:space="0" w:color="C7C9C7"/>
              <w:left w:val="nil"/>
              <w:bottom w:val="single" w:sz="8" w:space="0" w:color="E9E9E9"/>
              <w:right w:val="nil"/>
            </w:tcBorders>
            <w:tcMar>
              <w:top w:w="0" w:type="dxa"/>
              <w:left w:w="0" w:type="dxa"/>
              <w:bottom w:w="0" w:type="dxa"/>
              <w:right w:w="0" w:type="dxa"/>
            </w:tcMar>
            <w:vAlign w:val="bottom"/>
          </w:tcPr>
          <w:p w14:paraId="46AFC41D" w14:textId="77777777" w:rsidR="001614AC" w:rsidRDefault="001614AC">
            <w:pPr>
              <w:keepNext/>
            </w:pPr>
          </w:p>
        </w:tc>
      </w:tr>
      <w:tr w:rsidR="001614AC" w14:paraId="03E7AD0F" w14:textId="77777777">
        <w:trPr>
          <w:cantSplit/>
        </w:trPr>
        <w:tc>
          <w:tcPr>
            <w:tcW w:w="5640" w:type="dxa"/>
            <w:tcBorders>
              <w:top w:val="single" w:sz="8" w:space="0" w:color="E9E9E9"/>
              <w:left w:val="nil"/>
              <w:bottom w:val="single" w:sz="8" w:space="0" w:color="E9E9E9"/>
              <w:right w:val="nil"/>
            </w:tcBorders>
            <w:tcMar>
              <w:top w:w="0" w:type="dxa"/>
              <w:left w:w="53" w:type="dxa"/>
              <w:bottom w:w="0" w:type="dxa"/>
              <w:right w:w="53" w:type="dxa"/>
            </w:tcMar>
            <w:vAlign w:val="bottom"/>
          </w:tcPr>
          <w:p w14:paraId="7E47595C" w14:textId="77777777" w:rsidR="001614AC" w:rsidRDefault="004468F9">
            <w:pPr>
              <w:keepNext/>
              <w:spacing w:before="55" w:after="30" w:line="288" w:lineRule="auto"/>
              <w:rPr>
                <w:rFonts w:ascii="Arial" w:eastAsia="Arial" w:hAnsi="Arial" w:cs="Arial"/>
                <w:sz w:val="18"/>
              </w:rPr>
            </w:pPr>
            <w:r>
              <w:rPr>
                <w:rFonts w:ascii="Arial" w:eastAsia="Arial" w:hAnsi="Arial" w:cs="Arial"/>
                <w:sz w:val="18"/>
              </w:rPr>
              <w:t xml:space="preserve">Ceding commissions earned </w:t>
            </w:r>
            <w:r>
              <w:rPr>
                <w:rFonts w:ascii="Arial" w:eastAsia="Arial" w:hAnsi="Arial" w:cs="Arial"/>
                <w:sz w:val="18"/>
                <w:vertAlign w:val="superscript"/>
              </w:rPr>
              <w:t xml:space="preserve">(3) </w:t>
            </w:r>
          </w:p>
        </w:tc>
        <w:tc>
          <w:tcPr>
            <w:tcW w:w="105" w:type="dxa"/>
            <w:tcBorders>
              <w:top w:val="nil"/>
              <w:left w:val="nil"/>
              <w:bottom w:val="nil"/>
              <w:right w:val="nil"/>
            </w:tcBorders>
            <w:tcMar>
              <w:top w:w="0" w:type="dxa"/>
              <w:left w:w="0" w:type="dxa"/>
              <w:bottom w:w="0" w:type="dxa"/>
              <w:right w:w="0" w:type="dxa"/>
            </w:tcMar>
            <w:vAlign w:val="bottom"/>
          </w:tcPr>
          <w:p w14:paraId="123C2C7D" w14:textId="77777777" w:rsidR="001614AC" w:rsidRDefault="001614AC">
            <w:pPr>
              <w:keepNext/>
            </w:pPr>
          </w:p>
        </w:tc>
        <w:tc>
          <w:tcPr>
            <w:tcW w:w="160" w:type="dxa"/>
            <w:tcBorders>
              <w:top w:val="single" w:sz="8" w:space="0" w:color="E9E9E9"/>
              <w:left w:val="nil"/>
              <w:bottom w:val="single" w:sz="8" w:space="0" w:color="E9E9E9"/>
              <w:right w:val="nil"/>
            </w:tcBorders>
            <w:tcMar>
              <w:top w:w="0" w:type="dxa"/>
              <w:left w:w="53" w:type="dxa"/>
              <w:bottom w:w="0" w:type="dxa"/>
              <w:right w:w="0" w:type="dxa"/>
            </w:tcMar>
            <w:vAlign w:val="bottom"/>
          </w:tcPr>
          <w:p w14:paraId="298379E0" w14:textId="77777777" w:rsidR="001614AC" w:rsidRDefault="004468F9">
            <w:pPr>
              <w:keepNext/>
              <w:spacing w:before="55" w:after="30" w:line="288" w:lineRule="auto"/>
            </w:pPr>
            <w:r>
              <w:rPr>
                <w:rFonts w:ascii="Arial" w:eastAsia="Arial" w:hAnsi="Arial" w:cs="Arial"/>
                <w:color w:val="000000"/>
                <w:sz w:val="18"/>
              </w:rPr>
              <w:t>$</w:t>
            </w:r>
          </w:p>
        </w:tc>
        <w:tc>
          <w:tcPr>
            <w:tcW w:w="745" w:type="dxa"/>
            <w:tcBorders>
              <w:top w:val="single" w:sz="8" w:space="0" w:color="E9E9E9"/>
              <w:left w:val="nil"/>
              <w:bottom w:val="single" w:sz="8" w:space="0" w:color="E9E9E9"/>
              <w:right w:val="nil"/>
            </w:tcBorders>
            <w:tcMar>
              <w:top w:w="0" w:type="dxa"/>
              <w:left w:w="0" w:type="dxa"/>
              <w:bottom w:w="0" w:type="dxa"/>
              <w:right w:w="0" w:type="dxa"/>
            </w:tcMar>
            <w:vAlign w:val="bottom"/>
          </w:tcPr>
          <w:p w14:paraId="33E73E46" w14:textId="77777777" w:rsidR="001614AC" w:rsidRDefault="004468F9">
            <w:pPr>
              <w:keepNext/>
              <w:spacing w:before="55" w:after="30" w:line="288" w:lineRule="auto"/>
              <w:jc w:val="right"/>
            </w:pPr>
            <w:r>
              <w:rPr>
                <w:rFonts w:ascii="Arial" w:eastAsia="Arial" w:hAnsi="Arial" w:cs="Arial"/>
                <w:color w:val="000000"/>
                <w:sz w:val="18"/>
              </w:rPr>
              <w:t>7,919 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494CCA3D" w14:textId="77777777" w:rsidR="001614AC" w:rsidRDefault="001614AC">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21F75297" w14:textId="77777777" w:rsidR="001614AC" w:rsidRDefault="001614AC">
            <w:pPr>
              <w:keepNext/>
            </w:pPr>
          </w:p>
        </w:tc>
        <w:tc>
          <w:tcPr>
            <w:tcW w:w="160" w:type="dxa"/>
            <w:tcBorders>
              <w:top w:val="single" w:sz="8" w:space="0" w:color="E9E9E9"/>
              <w:left w:val="nil"/>
              <w:bottom w:val="single" w:sz="8" w:space="0" w:color="E9E9E9"/>
              <w:right w:val="nil"/>
            </w:tcBorders>
            <w:tcMar>
              <w:top w:w="0" w:type="dxa"/>
              <w:left w:w="53" w:type="dxa"/>
              <w:bottom w:w="0" w:type="dxa"/>
              <w:right w:w="0" w:type="dxa"/>
            </w:tcMar>
            <w:vAlign w:val="bottom"/>
          </w:tcPr>
          <w:p w14:paraId="282828D3" w14:textId="77777777" w:rsidR="001614AC" w:rsidRDefault="004468F9">
            <w:pPr>
              <w:keepNext/>
              <w:spacing w:before="55" w:after="30" w:line="288" w:lineRule="auto"/>
            </w:pPr>
            <w:r>
              <w:rPr>
                <w:rFonts w:ascii="Arial" w:eastAsia="Arial" w:hAnsi="Arial" w:cs="Arial"/>
                <w:color w:val="000000"/>
                <w:sz w:val="18"/>
              </w:rPr>
              <w:t>$</w:t>
            </w:r>
          </w:p>
        </w:tc>
        <w:tc>
          <w:tcPr>
            <w:tcW w:w="745" w:type="dxa"/>
            <w:tcBorders>
              <w:top w:val="single" w:sz="8" w:space="0" w:color="E9E9E9"/>
              <w:left w:val="nil"/>
              <w:bottom w:val="single" w:sz="8" w:space="0" w:color="E9E9E9"/>
              <w:right w:val="nil"/>
            </w:tcBorders>
            <w:tcMar>
              <w:top w:w="0" w:type="dxa"/>
              <w:left w:w="0" w:type="dxa"/>
              <w:bottom w:w="0" w:type="dxa"/>
              <w:right w:w="0" w:type="dxa"/>
            </w:tcMar>
            <w:vAlign w:val="bottom"/>
          </w:tcPr>
          <w:p w14:paraId="27B2E272" w14:textId="77777777" w:rsidR="001614AC" w:rsidRDefault="004468F9">
            <w:pPr>
              <w:keepNext/>
              <w:spacing w:before="55" w:after="30" w:line="288" w:lineRule="auto"/>
              <w:jc w:val="right"/>
            </w:pPr>
            <w:r>
              <w:rPr>
                <w:rFonts w:ascii="Arial" w:eastAsia="Arial" w:hAnsi="Arial" w:cs="Arial"/>
                <w:color w:val="000000"/>
                <w:sz w:val="18"/>
              </w:rPr>
              <w:t>13,453 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14A6074F" w14:textId="77777777" w:rsidR="001614AC" w:rsidRDefault="001614AC">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407317A6" w14:textId="77777777" w:rsidR="001614AC" w:rsidRDefault="001614AC">
            <w:pPr>
              <w:keepNext/>
            </w:pPr>
          </w:p>
        </w:tc>
        <w:tc>
          <w:tcPr>
            <w:tcW w:w="160" w:type="dxa"/>
            <w:tcBorders>
              <w:top w:val="single" w:sz="8" w:space="0" w:color="E9E9E9"/>
              <w:left w:val="nil"/>
              <w:bottom w:val="single" w:sz="8" w:space="0" w:color="E9E9E9"/>
              <w:right w:val="nil"/>
            </w:tcBorders>
            <w:tcMar>
              <w:top w:w="0" w:type="dxa"/>
              <w:left w:w="53" w:type="dxa"/>
              <w:bottom w:w="0" w:type="dxa"/>
              <w:right w:w="0" w:type="dxa"/>
            </w:tcMar>
            <w:vAlign w:val="bottom"/>
          </w:tcPr>
          <w:p w14:paraId="1A5F0CC1" w14:textId="77777777" w:rsidR="001614AC" w:rsidRDefault="004468F9">
            <w:pPr>
              <w:keepNext/>
              <w:spacing w:before="55" w:after="30" w:line="288" w:lineRule="auto"/>
            </w:pPr>
            <w:r>
              <w:rPr>
                <w:rFonts w:ascii="Arial" w:eastAsia="Arial" w:hAnsi="Arial" w:cs="Arial"/>
                <w:color w:val="000000"/>
                <w:sz w:val="18"/>
              </w:rPr>
              <w:t>$</w:t>
            </w:r>
          </w:p>
        </w:tc>
        <w:tc>
          <w:tcPr>
            <w:tcW w:w="745" w:type="dxa"/>
            <w:tcBorders>
              <w:top w:val="single" w:sz="8" w:space="0" w:color="E9E9E9"/>
              <w:left w:val="nil"/>
              <w:bottom w:val="single" w:sz="8" w:space="0" w:color="E9E9E9"/>
              <w:right w:val="nil"/>
            </w:tcBorders>
            <w:tcMar>
              <w:top w:w="0" w:type="dxa"/>
              <w:left w:w="0" w:type="dxa"/>
              <w:bottom w:w="0" w:type="dxa"/>
              <w:right w:w="0" w:type="dxa"/>
            </w:tcMar>
            <w:vAlign w:val="bottom"/>
          </w:tcPr>
          <w:p w14:paraId="4B790C99" w14:textId="77777777" w:rsidR="001614AC" w:rsidRDefault="004468F9">
            <w:pPr>
              <w:keepNext/>
              <w:spacing w:before="55" w:after="30" w:line="288" w:lineRule="auto"/>
              <w:jc w:val="right"/>
            </w:pPr>
            <w:r>
              <w:rPr>
                <w:rFonts w:ascii="Arial" w:eastAsia="Arial" w:hAnsi="Arial" w:cs="Arial"/>
                <w:color w:val="000000"/>
                <w:sz w:val="18"/>
              </w:rPr>
              <w:t>18,326 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7DE5242B" w14:textId="77777777" w:rsidR="001614AC" w:rsidRDefault="001614AC">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5AA9769D" w14:textId="77777777" w:rsidR="001614AC" w:rsidRDefault="001614AC">
            <w:pPr>
              <w:keepNext/>
            </w:pPr>
          </w:p>
        </w:tc>
        <w:tc>
          <w:tcPr>
            <w:tcW w:w="160" w:type="dxa"/>
            <w:tcBorders>
              <w:top w:val="single" w:sz="8" w:space="0" w:color="E9E9E9"/>
              <w:left w:val="nil"/>
              <w:bottom w:val="single" w:sz="8" w:space="0" w:color="E9E9E9"/>
              <w:right w:val="nil"/>
            </w:tcBorders>
            <w:tcMar>
              <w:top w:w="0" w:type="dxa"/>
              <w:left w:w="53" w:type="dxa"/>
              <w:bottom w:w="0" w:type="dxa"/>
              <w:right w:w="0" w:type="dxa"/>
            </w:tcMar>
            <w:vAlign w:val="bottom"/>
          </w:tcPr>
          <w:p w14:paraId="32383B94" w14:textId="77777777" w:rsidR="001614AC" w:rsidRDefault="004468F9">
            <w:pPr>
              <w:keepNext/>
              <w:spacing w:before="55" w:after="30" w:line="288" w:lineRule="auto"/>
            </w:pPr>
            <w:r>
              <w:rPr>
                <w:rFonts w:ascii="Arial" w:eastAsia="Arial" w:hAnsi="Arial" w:cs="Arial"/>
                <w:color w:val="000000"/>
                <w:sz w:val="18"/>
              </w:rPr>
              <w:t>$</w:t>
            </w:r>
          </w:p>
        </w:tc>
        <w:tc>
          <w:tcPr>
            <w:tcW w:w="745" w:type="dxa"/>
            <w:tcBorders>
              <w:top w:val="single" w:sz="8" w:space="0" w:color="E9E9E9"/>
              <w:left w:val="nil"/>
              <w:bottom w:val="single" w:sz="8" w:space="0" w:color="E9E9E9"/>
              <w:right w:val="nil"/>
            </w:tcBorders>
            <w:tcMar>
              <w:top w:w="0" w:type="dxa"/>
              <w:left w:w="0" w:type="dxa"/>
              <w:bottom w:w="0" w:type="dxa"/>
              <w:right w:w="0" w:type="dxa"/>
            </w:tcMar>
            <w:vAlign w:val="bottom"/>
          </w:tcPr>
          <w:p w14:paraId="32526EBD" w14:textId="77777777" w:rsidR="001614AC" w:rsidRDefault="004468F9">
            <w:pPr>
              <w:keepNext/>
              <w:spacing w:before="55" w:after="30" w:line="288" w:lineRule="auto"/>
              <w:jc w:val="right"/>
            </w:pPr>
            <w:r>
              <w:rPr>
                <w:rFonts w:ascii="Arial" w:eastAsia="Arial" w:hAnsi="Arial" w:cs="Arial"/>
                <w:color w:val="000000"/>
                <w:sz w:val="18"/>
              </w:rPr>
              <w:t>23,419 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1F6F1790" w14:textId="77777777" w:rsidR="001614AC" w:rsidRDefault="001614AC">
            <w:pPr>
              <w:keepNext/>
              <w:spacing w:before="55" w:after="30" w:line="288" w:lineRule="auto"/>
              <w:jc w:val="right"/>
            </w:pPr>
          </w:p>
        </w:tc>
      </w:tr>
      <w:tr w:rsidR="001614AC" w14:paraId="64C30390" w14:textId="77777777">
        <w:trPr>
          <w:cantSplit/>
        </w:trPr>
        <w:tc>
          <w:tcPr>
            <w:tcW w:w="5640" w:type="dxa"/>
            <w:tcBorders>
              <w:top w:val="single" w:sz="8" w:space="0" w:color="E9E9E9"/>
              <w:left w:val="nil"/>
              <w:bottom w:val="single" w:sz="8" w:space="0" w:color="E9E9E9"/>
              <w:right w:val="nil"/>
            </w:tcBorders>
            <w:tcMar>
              <w:top w:w="0" w:type="dxa"/>
              <w:left w:w="53" w:type="dxa"/>
              <w:bottom w:w="0" w:type="dxa"/>
              <w:right w:w="53" w:type="dxa"/>
            </w:tcMar>
            <w:vAlign w:val="bottom"/>
          </w:tcPr>
          <w:p w14:paraId="69E6BF56" w14:textId="77777777" w:rsidR="001614AC" w:rsidRDefault="004468F9">
            <w:pPr>
              <w:spacing w:before="55" w:after="30" w:line="288" w:lineRule="auto"/>
            </w:pPr>
            <w:r>
              <w:rPr>
                <w:rFonts w:ascii="Arial" w:eastAsia="Arial" w:hAnsi="Arial" w:cs="Arial"/>
                <w:color w:val="000000"/>
                <w:sz w:val="18"/>
              </w:rPr>
              <w:t>Ceded losses</w:t>
            </w:r>
          </w:p>
        </w:tc>
        <w:tc>
          <w:tcPr>
            <w:tcW w:w="105" w:type="dxa"/>
            <w:tcBorders>
              <w:top w:val="nil"/>
              <w:left w:val="nil"/>
              <w:bottom w:val="nil"/>
              <w:right w:val="nil"/>
            </w:tcBorders>
            <w:tcMar>
              <w:top w:w="0" w:type="dxa"/>
              <w:left w:w="0" w:type="dxa"/>
              <w:bottom w:w="0" w:type="dxa"/>
              <w:right w:w="0" w:type="dxa"/>
            </w:tcMar>
            <w:vAlign w:val="bottom"/>
          </w:tcPr>
          <w:p w14:paraId="54472A7F" w14:textId="77777777" w:rsidR="001614AC" w:rsidRDefault="001614AC"/>
        </w:tc>
        <w:tc>
          <w:tcPr>
            <w:tcW w:w="90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49362553" w14:textId="77777777" w:rsidR="001614AC" w:rsidRDefault="004468F9">
            <w:pPr>
              <w:spacing w:before="55" w:after="30" w:line="288" w:lineRule="auto"/>
              <w:jc w:val="right"/>
            </w:pPr>
            <w:r>
              <w:rPr>
                <w:rFonts w:ascii="Arial" w:eastAsia="Arial" w:hAnsi="Arial" w:cs="Arial"/>
                <w:color w:val="000000"/>
                <w:sz w:val="18"/>
              </w:rPr>
              <w:t>(1,078)</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3D42BD2A" w14:textId="77777777" w:rsidR="001614AC" w:rsidRDefault="001614AC">
            <w:pPr>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445FD032" w14:textId="77777777" w:rsidR="001614AC" w:rsidRDefault="001614AC"/>
        </w:tc>
        <w:tc>
          <w:tcPr>
            <w:tcW w:w="90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2AC2E322" w14:textId="77777777" w:rsidR="001614AC" w:rsidRDefault="004468F9">
            <w:pPr>
              <w:spacing w:before="55" w:after="30" w:line="288" w:lineRule="auto"/>
              <w:jc w:val="right"/>
            </w:pPr>
            <w:r>
              <w:rPr>
                <w:rFonts w:ascii="Arial" w:eastAsia="Arial" w:hAnsi="Arial" w:cs="Arial"/>
                <w:color w:val="000000"/>
                <w:sz w:val="18"/>
              </w:rPr>
              <w:t>39,635 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11906872" w14:textId="77777777" w:rsidR="001614AC" w:rsidRDefault="001614AC">
            <w:pPr>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6C038FC3" w14:textId="77777777" w:rsidR="001614AC" w:rsidRDefault="001614AC"/>
        </w:tc>
        <w:tc>
          <w:tcPr>
            <w:tcW w:w="90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5FAF2E70" w14:textId="77777777" w:rsidR="001614AC" w:rsidRDefault="004468F9">
            <w:pPr>
              <w:spacing w:before="55" w:after="30" w:line="288" w:lineRule="auto"/>
              <w:jc w:val="right"/>
            </w:pPr>
            <w:r>
              <w:rPr>
                <w:rFonts w:ascii="Arial" w:eastAsia="Arial" w:hAnsi="Arial" w:cs="Arial"/>
                <w:color w:val="000000"/>
                <w:sz w:val="18"/>
              </w:rPr>
              <w:t>2,668 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5E956F9A" w14:textId="77777777" w:rsidR="001614AC" w:rsidRDefault="001614AC">
            <w:pPr>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25E75CE2" w14:textId="77777777" w:rsidR="001614AC" w:rsidRDefault="001614AC"/>
        </w:tc>
        <w:tc>
          <w:tcPr>
            <w:tcW w:w="90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37E32032" w14:textId="77777777" w:rsidR="001614AC" w:rsidRDefault="004468F9">
            <w:pPr>
              <w:spacing w:before="55" w:after="30" w:line="288" w:lineRule="auto"/>
              <w:jc w:val="right"/>
            </w:pPr>
            <w:r>
              <w:rPr>
                <w:rFonts w:ascii="Arial" w:eastAsia="Arial" w:hAnsi="Arial" w:cs="Arial"/>
                <w:color w:val="000000"/>
                <w:sz w:val="18"/>
              </w:rPr>
              <w:t>41,597 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1F56ECB1" w14:textId="77777777" w:rsidR="001614AC" w:rsidRDefault="001614AC">
            <w:pPr>
              <w:spacing w:before="55" w:after="30" w:line="288" w:lineRule="auto"/>
              <w:jc w:val="right"/>
            </w:pPr>
          </w:p>
        </w:tc>
      </w:tr>
    </w:tbl>
    <w:p w14:paraId="286C8D2C" w14:textId="77777777" w:rsidR="001614AC" w:rsidRDefault="004468F9" w:rsidP="004468F9">
      <w:pPr>
        <w:keepNext/>
        <w:numPr>
          <w:ilvl w:val="0"/>
          <w:numId w:val="18"/>
        </w:numPr>
        <w:spacing w:line="288" w:lineRule="auto"/>
        <w:ind w:left="360"/>
        <w:rPr>
          <w:rFonts w:ascii="Arial" w:eastAsia="Arial" w:hAnsi="Arial" w:cs="Arial"/>
          <w:b/>
          <w:color w:val="64615D"/>
          <w:sz w:val="16"/>
        </w:rPr>
      </w:pPr>
      <w:r>
        <w:rPr>
          <w:rFonts w:ascii="Arial" w:eastAsia="Arial" w:hAnsi="Arial" w:cs="Arial"/>
          <w:color w:val="64615D"/>
          <w:sz w:val="16"/>
        </w:rPr>
        <w:t>Primarily includes premiums from our participation in certain credit risk transfer programs.</w:t>
      </w:r>
    </w:p>
    <w:p w14:paraId="67708D00" w14:textId="77777777" w:rsidR="001614AC" w:rsidRDefault="004468F9" w:rsidP="004468F9">
      <w:pPr>
        <w:numPr>
          <w:ilvl w:val="0"/>
          <w:numId w:val="18"/>
        </w:numPr>
        <w:spacing w:line="288" w:lineRule="auto"/>
        <w:ind w:left="360"/>
        <w:rPr>
          <w:rFonts w:ascii="Arial" w:eastAsia="Arial" w:hAnsi="Arial" w:cs="Arial"/>
          <w:b/>
          <w:color w:val="64615D"/>
          <w:sz w:val="16"/>
        </w:rPr>
      </w:pPr>
      <w:r>
        <w:rPr>
          <w:rFonts w:ascii="Arial" w:eastAsia="Arial" w:hAnsi="Arial" w:cs="Arial"/>
          <w:color w:val="64615D"/>
          <w:sz w:val="16"/>
        </w:rPr>
        <w:t xml:space="preserve">Net of profit commission, which is impacted by </w:t>
      </w:r>
      <w:r>
        <w:rPr>
          <w:rFonts w:ascii="Arial" w:eastAsia="Arial" w:hAnsi="Arial" w:cs="Arial"/>
          <w:color w:val="64615D"/>
          <w:sz w:val="16"/>
        </w:rPr>
        <w:t>the level of ceded losses recoverable, if any, on reinsurance transactions. See Note 11 for additional information on our reserve for losses and reinsurance recoverables.</w:t>
      </w:r>
    </w:p>
    <w:p w14:paraId="63DE25CB" w14:textId="77777777" w:rsidR="001614AC" w:rsidRDefault="004468F9" w:rsidP="004468F9">
      <w:pPr>
        <w:numPr>
          <w:ilvl w:val="0"/>
          <w:numId w:val="18"/>
        </w:numPr>
        <w:spacing w:line="288" w:lineRule="auto"/>
        <w:ind w:left="360"/>
        <w:rPr>
          <w:rFonts w:ascii="Arial" w:eastAsia="Arial" w:hAnsi="Arial" w:cs="Arial"/>
          <w:b/>
          <w:color w:val="64615D"/>
          <w:sz w:val="16"/>
        </w:rPr>
      </w:pPr>
      <w:r>
        <w:rPr>
          <w:rFonts w:ascii="Arial" w:eastAsia="Arial" w:hAnsi="Arial" w:cs="Arial"/>
          <w:color w:val="64615D"/>
          <w:sz w:val="16"/>
        </w:rPr>
        <w:t xml:space="preserve">Deferred ceding commissions of $43.6 million and $52.5 million are included in other </w:t>
      </w:r>
      <w:r>
        <w:rPr>
          <w:rFonts w:ascii="Arial" w:eastAsia="Arial" w:hAnsi="Arial" w:cs="Arial"/>
          <w:color w:val="64615D"/>
          <w:sz w:val="16"/>
        </w:rPr>
        <w:t>liabilities on our condensed consolidated balance sheets at June 30, 2021 and December 31, 2020, respectively.</w:t>
      </w:r>
    </w:p>
    <w:p w14:paraId="5C5CD30E" w14:textId="77777777" w:rsidR="001614AC" w:rsidRDefault="004468F9">
      <w:pPr>
        <w:keepNext/>
        <w:spacing w:before="180" w:after="140" w:line="288" w:lineRule="auto"/>
        <w:rPr>
          <w:rFonts w:ascii="Arial" w:eastAsia="Arial" w:hAnsi="Arial" w:cs="Arial"/>
          <w:b/>
          <w:color w:val="002B49"/>
          <w:sz w:val="26"/>
        </w:rPr>
      </w:pPr>
      <w:r>
        <w:rPr>
          <w:rFonts w:ascii="Arial" w:eastAsia="Arial" w:hAnsi="Arial" w:cs="Arial"/>
          <w:b/>
          <w:color w:val="002B49"/>
          <w:sz w:val="26"/>
        </w:rPr>
        <w:t>Single Premium QSR Program</w:t>
      </w:r>
    </w:p>
    <w:p w14:paraId="7019B905" w14:textId="77777777" w:rsidR="001614AC" w:rsidRDefault="004468F9">
      <w:pPr>
        <w:spacing w:before="100" w:after="100" w:line="288" w:lineRule="auto"/>
        <w:ind w:firstLine="450"/>
        <w:rPr>
          <w:rFonts w:ascii="Arial" w:eastAsia="Arial" w:hAnsi="Arial" w:cs="Arial"/>
          <w:b/>
          <w:color w:val="64615D"/>
          <w:sz w:val="18"/>
        </w:rPr>
      </w:pPr>
      <w:r>
        <w:rPr>
          <w:rFonts w:ascii="Arial" w:eastAsia="Arial" w:hAnsi="Arial" w:cs="Arial"/>
          <w:sz w:val="18"/>
        </w:rPr>
        <w:t>Radian Guaranty entered into each of the 2016 Single Premium QSR Agreement, 2018 Single Premium QSR Agreement and 2020</w:t>
      </w:r>
      <w:r>
        <w:rPr>
          <w:rFonts w:ascii="Arial" w:eastAsia="Arial" w:hAnsi="Arial" w:cs="Arial"/>
          <w:sz w:val="18"/>
        </w:rPr>
        <w:t xml:space="preserve"> Single Premium QSR Agreement with panels of third-party reinsurers to cede a contractual quota share percent of our Single Premium NIW as of the effective date of each agreement (as set forth in the table below), subject to certain conditions. Radian Guar</w:t>
      </w:r>
      <w:r>
        <w:rPr>
          <w:rFonts w:ascii="Arial" w:eastAsia="Arial" w:hAnsi="Arial" w:cs="Arial"/>
          <w:sz w:val="18"/>
        </w:rPr>
        <w:t>anty receives a ceding commission for ceded premiums written pursuant to these transactions. Radian Guaranty also receives a profit commission annually, provided that the loss ratio on the loans covered under the agreement generally remains below the appli</w:t>
      </w:r>
      <w:r>
        <w:rPr>
          <w:rFonts w:ascii="Arial" w:eastAsia="Arial" w:hAnsi="Arial" w:cs="Arial"/>
          <w:sz w:val="18"/>
        </w:rPr>
        <w:t>cable prescribed thresholds. Losses on the ceded risk up to this level reduce Radian Guaranty’s profit commission on a dollar-for-dollar basis.</w:t>
      </w:r>
    </w:p>
    <w:p w14:paraId="25DBD51A" w14:textId="77777777" w:rsidR="001614AC" w:rsidRDefault="004468F9">
      <w:pPr>
        <w:spacing w:before="100" w:after="100" w:line="288" w:lineRule="auto"/>
        <w:ind w:firstLine="450"/>
        <w:rPr>
          <w:rFonts w:ascii="Arial" w:eastAsia="Arial" w:hAnsi="Arial" w:cs="Arial"/>
          <w:b/>
          <w:color w:val="64615D"/>
          <w:sz w:val="18"/>
        </w:rPr>
      </w:pPr>
      <w:r>
        <w:rPr>
          <w:rFonts w:ascii="Arial" w:eastAsia="Arial" w:hAnsi="Arial" w:cs="Arial"/>
          <w:sz w:val="18"/>
        </w:rPr>
        <w:t>Each of the agreements is subject to a scheduled termination date as set forth in the table below; however, Radi</w:t>
      </w:r>
      <w:r>
        <w:rPr>
          <w:rFonts w:ascii="Arial" w:eastAsia="Arial" w:hAnsi="Arial" w:cs="Arial"/>
          <w:sz w:val="18"/>
        </w:rPr>
        <w:t>an Guaranty has the option, based on certain conditions and subject to a termination fee, to terminate any of the agreements at the end of any calendar quarter on or after the applicable optional termination date. If Radian Guaranty exercises this option i</w:t>
      </w:r>
      <w:r>
        <w:rPr>
          <w:rFonts w:ascii="Arial" w:eastAsia="Arial" w:hAnsi="Arial" w:cs="Arial"/>
          <w:sz w:val="18"/>
        </w:rPr>
        <w:t>n the future, it would result in Radian Guaranty reassuming the related RIF in exchange for a net payment to the reinsurer calculated in accordance with the terms of the applicable agreement. Radian Guaranty also may terminate any of the agreements prior t</w:t>
      </w:r>
      <w:r>
        <w:rPr>
          <w:rFonts w:ascii="Arial" w:eastAsia="Arial" w:hAnsi="Arial" w:cs="Arial"/>
          <w:sz w:val="18"/>
        </w:rPr>
        <w:t xml:space="preserve">o the applicable scheduled termination date under certain circumstances, including if one or both of the GSEs no longer grant full PMIERs capital relief for the reinsurance. </w:t>
      </w:r>
    </w:p>
    <w:p w14:paraId="7D8B09A7" w14:textId="77777777" w:rsidR="001614AC" w:rsidRDefault="004468F9">
      <w:pPr>
        <w:spacing w:before="100" w:after="100" w:line="288" w:lineRule="auto"/>
        <w:ind w:firstLine="450"/>
        <w:rPr>
          <w:rFonts w:ascii="Arial" w:eastAsia="Arial" w:hAnsi="Arial" w:cs="Arial"/>
          <w:b/>
          <w:color w:val="64615D"/>
          <w:sz w:val="18"/>
        </w:rPr>
      </w:pPr>
      <w:r>
        <w:rPr>
          <w:rFonts w:ascii="Arial" w:eastAsia="Arial" w:hAnsi="Arial" w:cs="Arial"/>
          <w:sz w:val="18"/>
        </w:rPr>
        <w:lastRenderedPageBreak/>
        <w:t>The 2020 Single Premium QSR Agreement is the only QSR agreement under which Radia</w:t>
      </w:r>
      <w:r>
        <w:rPr>
          <w:rFonts w:ascii="Arial" w:eastAsia="Arial" w:hAnsi="Arial" w:cs="Arial"/>
          <w:sz w:val="18"/>
        </w:rPr>
        <w:t>n Guaranty is currently ceding NIW. Under the 2020 Single Premium QSR Agreement, NIW for Single Premium Policies issued between January 1, 2020 and December 31, 2021 is being ceded, subject to certain conditions and a limitation on ceded premiums written o</w:t>
      </w:r>
      <w:r>
        <w:rPr>
          <w:rFonts w:ascii="Arial" w:eastAsia="Arial" w:hAnsi="Arial" w:cs="Arial"/>
          <w:sz w:val="18"/>
        </w:rPr>
        <w:t xml:space="preserve">f $250 million. The parties may mutually agree to increase the amount of ceded risk above this level. </w:t>
      </w:r>
    </w:p>
    <w:p w14:paraId="59FE493F" w14:textId="77777777" w:rsidR="001614AC" w:rsidRDefault="004468F9">
      <w:pPr>
        <w:keepNext/>
        <w:spacing w:before="180" w:after="100" w:line="288" w:lineRule="auto"/>
        <w:ind w:firstLine="450"/>
        <w:rPr>
          <w:rFonts w:ascii="Arial" w:eastAsia="Arial" w:hAnsi="Arial" w:cs="Arial"/>
          <w:b/>
          <w:color w:val="64615D"/>
          <w:sz w:val="18"/>
        </w:rPr>
      </w:pPr>
      <w:r>
        <w:rPr>
          <w:rFonts w:ascii="Arial" w:eastAsia="Arial" w:hAnsi="Arial" w:cs="Arial"/>
          <w:sz w:val="18"/>
        </w:rPr>
        <w:t>The following table sets forth additional details regarding the Single Premium QSR Program.</w:t>
      </w:r>
    </w:p>
    <w:tbl>
      <w:tblPr>
        <w:tblW w:w="102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8"/>
        <w:gridCol w:w="108"/>
        <w:gridCol w:w="163"/>
        <w:gridCol w:w="1999"/>
        <w:gridCol w:w="102"/>
        <w:gridCol w:w="107"/>
        <w:gridCol w:w="163"/>
        <w:gridCol w:w="1999"/>
        <w:gridCol w:w="102"/>
        <w:gridCol w:w="107"/>
        <w:gridCol w:w="163"/>
        <w:gridCol w:w="1999"/>
        <w:gridCol w:w="102"/>
      </w:tblGrid>
      <w:tr w:rsidR="001614AC" w14:paraId="1F4247CB" w14:textId="77777777">
        <w:trPr>
          <w:cantSplit/>
        </w:trPr>
        <w:tc>
          <w:tcPr>
            <w:tcW w:w="10080" w:type="dxa"/>
            <w:gridSpan w:val="13"/>
            <w:tcBorders>
              <w:top w:val="nil"/>
              <w:left w:val="nil"/>
              <w:bottom w:val="single" w:sz="12" w:space="0" w:color="99AAB6"/>
              <w:right w:val="nil"/>
            </w:tcBorders>
            <w:tcMar>
              <w:top w:w="0" w:type="dxa"/>
              <w:left w:w="53" w:type="dxa"/>
              <w:bottom w:w="0" w:type="dxa"/>
              <w:right w:w="53" w:type="dxa"/>
            </w:tcMar>
            <w:vAlign w:val="bottom"/>
          </w:tcPr>
          <w:p w14:paraId="0B4CE037" w14:textId="77777777" w:rsidR="001614AC" w:rsidRDefault="004468F9">
            <w:pPr>
              <w:keepNext/>
              <w:spacing w:before="75" w:after="30" w:line="288" w:lineRule="auto"/>
              <w:rPr>
                <w:rFonts w:ascii="Arial" w:eastAsia="Arial" w:hAnsi="Arial" w:cs="Arial"/>
                <w:b/>
                <w:sz w:val="20"/>
              </w:rPr>
            </w:pPr>
            <w:r>
              <w:rPr>
                <w:rFonts w:ascii="Arial" w:eastAsia="Arial" w:hAnsi="Arial" w:cs="Arial"/>
                <w:b/>
                <w:sz w:val="20"/>
              </w:rPr>
              <w:t>Single Premium QSR Program</w:t>
            </w:r>
          </w:p>
        </w:tc>
      </w:tr>
      <w:tr w:rsidR="001614AC" w14:paraId="4157EB16" w14:textId="77777777">
        <w:trPr>
          <w:cantSplit/>
          <w:trHeight w:hRule="exact" w:val="135"/>
        </w:trPr>
        <w:tc>
          <w:tcPr>
            <w:tcW w:w="3105" w:type="dxa"/>
            <w:tcBorders>
              <w:top w:val="nil"/>
              <w:left w:val="nil"/>
              <w:bottom w:val="nil"/>
              <w:right w:val="nil"/>
            </w:tcBorders>
            <w:tcMar>
              <w:top w:w="0" w:type="dxa"/>
              <w:left w:w="0" w:type="dxa"/>
              <w:bottom w:w="0" w:type="dxa"/>
              <w:right w:w="0" w:type="dxa"/>
            </w:tcMar>
            <w:vAlign w:val="bottom"/>
          </w:tcPr>
          <w:p w14:paraId="4CC8F7DC" w14:textId="77777777" w:rsidR="001614AC" w:rsidRDefault="001614AC">
            <w:pPr>
              <w:keepNext/>
            </w:pPr>
          </w:p>
        </w:tc>
        <w:tc>
          <w:tcPr>
            <w:tcW w:w="105" w:type="dxa"/>
            <w:tcBorders>
              <w:top w:val="single" w:sz="12" w:space="0" w:color="99AAB6"/>
              <w:left w:val="nil"/>
              <w:bottom w:val="nil"/>
              <w:right w:val="nil"/>
            </w:tcBorders>
            <w:tcMar>
              <w:top w:w="0" w:type="dxa"/>
              <w:left w:w="0" w:type="dxa"/>
              <w:bottom w:w="0" w:type="dxa"/>
              <w:right w:w="0" w:type="dxa"/>
            </w:tcMar>
            <w:vAlign w:val="bottom"/>
          </w:tcPr>
          <w:p w14:paraId="54D986D7" w14:textId="77777777" w:rsidR="001614AC" w:rsidRDefault="001614AC">
            <w:pPr>
              <w:keepNext/>
            </w:pPr>
          </w:p>
        </w:tc>
        <w:tc>
          <w:tcPr>
            <w:tcW w:w="2220" w:type="dxa"/>
            <w:gridSpan w:val="3"/>
            <w:tcBorders>
              <w:top w:val="single" w:sz="12" w:space="0" w:color="99AAB6"/>
              <w:left w:val="nil"/>
              <w:bottom w:val="nil"/>
              <w:right w:val="nil"/>
            </w:tcBorders>
            <w:tcMar>
              <w:top w:w="0" w:type="dxa"/>
              <w:left w:w="0" w:type="dxa"/>
              <w:bottom w:w="0" w:type="dxa"/>
              <w:right w:w="0" w:type="dxa"/>
            </w:tcMar>
            <w:vAlign w:val="bottom"/>
          </w:tcPr>
          <w:p w14:paraId="3816D0BB" w14:textId="77777777" w:rsidR="001614AC" w:rsidRDefault="001614AC">
            <w:pPr>
              <w:keepNext/>
            </w:pPr>
          </w:p>
        </w:tc>
        <w:tc>
          <w:tcPr>
            <w:tcW w:w="105" w:type="dxa"/>
            <w:tcBorders>
              <w:top w:val="single" w:sz="12" w:space="0" w:color="99AAB6"/>
              <w:left w:val="nil"/>
              <w:bottom w:val="nil"/>
              <w:right w:val="nil"/>
            </w:tcBorders>
            <w:tcMar>
              <w:top w:w="0" w:type="dxa"/>
              <w:left w:w="0" w:type="dxa"/>
              <w:bottom w:w="0" w:type="dxa"/>
              <w:right w:w="0" w:type="dxa"/>
            </w:tcMar>
            <w:vAlign w:val="bottom"/>
          </w:tcPr>
          <w:p w14:paraId="5E525B9E" w14:textId="77777777" w:rsidR="001614AC" w:rsidRDefault="001614AC">
            <w:pPr>
              <w:keepNext/>
            </w:pPr>
          </w:p>
        </w:tc>
        <w:tc>
          <w:tcPr>
            <w:tcW w:w="2220" w:type="dxa"/>
            <w:gridSpan w:val="3"/>
            <w:tcBorders>
              <w:top w:val="single" w:sz="12" w:space="0" w:color="99AAB6"/>
              <w:left w:val="nil"/>
              <w:bottom w:val="nil"/>
              <w:right w:val="nil"/>
            </w:tcBorders>
            <w:tcMar>
              <w:top w:w="0" w:type="dxa"/>
              <w:left w:w="0" w:type="dxa"/>
              <w:bottom w:w="0" w:type="dxa"/>
              <w:right w:w="0" w:type="dxa"/>
            </w:tcMar>
            <w:vAlign w:val="bottom"/>
          </w:tcPr>
          <w:p w14:paraId="18919365" w14:textId="77777777" w:rsidR="001614AC" w:rsidRDefault="001614AC">
            <w:pPr>
              <w:keepNext/>
            </w:pPr>
          </w:p>
        </w:tc>
        <w:tc>
          <w:tcPr>
            <w:tcW w:w="105" w:type="dxa"/>
            <w:tcBorders>
              <w:top w:val="single" w:sz="12" w:space="0" w:color="99AAB6"/>
              <w:left w:val="nil"/>
              <w:bottom w:val="nil"/>
              <w:right w:val="nil"/>
            </w:tcBorders>
            <w:tcMar>
              <w:top w:w="0" w:type="dxa"/>
              <w:left w:w="0" w:type="dxa"/>
              <w:bottom w:w="0" w:type="dxa"/>
              <w:right w:w="0" w:type="dxa"/>
            </w:tcMar>
            <w:vAlign w:val="bottom"/>
          </w:tcPr>
          <w:p w14:paraId="23D038C0" w14:textId="77777777" w:rsidR="001614AC" w:rsidRDefault="001614AC">
            <w:pPr>
              <w:keepNext/>
            </w:pPr>
          </w:p>
        </w:tc>
        <w:tc>
          <w:tcPr>
            <w:tcW w:w="2220" w:type="dxa"/>
            <w:gridSpan w:val="3"/>
            <w:tcBorders>
              <w:top w:val="single" w:sz="12" w:space="0" w:color="99AAB6"/>
              <w:left w:val="nil"/>
              <w:bottom w:val="nil"/>
              <w:right w:val="nil"/>
            </w:tcBorders>
            <w:tcMar>
              <w:top w:w="0" w:type="dxa"/>
              <w:left w:w="0" w:type="dxa"/>
              <w:bottom w:w="0" w:type="dxa"/>
              <w:right w:w="0" w:type="dxa"/>
            </w:tcMar>
            <w:vAlign w:val="bottom"/>
          </w:tcPr>
          <w:p w14:paraId="061DD3ED" w14:textId="77777777" w:rsidR="001614AC" w:rsidRDefault="001614AC">
            <w:pPr>
              <w:keepNext/>
            </w:pPr>
          </w:p>
        </w:tc>
      </w:tr>
      <w:tr w:rsidR="001614AC" w14:paraId="3CCEAF1D" w14:textId="77777777">
        <w:trPr>
          <w:cantSplit/>
        </w:trPr>
        <w:tc>
          <w:tcPr>
            <w:tcW w:w="3105" w:type="dxa"/>
            <w:tcBorders>
              <w:top w:val="nil"/>
              <w:left w:val="nil"/>
              <w:bottom w:val="single" w:sz="8" w:space="0" w:color="C7C9C7"/>
              <w:right w:val="nil"/>
            </w:tcBorders>
            <w:tcMar>
              <w:top w:w="0" w:type="dxa"/>
              <w:left w:w="53" w:type="dxa"/>
              <w:bottom w:w="0" w:type="dxa"/>
              <w:right w:w="53" w:type="dxa"/>
            </w:tcMar>
            <w:vAlign w:val="bottom"/>
          </w:tcPr>
          <w:p w14:paraId="64E2897A" w14:textId="77777777" w:rsidR="001614AC" w:rsidRDefault="001614AC">
            <w:pPr>
              <w:keepNext/>
              <w:spacing w:before="75" w:after="30" w:line="288" w:lineRule="auto"/>
            </w:pPr>
          </w:p>
        </w:tc>
        <w:tc>
          <w:tcPr>
            <w:tcW w:w="105" w:type="dxa"/>
            <w:tcBorders>
              <w:top w:val="nil"/>
              <w:left w:val="nil"/>
              <w:bottom w:val="single" w:sz="8" w:space="0" w:color="C7C9C7"/>
              <w:right w:val="nil"/>
            </w:tcBorders>
            <w:tcMar>
              <w:top w:w="0" w:type="dxa"/>
              <w:left w:w="0" w:type="dxa"/>
              <w:bottom w:w="0" w:type="dxa"/>
              <w:right w:w="0" w:type="dxa"/>
            </w:tcMar>
            <w:vAlign w:val="bottom"/>
          </w:tcPr>
          <w:p w14:paraId="61C0E908" w14:textId="77777777" w:rsidR="001614AC" w:rsidRDefault="001614AC">
            <w:pPr>
              <w:keepNext/>
            </w:pPr>
          </w:p>
        </w:tc>
        <w:tc>
          <w:tcPr>
            <w:tcW w:w="2220" w:type="dxa"/>
            <w:gridSpan w:val="3"/>
            <w:tcBorders>
              <w:top w:val="nil"/>
              <w:left w:val="nil"/>
              <w:bottom w:val="single" w:sz="8" w:space="0" w:color="C7C9C7"/>
              <w:right w:val="nil"/>
            </w:tcBorders>
            <w:shd w:val="clear" w:color="auto" w:fill="F4F4F4"/>
            <w:tcMar>
              <w:top w:w="0" w:type="dxa"/>
              <w:left w:w="53" w:type="dxa"/>
              <w:bottom w:w="0" w:type="dxa"/>
              <w:right w:w="53" w:type="dxa"/>
            </w:tcMar>
            <w:vAlign w:val="bottom"/>
          </w:tcPr>
          <w:p w14:paraId="40B8BE55" w14:textId="77777777" w:rsidR="001614AC" w:rsidRDefault="004468F9">
            <w:pPr>
              <w:keepNext/>
              <w:spacing w:before="75" w:after="30" w:line="288" w:lineRule="auto"/>
              <w:jc w:val="center"/>
            </w:pPr>
            <w:r>
              <w:rPr>
                <w:rFonts w:ascii="Arial" w:eastAsia="Arial" w:hAnsi="Arial" w:cs="Arial"/>
                <w:b/>
                <w:color w:val="000000"/>
                <w:sz w:val="18"/>
              </w:rPr>
              <w:t>2020 Singles QSR</w:t>
            </w:r>
          </w:p>
        </w:tc>
        <w:tc>
          <w:tcPr>
            <w:tcW w:w="105" w:type="dxa"/>
            <w:tcBorders>
              <w:top w:val="nil"/>
              <w:left w:val="nil"/>
              <w:bottom w:val="single" w:sz="8" w:space="0" w:color="C7C9C7"/>
              <w:right w:val="nil"/>
            </w:tcBorders>
            <w:tcMar>
              <w:top w:w="0" w:type="dxa"/>
              <w:left w:w="0" w:type="dxa"/>
              <w:bottom w:w="0" w:type="dxa"/>
              <w:right w:w="0" w:type="dxa"/>
            </w:tcMar>
            <w:vAlign w:val="bottom"/>
          </w:tcPr>
          <w:p w14:paraId="0A6AA856" w14:textId="77777777" w:rsidR="001614AC" w:rsidRDefault="001614AC">
            <w:pPr>
              <w:keepNext/>
            </w:pPr>
          </w:p>
        </w:tc>
        <w:tc>
          <w:tcPr>
            <w:tcW w:w="2220" w:type="dxa"/>
            <w:gridSpan w:val="3"/>
            <w:tcBorders>
              <w:top w:val="nil"/>
              <w:left w:val="nil"/>
              <w:bottom w:val="single" w:sz="8" w:space="0" w:color="C7C9C7"/>
              <w:right w:val="nil"/>
            </w:tcBorders>
            <w:shd w:val="clear" w:color="auto" w:fill="F4F4F4"/>
            <w:tcMar>
              <w:top w:w="0" w:type="dxa"/>
              <w:left w:w="53" w:type="dxa"/>
              <w:bottom w:w="0" w:type="dxa"/>
              <w:right w:w="53" w:type="dxa"/>
            </w:tcMar>
            <w:vAlign w:val="bottom"/>
          </w:tcPr>
          <w:p w14:paraId="38C89C79" w14:textId="77777777" w:rsidR="001614AC" w:rsidRDefault="004468F9">
            <w:pPr>
              <w:keepNext/>
              <w:spacing w:before="75" w:after="30" w:line="288" w:lineRule="auto"/>
              <w:jc w:val="center"/>
            </w:pPr>
            <w:r>
              <w:rPr>
                <w:rFonts w:ascii="Arial" w:eastAsia="Arial" w:hAnsi="Arial" w:cs="Arial"/>
                <w:b/>
                <w:color w:val="000000"/>
                <w:sz w:val="18"/>
              </w:rPr>
              <w:t>2018 Singles QSR</w:t>
            </w:r>
          </w:p>
        </w:tc>
        <w:tc>
          <w:tcPr>
            <w:tcW w:w="105" w:type="dxa"/>
            <w:tcBorders>
              <w:top w:val="nil"/>
              <w:left w:val="nil"/>
              <w:bottom w:val="single" w:sz="8" w:space="0" w:color="C7C9C7"/>
              <w:right w:val="nil"/>
            </w:tcBorders>
            <w:tcMar>
              <w:top w:w="0" w:type="dxa"/>
              <w:left w:w="0" w:type="dxa"/>
              <w:bottom w:w="0" w:type="dxa"/>
              <w:right w:w="0" w:type="dxa"/>
            </w:tcMar>
            <w:vAlign w:val="bottom"/>
          </w:tcPr>
          <w:p w14:paraId="03278E66" w14:textId="77777777" w:rsidR="001614AC" w:rsidRDefault="001614AC">
            <w:pPr>
              <w:keepNext/>
            </w:pPr>
          </w:p>
        </w:tc>
        <w:tc>
          <w:tcPr>
            <w:tcW w:w="2220" w:type="dxa"/>
            <w:gridSpan w:val="3"/>
            <w:tcBorders>
              <w:top w:val="nil"/>
              <w:left w:val="nil"/>
              <w:bottom w:val="single" w:sz="8" w:space="0" w:color="C7C9C7"/>
              <w:right w:val="nil"/>
            </w:tcBorders>
            <w:shd w:val="clear" w:color="auto" w:fill="F4F4F4"/>
            <w:tcMar>
              <w:top w:w="0" w:type="dxa"/>
              <w:left w:w="53" w:type="dxa"/>
              <w:bottom w:w="0" w:type="dxa"/>
              <w:right w:w="53" w:type="dxa"/>
            </w:tcMar>
            <w:vAlign w:val="bottom"/>
          </w:tcPr>
          <w:p w14:paraId="1F8E9AA0" w14:textId="77777777" w:rsidR="001614AC" w:rsidRDefault="004468F9">
            <w:pPr>
              <w:keepNext/>
              <w:spacing w:before="75" w:after="30" w:line="288" w:lineRule="auto"/>
              <w:jc w:val="center"/>
            </w:pPr>
            <w:r>
              <w:rPr>
                <w:rFonts w:ascii="Arial" w:eastAsia="Arial" w:hAnsi="Arial" w:cs="Arial"/>
                <w:b/>
                <w:color w:val="000000"/>
                <w:sz w:val="18"/>
              </w:rPr>
              <w:t>2016 Singles QSR</w:t>
            </w:r>
          </w:p>
        </w:tc>
      </w:tr>
      <w:tr w:rsidR="001614AC" w14:paraId="5C1E23C3" w14:textId="77777777">
        <w:trPr>
          <w:cantSplit/>
        </w:trPr>
        <w:tc>
          <w:tcPr>
            <w:tcW w:w="3105" w:type="dxa"/>
            <w:tcBorders>
              <w:top w:val="single" w:sz="8" w:space="0" w:color="C7C9C7"/>
              <w:left w:val="nil"/>
              <w:bottom w:val="single" w:sz="8" w:space="0" w:color="E9E9E9"/>
              <w:right w:val="nil"/>
            </w:tcBorders>
            <w:tcMar>
              <w:top w:w="0" w:type="dxa"/>
              <w:left w:w="53" w:type="dxa"/>
              <w:bottom w:w="0" w:type="dxa"/>
              <w:right w:w="53" w:type="dxa"/>
            </w:tcMar>
            <w:vAlign w:val="bottom"/>
          </w:tcPr>
          <w:p w14:paraId="6020C4D9" w14:textId="77777777" w:rsidR="001614AC" w:rsidRDefault="004468F9">
            <w:pPr>
              <w:keepNext/>
              <w:spacing w:before="55" w:after="30" w:line="288" w:lineRule="auto"/>
            </w:pPr>
            <w:r>
              <w:rPr>
                <w:rFonts w:ascii="Arial" w:eastAsia="Arial" w:hAnsi="Arial" w:cs="Arial"/>
                <w:color w:val="000000"/>
                <w:sz w:val="18"/>
              </w:rPr>
              <w:t>NIW Policy Dates</w:t>
            </w:r>
          </w:p>
        </w:tc>
        <w:tc>
          <w:tcPr>
            <w:tcW w:w="105" w:type="dxa"/>
            <w:tcBorders>
              <w:top w:val="single" w:sz="8" w:space="0" w:color="C7C9C7"/>
              <w:left w:val="nil"/>
              <w:bottom w:val="nil"/>
              <w:right w:val="nil"/>
            </w:tcBorders>
            <w:tcMar>
              <w:top w:w="0" w:type="dxa"/>
              <w:left w:w="0" w:type="dxa"/>
              <w:bottom w:w="0" w:type="dxa"/>
              <w:right w:w="0" w:type="dxa"/>
            </w:tcMar>
            <w:vAlign w:val="bottom"/>
          </w:tcPr>
          <w:p w14:paraId="642CA673" w14:textId="77777777" w:rsidR="001614AC" w:rsidRDefault="001614AC">
            <w:pPr>
              <w:keepNext/>
            </w:pPr>
          </w:p>
        </w:tc>
        <w:tc>
          <w:tcPr>
            <w:tcW w:w="2220" w:type="dxa"/>
            <w:gridSpan w:val="3"/>
            <w:tcBorders>
              <w:top w:val="single" w:sz="8" w:space="0" w:color="C7C9C7"/>
              <w:left w:val="nil"/>
              <w:bottom w:val="single" w:sz="8" w:space="0" w:color="E9E9E9"/>
              <w:right w:val="nil"/>
            </w:tcBorders>
            <w:tcMar>
              <w:top w:w="0" w:type="dxa"/>
              <w:left w:w="53" w:type="dxa"/>
              <w:bottom w:w="0" w:type="dxa"/>
              <w:right w:w="53" w:type="dxa"/>
            </w:tcMar>
            <w:vAlign w:val="bottom"/>
          </w:tcPr>
          <w:p w14:paraId="1FFA8004" w14:textId="77777777" w:rsidR="001614AC" w:rsidRDefault="004468F9">
            <w:pPr>
              <w:keepNext/>
              <w:spacing w:before="55" w:after="30" w:line="288" w:lineRule="auto"/>
              <w:jc w:val="center"/>
            </w:pPr>
            <w:r>
              <w:rPr>
                <w:rFonts w:ascii="Arial" w:eastAsia="Arial" w:hAnsi="Arial" w:cs="Arial"/>
                <w:color w:val="000000"/>
                <w:sz w:val="18"/>
              </w:rPr>
              <w:t>Jan 1, 2020-Dec 31, 2021</w:t>
            </w:r>
          </w:p>
        </w:tc>
        <w:tc>
          <w:tcPr>
            <w:tcW w:w="105" w:type="dxa"/>
            <w:tcBorders>
              <w:top w:val="single" w:sz="8" w:space="0" w:color="C7C9C7"/>
              <w:left w:val="nil"/>
              <w:bottom w:val="nil"/>
              <w:right w:val="nil"/>
            </w:tcBorders>
            <w:tcMar>
              <w:top w:w="0" w:type="dxa"/>
              <w:left w:w="0" w:type="dxa"/>
              <w:bottom w:w="0" w:type="dxa"/>
              <w:right w:w="0" w:type="dxa"/>
            </w:tcMar>
            <w:vAlign w:val="bottom"/>
          </w:tcPr>
          <w:p w14:paraId="680DE50E" w14:textId="77777777" w:rsidR="001614AC" w:rsidRDefault="001614AC">
            <w:pPr>
              <w:keepNext/>
            </w:pPr>
          </w:p>
        </w:tc>
        <w:tc>
          <w:tcPr>
            <w:tcW w:w="2220" w:type="dxa"/>
            <w:gridSpan w:val="3"/>
            <w:tcBorders>
              <w:top w:val="single" w:sz="8" w:space="0" w:color="C7C9C7"/>
              <w:left w:val="nil"/>
              <w:bottom w:val="single" w:sz="8" w:space="0" w:color="E9E9E9"/>
              <w:right w:val="nil"/>
            </w:tcBorders>
            <w:tcMar>
              <w:top w:w="0" w:type="dxa"/>
              <w:left w:w="53" w:type="dxa"/>
              <w:bottom w:w="0" w:type="dxa"/>
              <w:right w:w="53" w:type="dxa"/>
            </w:tcMar>
            <w:vAlign w:val="bottom"/>
          </w:tcPr>
          <w:p w14:paraId="78192E7D" w14:textId="77777777" w:rsidR="001614AC" w:rsidRDefault="004468F9">
            <w:pPr>
              <w:keepNext/>
              <w:spacing w:before="55" w:after="30" w:line="288" w:lineRule="auto"/>
              <w:jc w:val="center"/>
            </w:pPr>
            <w:r>
              <w:rPr>
                <w:rFonts w:ascii="Arial" w:eastAsia="Arial" w:hAnsi="Arial" w:cs="Arial"/>
                <w:color w:val="000000"/>
                <w:sz w:val="18"/>
              </w:rPr>
              <w:t>Jan 1, 2018-Dec 31, 2019</w:t>
            </w:r>
          </w:p>
        </w:tc>
        <w:tc>
          <w:tcPr>
            <w:tcW w:w="105" w:type="dxa"/>
            <w:tcBorders>
              <w:top w:val="single" w:sz="8" w:space="0" w:color="C7C9C7"/>
              <w:left w:val="nil"/>
              <w:bottom w:val="nil"/>
              <w:right w:val="nil"/>
            </w:tcBorders>
            <w:tcMar>
              <w:top w:w="0" w:type="dxa"/>
              <w:left w:w="0" w:type="dxa"/>
              <w:bottom w:w="0" w:type="dxa"/>
              <w:right w:w="0" w:type="dxa"/>
            </w:tcMar>
            <w:vAlign w:val="bottom"/>
          </w:tcPr>
          <w:p w14:paraId="79195A88" w14:textId="77777777" w:rsidR="001614AC" w:rsidRDefault="001614AC">
            <w:pPr>
              <w:keepNext/>
            </w:pPr>
          </w:p>
        </w:tc>
        <w:tc>
          <w:tcPr>
            <w:tcW w:w="2220" w:type="dxa"/>
            <w:gridSpan w:val="3"/>
            <w:tcBorders>
              <w:top w:val="single" w:sz="8" w:space="0" w:color="C7C9C7"/>
              <w:left w:val="nil"/>
              <w:bottom w:val="single" w:sz="8" w:space="0" w:color="E9E9E9"/>
              <w:right w:val="nil"/>
            </w:tcBorders>
            <w:tcMar>
              <w:top w:w="0" w:type="dxa"/>
              <w:left w:w="53" w:type="dxa"/>
              <w:bottom w:w="0" w:type="dxa"/>
              <w:right w:w="53" w:type="dxa"/>
            </w:tcMar>
            <w:vAlign w:val="bottom"/>
          </w:tcPr>
          <w:p w14:paraId="5CB30D9D" w14:textId="77777777" w:rsidR="001614AC" w:rsidRDefault="004468F9">
            <w:pPr>
              <w:keepNext/>
              <w:spacing w:before="55" w:after="30" w:line="288" w:lineRule="auto"/>
              <w:jc w:val="center"/>
            </w:pPr>
            <w:r>
              <w:rPr>
                <w:rFonts w:ascii="Arial" w:eastAsia="Arial" w:hAnsi="Arial" w:cs="Arial"/>
                <w:color w:val="000000"/>
                <w:sz w:val="18"/>
              </w:rPr>
              <w:t>Jan 1, 2012-Dec 31, 2017</w:t>
            </w:r>
          </w:p>
        </w:tc>
      </w:tr>
      <w:tr w:rsidR="001614AC" w14:paraId="7194879C" w14:textId="77777777">
        <w:trPr>
          <w:cantSplit/>
        </w:trPr>
        <w:tc>
          <w:tcPr>
            <w:tcW w:w="3105" w:type="dxa"/>
            <w:tcBorders>
              <w:top w:val="single" w:sz="8" w:space="0" w:color="E9E9E9"/>
              <w:left w:val="nil"/>
              <w:bottom w:val="single" w:sz="8" w:space="0" w:color="E9E9E9"/>
              <w:right w:val="nil"/>
            </w:tcBorders>
            <w:tcMar>
              <w:top w:w="0" w:type="dxa"/>
              <w:left w:w="53" w:type="dxa"/>
              <w:bottom w:w="0" w:type="dxa"/>
              <w:right w:w="53" w:type="dxa"/>
            </w:tcMar>
            <w:vAlign w:val="bottom"/>
          </w:tcPr>
          <w:p w14:paraId="0B4EE6FB" w14:textId="77777777" w:rsidR="001614AC" w:rsidRDefault="004468F9">
            <w:pPr>
              <w:keepNext/>
              <w:spacing w:before="55" w:after="30" w:line="288" w:lineRule="auto"/>
            </w:pPr>
            <w:r>
              <w:rPr>
                <w:rFonts w:ascii="Arial" w:eastAsia="Arial" w:hAnsi="Arial" w:cs="Arial"/>
                <w:color w:val="000000"/>
                <w:sz w:val="18"/>
              </w:rPr>
              <w:t>Effective Date</w:t>
            </w:r>
          </w:p>
        </w:tc>
        <w:tc>
          <w:tcPr>
            <w:tcW w:w="105" w:type="dxa"/>
            <w:tcBorders>
              <w:top w:val="nil"/>
              <w:left w:val="nil"/>
              <w:bottom w:val="nil"/>
              <w:right w:val="nil"/>
            </w:tcBorders>
            <w:tcMar>
              <w:top w:w="0" w:type="dxa"/>
              <w:left w:w="0" w:type="dxa"/>
              <w:bottom w:w="0" w:type="dxa"/>
              <w:right w:w="0" w:type="dxa"/>
            </w:tcMar>
            <w:vAlign w:val="bottom"/>
          </w:tcPr>
          <w:p w14:paraId="6CFFD750" w14:textId="77777777" w:rsidR="001614AC" w:rsidRDefault="001614AC">
            <w:pPr>
              <w:keepNext/>
            </w:pPr>
          </w:p>
        </w:tc>
        <w:tc>
          <w:tcPr>
            <w:tcW w:w="2220" w:type="dxa"/>
            <w:gridSpan w:val="3"/>
            <w:tcBorders>
              <w:top w:val="single" w:sz="8" w:space="0" w:color="E9E9E9"/>
              <w:left w:val="nil"/>
              <w:bottom w:val="single" w:sz="8" w:space="0" w:color="E9E9E9"/>
              <w:right w:val="nil"/>
            </w:tcBorders>
            <w:tcMar>
              <w:top w:w="0" w:type="dxa"/>
              <w:left w:w="53" w:type="dxa"/>
              <w:bottom w:w="0" w:type="dxa"/>
              <w:right w:w="53" w:type="dxa"/>
            </w:tcMar>
            <w:vAlign w:val="bottom"/>
          </w:tcPr>
          <w:p w14:paraId="2DF417BE" w14:textId="77777777" w:rsidR="001614AC" w:rsidRDefault="004468F9">
            <w:pPr>
              <w:keepNext/>
              <w:spacing w:before="55" w:after="30" w:line="288" w:lineRule="auto"/>
              <w:jc w:val="center"/>
            </w:pPr>
            <w:r>
              <w:rPr>
                <w:rFonts w:ascii="Arial" w:eastAsia="Arial" w:hAnsi="Arial" w:cs="Arial"/>
                <w:color w:val="000000"/>
                <w:sz w:val="18"/>
              </w:rPr>
              <w:t>January 1, 2020</w:t>
            </w:r>
          </w:p>
        </w:tc>
        <w:tc>
          <w:tcPr>
            <w:tcW w:w="105" w:type="dxa"/>
            <w:tcBorders>
              <w:top w:val="nil"/>
              <w:left w:val="nil"/>
              <w:bottom w:val="nil"/>
              <w:right w:val="nil"/>
            </w:tcBorders>
            <w:tcMar>
              <w:top w:w="0" w:type="dxa"/>
              <w:left w:w="0" w:type="dxa"/>
              <w:bottom w:w="0" w:type="dxa"/>
              <w:right w:w="0" w:type="dxa"/>
            </w:tcMar>
            <w:vAlign w:val="bottom"/>
          </w:tcPr>
          <w:p w14:paraId="083F9B49" w14:textId="77777777" w:rsidR="001614AC" w:rsidRDefault="001614AC">
            <w:pPr>
              <w:keepNext/>
            </w:pPr>
          </w:p>
        </w:tc>
        <w:tc>
          <w:tcPr>
            <w:tcW w:w="2220" w:type="dxa"/>
            <w:gridSpan w:val="3"/>
            <w:tcBorders>
              <w:top w:val="single" w:sz="8" w:space="0" w:color="E9E9E9"/>
              <w:left w:val="nil"/>
              <w:bottom w:val="single" w:sz="8" w:space="0" w:color="E9E9E9"/>
              <w:right w:val="nil"/>
            </w:tcBorders>
            <w:tcMar>
              <w:top w:w="0" w:type="dxa"/>
              <w:left w:w="53" w:type="dxa"/>
              <w:bottom w:w="0" w:type="dxa"/>
              <w:right w:w="53" w:type="dxa"/>
            </w:tcMar>
            <w:vAlign w:val="bottom"/>
          </w:tcPr>
          <w:p w14:paraId="0B34E909" w14:textId="77777777" w:rsidR="001614AC" w:rsidRDefault="004468F9">
            <w:pPr>
              <w:keepNext/>
              <w:spacing w:before="55" w:after="30" w:line="288" w:lineRule="auto"/>
              <w:jc w:val="center"/>
            </w:pPr>
            <w:r>
              <w:rPr>
                <w:rFonts w:ascii="Arial" w:eastAsia="Arial" w:hAnsi="Arial" w:cs="Arial"/>
                <w:color w:val="000000"/>
                <w:sz w:val="18"/>
              </w:rPr>
              <w:t>January 1, 2018</w:t>
            </w:r>
          </w:p>
        </w:tc>
        <w:tc>
          <w:tcPr>
            <w:tcW w:w="105" w:type="dxa"/>
            <w:tcBorders>
              <w:top w:val="nil"/>
              <w:left w:val="nil"/>
              <w:bottom w:val="nil"/>
              <w:right w:val="nil"/>
            </w:tcBorders>
            <w:tcMar>
              <w:top w:w="0" w:type="dxa"/>
              <w:left w:w="0" w:type="dxa"/>
              <w:bottom w:w="0" w:type="dxa"/>
              <w:right w:w="0" w:type="dxa"/>
            </w:tcMar>
            <w:vAlign w:val="bottom"/>
          </w:tcPr>
          <w:p w14:paraId="07DCA383" w14:textId="77777777" w:rsidR="001614AC" w:rsidRDefault="001614AC">
            <w:pPr>
              <w:keepNext/>
            </w:pPr>
          </w:p>
        </w:tc>
        <w:tc>
          <w:tcPr>
            <w:tcW w:w="2220" w:type="dxa"/>
            <w:gridSpan w:val="3"/>
            <w:tcBorders>
              <w:top w:val="single" w:sz="8" w:space="0" w:color="E9E9E9"/>
              <w:left w:val="nil"/>
              <w:bottom w:val="single" w:sz="8" w:space="0" w:color="E9E9E9"/>
              <w:right w:val="nil"/>
            </w:tcBorders>
            <w:tcMar>
              <w:top w:w="0" w:type="dxa"/>
              <w:left w:w="53" w:type="dxa"/>
              <w:bottom w:w="0" w:type="dxa"/>
              <w:right w:w="53" w:type="dxa"/>
            </w:tcMar>
            <w:vAlign w:val="bottom"/>
          </w:tcPr>
          <w:p w14:paraId="367996A2" w14:textId="77777777" w:rsidR="001614AC" w:rsidRDefault="004468F9">
            <w:pPr>
              <w:keepNext/>
              <w:spacing w:before="55" w:after="30" w:line="288" w:lineRule="auto"/>
              <w:jc w:val="center"/>
            </w:pPr>
            <w:r>
              <w:rPr>
                <w:rFonts w:ascii="Arial" w:eastAsia="Arial" w:hAnsi="Arial" w:cs="Arial"/>
                <w:color w:val="000000"/>
                <w:sz w:val="18"/>
              </w:rPr>
              <w:t>January 1, 2016</w:t>
            </w:r>
          </w:p>
        </w:tc>
      </w:tr>
      <w:tr w:rsidR="001614AC" w14:paraId="10979F0F" w14:textId="77777777">
        <w:trPr>
          <w:cantSplit/>
        </w:trPr>
        <w:tc>
          <w:tcPr>
            <w:tcW w:w="3105" w:type="dxa"/>
            <w:tcBorders>
              <w:top w:val="single" w:sz="8" w:space="0" w:color="E9E9E9"/>
              <w:left w:val="nil"/>
              <w:bottom w:val="single" w:sz="8" w:space="0" w:color="E9E9E9"/>
              <w:right w:val="nil"/>
            </w:tcBorders>
            <w:tcMar>
              <w:top w:w="0" w:type="dxa"/>
              <w:left w:w="53" w:type="dxa"/>
              <w:bottom w:w="0" w:type="dxa"/>
              <w:right w:w="53" w:type="dxa"/>
            </w:tcMar>
            <w:vAlign w:val="bottom"/>
          </w:tcPr>
          <w:p w14:paraId="6A2365CE" w14:textId="77777777" w:rsidR="001614AC" w:rsidRDefault="004468F9">
            <w:pPr>
              <w:keepNext/>
              <w:spacing w:before="55" w:after="30" w:line="288" w:lineRule="auto"/>
            </w:pPr>
            <w:r>
              <w:rPr>
                <w:rFonts w:ascii="Arial" w:eastAsia="Arial" w:hAnsi="Arial" w:cs="Arial"/>
                <w:color w:val="000000"/>
                <w:sz w:val="18"/>
              </w:rPr>
              <w:t>Scheduled Termination Date</w:t>
            </w:r>
          </w:p>
        </w:tc>
        <w:tc>
          <w:tcPr>
            <w:tcW w:w="105" w:type="dxa"/>
            <w:tcBorders>
              <w:top w:val="nil"/>
              <w:left w:val="nil"/>
              <w:bottom w:val="nil"/>
              <w:right w:val="nil"/>
            </w:tcBorders>
            <w:tcMar>
              <w:top w:w="0" w:type="dxa"/>
              <w:left w:w="0" w:type="dxa"/>
              <w:bottom w:w="0" w:type="dxa"/>
              <w:right w:w="0" w:type="dxa"/>
            </w:tcMar>
            <w:vAlign w:val="bottom"/>
          </w:tcPr>
          <w:p w14:paraId="6B056CAB" w14:textId="77777777" w:rsidR="001614AC" w:rsidRDefault="001614AC">
            <w:pPr>
              <w:keepNext/>
            </w:pPr>
          </w:p>
        </w:tc>
        <w:tc>
          <w:tcPr>
            <w:tcW w:w="2220" w:type="dxa"/>
            <w:gridSpan w:val="3"/>
            <w:tcBorders>
              <w:top w:val="single" w:sz="8" w:space="0" w:color="E9E9E9"/>
              <w:left w:val="nil"/>
              <w:bottom w:val="single" w:sz="8" w:space="0" w:color="E9E9E9"/>
              <w:right w:val="nil"/>
            </w:tcBorders>
            <w:tcMar>
              <w:top w:w="0" w:type="dxa"/>
              <w:left w:w="53" w:type="dxa"/>
              <w:bottom w:w="0" w:type="dxa"/>
              <w:right w:w="53" w:type="dxa"/>
            </w:tcMar>
            <w:vAlign w:val="bottom"/>
          </w:tcPr>
          <w:p w14:paraId="4A26DE59" w14:textId="77777777" w:rsidR="001614AC" w:rsidRDefault="004468F9">
            <w:pPr>
              <w:keepNext/>
              <w:spacing w:before="55" w:after="30" w:line="288" w:lineRule="auto"/>
              <w:jc w:val="center"/>
            </w:pPr>
            <w:r>
              <w:rPr>
                <w:rFonts w:ascii="Arial" w:eastAsia="Arial" w:hAnsi="Arial" w:cs="Arial"/>
                <w:color w:val="000000"/>
                <w:sz w:val="18"/>
              </w:rPr>
              <w:t>December 31, 2031</w:t>
            </w:r>
          </w:p>
        </w:tc>
        <w:tc>
          <w:tcPr>
            <w:tcW w:w="105" w:type="dxa"/>
            <w:tcBorders>
              <w:top w:val="nil"/>
              <w:left w:val="nil"/>
              <w:bottom w:val="nil"/>
              <w:right w:val="nil"/>
            </w:tcBorders>
            <w:tcMar>
              <w:top w:w="0" w:type="dxa"/>
              <w:left w:w="0" w:type="dxa"/>
              <w:bottom w:w="0" w:type="dxa"/>
              <w:right w:w="0" w:type="dxa"/>
            </w:tcMar>
            <w:vAlign w:val="bottom"/>
          </w:tcPr>
          <w:p w14:paraId="502CCA7B" w14:textId="77777777" w:rsidR="001614AC" w:rsidRDefault="001614AC">
            <w:pPr>
              <w:keepNext/>
            </w:pPr>
          </w:p>
        </w:tc>
        <w:tc>
          <w:tcPr>
            <w:tcW w:w="2220" w:type="dxa"/>
            <w:gridSpan w:val="3"/>
            <w:tcBorders>
              <w:top w:val="single" w:sz="8" w:space="0" w:color="E9E9E9"/>
              <w:left w:val="nil"/>
              <w:bottom w:val="single" w:sz="8" w:space="0" w:color="E9E9E9"/>
              <w:right w:val="nil"/>
            </w:tcBorders>
            <w:tcMar>
              <w:top w:w="0" w:type="dxa"/>
              <w:left w:w="53" w:type="dxa"/>
              <w:bottom w:w="0" w:type="dxa"/>
              <w:right w:w="53" w:type="dxa"/>
            </w:tcMar>
            <w:vAlign w:val="bottom"/>
          </w:tcPr>
          <w:p w14:paraId="6160BBD4" w14:textId="77777777" w:rsidR="001614AC" w:rsidRDefault="004468F9">
            <w:pPr>
              <w:keepNext/>
              <w:spacing w:before="55" w:after="30" w:line="288" w:lineRule="auto"/>
              <w:jc w:val="center"/>
            </w:pPr>
            <w:r>
              <w:rPr>
                <w:rFonts w:ascii="Arial" w:eastAsia="Arial" w:hAnsi="Arial" w:cs="Arial"/>
                <w:color w:val="000000"/>
                <w:sz w:val="18"/>
              </w:rPr>
              <w:t>December 31, 2029</w:t>
            </w:r>
          </w:p>
        </w:tc>
        <w:tc>
          <w:tcPr>
            <w:tcW w:w="105" w:type="dxa"/>
            <w:tcBorders>
              <w:top w:val="nil"/>
              <w:left w:val="nil"/>
              <w:bottom w:val="nil"/>
              <w:right w:val="nil"/>
            </w:tcBorders>
            <w:tcMar>
              <w:top w:w="0" w:type="dxa"/>
              <w:left w:w="0" w:type="dxa"/>
              <w:bottom w:w="0" w:type="dxa"/>
              <w:right w:w="0" w:type="dxa"/>
            </w:tcMar>
            <w:vAlign w:val="bottom"/>
          </w:tcPr>
          <w:p w14:paraId="5712AA7A" w14:textId="77777777" w:rsidR="001614AC" w:rsidRDefault="001614AC">
            <w:pPr>
              <w:keepNext/>
            </w:pPr>
          </w:p>
        </w:tc>
        <w:tc>
          <w:tcPr>
            <w:tcW w:w="2220" w:type="dxa"/>
            <w:gridSpan w:val="3"/>
            <w:tcBorders>
              <w:top w:val="single" w:sz="8" w:space="0" w:color="E9E9E9"/>
              <w:left w:val="nil"/>
              <w:bottom w:val="single" w:sz="8" w:space="0" w:color="E9E9E9"/>
              <w:right w:val="nil"/>
            </w:tcBorders>
            <w:tcMar>
              <w:top w:w="0" w:type="dxa"/>
              <w:left w:w="53" w:type="dxa"/>
              <w:bottom w:w="0" w:type="dxa"/>
              <w:right w:w="53" w:type="dxa"/>
            </w:tcMar>
            <w:vAlign w:val="bottom"/>
          </w:tcPr>
          <w:p w14:paraId="0222EAD5" w14:textId="77777777" w:rsidR="001614AC" w:rsidRDefault="004468F9">
            <w:pPr>
              <w:keepNext/>
              <w:spacing w:before="55" w:after="30" w:line="288" w:lineRule="auto"/>
              <w:jc w:val="center"/>
            </w:pPr>
            <w:r>
              <w:rPr>
                <w:rFonts w:ascii="Arial" w:eastAsia="Arial" w:hAnsi="Arial" w:cs="Arial"/>
                <w:color w:val="000000"/>
                <w:sz w:val="18"/>
              </w:rPr>
              <w:t>December 31, 2027</w:t>
            </w:r>
          </w:p>
        </w:tc>
      </w:tr>
      <w:tr w:rsidR="001614AC" w14:paraId="0F6F9A81" w14:textId="77777777">
        <w:trPr>
          <w:cantSplit/>
        </w:trPr>
        <w:tc>
          <w:tcPr>
            <w:tcW w:w="3105" w:type="dxa"/>
            <w:tcBorders>
              <w:top w:val="single" w:sz="8" w:space="0" w:color="E9E9E9"/>
              <w:left w:val="nil"/>
              <w:bottom w:val="single" w:sz="8" w:space="0" w:color="E9E9E9"/>
              <w:right w:val="nil"/>
            </w:tcBorders>
            <w:tcMar>
              <w:top w:w="0" w:type="dxa"/>
              <w:left w:w="53" w:type="dxa"/>
              <w:bottom w:w="0" w:type="dxa"/>
              <w:right w:w="53" w:type="dxa"/>
            </w:tcMar>
            <w:vAlign w:val="bottom"/>
          </w:tcPr>
          <w:p w14:paraId="23BDC657" w14:textId="77777777" w:rsidR="001614AC" w:rsidRDefault="004468F9">
            <w:pPr>
              <w:keepNext/>
              <w:spacing w:before="55" w:after="30" w:line="288" w:lineRule="auto"/>
            </w:pPr>
            <w:r>
              <w:rPr>
                <w:rFonts w:ascii="Arial" w:eastAsia="Arial" w:hAnsi="Arial" w:cs="Arial"/>
                <w:color w:val="000000"/>
                <w:sz w:val="18"/>
              </w:rPr>
              <w:t>Opti</w:t>
            </w:r>
            <w:r>
              <w:rPr>
                <w:rFonts w:ascii="Arial" w:eastAsia="Arial" w:hAnsi="Arial" w:cs="Arial"/>
                <w:color w:val="000000"/>
                <w:sz w:val="18"/>
              </w:rPr>
              <w:t>onal Termination Date</w:t>
            </w:r>
          </w:p>
        </w:tc>
        <w:tc>
          <w:tcPr>
            <w:tcW w:w="105" w:type="dxa"/>
            <w:tcBorders>
              <w:top w:val="nil"/>
              <w:left w:val="nil"/>
              <w:bottom w:val="nil"/>
              <w:right w:val="nil"/>
            </w:tcBorders>
            <w:tcMar>
              <w:top w:w="0" w:type="dxa"/>
              <w:left w:w="0" w:type="dxa"/>
              <w:bottom w:w="0" w:type="dxa"/>
              <w:right w:w="0" w:type="dxa"/>
            </w:tcMar>
            <w:vAlign w:val="bottom"/>
          </w:tcPr>
          <w:p w14:paraId="426EB173" w14:textId="77777777" w:rsidR="001614AC" w:rsidRDefault="001614AC">
            <w:pPr>
              <w:keepNext/>
            </w:pPr>
          </w:p>
        </w:tc>
        <w:tc>
          <w:tcPr>
            <w:tcW w:w="2220" w:type="dxa"/>
            <w:gridSpan w:val="3"/>
            <w:tcBorders>
              <w:top w:val="single" w:sz="8" w:space="0" w:color="E9E9E9"/>
              <w:left w:val="nil"/>
              <w:bottom w:val="single" w:sz="8" w:space="0" w:color="E9E9E9"/>
              <w:right w:val="nil"/>
            </w:tcBorders>
            <w:tcMar>
              <w:top w:w="0" w:type="dxa"/>
              <w:left w:w="53" w:type="dxa"/>
              <w:bottom w:w="0" w:type="dxa"/>
              <w:right w:w="53" w:type="dxa"/>
            </w:tcMar>
            <w:vAlign w:val="bottom"/>
          </w:tcPr>
          <w:p w14:paraId="2B9A6B4F" w14:textId="77777777" w:rsidR="001614AC" w:rsidRDefault="004468F9">
            <w:pPr>
              <w:keepNext/>
              <w:spacing w:before="55" w:after="30" w:line="288" w:lineRule="auto"/>
              <w:jc w:val="center"/>
            </w:pPr>
            <w:r>
              <w:rPr>
                <w:rFonts w:ascii="Arial" w:eastAsia="Arial" w:hAnsi="Arial" w:cs="Arial"/>
                <w:color w:val="000000"/>
                <w:sz w:val="18"/>
              </w:rPr>
              <w:t>January 1, 2024</w:t>
            </w:r>
          </w:p>
        </w:tc>
        <w:tc>
          <w:tcPr>
            <w:tcW w:w="105" w:type="dxa"/>
            <w:tcBorders>
              <w:top w:val="nil"/>
              <w:left w:val="nil"/>
              <w:bottom w:val="nil"/>
              <w:right w:val="nil"/>
            </w:tcBorders>
            <w:tcMar>
              <w:top w:w="0" w:type="dxa"/>
              <w:left w:w="0" w:type="dxa"/>
              <w:bottom w:w="0" w:type="dxa"/>
              <w:right w:w="0" w:type="dxa"/>
            </w:tcMar>
            <w:vAlign w:val="bottom"/>
          </w:tcPr>
          <w:p w14:paraId="5E138A11" w14:textId="77777777" w:rsidR="001614AC" w:rsidRDefault="001614AC">
            <w:pPr>
              <w:keepNext/>
            </w:pPr>
          </w:p>
        </w:tc>
        <w:tc>
          <w:tcPr>
            <w:tcW w:w="2220" w:type="dxa"/>
            <w:gridSpan w:val="3"/>
            <w:tcBorders>
              <w:top w:val="single" w:sz="8" w:space="0" w:color="E9E9E9"/>
              <w:left w:val="nil"/>
              <w:bottom w:val="single" w:sz="8" w:space="0" w:color="E9E9E9"/>
              <w:right w:val="nil"/>
            </w:tcBorders>
            <w:tcMar>
              <w:top w:w="0" w:type="dxa"/>
              <w:left w:w="53" w:type="dxa"/>
              <w:bottom w:w="0" w:type="dxa"/>
              <w:right w:w="53" w:type="dxa"/>
            </w:tcMar>
            <w:vAlign w:val="bottom"/>
          </w:tcPr>
          <w:p w14:paraId="2EA49C3F" w14:textId="77777777" w:rsidR="001614AC" w:rsidRDefault="004468F9">
            <w:pPr>
              <w:keepNext/>
              <w:spacing w:before="55" w:after="30" w:line="288" w:lineRule="auto"/>
              <w:jc w:val="center"/>
            </w:pPr>
            <w:r>
              <w:rPr>
                <w:rFonts w:ascii="Arial" w:eastAsia="Arial" w:hAnsi="Arial" w:cs="Arial"/>
                <w:color w:val="000000"/>
                <w:sz w:val="18"/>
              </w:rPr>
              <w:t>January 1, 2022</w:t>
            </w:r>
          </w:p>
        </w:tc>
        <w:tc>
          <w:tcPr>
            <w:tcW w:w="105" w:type="dxa"/>
            <w:tcBorders>
              <w:top w:val="nil"/>
              <w:left w:val="nil"/>
              <w:bottom w:val="nil"/>
              <w:right w:val="nil"/>
            </w:tcBorders>
            <w:tcMar>
              <w:top w:w="0" w:type="dxa"/>
              <w:left w:w="0" w:type="dxa"/>
              <w:bottom w:w="0" w:type="dxa"/>
              <w:right w:w="0" w:type="dxa"/>
            </w:tcMar>
            <w:vAlign w:val="bottom"/>
          </w:tcPr>
          <w:p w14:paraId="7C0AF034" w14:textId="77777777" w:rsidR="001614AC" w:rsidRDefault="001614AC">
            <w:pPr>
              <w:keepNext/>
            </w:pPr>
          </w:p>
        </w:tc>
        <w:tc>
          <w:tcPr>
            <w:tcW w:w="2220" w:type="dxa"/>
            <w:gridSpan w:val="3"/>
            <w:tcBorders>
              <w:top w:val="single" w:sz="8" w:space="0" w:color="E9E9E9"/>
              <w:left w:val="nil"/>
              <w:bottom w:val="single" w:sz="8" w:space="0" w:color="E9E9E9"/>
              <w:right w:val="nil"/>
            </w:tcBorders>
            <w:tcMar>
              <w:top w:w="0" w:type="dxa"/>
              <w:left w:w="53" w:type="dxa"/>
              <w:bottom w:w="0" w:type="dxa"/>
              <w:right w:w="53" w:type="dxa"/>
            </w:tcMar>
            <w:vAlign w:val="bottom"/>
          </w:tcPr>
          <w:p w14:paraId="4AADFA7E" w14:textId="77777777" w:rsidR="001614AC" w:rsidRDefault="004468F9">
            <w:pPr>
              <w:keepNext/>
              <w:spacing w:before="55" w:after="30" w:line="288" w:lineRule="auto"/>
              <w:jc w:val="center"/>
            </w:pPr>
            <w:r>
              <w:rPr>
                <w:rFonts w:ascii="Arial" w:eastAsia="Arial" w:hAnsi="Arial" w:cs="Arial"/>
                <w:color w:val="000000"/>
                <w:sz w:val="18"/>
              </w:rPr>
              <w:t>January 1, 2020</w:t>
            </w:r>
          </w:p>
        </w:tc>
      </w:tr>
      <w:tr w:rsidR="001614AC" w14:paraId="5FAEB163" w14:textId="77777777">
        <w:trPr>
          <w:cantSplit/>
        </w:trPr>
        <w:tc>
          <w:tcPr>
            <w:tcW w:w="3105" w:type="dxa"/>
            <w:tcBorders>
              <w:top w:val="single" w:sz="8" w:space="0" w:color="E9E9E9"/>
              <w:left w:val="nil"/>
              <w:bottom w:val="single" w:sz="8" w:space="0" w:color="E9E9E9"/>
              <w:right w:val="nil"/>
            </w:tcBorders>
            <w:tcMar>
              <w:top w:w="0" w:type="dxa"/>
              <w:left w:w="53" w:type="dxa"/>
              <w:bottom w:w="0" w:type="dxa"/>
              <w:right w:w="53" w:type="dxa"/>
            </w:tcMar>
            <w:vAlign w:val="bottom"/>
          </w:tcPr>
          <w:p w14:paraId="4786FB76" w14:textId="77777777" w:rsidR="001614AC" w:rsidRDefault="004468F9">
            <w:pPr>
              <w:keepNext/>
              <w:spacing w:before="55" w:after="30" w:line="288" w:lineRule="auto"/>
            </w:pPr>
            <w:r>
              <w:rPr>
                <w:rFonts w:ascii="Arial" w:eastAsia="Arial" w:hAnsi="Arial" w:cs="Arial"/>
                <w:color w:val="000000"/>
                <w:sz w:val="18"/>
              </w:rPr>
              <w:t>Quota Share %</w:t>
            </w:r>
          </w:p>
        </w:tc>
        <w:tc>
          <w:tcPr>
            <w:tcW w:w="105" w:type="dxa"/>
            <w:tcBorders>
              <w:top w:val="nil"/>
              <w:left w:val="nil"/>
              <w:bottom w:val="nil"/>
              <w:right w:val="nil"/>
            </w:tcBorders>
            <w:tcMar>
              <w:top w:w="0" w:type="dxa"/>
              <w:left w:w="0" w:type="dxa"/>
              <w:bottom w:w="0" w:type="dxa"/>
              <w:right w:w="0" w:type="dxa"/>
            </w:tcMar>
            <w:vAlign w:val="bottom"/>
          </w:tcPr>
          <w:p w14:paraId="2069CB57" w14:textId="77777777" w:rsidR="001614AC" w:rsidRDefault="001614AC">
            <w:pPr>
              <w:keepNext/>
            </w:pPr>
          </w:p>
        </w:tc>
        <w:tc>
          <w:tcPr>
            <w:tcW w:w="2220" w:type="dxa"/>
            <w:gridSpan w:val="3"/>
            <w:tcBorders>
              <w:top w:val="single" w:sz="8" w:space="0" w:color="E9E9E9"/>
              <w:left w:val="nil"/>
              <w:bottom w:val="single" w:sz="8" w:space="0" w:color="E9E9E9"/>
              <w:right w:val="nil"/>
            </w:tcBorders>
            <w:tcMar>
              <w:top w:w="0" w:type="dxa"/>
              <w:left w:w="53" w:type="dxa"/>
              <w:bottom w:w="0" w:type="dxa"/>
              <w:right w:w="15" w:type="dxa"/>
            </w:tcMar>
            <w:vAlign w:val="bottom"/>
          </w:tcPr>
          <w:p w14:paraId="15AA8A8C" w14:textId="77777777" w:rsidR="001614AC" w:rsidRDefault="004468F9">
            <w:pPr>
              <w:keepNext/>
              <w:spacing w:before="55" w:after="30" w:line="288" w:lineRule="auto"/>
              <w:jc w:val="center"/>
            </w:pPr>
            <w:r>
              <w:rPr>
                <w:rFonts w:ascii="Arial" w:eastAsia="Arial" w:hAnsi="Arial" w:cs="Arial"/>
                <w:color w:val="000000"/>
                <w:sz w:val="18"/>
              </w:rPr>
              <w:t>65%</w:t>
            </w:r>
          </w:p>
        </w:tc>
        <w:tc>
          <w:tcPr>
            <w:tcW w:w="105" w:type="dxa"/>
            <w:tcBorders>
              <w:top w:val="nil"/>
              <w:left w:val="nil"/>
              <w:bottom w:val="nil"/>
              <w:right w:val="nil"/>
            </w:tcBorders>
            <w:tcMar>
              <w:top w:w="0" w:type="dxa"/>
              <w:left w:w="0" w:type="dxa"/>
              <w:bottom w:w="0" w:type="dxa"/>
              <w:right w:w="0" w:type="dxa"/>
            </w:tcMar>
            <w:vAlign w:val="bottom"/>
          </w:tcPr>
          <w:p w14:paraId="4A91CA57" w14:textId="77777777" w:rsidR="001614AC" w:rsidRDefault="001614AC">
            <w:pPr>
              <w:keepNext/>
            </w:pPr>
          </w:p>
        </w:tc>
        <w:tc>
          <w:tcPr>
            <w:tcW w:w="2220" w:type="dxa"/>
            <w:gridSpan w:val="3"/>
            <w:tcBorders>
              <w:top w:val="single" w:sz="8" w:space="0" w:color="E9E9E9"/>
              <w:left w:val="nil"/>
              <w:bottom w:val="single" w:sz="8" w:space="0" w:color="E9E9E9"/>
              <w:right w:val="nil"/>
            </w:tcBorders>
            <w:tcMar>
              <w:top w:w="0" w:type="dxa"/>
              <w:left w:w="53" w:type="dxa"/>
              <w:bottom w:w="0" w:type="dxa"/>
              <w:right w:w="15" w:type="dxa"/>
            </w:tcMar>
            <w:vAlign w:val="bottom"/>
          </w:tcPr>
          <w:p w14:paraId="560C4F42" w14:textId="77777777" w:rsidR="001614AC" w:rsidRDefault="004468F9">
            <w:pPr>
              <w:keepNext/>
              <w:spacing w:before="55" w:after="30" w:line="288" w:lineRule="auto"/>
              <w:jc w:val="center"/>
            </w:pPr>
            <w:r>
              <w:rPr>
                <w:rFonts w:ascii="Arial" w:eastAsia="Arial" w:hAnsi="Arial" w:cs="Arial"/>
                <w:color w:val="000000"/>
                <w:sz w:val="18"/>
              </w:rPr>
              <w:t>65%</w:t>
            </w:r>
          </w:p>
        </w:tc>
        <w:tc>
          <w:tcPr>
            <w:tcW w:w="105" w:type="dxa"/>
            <w:tcBorders>
              <w:top w:val="nil"/>
              <w:left w:val="nil"/>
              <w:bottom w:val="nil"/>
              <w:right w:val="nil"/>
            </w:tcBorders>
            <w:tcMar>
              <w:top w:w="0" w:type="dxa"/>
              <w:left w:w="0" w:type="dxa"/>
              <w:bottom w:w="0" w:type="dxa"/>
              <w:right w:w="0" w:type="dxa"/>
            </w:tcMar>
            <w:vAlign w:val="bottom"/>
          </w:tcPr>
          <w:p w14:paraId="31498725" w14:textId="77777777" w:rsidR="001614AC" w:rsidRDefault="001614AC">
            <w:pPr>
              <w:keepNext/>
            </w:pPr>
          </w:p>
        </w:tc>
        <w:tc>
          <w:tcPr>
            <w:tcW w:w="2220" w:type="dxa"/>
            <w:gridSpan w:val="3"/>
            <w:tcBorders>
              <w:top w:val="single" w:sz="8" w:space="0" w:color="E9E9E9"/>
              <w:left w:val="nil"/>
              <w:bottom w:val="single" w:sz="8" w:space="0" w:color="E9E9E9"/>
              <w:right w:val="nil"/>
            </w:tcBorders>
            <w:tcMar>
              <w:top w:w="0" w:type="dxa"/>
              <w:left w:w="53" w:type="dxa"/>
              <w:bottom w:w="0" w:type="dxa"/>
              <w:right w:w="53" w:type="dxa"/>
            </w:tcMar>
            <w:vAlign w:val="bottom"/>
          </w:tcPr>
          <w:p w14:paraId="6CD26D0E" w14:textId="77777777" w:rsidR="001614AC" w:rsidRDefault="004468F9">
            <w:pPr>
              <w:keepNext/>
              <w:spacing w:before="55" w:after="30" w:line="288" w:lineRule="auto"/>
              <w:jc w:val="center"/>
              <w:rPr>
                <w:rFonts w:ascii="Arial" w:eastAsia="Arial" w:hAnsi="Arial" w:cs="Arial"/>
                <w:sz w:val="18"/>
              </w:rPr>
            </w:pPr>
            <w:r>
              <w:rPr>
                <w:rFonts w:ascii="Arial" w:eastAsia="Arial" w:hAnsi="Arial" w:cs="Arial"/>
                <w:sz w:val="18"/>
              </w:rPr>
              <w:t xml:space="preserve">20% - 65% </w:t>
            </w:r>
            <w:r>
              <w:rPr>
                <w:rFonts w:ascii="Arial" w:eastAsia="Arial" w:hAnsi="Arial" w:cs="Arial"/>
                <w:sz w:val="18"/>
                <w:vertAlign w:val="superscript"/>
              </w:rPr>
              <w:t>(1)</w:t>
            </w:r>
          </w:p>
        </w:tc>
      </w:tr>
      <w:tr w:rsidR="001614AC" w14:paraId="19C63C51" w14:textId="77777777">
        <w:trPr>
          <w:cantSplit/>
        </w:trPr>
        <w:tc>
          <w:tcPr>
            <w:tcW w:w="3105" w:type="dxa"/>
            <w:tcBorders>
              <w:top w:val="single" w:sz="8" w:space="0" w:color="E9E9E9"/>
              <w:left w:val="nil"/>
              <w:bottom w:val="single" w:sz="8" w:space="0" w:color="E9E9E9"/>
              <w:right w:val="nil"/>
            </w:tcBorders>
            <w:tcMar>
              <w:top w:w="0" w:type="dxa"/>
              <w:left w:w="53" w:type="dxa"/>
              <w:bottom w:w="0" w:type="dxa"/>
              <w:right w:w="53" w:type="dxa"/>
            </w:tcMar>
            <w:vAlign w:val="bottom"/>
          </w:tcPr>
          <w:p w14:paraId="4BD8142E" w14:textId="77777777" w:rsidR="001614AC" w:rsidRDefault="004468F9">
            <w:pPr>
              <w:keepNext/>
              <w:spacing w:before="55" w:after="30" w:line="288" w:lineRule="auto"/>
            </w:pPr>
            <w:r>
              <w:rPr>
                <w:rFonts w:ascii="Arial" w:eastAsia="Arial" w:hAnsi="Arial" w:cs="Arial"/>
                <w:color w:val="000000"/>
                <w:sz w:val="18"/>
              </w:rPr>
              <w:t>Ceding Commission %</w:t>
            </w:r>
          </w:p>
        </w:tc>
        <w:tc>
          <w:tcPr>
            <w:tcW w:w="105" w:type="dxa"/>
            <w:tcBorders>
              <w:top w:val="nil"/>
              <w:left w:val="nil"/>
              <w:bottom w:val="nil"/>
              <w:right w:val="nil"/>
            </w:tcBorders>
            <w:tcMar>
              <w:top w:w="0" w:type="dxa"/>
              <w:left w:w="0" w:type="dxa"/>
              <w:bottom w:w="0" w:type="dxa"/>
              <w:right w:w="0" w:type="dxa"/>
            </w:tcMar>
            <w:vAlign w:val="bottom"/>
          </w:tcPr>
          <w:p w14:paraId="3B8B1429" w14:textId="77777777" w:rsidR="001614AC" w:rsidRDefault="001614AC">
            <w:pPr>
              <w:keepNext/>
            </w:pPr>
          </w:p>
        </w:tc>
        <w:tc>
          <w:tcPr>
            <w:tcW w:w="2220" w:type="dxa"/>
            <w:gridSpan w:val="3"/>
            <w:tcBorders>
              <w:top w:val="single" w:sz="8" w:space="0" w:color="E9E9E9"/>
              <w:left w:val="nil"/>
              <w:bottom w:val="single" w:sz="8" w:space="0" w:color="E9E9E9"/>
              <w:right w:val="nil"/>
            </w:tcBorders>
            <w:tcMar>
              <w:top w:w="0" w:type="dxa"/>
              <w:left w:w="53" w:type="dxa"/>
              <w:bottom w:w="0" w:type="dxa"/>
              <w:right w:w="15" w:type="dxa"/>
            </w:tcMar>
            <w:vAlign w:val="bottom"/>
          </w:tcPr>
          <w:p w14:paraId="61912E80" w14:textId="77777777" w:rsidR="001614AC" w:rsidRDefault="004468F9">
            <w:pPr>
              <w:keepNext/>
              <w:spacing w:before="55" w:after="30" w:line="288" w:lineRule="auto"/>
              <w:jc w:val="center"/>
            </w:pPr>
            <w:r>
              <w:rPr>
                <w:rFonts w:ascii="Arial" w:eastAsia="Arial" w:hAnsi="Arial" w:cs="Arial"/>
                <w:color w:val="000000"/>
                <w:sz w:val="18"/>
              </w:rPr>
              <w:t>25%</w:t>
            </w:r>
          </w:p>
        </w:tc>
        <w:tc>
          <w:tcPr>
            <w:tcW w:w="105" w:type="dxa"/>
            <w:tcBorders>
              <w:top w:val="nil"/>
              <w:left w:val="nil"/>
              <w:bottom w:val="nil"/>
              <w:right w:val="nil"/>
            </w:tcBorders>
            <w:tcMar>
              <w:top w:w="0" w:type="dxa"/>
              <w:left w:w="0" w:type="dxa"/>
              <w:bottom w:w="0" w:type="dxa"/>
              <w:right w:w="0" w:type="dxa"/>
            </w:tcMar>
            <w:vAlign w:val="bottom"/>
          </w:tcPr>
          <w:p w14:paraId="19B1DAE4" w14:textId="77777777" w:rsidR="001614AC" w:rsidRDefault="001614AC">
            <w:pPr>
              <w:keepNext/>
            </w:pPr>
          </w:p>
        </w:tc>
        <w:tc>
          <w:tcPr>
            <w:tcW w:w="2220" w:type="dxa"/>
            <w:gridSpan w:val="3"/>
            <w:tcBorders>
              <w:top w:val="single" w:sz="8" w:space="0" w:color="E9E9E9"/>
              <w:left w:val="nil"/>
              <w:bottom w:val="single" w:sz="8" w:space="0" w:color="E9E9E9"/>
              <w:right w:val="nil"/>
            </w:tcBorders>
            <w:tcMar>
              <w:top w:w="0" w:type="dxa"/>
              <w:left w:w="53" w:type="dxa"/>
              <w:bottom w:w="0" w:type="dxa"/>
              <w:right w:w="15" w:type="dxa"/>
            </w:tcMar>
            <w:vAlign w:val="bottom"/>
          </w:tcPr>
          <w:p w14:paraId="57271001" w14:textId="77777777" w:rsidR="001614AC" w:rsidRDefault="004468F9">
            <w:pPr>
              <w:keepNext/>
              <w:spacing w:before="55" w:after="30" w:line="288" w:lineRule="auto"/>
              <w:jc w:val="center"/>
            </w:pPr>
            <w:r>
              <w:rPr>
                <w:rFonts w:ascii="Arial" w:eastAsia="Arial" w:hAnsi="Arial" w:cs="Arial"/>
                <w:color w:val="000000"/>
                <w:sz w:val="18"/>
              </w:rPr>
              <w:t>25%</w:t>
            </w:r>
          </w:p>
        </w:tc>
        <w:tc>
          <w:tcPr>
            <w:tcW w:w="105" w:type="dxa"/>
            <w:tcBorders>
              <w:top w:val="nil"/>
              <w:left w:val="nil"/>
              <w:bottom w:val="nil"/>
              <w:right w:val="nil"/>
            </w:tcBorders>
            <w:tcMar>
              <w:top w:w="0" w:type="dxa"/>
              <w:left w:w="0" w:type="dxa"/>
              <w:bottom w:w="0" w:type="dxa"/>
              <w:right w:w="0" w:type="dxa"/>
            </w:tcMar>
            <w:vAlign w:val="bottom"/>
          </w:tcPr>
          <w:p w14:paraId="109DD287" w14:textId="77777777" w:rsidR="001614AC" w:rsidRDefault="001614AC">
            <w:pPr>
              <w:keepNext/>
            </w:pPr>
          </w:p>
        </w:tc>
        <w:tc>
          <w:tcPr>
            <w:tcW w:w="2220" w:type="dxa"/>
            <w:gridSpan w:val="3"/>
            <w:tcBorders>
              <w:top w:val="single" w:sz="8" w:space="0" w:color="E9E9E9"/>
              <w:left w:val="nil"/>
              <w:bottom w:val="single" w:sz="8" w:space="0" w:color="E9E9E9"/>
              <w:right w:val="nil"/>
            </w:tcBorders>
            <w:tcMar>
              <w:top w:w="0" w:type="dxa"/>
              <w:left w:w="53" w:type="dxa"/>
              <w:bottom w:w="0" w:type="dxa"/>
              <w:right w:w="15" w:type="dxa"/>
            </w:tcMar>
            <w:vAlign w:val="bottom"/>
          </w:tcPr>
          <w:p w14:paraId="11A2488E" w14:textId="77777777" w:rsidR="001614AC" w:rsidRDefault="004468F9">
            <w:pPr>
              <w:keepNext/>
              <w:spacing w:before="55" w:after="30" w:line="288" w:lineRule="auto"/>
              <w:jc w:val="center"/>
            </w:pPr>
            <w:r>
              <w:rPr>
                <w:rFonts w:ascii="Arial" w:eastAsia="Arial" w:hAnsi="Arial" w:cs="Arial"/>
                <w:color w:val="000000"/>
                <w:sz w:val="18"/>
              </w:rPr>
              <w:t>25%</w:t>
            </w:r>
          </w:p>
        </w:tc>
      </w:tr>
      <w:tr w:rsidR="001614AC" w14:paraId="0ABA8A99" w14:textId="77777777">
        <w:trPr>
          <w:cantSplit/>
        </w:trPr>
        <w:tc>
          <w:tcPr>
            <w:tcW w:w="3105" w:type="dxa"/>
            <w:tcBorders>
              <w:top w:val="single" w:sz="8" w:space="0" w:color="E9E9E9"/>
              <w:left w:val="nil"/>
              <w:bottom w:val="single" w:sz="8" w:space="0" w:color="E9E9E9"/>
              <w:right w:val="nil"/>
            </w:tcBorders>
            <w:tcMar>
              <w:top w:w="0" w:type="dxa"/>
              <w:left w:w="53" w:type="dxa"/>
              <w:bottom w:w="0" w:type="dxa"/>
              <w:right w:w="53" w:type="dxa"/>
            </w:tcMar>
            <w:vAlign w:val="bottom"/>
          </w:tcPr>
          <w:p w14:paraId="6504A2E6" w14:textId="77777777" w:rsidR="001614AC" w:rsidRDefault="004468F9">
            <w:pPr>
              <w:keepNext/>
              <w:spacing w:before="55" w:after="30" w:line="288" w:lineRule="auto"/>
            </w:pPr>
            <w:r>
              <w:rPr>
                <w:rFonts w:ascii="Arial" w:eastAsia="Arial" w:hAnsi="Arial" w:cs="Arial"/>
                <w:color w:val="000000"/>
                <w:sz w:val="18"/>
              </w:rPr>
              <w:t>Profit Commission %</w:t>
            </w:r>
          </w:p>
        </w:tc>
        <w:tc>
          <w:tcPr>
            <w:tcW w:w="105" w:type="dxa"/>
            <w:tcBorders>
              <w:top w:val="nil"/>
              <w:left w:val="nil"/>
              <w:bottom w:val="nil"/>
              <w:right w:val="nil"/>
            </w:tcBorders>
            <w:tcMar>
              <w:top w:w="0" w:type="dxa"/>
              <w:left w:w="0" w:type="dxa"/>
              <w:bottom w:w="0" w:type="dxa"/>
              <w:right w:w="0" w:type="dxa"/>
            </w:tcMar>
            <w:vAlign w:val="bottom"/>
          </w:tcPr>
          <w:p w14:paraId="7DEA4996" w14:textId="77777777" w:rsidR="001614AC" w:rsidRDefault="001614AC">
            <w:pPr>
              <w:keepNext/>
            </w:pPr>
          </w:p>
        </w:tc>
        <w:tc>
          <w:tcPr>
            <w:tcW w:w="2220" w:type="dxa"/>
            <w:gridSpan w:val="3"/>
            <w:tcBorders>
              <w:top w:val="single" w:sz="8" w:space="0" w:color="E9E9E9"/>
              <w:left w:val="nil"/>
              <w:bottom w:val="single" w:sz="8" w:space="0" w:color="E9E9E9"/>
              <w:right w:val="nil"/>
            </w:tcBorders>
            <w:tcMar>
              <w:top w:w="0" w:type="dxa"/>
              <w:left w:w="53" w:type="dxa"/>
              <w:bottom w:w="0" w:type="dxa"/>
              <w:right w:w="53" w:type="dxa"/>
            </w:tcMar>
            <w:vAlign w:val="bottom"/>
          </w:tcPr>
          <w:p w14:paraId="2015FF3F" w14:textId="77777777" w:rsidR="001614AC" w:rsidRDefault="004468F9">
            <w:pPr>
              <w:keepNext/>
              <w:spacing w:before="55" w:after="30" w:line="288" w:lineRule="auto"/>
              <w:jc w:val="center"/>
              <w:rPr>
                <w:rFonts w:ascii="Arial" w:eastAsia="Arial" w:hAnsi="Arial" w:cs="Arial"/>
                <w:sz w:val="18"/>
              </w:rPr>
            </w:pPr>
            <w:r>
              <w:rPr>
                <w:rFonts w:ascii="Arial" w:eastAsia="Arial" w:hAnsi="Arial" w:cs="Arial"/>
                <w:sz w:val="18"/>
              </w:rPr>
              <w:t>Up to 56%</w:t>
            </w:r>
          </w:p>
        </w:tc>
        <w:tc>
          <w:tcPr>
            <w:tcW w:w="105" w:type="dxa"/>
            <w:tcBorders>
              <w:top w:val="nil"/>
              <w:left w:val="nil"/>
              <w:bottom w:val="nil"/>
              <w:right w:val="nil"/>
            </w:tcBorders>
            <w:tcMar>
              <w:top w:w="0" w:type="dxa"/>
              <w:left w:w="0" w:type="dxa"/>
              <w:bottom w:w="0" w:type="dxa"/>
              <w:right w:w="0" w:type="dxa"/>
            </w:tcMar>
            <w:vAlign w:val="bottom"/>
          </w:tcPr>
          <w:p w14:paraId="06EDE231" w14:textId="77777777" w:rsidR="001614AC" w:rsidRDefault="001614AC">
            <w:pPr>
              <w:keepNext/>
            </w:pPr>
          </w:p>
        </w:tc>
        <w:tc>
          <w:tcPr>
            <w:tcW w:w="2220" w:type="dxa"/>
            <w:gridSpan w:val="3"/>
            <w:tcBorders>
              <w:top w:val="single" w:sz="8" w:space="0" w:color="E9E9E9"/>
              <w:left w:val="nil"/>
              <w:bottom w:val="single" w:sz="8" w:space="0" w:color="E9E9E9"/>
              <w:right w:val="nil"/>
            </w:tcBorders>
            <w:tcMar>
              <w:top w:w="0" w:type="dxa"/>
              <w:left w:w="53" w:type="dxa"/>
              <w:bottom w:w="0" w:type="dxa"/>
              <w:right w:w="53" w:type="dxa"/>
            </w:tcMar>
            <w:vAlign w:val="bottom"/>
          </w:tcPr>
          <w:p w14:paraId="6F0B1E28" w14:textId="77777777" w:rsidR="001614AC" w:rsidRDefault="004468F9">
            <w:pPr>
              <w:keepNext/>
              <w:spacing w:before="55" w:after="30" w:line="288" w:lineRule="auto"/>
              <w:jc w:val="center"/>
              <w:rPr>
                <w:rFonts w:ascii="Arial" w:eastAsia="Arial" w:hAnsi="Arial" w:cs="Arial"/>
                <w:sz w:val="18"/>
              </w:rPr>
            </w:pPr>
            <w:r>
              <w:rPr>
                <w:rFonts w:ascii="Arial" w:eastAsia="Arial" w:hAnsi="Arial" w:cs="Arial"/>
                <w:sz w:val="18"/>
              </w:rPr>
              <w:t>Up to 56%</w:t>
            </w:r>
          </w:p>
        </w:tc>
        <w:tc>
          <w:tcPr>
            <w:tcW w:w="105" w:type="dxa"/>
            <w:tcBorders>
              <w:top w:val="nil"/>
              <w:left w:val="nil"/>
              <w:bottom w:val="nil"/>
              <w:right w:val="nil"/>
            </w:tcBorders>
            <w:tcMar>
              <w:top w:w="0" w:type="dxa"/>
              <w:left w:w="0" w:type="dxa"/>
              <w:bottom w:w="0" w:type="dxa"/>
              <w:right w:w="0" w:type="dxa"/>
            </w:tcMar>
            <w:vAlign w:val="bottom"/>
          </w:tcPr>
          <w:p w14:paraId="1890D2C1" w14:textId="77777777" w:rsidR="001614AC" w:rsidRDefault="001614AC">
            <w:pPr>
              <w:keepNext/>
            </w:pPr>
          </w:p>
        </w:tc>
        <w:tc>
          <w:tcPr>
            <w:tcW w:w="2220" w:type="dxa"/>
            <w:gridSpan w:val="3"/>
            <w:tcBorders>
              <w:top w:val="single" w:sz="8" w:space="0" w:color="E9E9E9"/>
              <w:left w:val="nil"/>
              <w:bottom w:val="single" w:sz="8" w:space="0" w:color="E9E9E9"/>
              <w:right w:val="nil"/>
            </w:tcBorders>
            <w:tcMar>
              <w:top w:w="0" w:type="dxa"/>
              <w:left w:w="53" w:type="dxa"/>
              <w:bottom w:w="0" w:type="dxa"/>
              <w:right w:w="53" w:type="dxa"/>
            </w:tcMar>
            <w:vAlign w:val="bottom"/>
          </w:tcPr>
          <w:p w14:paraId="06F1F116" w14:textId="77777777" w:rsidR="001614AC" w:rsidRDefault="004468F9">
            <w:pPr>
              <w:keepNext/>
              <w:spacing w:before="55" w:after="30" w:line="288" w:lineRule="auto"/>
              <w:jc w:val="center"/>
              <w:rPr>
                <w:rFonts w:ascii="Arial" w:eastAsia="Arial" w:hAnsi="Arial" w:cs="Arial"/>
                <w:sz w:val="18"/>
              </w:rPr>
            </w:pPr>
            <w:r>
              <w:rPr>
                <w:rFonts w:ascii="Arial" w:eastAsia="Arial" w:hAnsi="Arial" w:cs="Arial"/>
                <w:sz w:val="18"/>
              </w:rPr>
              <w:t>Up to 55%</w:t>
            </w:r>
          </w:p>
        </w:tc>
      </w:tr>
      <w:tr w:rsidR="001614AC" w14:paraId="1087EAF3" w14:textId="77777777">
        <w:trPr>
          <w:cantSplit/>
        </w:trPr>
        <w:tc>
          <w:tcPr>
            <w:tcW w:w="3105" w:type="dxa"/>
            <w:tcBorders>
              <w:top w:val="single" w:sz="8" w:space="0" w:color="E9E9E9"/>
              <w:left w:val="nil"/>
              <w:bottom w:val="nil"/>
              <w:right w:val="nil"/>
            </w:tcBorders>
            <w:tcMar>
              <w:top w:w="0" w:type="dxa"/>
              <w:left w:w="0" w:type="dxa"/>
              <w:bottom w:w="0" w:type="dxa"/>
              <w:right w:w="0" w:type="dxa"/>
            </w:tcMar>
            <w:vAlign w:val="bottom"/>
          </w:tcPr>
          <w:p w14:paraId="3163CC80" w14:textId="77777777" w:rsidR="001614AC" w:rsidRDefault="001614AC">
            <w:pPr>
              <w:keepNext/>
            </w:pPr>
          </w:p>
        </w:tc>
        <w:tc>
          <w:tcPr>
            <w:tcW w:w="105" w:type="dxa"/>
            <w:tcBorders>
              <w:top w:val="nil"/>
              <w:left w:val="nil"/>
              <w:bottom w:val="nil"/>
              <w:right w:val="nil"/>
            </w:tcBorders>
            <w:tcMar>
              <w:top w:w="0" w:type="dxa"/>
              <w:left w:w="0" w:type="dxa"/>
              <w:bottom w:w="0" w:type="dxa"/>
              <w:right w:w="0" w:type="dxa"/>
            </w:tcMar>
            <w:vAlign w:val="bottom"/>
          </w:tcPr>
          <w:p w14:paraId="5CA917D3" w14:textId="77777777" w:rsidR="001614AC" w:rsidRDefault="001614AC">
            <w:pPr>
              <w:keepNext/>
            </w:pPr>
          </w:p>
        </w:tc>
        <w:tc>
          <w:tcPr>
            <w:tcW w:w="2220" w:type="dxa"/>
            <w:gridSpan w:val="3"/>
            <w:tcBorders>
              <w:top w:val="single" w:sz="8" w:space="0" w:color="E9E9E9"/>
              <w:left w:val="nil"/>
              <w:bottom w:val="nil"/>
              <w:right w:val="nil"/>
            </w:tcBorders>
            <w:tcMar>
              <w:top w:w="0" w:type="dxa"/>
              <w:left w:w="0" w:type="dxa"/>
              <w:bottom w:w="0" w:type="dxa"/>
              <w:right w:w="0" w:type="dxa"/>
            </w:tcMar>
            <w:vAlign w:val="bottom"/>
          </w:tcPr>
          <w:p w14:paraId="5E03E4E0" w14:textId="77777777" w:rsidR="001614AC" w:rsidRDefault="001614AC">
            <w:pPr>
              <w:keepNext/>
            </w:pPr>
          </w:p>
        </w:tc>
        <w:tc>
          <w:tcPr>
            <w:tcW w:w="105" w:type="dxa"/>
            <w:tcBorders>
              <w:top w:val="nil"/>
              <w:left w:val="nil"/>
              <w:bottom w:val="nil"/>
              <w:right w:val="nil"/>
            </w:tcBorders>
            <w:tcMar>
              <w:top w:w="0" w:type="dxa"/>
              <w:left w:w="0" w:type="dxa"/>
              <w:bottom w:w="0" w:type="dxa"/>
              <w:right w:w="0" w:type="dxa"/>
            </w:tcMar>
            <w:vAlign w:val="bottom"/>
          </w:tcPr>
          <w:p w14:paraId="56703C71" w14:textId="77777777" w:rsidR="001614AC" w:rsidRDefault="001614AC">
            <w:pPr>
              <w:keepNext/>
            </w:pPr>
          </w:p>
        </w:tc>
        <w:tc>
          <w:tcPr>
            <w:tcW w:w="2220" w:type="dxa"/>
            <w:gridSpan w:val="3"/>
            <w:tcBorders>
              <w:top w:val="single" w:sz="8" w:space="0" w:color="E9E9E9"/>
              <w:left w:val="nil"/>
              <w:bottom w:val="nil"/>
              <w:right w:val="nil"/>
            </w:tcBorders>
            <w:tcMar>
              <w:top w:w="0" w:type="dxa"/>
              <w:left w:w="0" w:type="dxa"/>
              <w:bottom w:w="0" w:type="dxa"/>
              <w:right w:w="0" w:type="dxa"/>
            </w:tcMar>
            <w:vAlign w:val="bottom"/>
          </w:tcPr>
          <w:p w14:paraId="2ACB9770" w14:textId="77777777" w:rsidR="001614AC" w:rsidRDefault="001614AC">
            <w:pPr>
              <w:keepNext/>
            </w:pPr>
          </w:p>
        </w:tc>
        <w:tc>
          <w:tcPr>
            <w:tcW w:w="105" w:type="dxa"/>
            <w:tcBorders>
              <w:top w:val="nil"/>
              <w:left w:val="nil"/>
              <w:bottom w:val="nil"/>
              <w:right w:val="nil"/>
            </w:tcBorders>
            <w:tcMar>
              <w:top w:w="0" w:type="dxa"/>
              <w:left w:w="0" w:type="dxa"/>
              <w:bottom w:w="0" w:type="dxa"/>
              <w:right w:w="0" w:type="dxa"/>
            </w:tcMar>
            <w:vAlign w:val="bottom"/>
          </w:tcPr>
          <w:p w14:paraId="5F7D7C1A" w14:textId="77777777" w:rsidR="001614AC" w:rsidRDefault="001614AC">
            <w:pPr>
              <w:keepNext/>
            </w:pPr>
          </w:p>
        </w:tc>
        <w:tc>
          <w:tcPr>
            <w:tcW w:w="2220" w:type="dxa"/>
            <w:gridSpan w:val="3"/>
            <w:tcBorders>
              <w:top w:val="single" w:sz="8" w:space="0" w:color="E9E9E9"/>
              <w:left w:val="nil"/>
              <w:bottom w:val="nil"/>
              <w:right w:val="nil"/>
            </w:tcBorders>
            <w:tcMar>
              <w:top w:w="0" w:type="dxa"/>
              <w:left w:w="0" w:type="dxa"/>
              <w:bottom w:w="0" w:type="dxa"/>
              <w:right w:w="0" w:type="dxa"/>
            </w:tcMar>
            <w:vAlign w:val="bottom"/>
          </w:tcPr>
          <w:p w14:paraId="6C0ED82B" w14:textId="77777777" w:rsidR="001614AC" w:rsidRDefault="001614AC">
            <w:pPr>
              <w:keepNext/>
            </w:pPr>
          </w:p>
        </w:tc>
      </w:tr>
      <w:tr w:rsidR="001614AC" w14:paraId="244357E7" w14:textId="77777777">
        <w:trPr>
          <w:cantSplit/>
        </w:trPr>
        <w:tc>
          <w:tcPr>
            <w:tcW w:w="3105" w:type="dxa"/>
            <w:tcBorders>
              <w:top w:val="nil"/>
              <w:left w:val="nil"/>
              <w:bottom w:val="single" w:sz="8" w:space="0" w:color="C7C9C7"/>
              <w:right w:val="nil"/>
            </w:tcBorders>
            <w:tcMar>
              <w:top w:w="0" w:type="dxa"/>
              <w:left w:w="53" w:type="dxa"/>
              <w:bottom w:w="0" w:type="dxa"/>
              <w:right w:w="53" w:type="dxa"/>
            </w:tcMar>
            <w:vAlign w:val="bottom"/>
          </w:tcPr>
          <w:p w14:paraId="494D3389" w14:textId="77777777" w:rsidR="001614AC" w:rsidRDefault="004468F9">
            <w:pPr>
              <w:keepNext/>
              <w:spacing w:before="75" w:after="30" w:line="288" w:lineRule="auto"/>
            </w:pPr>
            <w:r>
              <w:rPr>
                <w:rFonts w:ascii="Arial" w:eastAsia="Arial" w:hAnsi="Arial" w:cs="Arial"/>
                <w:color w:val="8B8886"/>
                <w:sz w:val="16"/>
              </w:rPr>
              <w:t>(In millions)</w:t>
            </w:r>
          </w:p>
        </w:tc>
        <w:tc>
          <w:tcPr>
            <w:tcW w:w="105" w:type="dxa"/>
            <w:tcBorders>
              <w:top w:val="nil"/>
              <w:left w:val="nil"/>
              <w:bottom w:val="single" w:sz="8" w:space="0" w:color="C7C9C7"/>
              <w:right w:val="nil"/>
            </w:tcBorders>
            <w:tcMar>
              <w:top w:w="0" w:type="dxa"/>
              <w:left w:w="0" w:type="dxa"/>
              <w:bottom w:w="0" w:type="dxa"/>
              <w:right w:w="0" w:type="dxa"/>
            </w:tcMar>
            <w:vAlign w:val="bottom"/>
          </w:tcPr>
          <w:p w14:paraId="31BEDEA5" w14:textId="77777777" w:rsidR="001614AC" w:rsidRDefault="001614AC">
            <w:pPr>
              <w:keepNext/>
            </w:pPr>
          </w:p>
        </w:tc>
        <w:tc>
          <w:tcPr>
            <w:tcW w:w="6870" w:type="dxa"/>
            <w:gridSpan w:val="11"/>
            <w:tcBorders>
              <w:top w:val="nil"/>
              <w:left w:val="nil"/>
              <w:bottom w:val="nil"/>
              <w:right w:val="nil"/>
            </w:tcBorders>
            <w:shd w:val="clear" w:color="auto" w:fill="E6F8F8"/>
            <w:tcMar>
              <w:top w:w="0" w:type="dxa"/>
              <w:left w:w="53" w:type="dxa"/>
              <w:bottom w:w="0" w:type="dxa"/>
              <w:right w:w="53" w:type="dxa"/>
            </w:tcMar>
            <w:vAlign w:val="bottom"/>
          </w:tcPr>
          <w:p w14:paraId="02702B8C" w14:textId="77777777" w:rsidR="001614AC" w:rsidRDefault="004468F9">
            <w:pPr>
              <w:keepNext/>
              <w:spacing w:before="75" w:after="30" w:line="288" w:lineRule="auto"/>
              <w:jc w:val="center"/>
            </w:pPr>
            <w:r>
              <w:rPr>
                <w:rFonts w:ascii="Arial" w:eastAsia="Arial" w:hAnsi="Arial" w:cs="Arial"/>
                <w:b/>
                <w:color w:val="00BAB3"/>
                <w:sz w:val="18"/>
              </w:rPr>
              <w:t>As of June 30, 2021</w:t>
            </w:r>
          </w:p>
        </w:tc>
      </w:tr>
      <w:tr w:rsidR="001614AC" w14:paraId="39560A54" w14:textId="77777777">
        <w:trPr>
          <w:cantSplit/>
        </w:trPr>
        <w:tc>
          <w:tcPr>
            <w:tcW w:w="3105" w:type="dxa"/>
            <w:tcBorders>
              <w:top w:val="single" w:sz="8" w:space="0" w:color="C7C9C7"/>
              <w:left w:val="nil"/>
              <w:bottom w:val="single" w:sz="8" w:space="0" w:color="E9E9E9"/>
              <w:right w:val="nil"/>
            </w:tcBorders>
            <w:tcMar>
              <w:top w:w="0" w:type="dxa"/>
              <w:left w:w="53" w:type="dxa"/>
              <w:bottom w:w="0" w:type="dxa"/>
              <w:right w:w="53" w:type="dxa"/>
            </w:tcMar>
            <w:vAlign w:val="bottom"/>
          </w:tcPr>
          <w:p w14:paraId="468FFBAE" w14:textId="77777777" w:rsidR="001614AC" w:rsidRDefault="004468F9">
            <w:pPr>
              <w:keepNext/>
              <w:spacing w:before="55" w:after="30" w:line="288" w:lineRule="auto"/>
            </w:pPr>
            <w:r>
              <w:rPr>
                <w:rFonts w:ascii="Arial" w:eastAsia="Arial" w:hAnsi="Arial" w:cs="Arial"/>
                <w:color w:val="000000"/>
                <w:sz w:val="18"/>
              </w:rPr>
              <w:t>RIF Ceded</w:t>
            </w:r>
          </w:p>
        </w:tc>
        <w:tc>
          <w:tcPr>
            <w:tcW w:w="105" w:type="dxa"/>
            <w:tcBorders>
              <w:top w:val="single" w:sz="8" w:space="0" w:color="C7C9C7"/>
              <w:left w:val="nil"/>
              <w:bottom w:val="nil"/>
              <w:right w:val="nil"/>
            </w:tcBorders>
            <w:tcMar>
              <w:top w:w="0" w:type="dxa"/>
              <w:left w:w="0" w:type="dxa"/>
              <w:bottom w:w="0" w:type="dxa"/>
              <w:right w:w="0" w:type="dxa"/>
            </w:tcMar>
            <w:vAlign w:val="bottom"/>
          </w:tcPr>
          <w:p w14:paraId="1CB72CFC" w14:textId="77777777" w:rsidR="001614AC" w:rsidRDefault="001614AC">
            <w:pPr>
              <w:keepNext/>
            </w:pPr>
          </w:p>
        </w:tc>
        <w:tc>
          <w:tcPr>
            <w:tcW w:w="160" w:type="dxa"/>
            <w:tcBorders>
              <w:top w:val="single" w:sz="8" w:space="0" w:color="C7C9C7"/>
              <w:left w:val="nil"/>
              <w:bottom w:val="single" w:sz="8" w:space="0" w:color="E9E9E9"/>
              <w:right w:val="nil"/>
            </w:tcBorders>
            <w:tcMar>
              <w:top w:w="0" w:type="dxa"/>
              <w:left w:w="53" w:type="dxa"/>
              <w:bottom w:w="0" w:type="dxa"/>
              <w:right w:w="0" w:type="dxa"/>
            </w:tcMar>
            <w:vAlign w:val="bottom"/>
          </w:tcPr>
          <w:p w14:paraId="3A45932B" w14:textId="77777777" w:rsidR="001614AC" w:rsidRDefault="004468F9">
            <w:pPr>
              <w:keepNext/>
              <w:spacing w:before="55" w:after="30" w:line="288" w:lineRule="auto"/>
            </w:pPr>
            <w:r>
              <w:rPr>
                <w:rFonts w:ascii="Arial" w:eastAsia="Arial" w:hAnsi="Arial" w:cs="Arial"/>
                <w:color w:val="000000"/>
                <w:sz w:val="18"/>
              </w:rPr>
              <w:t>$</w:t>
            </w:r>
          </w:p>
        </w:tc>
        <w:tc>
          <w:tcPr>
            <w:tcW w:w="1960" w:type="dxa"/>
            <w:tcBorders>
              <w:top w:val="single" w:sz="8" w:space="0" w:color="C7C9C7"/>
              <w:left w:val="nil"/>
              <w:bottom w:val="single" w:sz="8" w:space="0" w:color="E9E9E9"/>
              <w:right w:val="nil"/>
            </w:tcBorders>
            <w:tcMar>
              <w:top w:w="0" w:type="dxa"/>
              <w:left w:w="0" w:type="dxa"/>
              <w:bottom w:w="0" w:type="dxa"/>
              <w:right w:w="0" w:type="dxa"/>
            </w:tcMar>
            <w:vAlign w:val="bottom"/>
          </w:tcPr>
          <w:p w14:paraId="1A2BA760" w14:textId="77777777" w:rsidR="001614AC" w:rsidRDefault="004468F9">
            <w:pPr>
              <w:keepNext/>
              <w:spacing w:before="55" w:after="30" w:line="288" w:lineRule="auto"/>
              <w:jc w:val="right"/>
            </w:pPr>
            <w:r>
              <w:rPr>
                <w:rFonts w:ascii="Arial" w:eastAsia="Arial" w:hAnsi="Arial" w:cs="Arial"/>
                <w:color w:val="000000"/>
                <w:sz w:val="18"/>
              </w:rPr>
              <w:t>1,897 </w:t>
            </w:r>
          </w:p>
        </w:tc>
        <w:tc>
          <w:tcPr>
            <w:tcW w:w="100" w:type="dxa"/>
            <w:tcBorders>
              <w:top w:val="single" w:sz="8" w:space="0" w:color="C7C9C7"/>
              <w:left w:val="nil"/>
              <w:bottom w:val="single" w:sz="8" w:space="0" w:color="E9E9E9"/>
              <w:right w:val="nil"/>
            </w:tcBorders>
            <w:tcMar>
              <w:top w:w="0" w:type="dxa"/>
              <w:left w:w="0" w:type="dxa"/>
              <w:bottom w:w="0" w:type="dxa"/>
              <w:right w:w="15" w:type="dxa"/>
            </w:tcMar>
            <w:vAlign w:val="bottom"/>
          </w:tcPr>
          <w:p w14:paraId="17C0BDAF" w14:textId="77777777" w:rsidR="001614AC" w:rsidRDefault="001614AC">
            <w:pPr>
              <w:keepNext/>
              <w:spacing w:before="55" w:after="30" w:line="288" w:lineRule="auto"/>
              <w:jc w:val="right"/>
            </w:pPr>
          </w:p>
        </w:tc>
        <w:tc>
          <w:tcPr>
            <w:tcW w:w="105" w:type="dxa"/>
            <w:tcBorders>
              <w:top w:val="single" w:sz="8" w:space="0" w:color="C7C9C7"/>
              <w:left w:val="nil"/>
              <w:bottom w:val="nil"/>
              <w:right w:val="nil"/>
            </w:tcBorders>
            <w:tcMar>
              <w:top w:w="0" w:type="dxa"/>
              <w:left w:w="0" w:type="dxa"/>
              <w:bottom w:w="0" w:type="dxa"/>
              <w:right w:w="0" w:type="dxa"/>
            </w:tcMar>
            <w:vAlign w:val="bottom"/>
          </w:tcPr>
          <w:p w14:paraId="583991B4" w14:textId="77777777" w:rsidR="001614AC" w:rsidRDefault="001614AC">
            <w:pPr>
              <w:keepNext/>
            </w:pPr>
          </w:p>
        </w:tc>
        <w:tc>
          <w:tcPr>
            <w:tcW w:w="160" w:type="dxa"/>
            <w:tcBorders>
              <w:top w:val="single" w:sz="8" w:space="0" w:color="C7C9C7"/>
              <w:left w:val="nil"/>
              <w:bottom w:val="single" w:sz="8" w:space="0" w:color="E9E9E9"/>
              <w:right w:val="nil"/>
            </w:tcBorders>
            <w:tcMar>
              <w:top w:w="0" w:type="dxa"/>
              <w:left w:w="53" w:type="dxa"/>
              <w:bottom w:w="0" w:type="dxa"/>
              <w:right w:w="0" w:type="dxa"/>
            </w:tcMar>
            <w:vAlign w:val="bottom"/>
          </w:tcPr>
          <w:p w14:paraId="339789E5" w14:textId="77777777" w:rsidR="001614AC" w:rsidRDefault="004468F9">
            <w:pPr>
              <w:keepNext/>
              <w:spacing w:before="55" w:after="30" w:line="288" w:lineRule="auto"/>
            </w:pPr>
            <w:r>
              <w:rPr>
                <w:rFonts w:ascii="Arial" w:eastAsia="Arial" w:hAnsi="Arial" w:cs="Arial"/>
                <w:color w:val="000000"/>
                <w:sz w:val="18"/>
              </w:rPr>
              <w:t>$</w:t>
            </w:r>
          </w:p>
        </w:tc>
        <w:tc>
          <w:tcPr>
            <w:tcW w:w="1960" w:type="dxa"/>
            <w:tcBorders>
              <w:top w:val="single" w:sz="8" w:space="0" w:color="C7C9C7"/>
              <w:left w:val="nil"/>
              <w:bottom w:val="single" w:sz="8" w:space="0" w:color="E9E9E9"/>
              <w:right w:val="nil"/>
            </w:tcBorders>
            <w:tcMar>
              <w:top w:w="0" w:type="dxa"/>
              <w:left w:w="0" w:type="dxa"/>
              <w:bottom w:w="0" w:type="dxa"/>
              <w:right w:w="0" w:type="dxa"/>
            </w:tcMar>
            <w:vAlign w:val="bottom"/>
          </w:tcPr>
          <w:p w14:paraId="5791F86C" w14:textId="77777777" w:rsidR="001614AC" w:rsidRDefault="004468F9">
            <w:pPr>
              <w:keepNext/>
              <w:spacing w:before="55" w:after="30" w:line="288" w:lineRule="auto"/>
              <w:jc w:val="right"/>
            </w:pPr>
            <w:r>
              <w:rPr>
                <w:rFonts w:ascii="Arial" w:eastAsia="Arial" w:hAnsi="Arial" w:cs="Arial"/>
                <w:color w:val="000000"/>
                <w:sz w:val="18"/>
              </w:rPr>
              <w:t>1,465 </w:t>
            </w:r>
          </w:p>
        </w:tc>
        <w:tc>
          <w:tcPr>
            <w:tcW w:w="100" w:type="dxa"/>
            <w:tcBorders>
              <w:top w:val="single" w:sz="8" w:space="0" w:color="C7C9C7"/>
              <w:left w:val="nil"/>
              <w:bottom w:val="single" w:sz="8" w:space="0" w:color="E9E9E9"/>
              <w:right w:val="nil"/>
            </w:tcBorders>
            <w:tcMar>
              <w:top w:w="0" w:type="dxa"/>
              <w:left w:w="0" w:type="dxa"/>
              <w:bottom w:w="0" w:type="dxa"/>
              <w:right w:w="15" w:type="dxa"/>
            </w:tcMar>
            <w:vAlign w:val="bottom"/>
          </w:tcPr>
          <w:p w14:paraId="15F42619" w14:textId="77777777" w:rsidR="001614AC" w:rsidRDefault="001614AC">
            <w:pPr>
              <w:keepNext/>
              <w:spacing w:before="55" w:after="30" w:line="288" w:lineRule="auto"/>
              <w:jc w:val="right"/>
            </w:pPr>
          </w:p>
        </w:tc>
        <w:tc>
          <w:tcPr>
            <w:tcW w:w="105" w:type="dxa"/>
            <w:tcBorders>
              <w:top w:val="single" w:sz="8" w:space="0" w:color="C7C9C7"/>
              <w:left w:val="nil"/>
              <w:bottom w:val="nil"/>
              <w:right w:val="nil"/>
            </w:tcBorders>
            <w:tcMar>
              <w:top w:w="0" w:type="dxa"/>
              <w:left w:w="0" w:type="dxa"/>
              <w:bottom w:w="0" w:type="dxa"/>
              <w:right w:w="0" w:type="dxa"/>
            </w:tcMar>
            <w:vAlign w:val="bottom"/>
          </w:tcPr>
          <w:p w14:paraId="52663EE9" w14:textId="77777777" w:rsidR="001614AC" w:rsidRDefault="001614AC">
            <w:pPr>
              <w:keepNext/>
            </w:pPr>
          </w:p>
        </w:tc>
        <w:tc>
          <w:tcPr>
            <w:tcW w:w="160" w:type="dxa"/>
            <w:tcBorders>
              <w:top w:val="single" w:sz="8" w:space="0" w:color="C7C9C7"/>
              <w:left w:val="nil"/>
              <w:bottom w:val="single" w:sz="8" w:space="0" w:color="E9E9E9"/>
              <w:right w:val="nil"/>
            </w:tcBorders>
            <w:tcMar>
              <w:top w:w="0" w:type="dxa"/>
              <w:left w:w="53" w:type="dxa"/>
              <w:bottom w:w="0" w:type="dxa"/>
              <w:right w:w="0" w:type="dxa"/>
            </w:tcMar>
            <w:vAlign w:val="bottom"/>
          </w:tcPr>
          <w:p w14:paraId="37884278" w14:textId="77777777" w:rsidR="001614AC" w:rsidRDefault="004468F9">
            <w:pPr>
              <w:keepNext/>
              <w:spacing w:before="55" w:after="30" w:line="288" w:lineRule="auto"/>
            </w:pPr>
            <w:r>
              <w:rPr>
                <w:rFonts w:ascii="Arial" w:eastAsia="Arial" w:hAnsi="Arial" w:cs="Arial"/>
                <w:color w:val="000000"/>
                <w:sz w:val="18"/>
              </w:rPr>
              <w:t>$</w:t>
            </w:r>
          </w:p>
        </w:tc>
        <w:tc>
          <w:tcPr>
            <w:tcW w:w="1960" w:type="dxa"/>
            <w:tcBorders>
              <w:top w:val="single" w:sz="8" w:space="0" w:color="C7C9C7"/>
              <w:left w:val="nil"/>
              <w:bottom w:val="single" w:sz="8" w:space="0" w:color="E9E9E9"/>
              <w:right w:val="nil"/>
            </w:tcBorders>
            <w:tcMar>
              <w:top w:w="0" w:type="dxa"/>
              <w:left w:w="0" w:type="dxa"/>
              <w:bottom w:w="0" w:type="dxa"/>
              <w:right w:w="0" w:type="dxa"/>
            </w:tcMar>
            <w:vAlign w:val="bottom"/>
          </w:tcPr>
          <w:p w14:paraId="016AB690" w14:textId="77777777" w:rsidR="001614AC" w:rsidRDefault="004468F9">
            <w:pPr>
              <w:keepNext/>
              <w:spacing w:before="55" w:after="30" w:line="288" w:lineRule="auto"/>
              <w:jc w:val="right"/>
            </w:pPr>
            <w:r>
              <w:rPr>
                <w:rFonts w:ascii="Arial" w:eastAsia="Arial" w:hAnsi="Arial" w:cs="Arial"/>
                <w:color w:val="000000"/>
                <w:sz w:val="18"/>
              </w:rPr>
              <w:t>2,366 </w:t>
            </w:r>
          </w:p>
        </w:tc>
        <w:tc>
          <w:tcPr>
            <w:tcW w:w="100" w:type="dxa"/>
            <w:tcBorders>
              <w:top w:val="single" w:sz="8" w:space="0" w:color="C7C9C7"/>
              <w:left w:val="nil"/>
              <w:bottom w:val="single" w:sz="8" w:space="0" w:color="E9E9E9"/>
              <w:right w:val="nil"/>
            </w:tcBorders>
            <w:tcMar>
              <w:top w:w="0" w:type="dxa"/>
              <w:left w:w="0" w:type="dxa"/>
              <w:bottom w:w="0" w:type="dxa"/>
              <w:right w:w="15" w:type="dxa"/>
            </w:tcMar>
            <w:vAlign w:val="bottom"/>
          </w:tcPr>
          <w:p w14:paraId="75EA51EE" w14:textId="77777777" w:rsidR="001614AC" w:rsidRDefault="001614AC">
            <w:pPr>
              <w:keepNext/>
              <w:spacing w:before="55" w:after="30" w:line="288" w:lineRule="auto"/>
              <w:jc w:val="right"/>
            </w:pPr>
          </w:p>
        </w:tc>
      </w:tr>
      <w:tr w:rsidR="001614AC" w14:paraId="73270167" w14:textId="77777777">
        <w:trPr>
          <w:cantSplit/>
        </w:trPr>
        <w:tc>
          <w:tcPr>
            <w:tcW w:w="3105" w:type="dxa"/>
            <w:tcBorders>
              <w:top w:val="single" w:sz="8" w:space="0" w:color="E9E9E9"/>
              <w:left w:val="nil"/>
              <w:bottom w:val="nil"/>
              <w:right w:val="nil"/>
            </w:tcBorders>
            <w:tcMar>
              <w:top w:w="0" w:type="dxa"/>
              <w:left w:w="0" w:type="dxa"/>
              <w:bottom w:w="0" w:type="dxa"/>
              <w:right w:w="0" w:type="dxa"/>
            </w:tcMar>
            <w:vAlign w:val="bottom"/>
          </w:tcPr>
          <w:p w14:paraId="34D70911" w14:textId="77777777" w:rsidR="001614AC" w:rsidRDefault="001614AC">
            <w:pPr>
              <w:keepNext/>
            </w:pPr>
          </w:p>
        </w:tc>
        <w:tc>
          <w:tcPr>
            <w:tcW w:w="105" w:type="dxa"/>
            <w:tcBorders>
              <w:top w:val="nil"/>
              <w:left w:val="nil"/>
              <w:bottom w:val="nil"/>
              <w:right w:val="nil"/>
            </w:tcBorders>
            <w:tcMar>
              <w:top w:w="0" w:type="dxa"/>
              <w:left w:w="0" w:type="dxa"/>
              <w:bottom w:w="0" w:type="dxa"/>
              <w:right w:w="0" w:type="dxa"/>
            </w:tcMar>
            <w:vAlign w:val="bottom"/>
          </w:tcPr>
          <w:p w14:paraId="38838EC5" w14:textId="77777777" w:rsidR="001614AC" w:rsidRDefault="001614AC">
            <w:pPr>
              <w:keepNext/>
            </w:pPr>
          </w:p>
        </w:tc>
        <w:tc>
          <w:tcPr>
            <w:tcW w:w="2220" w:type="dxa"/>
            <w:gridSpan w:val="3"/>
            <w:tcBorders>
              <w:top w:val="single" w:sz="8" w:space="0" w:color="E9E9E9"/>
              <w:left w:val="nil"/>
              <w:bottom w:val="nil"/>
              <w:right w:val="nil"/>
            </w:tcBorders>
            <w:tcMar>
              <w:top w:w="0" w:type="dxa"/>
              <w:left w:w="0" w:type="dxa"/>
              <w:bottom w:w="0" w:type="dxa"/>
              <w:right w:w="0" w:type="dxa"/>
            </w:tcMar>
            <w:vAlign w:val="bottom"/>
          </w:tcPr>
          <w:p w14:paraId="2A08DAE2" w14:textId="77777777" w:rsidR="001614AC" w:rsidRDefault="001614AC">
            <w:pPr>
              <w:keepNext/>
            </w:pPr>
          </w:p>
        </w:tc>
        <w:tc>
          <w:tcPr>
            <w:tcW w:w="105" w:type="dxa"/>
            <w:tcBorders>
              <w:top w:val="nil"/>
              <w:left w:val="nil"/>
              <w:bottom w:val="nil"/>
              <w:right w:val="nil"/>
            </w:tcBorders>
            <w:tcMar>
              <w:top w:w="0" w:type="dxa"/>
              <w:left w:w="0" w:type="dxa"/>
              <w:bottom w:w="0" w:type="dxa"/>
              <w:right w:w="0" w:type="dxa"/>
            </w:tcMar>
            <w:vAlign w:val="bottom"/>
          </w:tcPr>
          <w:p w14:paraId="30C1D63C" w14:textId="77777777" w:rsidR="001614AC" w:rsidRDefault="001614AC">
            <w:pPr>
              <w:keepNext/>
            </w:pPr>
          </w:p>
        </w:tc>
        <w:tc>
          <w:tcPr>
            <w:tcW w:w="2220" w:type="dxa"/>
            <w:gridSpan w:val="3"/>
            <w:tcBorders>
              <w:top w:val="single" w:sz="8" w:space="0" w:color="E9E9E9"/>
              <w:left w:val="nil"/>
              <w:bottom w:val="nil"/>
              <w:right w:val="nil"/>
            </w:tcBorders>
            <w:tcMar>
              <w:top w:w="0" w:type="dxa"/>
              <w:left w:w="0" w:type="dxa"/>
              <w:bottom w:w="0" w:type="dxa"/>
              <w:right w:w="0" w:type="dxa"/>
            </w:tcMar>
            <w:vAlign w:val="bottom"/>
          </w:tcPr>
          <w:p w14:paraId="1744963D" w14:textId="77777777" w:rsidR="001614AC" w:rsidRDefault="001614AC">
            <w:pPr>
              <w:keepNext/>
            </w:pPr>
          </w:p>
        </w:tc>
        <w:tc>
          <w:tcPr>
            <w:tcW w:w="105" w:type="dxa"/>
            <w:tcBorders>
              <w:top w:val="nil"/>
              <w:left w:val="nil"/>
              <w:bottom w:val="nil"/>
              <w:right w:val="nil"/>
            </w:tcBorders>
            <w:tcMar>
              <w:top w:w="0" w:type="dxa"/>
              <w:left w:w="0" w:type="dxa"/>
              <w:bottom w:w="0" w:type="dxa"/>
              <w:right w:w="0" w:type="dxa"/>
            </w:tcMar>
            <w:vAlign w:val="bottom"/>
          </w:tcPr>
          <w:p w14:paraId="3D445EDA" w14:textId="77777777" w:rsidR="001614AC" w:rsidRDefault="001614AC">
            <w:pPr>
              <w:keepNext/>
            </w:pPr>
          </w:p>
        </w:tc>
        <w:tc>
          <w:tcPr>
            <w:tcW w:w="2220" w:type="dxa"/>
            <w:gridSpan w:val="3"/>
            <w:tcBorders>
              <w:top w:val="single" w:sz="8" w:space="0" w:color="E9E9E9"/>
              <w:left w:val="nil"/>
              <w:bottom w:val="nil"/>
              <w:right w:val="nil"/>
            </w:tcBorders>
            <w:tcMar>
              <w:top w:w="0" w:type="dxa"/>
              <w:left w:w="0" w:type="dxa"/>
              <w:bottom w:w="0" w:type="dxa"/>
              <w:right w:w="0" w:type="dxa"/>
            </w:tcMar>
            <w:vAlign w:val="bottom"/>
          </w:tcPr>
          <w:p w14:paraId="02F7AFFC" w14:textId="77777777" w:rsidR="001614AC" w:rsidRDefault="001614AC">
            <w:pPr>
              <w:keepNext/>
            </w:pPr>
          </w:p>
        </w:tc>
      </w:tr>
      <w:tr w:rsidR="001614AC" w14:paraId="702C2498" w14:textId="77777777">
        <w:trPr>
          <w:cantSplit/>
        </w:trPr>
        <w:tc>
          <w:tcPr>
            <w:tcW w:w="3105" w:type="dxa"/>
            <w:tcBorders>
              <w:top w:val="nil"/>
              <w:left w:val="nil"/>
              <w:bottom w:val="single" w:sz="8" w:space="0" w:color="C7C9C7"/>
              <w:right w:val="nil"/>
            </w:tcBorders>
            <w:tcMar>
              <w:top w:w="0" w:type="dxa"/>
              <w:left w:w="53" w:type="dxa"/>
              <w:bottom w:w="0" w:type="dxa"/>
              <w:right w:w="53" w:type="dxa"/>
            </w:tcMar>
            <w:vAlign w:val="bottom"/>
          </w:tcPr>
          <w:p w14:paraId="3A6DC8BA" w14:textId="77777777" w:rsidR="001614AC" w:rsidRDefault="004468F9">
            <w:pPr>
              <w:keepNext/>
              <w:spacing w:before="75" w:after="30" w:line="288" w:lineRule="auto"/>
            </w:pPr>
            <w:r>
              <w:rPr>
                <w:rFonts w:ascii="Arial" w:eastAsia="Arial" w:hAnsi="Arial" w:cs="Arial"/>
                <w:color w:val="8B8886"/>
                <w:sz w:val="16"/>
              </w:rPr>
              <w:t>(In millions)</w:t>
            </w:r>
          </w:p>
        </w:tc>
        <w:tc>
          <w:tcPr>
            <w:tcW w:w="105" w:type="dxa"/>
            <w:tcBorders>
              <w:top w:val="nil"/>
              <w:left w:val="nil"/>
              <w:bottom w:val="single" w:sz="8" w:space="0" w:color="C7C9C7"/>
              <w:right w:val="nil"/>
            </w:tcBorders>
            <w:tcMar>
              <w:top w:w="0" w:type="dxa"/>
              <w:left w:w="0" w:type="dxa"/>
              <w:bottom w:w="0" w:type="dxa"/>
              <w:right w:w="0" w:type="dxa"/>
            </w:tcMar>
            <w:vAlign w:val="bottom"/>
          </w:tcPr>
          <w:p w14:paraId="20BA5F2A" w14:textId="77777777" w:rsidR="001614AC" w:rsidRDefault="001614AC">
            <w:pPr>
              <w:keepNext/>
            </w:pPr>
          </w:p>
        </w:tc>
        <w:tc>
          <w:tcPr>
            <w:tcW w:w="6870" w:type="dxa"/>
            <w:gridSpan w:val="11"/>
            <w:tcBorders>
              <w:top w:val="nil"/>
              <w:left w:val="nil"/>
              <w:bottom w:val="nil"/>
              <w:right w:val="nil"/>
            </w:tcBorders>
            <w:shd w:val="clear" w:color="auto" w:fill="F4F4F4"/>
            <w:tcMar>
              <w:top w:w="0" w:type="dxa"/>
              <w:left w:w="53" w:type="dxa"/>
              <w:bottom w:w="0" w:type="dxa"/>
              <w:right w:w="53" w:type="dxa"/>
            </w:tcMar>
            <w:vAlign w:val="bottom"/>
          </w:tcPr>
          <w:p w14:paraId="28E18EB3" w14:textId="77777777" w:rsidR="001614AC" w:rsidRDefault="004468F9">
            <w:pPr>
              <w:keepNext/>
              <w:spacing w:before="75" w:after="30" w:line="288" w:lineRule="auto"/>
              <w:jc w:val="center"/>
            </w:pPr>
            <w:r>
              <w:rPr>
                <w:rFonts w:ascii="Arial" w:eastAsia="Arial" w:hAnsi="Arial" w:cs="Arial"/>
                <w:b/>
                <w:color w:val="00BAB3"/>
                <w:sz w:val="18"/>
              </w:rPr>
              <w:t>As of December 31, 2020</w:t>
            </w:r>
          </w:p>
        </w:tc>
      </w:tr>
      <w:tr w:rsidR="001614AC" w14:paraId="6F52157C" w14:textId="77777777">
        <w:trPr>
          <w:cantSplit/>
        </w:trPr>
        <w:tc>
          <w:tcPr>
            <w:tcW w:w="3105" w:type="dxa"/>
            <w:tcBorders>
              <w:top w:val="single" w:sz="8" w:space="0" w:color="C7C9C7"/>
              <w:left w:val="nil"/>
              <w:bottom w:val="single" w:sz="8" w:space="0" w:color="E9E9E9"/>
              <w:right w:val="nil"/>
            </w:tcBorders>
            <w:tcMar>
              <w:top w:w="0" w:type="dxa"/>
              <w:left w:w="53" w:type="dxa"/>
              <w:bottom w:w="0" w:type="dxa"/>
              <w:right w:w="53" w:type="dxa"/>
            </w:tcMar>
            <w:vAlign w:val="bottom"/>
          </w:tcPr>
          <w:p w14:paraId="6884C491" w14:textId="77777777" w:rsidR="001614AC" w:rsidRDefault="004468F9">
            <w:pPr>
              <w:spacing w:before="55" w:after="30" w:line="288" w:lineRule="auto"/>
            </w:pPr>
            <w:r>
              <w:rPr>
                <w:rFonts w:ascii="Arial" w:eastAsia="Arial" w:hAnsi="Arial" w:cs="Arial"/>
                <w:color w:val="000000"/>
                <w:sz w:val="18"/>
              </w:rPr>
              <w:t>RIF Ceded</w:t>
            </w:r>
          </w:p>
        </w:tc>
        <w:tc>
          <w:tcPr>
            <w:tcW w:w="105" w:type="dxa"/>
            <w:tcBorders>
              <w:top w:val="single" w:sz="8" w:space="0" w:color="C7C9C7"/>
              <w:left w:val="nil"/>
              <w:bottom w:val="nil"/>
              <w:right w:val="nil"/>
            </w:tcBorders>
            <w:tcMar>
              <w:top w:w="0" w:type="dxa"/>
              <w:left w:w="0" w:type="dxa"/>
              <w:bottom w:w="0" w:type="dxa"/>
              <w:right w:w="0" w:type="dxa"/>
            </w:tcMar>
            <w:vAlign w:val="bottom"/>
          </w:tcPr>
          <w:p w14:paraId="4875D780" w14:textId="77777777" w:rsidR="001614AC" w:rsidRDefault="001614AC"/>
        </w:tc>
        <w:tc>
          <w:tcPr>
            <w:tcW w:w="160" w:type="dxa"/>
            <w:tcBorders>
              <w:top w:val="single" w:sz="8" w:space="0" w:color="C7C9C7"/>
              <w:left w:val="nil"/>
              <w:bottom w:val="single" w:sz="8" w:space="0" w:color="E9E9E9"/>
              <w:right w:val="nil"/>
            </w:tcBorders>
            <w:tcMar>
              <w:top w:w="0" w:type="dxa"/>
              <w:left w:w="53" w:type="dxa"/>
              <w:bottom w:w="0" w:type="dxa"/>
              <w:right w:w="0" w:type="dxa"/>
            </w:tcMar>
            <w:vAlign w:val="bottom"/>
          </w:tcPr>
          <w:p w14:paraId="6BD927C2" w14:textId="77777777" w:rsidR="001614AC" w:rsidRDefault="004468F9">
            <w:pPr>
              <w:spacing w:before="55" w:after="30" w:line="288" w:lineRule="auto"/>
            </w:pPr>
            <w:r>
              <w:rPr>
                <w:rFonts w:ascii="Arial" w:eastAsia="Arial" w:hAnsi="Arial" w:cs="Arial"/>
                <w:color w:val="000000"/>
                <w:sz w:val="18"/>
              </w:rPr>
              <w:t>$</w:t>
            </w:r>
          </w:p>
        </w:tc>
        <w:tc>
          <w:tcPr>
            <w:tcW w:w="1960" w:type="dxa"/>
            <w:tcBorders>
              <w:top w:val="single" w:sz="8" w:space="0" w:color="C7C9C7"/>
              <w:left w:val="nil"/>
              <w:bottom w:val="single" w:sz="8" w:space="0" w:color="E9E9E9"/>
              <w:right w:val="nil"/>
            </w:tcBorders>
            <w:tcMar>
              <w:top w:w="0" w:type="dxa"/>
              <w:left w:w="0" w:type="dxa"/>
              <w:bottom w:w="0" w:type="dxa"/>
              <w:right w:w="0" w:type="dxa"/>
            </w:tcMar>
            <w:vAlign w:val="bottom"/>
          </w:tcPr>
          <w:p w14:paraId="04D72AA7" w14:textId="77777777" w:rsidR="001614AC" w:rsidRDefault="004468F9">
            <w:pPr>
              <w:spacing w:before="55" w:after="30" w:line="288" w:lineRule="auto"/>
              <w:jc w:val="right"/>
            </w:pPr>
            <w:r>
              <w:rPr>
                <w:rFonts w:ascii="Arial" w:eastAsia="Arial" w:hAnsi="Arial" w:cs="Arial"/>
                <w:color w:val="000000"/>
                <w:sz w:val="18"/>
              </w:rPr>
              <w:t>1,597 </w:t>
            </w:r>
          </w:p>
        </w:tc>
        <w:tc>
          <w:tcPr>
            <w:tcW w:w="100" w:type="dxa"/>
            <w:tcBorders>
              <w:top w:val="single" w:sz="8" w:space="0" w:color="C7C9C7"/>
              <w:left w:val="nil"/>
              <w:bottom w:val="single" w:sz="8" w:space="0" w:color="E9E9E9"/>
              <w:right w:val="nil"/>
            </w:tcBorders>
            <w:tcMar>
              <w:top w:w="0" w:type="dxa"/>
              <w:left w:w="0" w:type="dxa"/>
              <w:bottom w:w="0" w:type="dxa"/>
              <w:right w:w="15" w:type="dxa"/>
            </w:tcMar>
            <w:vAlign w:val="bottom"/>
          </w:tcPr>
          <w:p w14:paraId="4D8BEECE" w14:textId="77777777" w:rsidR="001614AC" w:rsidRDefault="001614AC">
            <w:pPr>
              <w:spacing w:before="55" w:after="30" w:line="288" w:lineRule="auto"/>
              <w:jc w:val="right"/>
            </w:pPr>
          </w:p>
        </w:tc>
        <w:tc>
          <w:tcPr>
            <w:tcW w:w="105" w:type="dxa"/>
            <w:tcBorders>
              <w:top w:val="single" w:sz="8" w:space="0" w:color="C7C9C7"/>
              <w:left w:val="nil"/>
              <w:bottom w:val="nil"/>
              <w:right w:val="nil"/>
            </w:tcBorders>
            <w:tcMar>
              <w:top w:w="0" w:type="dxa"/>
              <w:left w:w="0" w:type="dxa"/>
              <w:bottom w:w="0" w:type="dxa"/>
              <w:right w:w="0" w:type="dxa"/>
            </w:tcMar>
            <w:vAlign w:val="bottom"/>
          </w:tcPr>
          <w:p w14:paraId="0C554023" w14:textId="77777777" w:rsidR="001614AC" w:rsidRDefault="001614AC"/>
        </w:tc>
        <w:tc>
          <w:tcPr>
            <w:tcW w:w="160" w:type="dxa"/>
            <w:tcBorders>
              <w:top w:val="single" w:sz="8" w:space="0" w:color="C7C9C7"/>
              <w:left w:val="nil"/>
              <w:bottom w:val="single" w:sz="8" w:space="0" w:color="E9E9E9"/>
              <w:right w:val="nil"/>
            </w:tcBorders>
            <w:tcMar>
              <w:top w:w="0" w:type="dxa"/>
              <w:left w:w="53" w:type="dxa"/>
              <w:bottom w:w="0" w:type="dxa"/>
              <w:right w:w="0" w:type="dxa"/>
            </w:tcMar>
            <w:vAlign w:val="bottom"/>
          </w:tcPr>
          <w:p w14:paraId="3D8A3663" w14:textId="77777777" w:rsidR="001614AC" w:rsidRDefault="004468F9">
            <w:pPr>
              <w:spacing w:before="55" w:after="30" w:line="288" w:lineRule="auto"/>
            </w:pPr>
            <w:r>
              <w:rPr>
                <w:rFonts w:ascii="Arial" w:eastAsia="Arial" w:hAnsi="Arial" w:cs="Arial"/>
                <w:color w:val="000000"/>
                <w:sz w:val="18"/>
              </w:rPr>
              <w:t>$</w:t>
            </w:r>
          </w:p>
        </w:tc>
        <w:tc>
          <w:tcPr>
            <w:tcW w:w="1960" w:type="dxa"/>
            <w:tcBorders>
              <w:top w:val="single" w:sz="8" w:space="0" w:color="C7C9C7"/>
              <w:left w:val="nil"/>
              <w:bottom w:val="single" w:sz="8" w:space="0" w:color="E9E9E9"/>
              <w:right w:val="nil"/>
            </w:tcBorders>
            <w:tcMar>
              <w:top w:w="0" w:type="dxa"/>
              <w:left w:w="0" w:type="dxa"/>
              <w:bottom w:w="0" w:type="dxa"/>
              <w:right w:w="0" w:type="dxa"/>
            </w:tcMar>
            <w:vAlign w:val="bottom"/>
          </w:tcPr>
          <w:p w14:paraId="7A554C3A" w14:textId="77777777" w:rsidR="001614AC" w:rsidRDefault="004468F9">
            <w:pPr>
              <w:spacing w:before="55" w:after="30" w:line="288" w:lineRule="auto"/>
              <w:jc w:val="right"/>
            </w:pPr>
            <w:r>
              <w:rPr>
                <w:rFonts w:ascii="Arial" w:eastAsia="Arial" w:hAnsi="Arial" w:cs="Arial"/>
                <w:color w:val="000000"/>
                <w:sz w:val="18"/>
              </w:rPr>
              <w:t>1,979 </w:t>
            </w:r>
          </w:p>
        </w:tc>
        <w:tc>
          <w:tcPr>
            <w:tcW w:w="100" w:type="dxa"/>
            <w:tcBorders>
              <w:top w:val="single" w:sz="8" w:space="0" w:color="C7C9C7"/>
              <w:left w:val="nil"/>
              <w:bottom w:val="single" w:sz="8" w:space="0" w:color="E9E9E9"/>
              <w:right w:val="nil"/>
            </w:tcBorders>
            <w:tcMar>
              <w:top w:w="0" w:type="dxa"/>
              <w:left w:w="0" w:type="dxa"/>
              <w:bottom w:w="0" w:type="dxa"/>
              <w:right w:w="15" w:type="dxa"/>
            </w:tcMar>
            <w:vAlign w:val="bottom"/>
          </w:tcPr>
          <w:p w14:paraId="355A4C39" w14:textId="77777777" w:rsidR="001614AC" w:rsidRDefault="001614AC">
            <w:pPr>
              <w:spacing w:before="55" w:after="30" w:line="288" w:lineRule="auto"/>
              <w:jc w:val="right"/>
            </w:pPr>
          </w:p>
        </w:tc>
        <w:tc>
          <w:tcPr>
            <w:tcW w:w="105" w:type="dxa"/>
            <w:tcBorders>
              <w:top w:val="single" w:sz="8" w:space="0" w:color="C7C9C7"/>
              <w:left w:val="nil"/>
              <w:bottom w:val="nil"/>
              <w:right w:val="nil"/>
            </w:tcBorders>
            <w:tcMar>
              <w:top w:w="0" w:type="dxa"/>
              <w:left w:w="0" w:type="dxa"/>
              <w:bottom w:w="0" w:type="dxa"/>
              <w:right w:w="0" w:type="dxa"/>
            </w:tcMar>
            <w:vAlign w:val="bottom"/>
          </w:tcPr>
          <w:p w14:paraId="642B09FC" w14:textId="77777777" w:rsidR="001614AC" w:rsidRDefault="001614AC"/>
        </w:tc>
        <w:tc>
          <w:tcPr>
            <w:tcW w:w="160" w:type="dxa"/>
            <w:tcBorders>
              <w:top w:val="single" w:sz="8" w:space="0" w:color="C7C9C7"/>
              <w:left w:val="nil"/>
              <w:bottom w:val="single" w:sz="8" w:space="0" w:color="E9E9E9"/>
              <w:right w:val="nil"/>
            </w:tcBorders>
            <w:tcMar>
              <w:top w:w="0" w:type="dxa"/>
              <w:left w:w="53" w:type="dxa"/>
              <w:bottom w:w="0" w:type="dxa"/>
              <w:right w:w="0" w:type="dxa"/>
            </w:tcMar>
            <w:vAlign w:val="bottom"/>
          </w:tcPr>
          <w:p w14:paraId="622AFC3C" w14:textId="77777777" w:rsidR="001614AC" w:rsidRDefault="004468F9">
            <w:pPr>
              <w:spacing w:before="55" w:after="30" w:line="288" w:lineRule="auto"/>
            </w:pPr>
            <w:r>
              <w:rPr>
                <w:rFonts w:ascii="Arial" w:eastAsia="Arial" w:hAnsi="Arial" w:cs="Arial"/>
                <w:color w:val="000000"/>
                <w:sz w:val="18"/>
              </w:rPr>
              <w:t>$</w:t>
            </w:r>
          </w:p>
        </w:tc>
        <w:tc>
          <w:tcPr>
            <w:tcW w:w="1960" w:type="dxa"/>
            <w:tcBorders>
              <w:top w:val="single" w:sz="8" w:space="0" w:color="C7C9C7"/>
              <w:left w:val="nil"/>
              <w:bottom w:val="single" w:sz="8" w:space="0" w:color="E9E9E9"/>
              <w:right w:val="nil"/>
            </w:tcBorders>
            <w:tcMar>
              <w:top w:w="0" w:type="dxa"/>
              <w:left w:w="0" w:type="dxa"/>
              <w:bottom w:w="0" w:type="dxa"/>
              <w:right w:w="0" w:type="dxa"/>
            </w:tcMar>
            <w:vAlign w:val="bottom"/>
          </w:tcPr>
          <w:p w14:paraId="261B7505" w14:textId="77777777" w:rsidR="001614AC" w:rsidRDefault="004468F9">
            <w:pPr>
              <w:spacing w:before="55" w:after="30" w:line="288" w:lineRule="auto"/>
              <w:jc w:val="right"/>
            </w:pPr>
            <w:r>
              <w:rPr>
                <w:rFonts w:ascii="Arial" w:eastAsia="Arial" w:hAnsi="Arial" w:cs="Arial"/>
                <w:color w:val="000000"/>
                <w:sz w:val="18"/>
              </w:rPr>
              <w:t>3,071 </w:t>
            </w:r>
          </w:p>
        </w:tc>
        <w:tc>
          <w:tcPr>
            <w:tcW w:w="100" w:type="dxa"/>
            <w:tcBorders>
              <w:top w:val="single" w:sz="8" w:space="0" w:color="C7C9C7"/>
              <w:left w:val="nil"/>
              <w:bottom w:val="single" w:sz="8" w:space="0" w:color="E9E9E9"/>
              <w:right w:val="nil"/>
            </w:tcBorders>
            <w:tcMar>
              <w:top w:w="0" w:type="dxa"/>
              <w:left w:w="0" w:type="dxa"/>
              <w:bottom w:w="0" w:type="dxa"/>
              <w:right w:w="15" w:type="dxa"/>
            </w:tcMar>
            <w:vAlign w:val="bottom"/>
          </w:tcPr>
          <w:p w14:paraId="066517E3" w14:textId="77777777" w:rsidR="001614AC" w:rsidRDefault="001614AC">
            <w:pPr>
              <w:spacing w:before="55" w:after="30" w:line="288" w:lineRule="auto"/>
              <w:jc w:val="right"/>
            </w:pPr>
          </w:p>
        </w:tc>
      </w:tr>
    </w:tbl>
    <w:p w14:paraId="3B0F34D3" w14:textId="77777777" w:rsidR="001614AC" w:rsidRDefault="004468F9" w:rsidP="004468F9">
      <w:pPr>
        <w:keepNext/>
        <w:numPr>
          <w:ilvl w:val="0"/>
          <w:numId w:val="19"/>
        </w:numPr>
        <w:spacing w:line="288" w:lineRule="auto"/>
        <w:ind w:left="360"/>
        <w:rPr>
          <w:rFonts w:ascii="Arial" w:eastAsia="Arial" w:hAnsi="Arial" w:cs="Arial"/>
          <w:b/>
          <w:color w:val="64615D"/>
          <w:sz w:val="16"/>
        </w:rPr>
      </w:pPr>
      <w:r>
        <w:rPr>
          <w:rFonts w:ascii="Arial" w:eastAsia="Arial" w:hAnsi="Arial" w:cs="Arial"/>
          <w:color w:val="64615D"/>
          <w:sz w:val="16"/>
        </w:rPr>
        <w:t>Effective December 31, 2017, we amended the 2016 Single Premium QSR Agreement to increase the amount of ceded risk on performing loans under the agreement from 35% to 65%</w:t>
      </w:r>
      <w:r>
        <w:rPr>
          <w:rFonts w:ascii="Arial" w:eastAsia="Arial" w:hAnsi="Arial" w:cs="Arial"/>
          <w:color w:val="64615D"/>
          <w:sz w:val="16"/>
        </w:rPr>
        <w:t xml:space="preserve"> for the 2015 through 2017 vintages. Loans included in the 2012 through 2014 vintages, and any other loans subject to the agreement that were delinquent at the time of the amendment, were unaffected by the change and therefore the amount of ceded risk for </w:t>
      </w:r>
      <w:r>
        <w:rPr>
          <w:rFonts w:ascii="Arial" w:eastAsia="Arial" w:hAnsi="Arial" w:cs="Arial"/>
          <w:color w:val="64615D"/>
          <w:sz w:val="16"/>
        </w:rPr>
        <w:t>those loans continues to range from 20% to 35%.</w:t>
      </w:r>
    </w:p>
    <w:p w14:paraId="516A6961" w14:textId="77777777" w:rsidR="001614AC" w:rsidRDefault="004468F9">
      <w:pPr>
        <w:keepNext/>
        <w:spacing w:before="180" w:after="140" w:line="288" w:lineRule="auto"/>
        <w:rPr>
          <w:rFonts w:ascii="Arial" w:eastAsia="Arial" w:hAnsi="Arial" w:cs="Arial"/>
          <w:b/>
          <w:color w:val="002B49"/>
          <w:sz w:val="26"/>
        </w:rPr>
      </w:pPr>
      <w:r>
        <w:rPr>
          <w:rFonts w:ascii="Arial" w:eastAsia="Arial" w:hAnsi="Arial" w:cs="Arial"/>
          <w:b/>
          <w:color w:val="002B49"/>
          <w:sz w:val="26"/>
        </w:rPr>
        <w:t xml:space="preserve">Excess-of-Loss Program </w:t>
      </w:r>
    </w:p>
    <w:p w14:paraId="7A598933" w14:textId="77777777" w:rsidR="001614AC" w:rsidRDefault="004468F9">
      <w:pPr>
        <w:spacing w:before="100" w:after="100" w:line="288" w:lineRule="auto"/>
        <w:ind w:firstLine="450"/>
        <w:rPr>
          <w:rFonts w:ascii="Arial" w:eastAsia="Arial" w:hAnsi="Arial" w:cs="Arial"/>
          <w:b/>
          <w:color w:val="64615D"/>
          <w:sz w:val="18"/>
        </w:rPr>
      </w:pPr>
      <w:r>
        <w:rPr>
          <w:rFonts w:ascii="Arial" w:eastAsia="Arial" w:hAnsi="Arial" w:cs="Arial"/>
          <w:sz w:val="18"/>
        </w:rPr>
        <w:t>As of June 30, 2021, Radian Guaranty had entered into five</w:t>
      </w:r>
      <w:r>
        <w:rPr>
          <w:rFonts w:ascii="Arial" w:eastAsia="Arial" w:hAnsi="Arial" w:cs="Arial"/>
          <w:sz w:val="18"/>
        </w:rPr>
        <w:t xml:space="preserve"> fully collateralized reinsurance arrangements with the Eagle Re Issuers. For the respective coverage periods, Radian Guaranty retains the first-loss layer of aggregate losses, as well as any losses in excess of the outstanding reinsurance coverage amounts</w:t>
      </w:r>
      <w:r>
        <w:rPr>
          <w:rFonts w:ascii="Arial" w:eastAsia="Arial" w:hAnsi="Arial" w:cs="Arial"/>
          <w:sz w:val="18"/>
        </w:rPr>
        <w:t>. The Eagle Re Issuers provide second layer coverage up to the outstanding coverage amounts. For each of these five reinsurance arrangements, the Eagle Re Issuers financed their coverage by issuing mortgage insurance-linked notes to eligible capital market</w:t>
      </w:r>
      <w:r>
        <w:rPr>
          <w:rFonts w:ascii="Arial" w:eastAsia="Arial" w:hAnsi="Arial" w:cs="Arial"/>
          <w:sz w:val="18"/>
        </w:rPr>
        <w:t>s investors in unregistered private offerings. The aggregate excess-of-loss reinsurance coverage for these arrangements decreases over a 10-year period as the principal balances of the underlying covered mortgages decrease and as any claims are paid by the</w:t>
      </w:r>
      <w:r>
        <w:rPr>
          <w:rFonts w:ascii="Arial" w:eastAsia="Arial" w:hAnsi="Arial" w:cs="Arial"/>
          <w:sz w:val="18"/>
        </w:rPr>
        <w:t xml:space="preserve"> applicable Eagle Re Issuer or the mortgage insurance is canceled. Radian Guaranty has rights to terminate the reinsurance agreements upon the occurrence of certain events. </w:t>
      </w:r>
    </w:p>
    <w:p w14:paraId="57F156FF" w14:textId="77777777" w:rsidR="001614AC" w:rsidRDefault="004468F9">
      <w:pPr>
        <w:spacing w:before="100" w:after="100" w:line="288" w:lineRule="auto"/>
        <w:ind w:firstLine="450"/>
        <w:rPr>
          <w:b/>
          <w:color w:val="64615D"/>
          <w:sz w:val="18"/>
        </w:rPr>
      </w:pPr>
      <w:r>
        <w:rPr>
          <w:rFonts w:ascii="Arial" w:eastAsia="Arial" w:hAnsi="Arial" w:cs="Arial"/>
          <w:sz w:val="18"/>
        </w:rPr>
        <w:t>Under each of the reinsurance agreements, the outstanding reinsurance coverage amo</w:t>
      </w:r>
      <w:r>
        <w:rPr>
          <w:rFonts w:ascii="Arial" w:eastAsia="Arial" w:hAnsi="Arial" w:cs="Arial"/>
          <w:sz w:val="18"/>
        </w:rPr>
        <w:t>unt will begin amortizing after an initial period in which a target level of credit enhancement is obtained and will stop amortizing if certain thresholds, or triggers, are reached, including a delinquency trigger event based on an elevated level of delinq</w:t>
      </w:r>
      <w:r>
        <w:rPr>
          <w:rFonts w:ascii="Arial" w:eastAsia="Arial" w:hAnsi="Arial" w:cs="Arial"/>
          <w:sz w:val="18"/>
        </w:rPr>
        <w:t>uencies as defined in the related insurance-linked notes transaction agreements. With the exception of insurance-linked notes issued by Eagle Re 2020-2 Ltd and Eagle Re 2021-1 Ltd., the insurance-linked notes issued by the Eagle Re Issuers in connection wi</w:t>
      </w:r>
      <w:r>
        <w:rPr>
          <w:rFonts w:ascii="Arial" w:eastAsia="Arial" w:hAnsi="Arial" w:cs="Arial"/>
          <w:sz w:val="18"/>
        </w:rPr>
        <w:t>th our Excess-of-Loss Program are currently subject to a delinquency trigger event, which was first reported to the insurance-linked note investors on June 25, 2020. For the insurance-linked notes that are subject to a delinquency trigger event, both the a</w:t>
      </w:r>
      <w:r>
        <w:rPr>
          <w:rFonts w:ascii="Arial" w:eastAsia="Arial" w:hAnsi="Arial" w:cs="Arial"/>
          <w:sz w:val="18"/>
        </w:rPr>
        <w:t>mortization of the outstanding reinsurance coverage amount pursuant to our reinsurance arrangements with the Eagle Re Issuers and the amortization of the principal amount of the related insurance-linked notes issued by the Eagle Re Issuers have been suspen</w:t>
      </w:r>
      <w:r>
        <w:rPr>
          <w:rFonts w:ascii="Arial" w:eastAsia="Arial" w:hAnsi="Arial" w:cs="Arial"/>
          <w:sz w:val="18"/>
        </w:rPr>
        <w:t>ded and will continue to be suspended during the pendency of the trigger event.</w:t>
      </w:r>
    </w:p>
    <w:p w14:paraId="60A35D03" w14:textId="77777777" w:rsidR="001614AC" w:rsidRDefault="004468F9">
      <w:pPr>
        <w:keepNext/>
        <w:spacing w:before="100" w:after="100" w:line="288" w:lineRule="auto"/>
        <w:ind w:firstLine="450"/>
        <w:rPr>
          <w:rFonts w:ascii="Arial" w:eastAsia="Arial" w:hAnsi="Arial" w:cs="Arial"/>
          <w:b/>
          <w:color w:val="64615D"/>
          <w:sz w:val="18"/>
        </w:rPr>
      </w:pPr>
      <w:r>
        <w:rPr>
          <w:rFonts w:ascii="Arial" w:eastAsia="Arial" w:hAnsi="Arial" w:cs="Arial"/>
          <w:sz w:val="18"/>
        </w:rPr>
        <w:lastRenderedPageBreak/>
        <w:t>The following table sets forth additional details regarding the Excess-of-Loss Program as of June 30, 2021.</w:t>
      </w:r>
    </w:p>
    <w:tbl>
      <w:tblPr>
        <w:tblW w:w="102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1"/>
        <w:gridCol w:w="107"/>
        <w:gridCol w:w="163"/>
        <w:gridCol w:w="806"/>
        <w:gridCol w:w="102"/>
        <w:gridCol w:w="413"/>
        <w:gridCol w:w="107"/>
        <w:gridCol w:w="163"/>
        <w:gridCol w:w="806"/>
        <w:gridCol w:w="102"/>
        <w:gridCol w:w="413"/>
        <w:gridCol w:w="107"/>
        <w:gridCol w:w="163"/>
        <w:gridCol w:w="806"/>
        <w:gridCol w:w="102"/>
        <w:gridCol w:w="413"/>
        <w:gridCol w:w="107"/>
        <w:gridCol w:w="163"/>
        <w:gridCol w:w="806"/>
        <w:gridCol w:w="102"/>
        <w:gridCol w:w="413"/>
        <w:gridCol w:w="107"/>
        <w:gridCol w:w="163"/>
        <w:gridCol w:w="806"/>
        <w:gridCol w:w="102"/>
        <w:gridCol w:w="413"/>
      </w:tblGrid>
      <w:tr w:rsidR="001614AC" w14:paraId="475F7B74" w14:textId="77777777">
        <w:trPr>
          <w:cantSplit/>
        </w:trPr>
        <w:tc>
          <w:tcPr>
            <w:tcW w:w="10035" w:type="dxa"/>
            <w:gridSpan w:val="26"/>
            <w:tcBorders>
              <w:top w:val="nil"/>
              <w:left w:val="nil"/>
              <w:bottom w:val="single" w:sz="12" w:space="0" w:color="99AAB6"/>
              <w:right w:val="nil"/>
            </w:tcBorders>
            <w:tcMar>
              <w:top w:w="0" w:type="dxa"/>
              <w:left w:w="53" w:type="dxa"/>
              <w:bottom w:w="0" w:type="dxa"/>
              <w:right w:w="53" w:type="dxa"/>
            </w:tcMar>
            <w:vAlign w:val="bottom"/>
          </w:tcPr>
          <w:p w14:paraId="763416E6" w14:textId="77777777" w:rsidR="001614AC" w:rsidRDefault="004468F9">
            <w:pPr>
              <w:keepNext/>
              <w:spacing w:before="75" w:after="30" w:line="288" w:lineRule="auto"/>
              <w:rPr>
                <w:rFonts w:ascii="Arial" w:eastAsia="Arial" w:hAnsi="Arial" w:cs="Arial"/>
                <w:b/>
                <w:sz w:val="20"/>
              </w:rPr>
            </w:pPr>
            <w:r>
              <w:rPr>
                <w:rFonts w:ascii="Arial" w:eastAsia="Arial" w:hAnsi="Arial" w:cs="Arial"/>
                <w:b/>
                <w:sz w:val="20"/>
              </w:rPr>
              <w:t>Excess-of-Loss Program</w:t>
            </w:r>
          </w:p>
        </w:tc>
      </w:tr>
      <w:tr w:rsidR="001614AC" w14:paraId="41C44609" w14:textId="77777777">
        <w:trPr>
          <w:cantSplit/>
          <w:trHeight w:hRule="exact" w:val="135"/>
        </w:trPr>
        <w:tc>
          <w:tcPr>
            <w:tcW w:w="2235" w:type="dxa"/>
            <w:tcBorders>
              <w:top w:val="nil"/>
              <w:left w:val="nil"/>
              <w:bottom w:val="nil"/>
              <w:right w:val="nil"/>
            </w:tcBorders>
            <w:tcMar>
              <w:top w:w="0" w:type="dxa"/>
              <w:left w:w="0" w:type="dxa"/>
              <w:bottom w:w="0" w:type="dxa"/>
              <w:right w:w="0" w:type="dxa"/>
            </w:tcMar>
            <w:vAlign w:val="bottom"/>
          </w:tcPr>
          <w:p w14:paraId="350FDB65" w14:textId="77777777" w:rsidR="001614AC" w:rsidRDefault="001614AC">
            <w:pPr>
              <w:keepNext/>
            </w:pPr>
          </w:p>
        </w:tc>
        <w:tc>
          <w:tcPr>
            <w:tcW w:w="105" w:type="dxa"/>
            <w:tcBorders>
              <w:top w:val="single" w:sz="12" w:space="0" w:color="99AAB6"/>
              <w:left w:val="nil"/>
              <w:bottom w:val="nil"/>
              <w:right w:val="nil"/>
            </w:tcBorders>
            <w:tcMar>
              <w:top w:w="0" w:type="dxa"/>
              <w:left w:w="0" w:type="dxa"/>
              <w:bottom w:w="0" w:type="dxa"/>
              <w:right w:w="0" w:type="dxa"/>
            </w:tcMar>
            <w:vAlign w:val="bottom"/>
          </w:tcPr>
          <w:p w14:paraId="3C608BC1" w14:textId="77777777" w:rsidR="001614AC" w:rsidRDefault="001614AC">
            <w:pPr>
              <w:keepNext/>
            </w:pPr>
          </w:p>
        </w:tc>
        <w:tc>
          <w:tcPr>
            <w:tcW w:w="1050" w:type="dxa"/>
            <w:gridSpan w:val="3"/>
            <w:tcBorders>
              <w:top w:val="single" w:sz="12" w:space="0" w:color="99AAB6"/>
              <w:left w:val="nil"/>
              <w:bottom w:val="nil"/>
              <w:right w:val="nil"/>
            </w:tcBorders>
            <w:tcMar>
              <w:top w:w="0" w:type="dxa"/>
              <w:left w:w="0" w:type="dxa"/>
              <w:bottom w:w="0" w:type="dxa"/>
              <w:right w:w="0" w:type="dxa"/>
            </w:tcMar>
            <w:vAlign w:val="bottom"/>
          </w:tcPr>
          <w:p w14:paraId="5EDE51B0" w14:textId="77777777" w:rsidR="001614AC" w:rsidRDefault="001614AC">
            <w:pPr>
              <w:keepNext/>
            </w:pPr>
          </w:p>
        </w:tc>
        <w:tc>
          <w:tcPr>
            <w:tcW w:w="405" w:type="dxa"/>
            <w:tcBorders>
              <w:top w:val="single" w:sz="12" w:space="0" w:color="99AAB6"/>
              <w:left w:val="nil"/>
              <w:bottom w:val="nil"/>
              <w:right w:val="nil"/>
            </w:tcBorders>
            <w:tcMar>
              <w:top w:w="0" w:type="dxa"/>
              <w:left w:w="0" w:type="dxa"/>
              <w:bottom w:w="0" w:type="dxa"/>
              <w:right w:w="0" w:type="dxa"/>
            </w:tcMar>
            <w:vAlign w:val="bottom"/>
          </w:tcPr>
          <w:p w14:paraId="11F0C055" w14:textId="77777777" w:rsidR="001614AC" w:rsidRDefault="001614AC">
            <w:pPr>
              <w:keepNext/>
            </w:pPr>
          </w:p>
        </w:tc>
        <w:tc>
          <w:tcPr>
            <w:tcW w:w="105" w:type="dxa"/>
            <w:tcBorders>
              <w:top w:val="single" w:sz="12" w:space="0" w:color="99AAB6"/>
              <w:left w:val="nil"/>
              <w:bottom w:val="nil"/>
              <w:right w:val="nil"/>
            </w:tcBorders>
            <w:tcMar>
              <w:top w:w="0" w:type="dxa"/>
              <w:left w:w="0" w:type="dxa"/>
              <w:bottom w:w="0" w:type="dxa"/>
              <w:right w:w="0" w:type="dxa"/>
            </w:tcMar>
            <w:vAlign w:val="bottom"/>
          </w:tcPr>
          <w:p w14:paraId="5C0F25DD" w14:textId="77777777" w:rsidR="001614AC" w:rsidRDefault="001614AC">
            <w:pPr>
              <w:keepNext/>
            </w:pPr>
          </w:p>
        </w:tc>
        <w:tc>
          <w:tcPr>
            <w:tcW w:w="1050" w:type="dxa"/>
            <w:gridSpan w:val="3"/>
            <w:tcBorders>
              <w:top w:val="single" w:sz="12" w:space="0" w:color="99AAB6"/>
              <w:left w:val="nil"/>
              <w:bottom w:val="nil"/>
              <w:right w:val="nil"/>
            </w:tcBorders>
            <w:tcMar>
              <w:top w:w="0" w:type="dxa"/>
              <w:left w:w="0" w:type="dxa"/>
              <w:bottom w:w="0" w:type="dxa"/>
              <w:right w:w="0" w:type="dxa"/>
            </w:tcMar>
            <w:vAlign w:val="bottom"/>
          </w:tcPr>
          <w:p w14:paraId="4C2C76D6" w14:textId="77777777" w:rsidR="001614AC" w:rsidRDefault="001614AC">
            <w:pPr>
              <w:keepNext/>
            </w:pPr>
          </w:p>
        </w:tc>
        <w:tc>
          <w:tcPr>
            <w:tcW w:w="405" w:type="dxa"/>
            <w:tcBorders>
              <w:top w:val="single" w:sz="12" w:space="0" w:color="99AAB6"/>
              <w:left w:val="nil"/>
              <w:bottom w:val="nil"/>
              <w:right w:val="nil"/>
            </w:tcBorders>
            <w:tcMar>
              <w:top w:w="0" w:type="dxa"/>
              <w:left w:w="0" w:type="dxa"/>
              <w:bottom w:w="0" w:type="dxa"/>
              <w:right w:w="0" w:type="dxa"/>
            </w:tcMar>
            <w:vAlign w:val="bottom"/>
          </w:tcPr>
          <w:p w14:paraId="60D7CAA1" w14:textId="77777777" w:rsidR="001614AC" w:rsidRDefault="001614AC">
            <w:pPr>
              <w:keepNext/>
            </w:pPr>
          </w:p>
        </w:tc>
        <w:tc>
          <w:tcPr>
            <w:tcW w:w="105" w:type="dxa"/>
            <w:tcBorders>
              <w:top w:val="single" w:sz="12" w:space="0" w:color="99AAB6"/>
              <w:left w:val="nil"/>
              <w:bottom w:val="nil"/>
              <w:right w:val="nil"/>
            </w:tcBorders>
            <w:tcMar>
              <w:top w:w="0" w:type="dxa"/>
              <w:left w:w="0" w:type="dxa"/>
              <w:bottom w:w="0" w:type="dxa"/>
              <w:right w:w="0" w:type="dxa"/>
            </w:tcMar>
            <w:vAlign w:val="bottom"/>
          </w:tcPr>
          <w:p w14:paraId="518568FD" w14:textId="77777777" w:rsidR="001614AC" w:rsidRDefault="001614AC">
            <w:pPr>
              <w:keepNext/>
            </w:pPr>
          </w:p>
        </w:tc>
        <w:tc>
          <w:tcPr>
            <w:tcW w:w="1050" w:type="dxa"/>
            <w:gridSpan w:val="3"/>
            <w:tcBorders>
              <w:top w:val="single" w:sz="12" w:space="0" w:color="99AAB6"/>
              <w:left w:val="nil"/>
              <w:bottom w:val="nil"/>
              <w:right w:val="nil"/>
            </w:tcBorders>
            <w:tcMar>
              <w:top w:w="0" w:type="dxa"/>
              <w:left w:w="0" w:type="dxa"/>
              <w:bottom w:w="0" w:type="dxa"/>
              <w:right w:w="0" w:type="dxa"/>
            </w:tcMar>
            <w:vAlign w:val="bottom"/>
          </w:tcPr>
          <w:p w14:paraId="06199E56" w14:textId="77777777" w:rsidR="001614AC" w:rsidRDefault="001614AC">
            <w:pPr>
              <w:keepNext/>
            </w:pPr>
          </w:p>
        </w:tc>
        <w:tc>
          <w:tcPr>
            <w:tcW w:w="405" w:type="dxa"/>
            <w:tcBorders>
              <w:top w:val="single" w:sz="12" w:space="0" w:color="99AAB6"/>
              <w:left w:val="nil"/>
              <w:bottom w:val="nil"/>
              <w:right w:val="nil"/>
            </w:tcBorders>
            <w:tcMar>
              <w:top w:w="0" w:type="dxa"/>
              <w:left w:w="0" w:type="dxa"/>
              <w:bottom w:w="0" w:type="dxa"/>
              <w:right w:w="0" w:type="dxa"/>
            </w:tcMar>
            <w:vAlign w:val="bottom"/>
          </w:tcPr>
          <w:p w14:paraId="1FDBF65A" w14:textId="77777777" w:rsidR="001614AC" w:rsidRDefault="001614AC">
            <w:pPr>
              <w:keepNext/>
            </w:pPr>
          </w:p>
        </w:tc>
        <w:tc>
          <w:tcPr>
            <w:tcW w:w="105" w:type="dxa"/>
            <w:tcBorders>
              <w:top w:val="single" w:sz="12" w:space="0" w:color="99AAB6"/>
              <w:left w:val="nil"/>
              <w:bottom w:val="nil"/>
              <w:right w:val="nil"/>
            </w:tcBorders>
            <w:tcMar>
              <w:top w:w="0" w:type="dxa"/>
              <w:left w:w="0" w:type="dxa"/>
              <w:bottom w:w="0" w:type="dxa"/>
              <w:right w:w="0" w:type="dxa"/>
            </w:tcMar>
            <w:vAlign w:val="bottom"/>
          </w:tcPr>
          <w:p w14:paraId="54869B82" w14:textId="77777777" w:rsidR="001614AC" w:rsidRDefault="001614AC">
            <w:pPr>
              <w:keepNext/>
            </w:pPr>
          </w:p>
        </w:tc>
        <w:tc>
          <w:tcPr>
            <w:tcW w:w="1050" w:type="dxa"/>
            <w:gridSpan w:val="3"/>
            <w:tcBorders>
              <w:top w:val="single" w:sz="12" w:space="0" w:color="99AAB6"/>
              <w:left w:val="nil"/>
              <w:bottom w:val="nil"/>
              <w:right w:val="nil"/>
            </w:tcBorders>
            <w:tcMar>
              <w:top w:w="0" w:type="dxa"/>
              <w:left w:w="0" w:type="dxa"/>
              <w:bottom w:w="0" w:type="dxa"/>
              <w:right w:w="0" w:type="dxa"/>
            </w:tcMar>
            <w:vAlign w:val="bottom"/>
          </w:tcPr>
          <w:p w14:paraId="4B08A8A3" w14:textId="77777777" w:rsidR="001614AC" w:rsidRDefault="001614AC">
            <w:pPr>
              <w:keepNext/>
            </w:pPr>
          </w:p>
        </w:tc>
        <w:tc>
          <w:tcPr>
            <w:tcW w:w="405" w:type="dxa"/>
            <w:tcBorders>
              <w:top w:val="single" w:sz="12" w:space="0" w:color="99AAB6"/>
              <w:left w:val="nil"/>
              <w:bottom w:val="nil"/>
              <w:right w:val="nil"/>
            </w:tcBorders>
            <w:tcMar>
              <w:top w:w="0" w:type="dxa"/>
              <w:left w:w="0" w:type="dxa"/>
              <w:bottom w:w="0" w:type="dxa"/>
              <w:right w:w="0" w:type="dxa"/>
            </w:tcMar>
            <w:vAlign w:val="bottom"/>
          </w:tcPr>
          <w:p w14:paraId="263A49F6" w14:textId="77777777" w:rsidR="001614AC" w:rsidRDefault="001614AC">
            <w:pPr>
              <w:keepNext/>
            </w:pPr>
          </w:p>
        </w:tc>
        <w:tc>
          <w:tcPr>
            <w:tcW w:w="105" w:type="dxa"/>
            <w:tcBorders>
              <w:top w:val="single" w:sz="12" w:space="0" w:color="99AAB6"/>
              <w:left w:val="nil"/>
              <w:bottom w:val="nil"/>
              <w:right w:val="nil"/>
            </w:tcBorders>
            <w:tcMar>
              <w:top w:w="0" w:type="dxa"/>
              <w:left w:w="0" w:type="dxa"/>
              <w:bottom w:w="0" w:type="dxa"/>
              <w:right w:w="0" w:type="dxa"/>
            </w:tcMar>
            <w:vAlign w:val="bottom"/>
          </w:tcPr>
          <w:p w14:paraId="2534268E" w14:textId="77777777" w:rsidR="001614AC" w:rsidRDefault="001614AC">
            <w:pPr>
              <w:keepNext/>
            </w:pPr>
          </w:p>
        </w:tc>
        <w:tc>
          <w:tcPr>
            <w:tcW w:w="1050" w:type="dxa"/>
            <w:gridSpan w:val="3"/>
            <w:tcBorders>
              <w:top w:val="single" w:sz="12" w:space="0" w:color="99AAB6"/>
              <w:left w:val="nil"/>
              <w:bottom w:val="nil"/>
              <w:right w:val="nil"/>
            </w:tcBorders>
            <w:tcMar>
              <w:top w:w="0" w:type="dxa"/>
              <w:left w:w="0" w:type="dxa"/>
              <w:bottom w:w="0" w:type="dxa"/>
              <w:right w:w="0" w:type="dxa"/>
            </w:tcMar>
            <w:vAlign w:val="bottom"/>
          </w:tcPr>
          <w:p w14:paraId="5CB7D44D" w14:textId="77777777" w:rsidR="001614AC" w:rsidRDefault="001614AC">
            <w:pPr>
              <w:keepNext/>
            </w:pPr>
          </w:p>
        </w:tc>
        <w:tc>
          <w:tcPr>
            <w:tcW w:w="405" w:type="dxa"/>
            <w:tcBorders>
              <w:top w:val="single" w:sz="12" w:space="0" w:color="99AAB6"/>
              <w:left w:val="nil"/>
              <w:bottom w:val="nil"/>
              <w:right w:val="nil"/>
            </w:tcBorders>
            <w:tcMar>
              <w:top w:w="0" w:type="dxa"/>
              <w:left w:w="0" w:type="dxa"/>
              <w:bottom w:w="0" w:type="dxa"/>
              <w:right w:w="0" w:type="dxa"/>
            </w:tcMar>
            <w:vAlign w:val="bottom"/>
          </w:tcPr>
          <w:p w14:paraId="13586917" w14:textId="77777777" w:rsidR="001614AC" w:rsidRDefault="001614AC">
            <w:pPr>
              <w:keepNext/>
            </w:pPr>
          </w:p>
        </w:tc>
      </w:tr>
      <w:tr w:rsidR="001614AC" w14:paraId="4DBB7401" w14:textId="77777777">
        <w:trPr>
          <w:cantSplit/>
        </w:trPr>
        <w:tc>
          <w:tcPr>
            <w:tcW w:w="2235" w:type="dxa"/>
            <w:tcBorders>
              <w:top w:val="nil"/>
              <w:left w:val="nil"/>
              <w:bottom w:val="single" w:sz="8" w:space="0" w:color="C7C9C7"/>
              <w:right w:val="nil"/>
            </w:tcBorders>
            <w:tcMar>
              <w:top w:w="0" w:type="dxa"/>
              <w:left w:w="53" w:type="dxa"/>
              <w:bottom w:w="0" w:type="dxa"/>
              <w:right w:w="53" w:type="dxa"/>
            </w:tcMar>
            <w:vAlign w:val="bottom"/>
          </w:tcPr>
          <w:p w14:paraId="21BFA754" w14:textId="77777777" w:rsidR="001614AC" w:rsidRDefault="004468F9">
            <w:pPr>
              <w:keepNext/>
              <w:spacing w:before="75" w:after="30" w:line="288" w:lineRule="auto"/>
            </w:pPr>
            <w:r>
              <w:rPr>
                <w:rFonts w:ascii="Arial" w:eastAsia="Arial" w:hAnsi="Arial" w:cs="Arial"/>
                <w:color w:val="8B8886"/>
                <w:sz w:val="16"/>
              </w:rPr>
              <w:t>(In millions)</w:t>
            </w:r>
          </w:p>
        </w:tc>
        <w:tc>
          <w:tcPr>
            <w:tcW w:w="105" w:type="dxa"/>
            <w:tcBorders>
              <w:top w:val="nil"/>
              <w:left w:val="nil"/>
              <w:bottom w:val="single" w:sz="8" w:space="0" w:color="C7C9C7"/>
              <w:right w:val="nil"/>
            </w:tcBorders>
            <w:tcMar>
              <w:top w:w="0" w:type="dxa"/>
              <w:left w:w="0" w:type="dxa"/>
              <w:bottom w:w="0" w:type="dxa"/>
              <w:right w:w="0" w:type="dxa"/>
            </w:tcMar>
            <w:vAlign w:val="bottom"/>
          </w:tcPr>
          <w:p w14:paraId="5083161C" w14:textId="77777777" w:rsidR="001614AC" w:rsidRDefault="001614AC">
            <w:pPr>
              <w:keepNext/>
            </w:pPr>
          </w:p>
        </w:tc>
        <w:tc>
          <w:tcPr>
            <w:tcW w:w="1455" w:type="dxa"/>
            <w:gridSpan w:val="4"/>
            <w:tcBorders>
              <w:top w:val="nil"/>
              <w:left w:val="nil"/>
              <w:bottom w:val="single" w:sz="8" w:space="0" w:color="C7C9C7"/>
              <w:right w:val="nil"/>
            </w:tcBorders>
            <w:shd w:val="clear" w:color="auto" w:fill="F4F4F4"/>
            <w:tcMar>
              <w:top w:w="0" w:type="dxa"/>
              <w:left w:w="53" w:type="dxa"/>
              <w:bottom w:w="0" w:type="dxa"/>
              <w:right w:w="53" w:type="dxa"/>
            </w:tcMar>
            <w:vAlign w:val="bottom"/>
          </w:tcPr>
          <w:p w14:paraId="4FF40CC8" w14:textId="77777777" w:rsidR="001614AC" w:rsidRDefault="004468F9">
            <w:pPr>
              <w:keepNext/>
              <w:spacing w:before="75" w:line="288" w:lineRule="auto"/>
              <w:jc w:val="center"/>
            </w:pPr>
            <w:r>
              <w:rPr>
                <w:rFonts w:ascii="Arial" w:eastAsia="Arial" w:hAnsi="Arial" w:cs="Arial"/>
                <w:b/>
                <w:color w:val="000000"/>
                <w:sz w:val="16"/>
              </w:rPr>
              <w:t>Eagle Re</w:t>
            </w:r>
          </w:p>
          <w:p w14:paraId="609B41FA" w14:textId="77777777" w:rsidR="001614AC" w:rsidRDefault="004468F9">
            <w:pPr>
              <w:spacing w:after="30" w:line="288" w:lineRule="auto"/>
              <w:jc w:val="center"/>
            </w:pPr>
            <w:r>
              <w:rPr>
                <w:rFonts w:ascii="Arial" w:eastAsia="Arial" w:hAnsi="Arial" w:cs="Arial"/>
                <w:b/>
                <w:color w:val="000000"/>
                <w:sz w:val="16"/>
              </w:rPr>
              <w:t>2021-1 Ltd.</w:t>
            </w:r>
          </w:p>
        </w:tc>
        <w:tc>
          <w:tcPr>
            <w:tcW w:w="105" w:type="dxa"/>
            <w:tcBorders>
              <w:top w:val="nil"/>
              <w:left w:val="nil"/>
              <w:bottom w:val="single" w:sz="8" w:space="0" w:color="C7C9C7"/>
              <w:right w:val="nil"/>
            </w:tcBorders>
            <w:tcMar>
              <w:top w:w="0" w:type="dxa"/>
              <w:left w:w="0" w:type="dxa"/>
              <w:bottom w:w="0" w:type="dxa"/>
              <w:right w:w="0" w:type="dxa"/>
            </w:tcMar>
            <w:vAlign w:val="bottom"/>
          </w:tcPr>
          <w:p w14:paraId="3F3EEE2F" w14:textId="77777777" w:rsidR="001614AC" w:rsidRDefault="001614AC">
            <w:pPr>
              <w:keepNext/>
            </w:pPr>
          </w:p>
        </w:tc>
        <w:tc>
          <w:tcPr>
            <w:tcW w:w="1455" w:type="dxa"/>
            <w:gridSpan w:val="4"/>
            <w:tcBorders>
              <w:top w:val="nil"/>
              <w:left w:val="nil"/>
              <w:bottom w:val="nil"/>
              <w:right w:val="nil"/>
            </w:tcBorders>
            <w:shd w:val="clear" w:color="auto" w:fill="F4F4F4"/>
            <w:tcMar>
              <w:top w:w="0" w:type="dxa"/>
              <w:left w:w="53" w:type="dxa"/>
              <w:bottom w:w="0" w:type="dxa"/>
              <w:right w:w="53" w:type="dxa"/>
            </w:tcMar>
            <w:vAlign w:val="bottom"/>
          </w:tcPr>
          <w:p w14:paraId="6C445D29" w14:textId="77777777" w:rsidR="001614AC" w:rsidRDefault="004468F9">
            <w:pPr>
              <w:keepNext/>
              <w:spacing w:before="75" w:line="288" w:lineRule="auto"/>
              <w:jc w:val="center"/>
            </w:pPr>
            <w:r>
              <w:rPr>
                <w:rFonts w:ascii="Arial" w:eastAsia="Arial" w:hAnsi="Arial" w:cs="Arial"/>
                <w:b/>
                <w:color w:val="000000"/>
                <w:sz w:val="16"/>
              </w:rPr>
              <w:t>Eagle Re</w:t>
            </w:r>
          </w:p>
          <w:p w14:paraId="15B6D0CE" w14:textId="77777777" w:rsidR="001614AC" w:rsidRDefault="004468F9">
            <w:pPr>
              <w:spacing w:after="30" w:line="288" w:lineRule="auto"/>
              <w:jc w:val="center"/>
            </w:pPr>
            <w:r>
              <w:rPr>
                <w:rFonts w:ascii="Arial" w:eastAsia="Arial" w:hAnsi="Arial" w:cs="Arial"/>
                <w:b/>
                <w:color w:val="000000"/>
                <w:sz w:val="16"/>
              </w:rPr>
              <w:t>2020-2 Ltd.</w:t>
            </w:r>
          </w:p>
        </w:tc>
        <w:tc>
          <w:tcPr>
            <w:tcW w:w="105" w:type="dxa"/>
            <w:tcBorders>
              <w:top w:val="nil"/>
              <w:left w:val="nil"/>
              <w:bottom w:val="single" w:sz="8" w:space="0" w:color="C7C9C7"/>
              <w:right w:val="nil"/>
            </w:tcBorders>
            <w:tcMar>
              <w:top w:w="0" w:type="dxa"/>
              <w:left w:w="0" w:type="dxa"/>
              <w:bottom w:w="0" w:type="dxa"/>
              <w:right w:w="0" w:type="dxa"/>
            </w:tcMar>
            <w:vAlign w:val="bottom"/>
          </w:tcPr>
          <w:p w14:paraId="21751953" w14:textId="77777777" w:rsidR="001614AC" w:rsidRDefault="001614AC">
            <w:pPr>
              <w:keepNext/>
            </w:pPr>
          </w:p>
        </w:tc>
        <w:tc>
          <w:tcPr>
            <w:tcW w:w="1455" w:type="dxa"/>
            <w:gridSpan w:val="4"/>
            <w:tcBorders>
              <w:top w:val="nil"/>
              <w:left w:val="nil"/>
              <w:bottom w:val="nil"/>
              <w:right w:val="nil"/>
            </w:tcBorders>
            <w:shd w:val="clear" w:color="auto" w:fill="F4F4F4"/>
            <w:tcMar>
              <w:top w:w="0" w:type="dxa"/>
              <w:left w:w="53" w:type="dxa"/>
              <w:bottom w:w="0" w:type="dxa"/>
              <w:right w:w="53" w:type="dxa"/>
            </w:tcMar>
            <w:vAlign w:val="bottom"/>
          </w:tcPr>
          <w:p w14:paraId="24593841" w14:textId="77777777" w:rsidR="001614AC" w:rsidRDefault="004468F9">
            <w:pPr>
              <w:keepNext/>
              <w:spacing w:before="75" w:line="288" w:lineRule="auto"/>
              <w:jc w:val="center"/>
            </w:pPr>
            <w:r>
              <w:rPr>
                <w:rFonts w:ascii="Arial" w:eastAsia="Arial" w:hAnsi="Arial" w:cs="Arial"/>
                <w:b/>
                <w:color w:val="000000"/>
                <w:sz w:val="16"/>
              </w:rPr>
              <w:t>Eagle Re</w:t>
            </w:r>
          </w:p>
          <w:p w14:paraId="0DCFEACF" w14:textId="77777777" w:rsidR="001614AC" w:rsidRDefault="004468F9">
            <w:pPr>
              <w:spacing w:after="30" w:line="288" w:lineRule="auto"/>
              <w:jc w:val="center"/>
            </w:pPr>
            <w:r>
              <w:rPr>
                <w:rFonts w:ascii="Arial" w:eastAsia="Arial" w:hAnsi="Arial" w:cs="Arial"/>
                <w:b/>
                <w:color w:val="000000"/>
                <w:sz w:val="16"/>
              </w:rPr>
              <w:t>2020-1 Ltd.</w:t>
            </w:r>
          </w:p>
        </w:tc>
        <w:tc>
          <w:tcPr>
            <w:tcW w:w="105" w:type="dxa"/>
            <w:tcBorders>
              <w:top w:val="nil"/>
              <w:left w:val="nil"/>
              <w:bottom w:val="single" w:sz="8" w:space="0" w:color="C7C9C7"/>
              <w:right w:val="nil"/>
            </w:tcBorders>
            <w:tcMar>
              <w:top w:w="0" w:type="dxa"/>
              <w:left w:w="0" w:type="dxa"/>
              <w:bottom w:w="0" w:type="dxa"/>
              <w:right w:w="0" w:type="dxa"/>
            </w:tcMar>
            <w:vAlign w:val="bottom"/>
          </w:tcPr>
          <w:p w14:paraId="7C6FCED4" w14:textId="77777777" w:rsidR="001614AC" w:rsidRDefault="001614AC">
            <w:pPr>
              <w:keepNext/>
            </w:pPr>
          </w:p>
        </w:tc>
        <w:tc>
          <w:tcPr>
            <w:tcW w:w="1455" w:type="dxa"/>
            <w:gridSpan w:val="4"/>
            <w:tcBorders>
              <w:top w:val="nil"/>
              <w:left w:val="nil"/>
              <w:bottom w:val="nil"/>
              <w:right w:val="nil"/>
            </w:tcBorders>
            <w:shd w:val="clear" w:color="auto" w:fill="F4F4F4"/>
            <w:tcMar>
              <w:top w:w="0" w:type="dxa"/>
              <w:left w:w="53" w:type="dxa"/>
              <w:bottom w:w="0" w:type="dxa"/>
              <w:right w:w="53" w:type="dxa"/>
            </w:tcMar>
            <w:vAlign w:val="bottom"/>
          </w:tcPr>
          <w:p w14:paraId="685E8DBB" w14:textId="77777777" w:rsidR="001614AC" w:rsidRDefault="004468F9">
            <w:pPr>
              <w:keepNext/>
              <w:spacing w:before="75" w:line="288" w:lineRule="auto"/>
              <w:jc w:val="center"/>
            </w:pPr>
            <w:r>
              <w:rPr>
                <w:rFonts w:ascii="Arial" w:eastAsia="Arial" w:hAnsi="Arial" w:cs="Arial"/>
                <w:b/>
                <w:color w:val="000000"/>
                <w:sz w:val="16"/>
              </w:rPr>
              <w:t>Eagle Re</w:t>
            </w:r>
          </w:p>
          <w:p w14:paraId="0E701C5F" w14:textId="77777777" w:rsidR="001614AC" w:rsidRDefault="004468F9">
            <w:pPr>
              <w:spacing w:after="30" w:line="288" w:lineRule="auto"/>
              <w:jc w:val="center"/>
            </w:pPr>
            <w:r>
              <w:rPr>
                <w:rFonts w:ascii="Arial" w:eastAsia="Arial" w:hAnsi="Arial" w:cs="Arial"/>
                <w:b/>
                <w:color w:val="000000"/>
                <w:sz w:val="16"/>
              </w:rPr>
              <w:t>2019-1 Ltd.</w:t>
            </w:r>
          </w:p>
        </w:tc>
        <w:tc>
          <w:tcPr>
            <w:tcW w:w="105" w:type="dxa"/>
            <w:tcBorders>
              <w:top w:val="nil"/>
              <w:left w:val="nil"/>
              <w:bottom w:val="single" w:sz="8" w:space="0" w:color="C7C9C7"/>
              <w:right w:val="nil"/>
            </w:tcBorders>
            <w:tcMar>
              <w:top w:w="0" w:type="dxa"/>
              <w:left w:w="0" w:type="dxa"/>
              <w:bottom w:w="0" w:type="dxa"/>
              <w:right w:w="0" w:type="dxa"/>
            </w:tcMar>
            <w:vAlign w:val="bottom"/>
          </w:tcPr>
          <w:p w14:paraId="7DFD2F64" w14:textId="77777777" w:rsidR="001614AC" w:rsidRDefault="001614AC">
            <w:pPr>
              <w:keepNext/>
            </w:pPr>
          </w:p>
        </w:tc>
        <w:tc>
          <w:tcPr>
            <w:tcW w:w="1455" w:type="dxa"/>
            <w:gridSpan w:val="4"/>
            <w:tcBorders>
              <w:top w:val="nil"/>
              <w:left w:val="nil"/>
              <w:bottom w:val="nil"/>
              <w:right w:val="nil"/>
            </w:tcBorders>
            <w:shd w:val="clear" w:color="auto" w:fill="F4F4F4"/>
            <w:tcMar>
              <w:top w:w="0" w:type="dxa"/>
              <w:left w:w="53" w:type="dxa"/>
              <w:bottom w:w="0" w:type="dxa"/>
              <w:right w:w="53" w:type="dxa"/>
            </w:tcMar>
            <w:vAlign w:val="bottom"/>
          </w:tcPr>
          <w:p w14:paraId="75100915" w14:textId="77777777" w:rsidR="001614AC" w:rsidRDefault="004468F9">
            <w:pPr>
              <w:keepNext/>
              <w:spacing w:before="75" w:line="288" w:lineRule="auto"/>
              <w:jc w:val="center"/>
            </w:pPr>
            <w:r>
              <w:rPr>
                <w:rFonts w:ascii="Arial" w:eastAsia="Arial" w:hAnsi="Arial" w:cs="Arial"/>
                <w:b/>
                <w:color w:val="000000"/>
                <w:sz w:val="16"/>
              </w:rPr>
              <w:t>Eagle Re</w:t>
            </w:r>
          </w:p>
          <w:p w14:paraId="03397147" w14:textId="77777777" w:rsidR="001614AC" w:rsidRDefault="004468F9">
            <w:pPr>
              <w:spacing w:after="30" w:line="288" w:lineRule="auto"/>
              <w:jc w:val="center"/>
            </w:pPr>
            <w:r>
              <w:rPr>
                <w:rFonts w:ascii="Arial" w:eastAsia="Arial" w:hAnsi="Arial" w:cs="Arial"/>
                <w:b/>
                <w:color w:val="000000"/>
                <w:sz w:val="16"/>
              </w:rPr>
              <w:t>2018-1 Ltd.</w:t>
            </w:r>
          </w:p>
        </w:tc>
      </w:tr>
      <w:tr w:rsidR="001614AC" w14:paraId="18443DB6" w14:textId="77777777">
        <w:trPr>
          <w:cantSplit/>
        </w:trPr>
        <w:tc>
          <w:tcPr>
            <w:tcW w:w="2235" w:type="dxa"/>
            <w:tcBorders>
              <w:top w:val="single" w:sz="8" w:space="0" w:color="C7C9C7"/>
              <w:left w:val="nil"/>
              <w:bottom w:val="single" w:sz="8" w:space="0" w:color="E9E9E9"/>
              <w:right w:val="nil"/>
            </w:tcBorders>
            <w:tcMar>
              <w:top w:w="0" w:type="dxa"/>
              <w:left w:w="53" w:type="dxa"/>
              <w:bottom w:w="0" w:type="dxa"/>
              <w:right w:w="53" w:type="dxa"/>
            </w:tcMar>
            <w:vAlign w:val="bottom"/>
          </w:tcPr>
          <w:p w14:paraId="2B5E2195" w14:textId="77777777" w:rsidR="001614AC" w:rsidRDefault="004468F9">
            <w:pPr>
              <w:keepNext/>
              <w:spacing w:before="55" w:after="30" w:line="288" w:lineRule="auto"/>
            </w:pPr>
            <w:r>
              <w:rPr>
                <w:rFonts w:ascii="Arial" w:eastAsia="Arial" w:hAnsi="Arial" w:cs="Arial"/>
                <w:color w:val="000000"/>
                <w:sz w:val="18"/>
              </w:rPr>
              <w:t>Issued</w:t>
            </w:r>
          </w:p>
        </w:tc>
        <w:tc>
          <w:tcPr>
            <w:tcW w:w="105" w:type="dxa"/>
            <w:tcBorders>
              <w:top w:val="single" w:sz="8" w:space="0" w:color="C7C9C7"/>
              <w:left w:val="nil"/>
              <w:bottom w:val="nil"/>
              <w:right w:val="nil"/>
            </w:tcBorders>
            <w:tcMar>
              <w:top w:w="0" w:type="dxa"/>
              <w:left w:w="0" w:type="dxa"/>
              <w:bottom w:w="0" w:type="dxa"/>
              <w:right w:w="0" w:type="dxa"/>
            </w:tcMar>
            <w:vAlign w:val="bottom"/>
          </w:tcPr>
          <w:p w14:paraId="553B2C17" w14:textId="77777777" w:rsidR="001614AC" w:rsidRDefault="001614AC">
            <w:pPr>
              <w:keepNext/>
            </w:pPr>
          </w:p>
        </w:tc>
        <w:tc>
          <w:tcPr>
            <w:tcW w:w="1455" w:type="dxa"/>
            <w:gridSpan w:val="4"/>
            <w:tcBorders>
              <w:top w:val="nil"/>
              <w:left w:val="nil"/>
              <w:bottom w:val="single" w:sz="8" w:space="0" w:color="E9E9E9"/>
              <w:right w:val="nil"/>
            </w:tcBorders>
            <w:tcMar>
              <w:top w:w="0" w:type="dxa"/>
              <w:left w:w="53" w:type="dxa"/>
              <w:bottom w:w="0" w:type="dxa"/>
              <w:right w:w="53" w:type="dxa"/>
            </w:tcMar>
            <w:vAlign w:val="bottom"/>
          </w:tcPr>
          <w:p w14:paraId="5A175BD3" w14:textId="77777777" w:rsidR="001614AC" w:rsidRDefault="004468F9">
            <w:pPr>
              <w:keepNext/>
              <w:spacing w:before="55" w:after="30" w:line="288" w:lineRule="auto"/>
              <w:jc w:val="center"/>
            </w:pPr>
            <w:r>
              <w:rPr>
                <w:rFonts w:ascii="Arial" w:eastAsia="Arial" w:hAnsi="Arial" w:cs="Arial"/>
                <w:color w:val="000000"/>
                <w:sz w:val="18"/>
              </w:rPr>
              <w:t>April 2021</w:t>
            </w:r>
          </w:p>
        </w:tc>
        <w:tc>
          <w:tcPr>
            <w:tcW w:w="105" w:type="dxa"/>
            <w:tcBorders>
              <w:top w:val="single" w:sz="8" w:space="0" w:color="C7C9C7"/>
              <w:left w:val="nil"/>
              <w:bottom w:val="nil"/>
              <w:right w:val="nil"/>
            </w:tcBorders>
            <w:tcMar>
              <w:top w:w="0" w:type="dxa"/>
              <w:left w:w="0" w:type="dxa"/>
              <w:bottom w:w="0" w:type="dxa"/>
              <w:right w:w="0" w:type="dxa"/>
            </w:tcMar>
            <w:vAlign w:val="bottom"/>
          </w:tcPr>
          <w:p w14:paraId="4D2A95F4" w14:textId="77777777" w:rsidR="001614AC" w:rsidRDefault="001614AC">
            <w:pPr>
              <w:keepNext/>
            </w:pPr>
          </w:p>
        </w:tc>
        <w:tc>
          <w:tcPr>
            <w:tcW w:w="1455" w:type="dxa"/>
            <w:gridSpan w:val="4"/>
            <w:tcBorders>
              <w:top w:val="single" w:sz="8" w:space="0" w:color="C7C9C7"/>
              <w:left w:val="nil"/>
              <w:bottom w:val="single" w:sz="8" w:space="0" w:color="E9E9E9"/>
              <w:right w:val="nil"/>
            </w:tcBorders>
            <w:tcMar>
              <w:top w:w="0" w:type="dxa"/>
              <w:left w:w="53" w:type="dxa"/>
              <w:bottom w:w="0" w:type="dxa"/>
              <w:right w:w="53" w:type="dxa"/>
            </w:tcMar>
            <w:vAlign w:val="bottom"/>
          </w:tcPr>
          <w:p w14:paraId="75C7857C" w14:textId="77777777" w:rsidR="001614AC" w:rsidRDefault="004468F9">
            <w:pPr>
              <w:keepNext/>
              <w:spacing w:before="55" w:after="30" w:line="288" w:lineRule="auto"/>
              <w:jc w:val="center"/>
            </w:pPr>
            <w:r>
              <w:rPr>
                <w:rFonts w:ascii="Arial" w:eastAsia="Arial" w:hAnsi="Arial" w:cs="Arial"/>
                <w:color w:val="000000"/>
                <w:sz w:val="18"/>
              </w:rPr>
              <w:t>October 2020</w:t>
            </w:r>
          </w:p>
        </w:tc>
        <w:tc>
          <w:tcPr>
            <w:tcW w:w="105" w:type="dxa"/>
            <w:tcBorders>
              <w:top w:val="single" w:sz="8" w:space="0" w:color="C7C9C7"/>
              <w:left w:val="nil"/>
              <w:bottom w:val="nil"/>
              <w:right w:val="nil"/>
            </w:tcBorders>
            <w:tcMar>
              <w:top w:w="0" w:type="dxa"/>
              <w:left w:w="0" w:type="dxa"/>
              <w:bottom w:w="0" w:type="dxa"/>
              <w:right w:w="0" w:type="dxa"/>
            </w:tcMar>
            <w:vAlign w:val="bottom"/>
          </w:tcPr>
          <w:p w14:paraId="0258C9B5" w14:textId="77777777" w:rsidR="001614AC" w:rsidRDefault="001614AC">
            <w:pPr>
              <w:keepNext/>
            </w:pPr>
          </w:p>
        </w:tc>
        <w:tc>
          <w:tcPr>
            <w:tcW w:w="1455" w:type="dxa"/>
            <w:gridSpan w:val="4"/>
            <w:tcBorders>
              <w:top w:val="single" w:sz="8" w:space="0" w:color="C7C9C7"/>
              <w:left w:val="nil"/>
              <w:bottom w:val="single" w:sz="8" w:space="0" w:color="E9E9E9"/>
              <w:right w:val="nil"/>
            </w:tcBorders>
            <w:tcMar>
              <w:top w:w="0" w:type="dxa"/>
              <w:left w:w="53" w:type="dxa"/>
              <w:bottom w:w="0" w:type="dxa"/>
              <w:right w:w="53" w:type="dxa"/>
            </w:tcMar>
            <w:vAlign w:val="bottom"/>
          </w:tcPr>
          <w:p w14:paraId="233EC859" w14:textId="77777777" w:rsidR="001614AC" w:rsidRDefault="004468F9">
            <w:pPr>
              <w:keepNext/>
              <w:spacing w:before="55" w:after="30" w:line="288" w:lineRule="auto"/>
              <w:jc w:val="center"/>
            </w:pPr>
            <w:r>
              <w:rPr>
                <w:rFonts w:ascii="Arial" w:eastAsia="Arial" w:hAnsi="Arial" w:cs="Arial"/>
                <w:color w:val="000000"/>
                <w:sz w:val="18"/>
              </w:rPr>
              <w:t>February 2020</w:t>
            </w:r>
          </w:p>
        </w:tc>
        <w:tc>
          <w:tcPr>
            <w:tcW w:w="105" w:type="dxa"/>
            <w:tcBorders>
              <w:top w:val="single" w:sz="8" w:space="0" w:color="C7C9C7"/>
              <w:left w:val="nil"/>
              <w:bottom w:val="nil"/>
              <w:right w:val="nil"/>
            </w:tcBorders>
            <w:tcMar>
              <w:top w:w="0" w:type="dxa"/>
              <w:left w:w="0" w:type="dxa"/>
              <w:bottom w:w="0" w:type="dxa"/>
              <w:right w:w="0" w:type="dxa"/>
            </w:tcMar>
            <w:vAlign w:val="bottom"/>
          </w:tcPr>
          <w:p w14:paraId="3A98BC87" w14:textId="77777777" w:rsidR="001614AC" w:rsidRDefault="001614AC">
            <w:pPr>
              <w:keepNext/>
            </w:pPr>
          </w:p>
        </w:tc>
        <w:tc>
          <w:tcPr>
            <w:tcW w:w="1455" w:type="dxa"/>
            <w:gridSpan w:val="4"/>
            <w:tcBorders>
              <w:top w:val="single" w:sz="8" w:space="0" w:color="C7C9C7"/>
              <w:left w:val="nil"/>
              <w:bottom w:val="single" w:sz="8" w:space="0" w:color="E9E9E9"/>
              <w:right w:val="nil"/>
            </w:tcBorders>
            <w:tcMar>
              <w:top w:w="0" w:type="dxa"/>
              <w:left w:w="53" w:type="dxa"/>
              <w:bottom w:w="0" w:type="dxa"/>
              <w:right w:w="53" w:type="dxa"/>
            </w:tcMar>
            <w:vAlign w:val="bottom"/>
          </w:tcPr>
          <w:p w14:paraId="10854862" w14:textId="77777777" w:rsidR="001614AC" w:rsidRDefault="004468F9">
            <w:pPr>
              <w:keepNext/>
              <w:spacing w:before="55" w:after="30" w:line="288" w:lineRule="auto"/>
              <w:jc w:val="center"/>
            </w:pPr>
            <w:r>
              <w:rPr>
                <w:rFonts w:ascii="Arial" w:eastAsia="Arial" w:hAnsi="Arial" w:cs="Arial"/>
                <w:color w:val="000000"/>
                <w:sz w:val="18"/>
              </w:rPr>
              <w:t>April 2019</w:t>
            </w:r>
          </w:p>
        </w:tc>
        <w:tc>
          <w:tcPr>
            <w:tcW w:w="105" w:type="dxa"/>
            <w:tcBorders>
              <w:top w:val="single" w:sz="8" w:space="0" w:color="C7C9C7"/>
              <w:left w:val="nil"/>
              <w:bottom w:val="nil"/>
              <w:right w:val="nil"/>
            </w:tcBorders>
            <w:tcMar>
              <w:top w:w="0" w:type="dxa"/>
              <w:left w:w="0" w:type="dxa"/>
              <w:bottom w:w="0" w:type="dxa"/>
              <w:right w:w="0" w:type="dxa"/>
            </w:tcMar>
            <w:vAlign w:val="bottom"/>
          </w:tcPr>
          <w:p w14:paraId="64369A10" w14:textId="77777777" w:rsidR="001614AC" w:rsidRDefault="001614AC">
            <w:pPr>
              <w:keepNext/>
            </w:pPr>
          </w:p>
        </w:tc>
        <w:tc>
          <w:tcPr>
            <w:tcW w:w="1455" w:type="dxa"/>
            <w:gridSpan w:val="4"/>
            <w:tcBorders>
              <w:top w:val="single" w:sz="8" w:space="0" w:color="C7C9C7"/>
              <w:left w:val="nil"/>
              <w:bottom w:val="single" w:sz="8" w:space="0" w:color="E9E9E9"/>
              <w:right w:val="nil"/>
            </w:tcBorders>
            <w:tcMar>
              <w:top w:w="0" w:type="dxa"/>
              <w:left w:w="53" w:type="dxa"/>
              <w:bottom w:w="0" w:type="dxa"/>
              <w:right w:w="53" w:type="dxa"/>
            </w:tcMar>
            <w:vAlign w:val="bottom"/>
          </w:tcPr>
          <w:p w14:paraId="1DC13613" w14:textId="77777777" w:rsidR="001614AC" w:rsidRDefault="004468F9">
            <w:pPr>
              <w:keepNext/>
              <w:spacing w:before="55" w:after="30" w:line="288" w:lineRule="auto"/>
              <w:jc w:val="center"/>
            </w:pPr>
            <w:r>
              <w:rPr>
                <w:rFonts w:ascii="Arial" w:eastAsia="Arial" w:hAnsi="Arial" w:cs="Arial"/>
                <w:color w:val="000000"/>
                <w:sz w:val="18"/>
              </w:rPr>
              <w:t>November 2018</w:t>
            </w:r>
          </w:p>
        </w:tc>
      </w:tr>
      <w:tr w:rsidR="001614AC" w14:paraId="02502AA0" w14:textId="77777777">
        <w:trPr>
          <w:cantSplit/>
        </w:trPr>
        <w:tc>
          <w:tcPr>
            <w:tcW w:w="2235" w:type="dxa"/>
            <w:tcBorders>
              <w:top w:val="single" w:sz="8" w:space="0" w:color="E9E9E9"/>
              <w:left w:val="nil"/>
              <w:bottom w:val="single" w:sz="8" w:space="0" w:color="E9E9E9"/>
              <w:right w:val="nil"/>
            </w:tcBorders>
            <w:tcMar>
              <w:top w:w="0" w:type="dxa"/>
              <w:left w:w="53" w:type="dxa"/>
              <w:bottom w:w="0" w:type="dxa"/>
              <w:right w:w="53" w:type="dxa"/>
            </w:tcMar>
            <w:vAlign w:val="bottom"/>
          </w:tcPr>
          <w:p w14:paraId="0D003B8C" w14:textId="77777777" w:rsidR="001614AC" w:rsidRDefault="004468F9">
            <w:pPr>
              <w:keepNext/>
              <w:spacing w:before="55" w:after="30" w:line="288" w:lineRule="auto"/>
            </w:pPr>
            <w:r>
              <w:rPr>
                <w:rFonts w:ascii="Arial" w:eastAsia="Arial" w:hAnsi="Arial" w:cs="Arial"/>
                <w:color w:val="000000"/>
                <w:sz w:val="18"/>
              </w:rPr>
              <w:t>NIW Policy Dates</w:t>
            </w:r>
          </w:p>
        </w:tc>
        <w:tc>
          <w:tcPr>
            <w:tcW w:w="105" w:type="dxa"/>
            <w:tcBorders>
              <w:top w:val="nil"/>
              <w:left w:val="nil"/>
              <w:bottom w:val="nil"/>
              <w:right w:val="nil"/>
            </w:tcBorders>
            <w:tcMar>
              <w:top w:w="0" w:type="dxa"/>
              <w:left w:w="0" w:type="dxa"/>
              <w:bottom w:w="0" w:type="dxa"/>
              <w:right w:w="0" w:type="dxa"/>
            </w:tcMar>
            <w:vAlign w:val="bottom"/>
          </w:tcPr>
          <w:p w14:paraId="5CF927D3" w14:textId="77777777" w:rsidR="001614AC" w:rsidRDefault="001614AC">
            <w:pPr>
              <w:keepNext/>
            </w:pPr>
          </w:p>
        </w:tc>
        <w:tc>
          <w:tcPr>
            <w:tcW w:w="1455" w:type="dxa"/>
            <w:gridSpan w:val="4"/>
            <w:tcBorders>
              <w:top w:val="nil"/>
              <w:left w:val="nil"/>
              <w:bottom w:val="nil"/>
              <w:right w:val="nil"/>
            </w:tcBorders>
            <w:tcMar>
              <w:top w:w="0" w:type="dxa"/>
              <w:left w:w="53" w:type="dxa"/>
              <w:bottom w:w="0" w:type="dxa"/>
              <w:right w:w="53" w:type="dxa"/>
            </w:tcMar>
            <w:vAlign w:val="bottom"/>
          </w:tcPr>
          <w:p w14:paraId="5D79ABCF" w14:textId="77777777" w:rsidR="001614AC" w:rsidRDefault="004468F9">
            <w:pPr>
              <w:keepNext/>
              <w:spacing w:before="55" w:line="288" w:lineRule="auto"/>
              <w:jc w:val="center"/>
            </w:pPr>
            <w:r>
              <w:rPr>
                <w:rFonts w:ascii="Arial" w:eastAsia="Arial" w:hAnsi="Arial" w:cs="Arial"/>
                <w:color w:val="000000"/>
                <w:sz w:val="18"/>
              </w:rPr>
              <w:t>Aug 1, 2020-</w:t>
            </w:r>
          </w:p>
          <w:p w14:paraId="1FC0FC18" w14:textId="77777777" w:rsidR="001614AC" w:rsidRDefault="004468F9">
            <w:pPr>
              <w:spacing w:after="30" w:line="288" w:lineRule="auto"/>
              <w:jc w:val="center"/>
            </w:pPr>
            <w:r>
              <w:rPr>
                <w:rFonts w:ascii="Arial" w:eastAsia="Arial" w:hAnsi="Arial" w:cs="Arial"/>
                <w:color w:val="000000"/>
                <w:sz w:val="18"/>
              </w:rPr>
              <w:t>Dec 31, 2020</w:t>
            </w:r>
          </w:p>
        </w:tc>
        <w:tc>
          <w:tcPr>
            <w:tcW w:w="105" w:type="dxa"/>
            <w:tcBorders>
              <w:top w:val="nil"/>
              <w:left w:val="nil"/>
              <w:bottom w:val="nil"/>
              <w:right w:val="nil"/>
            </w:tcBorders>
            <w:tcMar>
              <w:top w:w="0" w:type="dxa"/>
              <w:left w:w="0" w:type="dxa"/>
              <w:bottom w:w="0" w:type="dxa"/>
              <w:right w:w="0" w:type="dxa"/>
            </w:tcMar>
            <w:vAlign w:val="bottom"/>
          </w:tcPr>
          <w:p w14:paraId="4993DAAB" w14:textId="77777777" w:rsidR="001614AC" w:rsidRDefault="001614AC">
            <w:pPr>
              <w:keepNext/>
            </w:pPr>
          </w:p>
        </w:tc>
        <w:tc>
          <w:tcPr>
            <w:tcW w:w="1455" w:type="dxa"/>
            <w:gridSpan w:val="4"/>
            <w:tcBorders>
              <w:top w:val="nil"/>
              <w:left w:val="nil"/>
              <w:bottom w:val="single" w:sz="8" w:space="0" w:color="E9E9E9"/>
              <w:right w:val="nil"/>
            </w:tcBorders>
            <w:tcMar>
              <w:top w:w="0" w:type="dxa"/>
              <w:left w:w="53" w:type="dxa"/>
              <w:bottom w:w="0" w:type="dxa"/>
              <w:right w:w="53" w:type="dxa"/>
            </w:tcMar>
            <w:vAlign w:val="bottom"/>
          </w:tcPr>
          <w:p w14:paraId="4838A391" w14:textId="77777777" w:rsidR="001614AC" w:rsidRDefault="004468F9">
            <w:pPr>
              <w:keepNext/>
              <w:spacing w:before="55" w:line="288" w:lineRule="auto"/>
              <w:jc w:val="center"/>
            </w:pPr>
            <w:r>
              <w:rPr>
                <w:rFonts w:ascii="Arial" w:eastAsia="Arial" w:hAnsi="Arial" w:cs="Arial"/>
                <w:color w:val="000000"/>
                <w:sz w:val="18"/>
              </w:rPr>
              <w:t>Oct 1, 2019-</w:t>
            </w:r>
          </w:p>
          <w:p w14:paraId="3FE7DC86" w14:textId="77777777" w:rsidR="001614AC" w:rsidRDefault="004468F9">
            <w:pPr>
              <w:spacing w:after="30" w:line="288" w:lineRule="auto"/>
              <w:jc w:val="center"/>
            </w:pPr>
            <w:r>
              <w:rPr>
                <w:rFonts w:ascii="Arial" w:eastAsia="Arial" w:hAnsi="Arial" w:cs="Arial"/>
                <w:color w:val="000000"/>
                <w:sz w:val="18"/>
              </w:rPr>
              <w:t>Jul 31, 2020</w:t>
            </w:r>
          </w:p>
        </w:tc>
        <w:tc>
          <w:tcPr>
            <w:tcW w:w="105" w:type="dxa"/>
            <w:tcBorders>
              <w:top w:val="nil"/>
              <w:left w:val="nil"/>
              <w:bottom w:val="nil"/>
              <w:right w:val="nil"/>
            </w:tcBorders>
            <w:tcMar>
              <w:top w:w="0" w:type="dxa"/>
              <w:left w:w="0" w:type="dxa"/>
              <w:bottom w:w="0" w:type="dxa"/>
              <w:right w:w="0" w:type="dxa"/>
            </w:tcMar>
            <w:vAlign w:val="bottom"/>
          </w:tcPr>
          <w:p w14:paraId="3D03DB45" w14:textId="77777777" w:rsidR="001614AC" w:rsidRDefault="001614AC">
            <w:pPr>
              <w:keepNext/>
            </w:pPr>
          </w:p>
        </w:tc>
        <w:tc>
          <w:tcPr>
            <w:tcW w:w="1455" w:type="dxa"/>
            <w:gridSpan w:val="4"/>
            <w:tcBorders>
              <w:top w:val="nil"/>
              <w:left w:val="nil"/>
              <w:bottom w:val="single" w:sz="8" w:space="0" w:color="E9E9E9"/>
              <w:right w:val="nil"/>
            </w:tcBorders>
            <w:tcMar>
              <w:top w:w="0" w:type="dxa"/>
              <w:left w:w="53" w:type="dxa"/>
              <w:bottom w:w="0" w:type="dxa"/>
              <w:right w:w="53" w:type="dxa"/>
            </w:tcMar>
            <w:vAlign w:val="bottom"/>
          </w:tcPr>
          <w:p w14:paraId="57FFB0B2" w14:textId="77777777" w:rsidR="001614AC" w:rsidRDefault="004468F9">
            <w:pPr>
              <w:keepNext/>
              <w:spacing w:before="55" w:line="288" w:lineRule="auto"/>
              <w:jc w:val="center"/>
            </w:pPr>
            <w:r>
              <w:rPr>
                <w:rFonts w:ascii="Arial" w:eastAsia="Arial" w:hAnsi="Arial" w:cs="Arial"/>
                <w:color w:val="000000"/>
                <w:sz w:val="18"/>
              </w:rPr>
              <w:t>Jan 1, 2019-</w:t>
            </w:r>
          </w:p>
          <w:p w14:paraId="072A7336" w14:textId="77777777" w:rsidR="001614AC" w:rsidRDefault="004468F9">
            <w:pPr>
              <w:spacing w:after="30" w:line="288" w:lineRule="auto"/>
              <w:jc w:val="center"/>
            </w:pPr>
            <w:r>
              <w:rPr>
                <w:rFonts w:ascii="Arial" w:eastAsia="Arial" w:hAnsi="Arial" w:cs="Arial"/>
                <w:color w:val="000000"/>
                <w:sz w:val="18"/>
              </w:rPr>
              <w:t>Sep 30, 2019</w:t>
            </w:r>
          </w:p>
        </w:tc>
        <w:tc>
          <w:tcPr>
            <w:tcW w:w="105" w:type="dxa"/>
            <w:tcBorders>
              <w:top w:val="nil"/>
              <w:left w:val="nil"/>
              <w:bottom w:val="nil"/>
              <w:right w:val="nil"/>
            </w:tcBorders>
            <w:tcMar>
              <w:top w:w="0" w:type="dxa"/>
              <w:left w:w="0" w:type="dxa"/>
              <w:bottom w:w="0" w:type="dxa"/>
              <w:right w:w="0" w:type="dxa"/>
            </w:tcMar>
            <w:vAlign w:val="bottom"/>
          </w:tcPr>
          <w:p w14:paraId="02928A3B" w14:textId="77777777" w:rsidR="001614AC" w:rsidRDefault="001614AC">
            <w:pPr>
              <w:keepNext/>
            </w:pPr>
          </w:p>
        </w:tc>
        <w:tc>
          <w:tcPr>
            <w:tcW w:w="1455" w:type="dxa"/>
            <w:gridSpan w:val="4"/>
            <w:tcBorders>
              <w:top w:val="nil"/>
              <w:left w:val="nil"/>
              <w:bottom w:val="single" w:sz="8" w:space="0" w:color="E9E9E9"/>
              <w:right w:val="nil"/>
            </w:tcBorders>
            <w:tcMar>
              <w:top w:w="0" w:type="dxa"/>
              <w:left w:w="53" w:type="dxa"/>
              <w:bottom w:w="0" w:type="dxa"/>
              <w:right w:w="53" w:type="dxa"/>
            </w:tcMar>
            <w:vAlign w:val="bottom"/>
          </w:tcPr>
          <w:p w14:paraId="4ACDA1F8" w14:textId="77777777" w:rsidR="001614AC" w:rsidRDefault="004468F9">
            <w:pPr>
              <w:keepNext/>
              <w:spacing w:before="55" w:line="288" w:lineRule="auto"/>
              <w:jc w:val="center"/>
            </w:pPr>
            <w:r>
              <w:rPr>
                <w:rFonts w:ascii="Arial" w:eastAsia="Arial" w:hAnsi="Arial" w:cs="Arial"/>
                <w:color w:val="000000"/>
                <w:sz w:val="18"/>
              </w:rPr>
              <w:t>Jan 1, 2018-</w:t>
            </w:r>
          </w:p>
          <w:p w14:paraId="4DCB8B33" w14:textId="77777777" w:rsidR="001614AC" w:rsidRDefault="004468F9">
            <w:pPr>
              <w:spacing w:after="30" w:line="288" w:lineRule="auto"/>
              <w:jc w:val="center"/>
            </w:pPr>
            <w:r>
              <w:rPr>
                <w:rFonts w:ascii="Arial" w:eastAsia="Arial" w:hAnsi="Arial" w:cs="Arial"/>
                <w:color w:val="000000"/>
                <w:sz w:val="18"/>
              </w:rPr>
              <w:t>Dec 31, 2018</w:t>
            </w:r>
          </w:p>
        </w:tc>
        <w:tc>
          <w:tcPr>
            <w:tcW w:w="105" w:type="dxa"/>
            <w:tcBorders>
              <w:top w:val="nil"/>
              <w:left w:val="nil"/>
              <w:bottom w:val="nil"/>
              <w:right w:val="nil"/>
            </w:tcBorders>
            <w:tcMar>
              <w:top w:w="0" w:type="dxa"/>
              <w:left w:w="0" w:type="dxa"/>
              <w:bottom w:w="0" w:type="dxa"/>
              <w:right w:w="0" w:type="dxa"/>
            </w:tcMar>
            <w:vAlign w:val="bottom"/>
          </w:tcPr>
          <w:p w14:paraId="14A807C9" w14:textId="77777777" w:rsidR="001614AC" w:rsidRDefault="001614AC">
            <w:pPr>
              <w:keepNext/>
            </w:pPr>
          </w:p>
        </w:tc>
        <w:tc>
          <w:tcPr>
            <w:tcW w:w="1455" w:type="dxa"/>
            <w:gridSpan w:val="4"/>
            <w:tcBorders>
              <w:top w:val="nil"/>
              <w:left w:val="nil"/>
              <w:bottom w:val="single" w:sz="8" w:space="0" w:color="E9E9E9"/>
              <w:right w:val="nil"/>
            </w:tcBorders>
            <w:tcMar>
              <w:top w:w="0" w:type="dxa"/>
              <w:left w:w="53" w:type="dxa"/>
              <w:bottom w:w="0" w:type="dxa"/>
              <w:right w:w="53" w:type="dxa"/>
            </w:tcMar>
            <w:vAlign w:val="bottom"/>
          </w:tcPr>
          <w:p w14:paraId="0D3F5ED9" w14:textId="77777777" w:rsidR="001614AC" w:rsidRDefault="004468F9">
            <w:pPr>
              <w:keepNext/>
              <w:spacing w:before="55" w:line="288" w:lineRule="auto"/>
              <w:jc w:val="center"/>
            </w:pPr>
            <w:r>
              <w:rPr>
                <w:rFonts w:ascii="Arial" w:eastAsia="Arial" w:hAnsi="Arial" w:cs="Arial"/>
                <w:color w:val="000000"/>
                <w:sz w:val="18"/>
              </w:rPr>
              <w:t xml:space="preserve">Jan 1, </w:t>
            </w:r>
            <w:r>
              <w:rPr>
                <w:rFonts w:ascii="Arial" w:eastAsia="Arial" w:hAnsi="Arial" w:cs="Arial"/>
                <w:color w:val="000000"/>
                <w:sz w:val="18"/>
              </w:rPr>
              <w:t>2017-</w:t>
            </w:r>
          </w:p>
          <w:p w14:paraId="5326607B" w14:textId="77777777" w:rsidR="001614AC" w:rsidRDefault="004468F9">
            <w:pPr>
              <w:spacing w:after="30" w:line="288" w:lineRule="auto"/>
              <w:jc w:val="center"/>
            </w:pPr>
            <w:r>
              <w:rPr>
                <w:rFonts w:ascii="Arial" w:eastAsia="Arial" w:hAnsi="Arial" w:cs="Arial"/>
                <w:color w:val="000000"/>
                <w:sz w:val="18"/>
              </w:rPr>
              <w:t>Dec 31, 2017</w:t>
            </w:r>
          </w:p>
        </w:tc>
      </w:tr>
      <w:tr w:rsidR="001614AC" w14:paraId="4410190E" w14:textId="77777777">
        <w:trPr>
          <w:cantSplit/>
        </w:trPr>
        <w:tc>
          <w:tcPr>
            <w:tcW w:w="2235" w:type="dxa"/>
            <w:tcBorders>
              <w:top w:val="single" w:sz="8" w:space="0" w:color="E9E9E9"/>
              <w:left w:val="nil"/>
              <w:bottom w:val="single" w:sz="8" w:space="0" w:color="E9E9E9"/>
              <w:right w:val="nil"/>
            </w:tcBorders>
            <w:tcMar>
              <w:top w:w="0" w:type="dxa"/>
              <w:left w:w="53" w:type="dxa"/>
              <w:bottom w:w="0" w:type="dxa"/>
              <w:right w:w="53" w:type="dxa"/>
            </w:tcMar>
            <w:vAlign w:val="bottom"/>
          </w:tcPr>
          <w:p w14:paraId="587FEABB" w14:textId="77777777" w:rsidR="001614AC" w:rsidRDefault="004468F9">
            <w:pPr>
              <w:keepNext/>
              <w:spacing w:before="55" w:after="30" w:line="288" w:lineRule="auto"/>
            </w:pPr>
            <w:r>
              <w:rPr>
                <w:rFonts w:ascii="Arial" w:eastAsia="Arial" w:hAnsi="Arial" w:cs="Arial"/>
                <w:color w:val="000000"/>
                <w:sz w:val="18"/>
              </w:rPr>
              <w:t>Initial RIF</w:t>
            </w:r>
          </w:p>
        </w:tc>
        <w:tc>
          <w:tcPr>
            <w:tcW w:w="105" w:type="dxa"/>
            <w:tcBorders>
              <w:top w:val="nil"/>
              <w:left w:val="nil"/>
              <w:bottom w:val="nil"/>
              <w:right w:val="nil"/>
            </w:tcBorders>
            <w:tcMar>
              <w:top w:w="0" w:type="dxa"/>
              <w:left w:w="0" w:type="dxa"/>
              <w:bottom w:w="0" w:type="dxa"/>
              <w:right w:w="0" w:type="dxa"/>
            </w:tcMar>
            <w:vAlign w:val="bottom"/>
          </w:tcPr>
          <w:p w14:paraId="3E5CE107" w14:textId="77777777" w:rsidR="001614AC" w:rsidRDefault="001614AC">
            <w:pPr>
              <w:keepNext/>
            </w:pPr>
          </w:p>
        </w:tc>
        <w:tc>
          <w:tcPr>
            <w:tcW w:w="160" w:type="dxa"/>
            <w:tcBorders>
              <w:top w:val="single" w:sz="8" w:space="0" w:color="E9E9E9"/>
              <w:left w:val="nil"/>
              <w:bottom w:val="single" w:sz="8" w:space="0" w:color="E9E9E9"/>
              <w:right w:val="nil"/>
            </w:tcBorders>
            <w:tcMar>
              <w:top w:w="0" w:type="dxa"/>
              <w:left w:w="53" w:type="dxa"/>
              <w:bottom w:w="0" w:type="dxa"/>
              <w:right w:w="0" w:type="dxa"/>
            </w:tcMar>
            <w:vAlign w:val="bottom"/>
          </w:tcPr>
          <w:p w14:paraId="0C3192E7" w14:textId="77777777" w:rsidR="001614AC" w:rsidRDefault="004468F9">
            <w:pPr>
              <w:keepNext/>
              <w:spacing w:before="55" w:after="30" w:line="288" w:lineRule="auto"/>
            </w:pPr>
            <w:r>
              <w:rPr>
                <w:rFonts w:ascii="Arial" w:eastAsia="Arial" w:hAnsi="Arial" w:cs="Arial"/>
                <w:color w:val="000000"/>
                <w:sz w:val="18"/>
              </w:rPr>
              <w:t>$</w:t>
            </w:r>
          </w:p>
        </w:tc>
        <w:tc>
          <w:tcPr>
            <w:tcW w:w="790" w:type="dxa"/>
            <w:tcBorders>
              <w:top w:val="single" w:sz="8" w:space="0" w:color="E9E9E9"/>
              <w:left w:val="nil"/>
              <w:bottom w:val="single" w:sz="8" w:space="0" w:color="E9E9E9"/>
              <w:right w:val="nil"/>
            </w:tcBorders>
            <w:tcMar>
              <w:top w:w="0" w:type="dxa"/>
              <w:left w:w="0" w:type="dxa"/>
              <w:bottom w:w="0" w:type="dxa"/>
              <w:right w:w="0" w:type="dxa"/>
            </w:tcMar>
            <w:vAlign w:val="bottom"/>
          </w:tcPr>
          <w:p w14:paraId="64DD54B9" w14:textId="77777777" w:rsidR="001614AC" w:rsidRDefault="004468F9">
            <w:pPr>
              <w:keepNext/>
              <w:spacing w:before="55" w:after="30" w:line="288" w:lineRule="auto"/>
              <w:jc w:val="right"/>
            </w:pPr>
            <w:r>
              <w:rPr>
                <w:rFonts w:ascii="Arial" w:eastAsia="Arial" w:hAnsi="Arial" w:cs="Arial"/>
                <w:color w:val="000000"/>
                <w:sz w:val="18"/>
              </w:rPr>
              <w:t>11,061 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1A082EE0" w14:textId="77777777" w:rsidR="001614AC" w:rsidRDefault="001614AC">
            <w:pPr>
              <w:keepNext/>
              <w:spacing w:before="55" w:after="30" w:line="288" w:lineRule="auto"/>
              <w:jc w:val="right"/>
            </w:pPr>
          </w:p>
        </w:tc>
        <w:tc>
          <w:tcPr>
            <w:tcW w:w="405" w:type="dxa"/>
            <w:tcBorders>
              <w:top w:val="single" w:sz="8" w:space="0" w:color="E9E9E9"/>
              <w:left w:val="nil"/>
              <w:bottom w:val="single" w:sz="8" w:space="0" w:color="E9E9E9"/>
              <w:right w:val="nil"/>
            </w:tcBorders>
            <w:tcMar>
              <w:top w:w="0" w:type="dxa"/>
              <w:left w:w="0" w:type="dxa"/>
              <w:bottom w:w="0" w:type="dxa"/>
              <w:right w:w="0" w:type="dxa"/>
            </w:tcMar>
            <w:vAlign w:val="bottom"/>
          </w:tcPr>
          <w:p w14:paraId="46FB0FE8" w14:textId="77777777" w:rsidR="001614AC" w:rsidRDefault="001614AC">
            <w:pPr>
              <w:keepNext/>
            </w:pPr>
          </w:p>
        </w:tc>
        <w:tc>
          <w:tcPr>
            <w:tcW w:w="105" w:type="dxa"/>
            <w:tcBorders>
              <w:top w:val="nil"/>
              <w:left w:val="nil"/>
              <w:bottom w:val="nil"/>
              <w:right w:val="nil"/>
            </w:tcBorders>
            <w:tcMar>
              <w:top w:w="0" w:type="dxa"/>
              <w:left w:w="0" w:type="dxa"/>
              <w:bottom w:w="0" w:type="dxa"/>
              <w:right w:w="0" w:type="dxa"/>
            </w:tcMar>
            <w:vAlign w:val="bottom"/>
          </w:tcPr>
          <w:p w14:paraId="289E0A87" w14:textId="77777777" w:rsidR="001614AC" w:rsidRDefault="001614AC">
            <w:pPr>
              <w:keepNext/>
            </w:pPr>
          </w:p>
        </w:tc>
        <w:tc>
          <w:tcPr>
            <w:tcW w:w="160" w:type="dxa"/>
            <w:tcBorders>
              <w:top w:val="nil"/>
              <w:left w:val="nil"/>
              <w:bottom w:val="single" w:sz="8" w:space="0" w:color="E9E9E9"/>
              <w:right w:val="nil"/>
            </w:tcBorders>
            <w:tcMar>
              <w:top w:w="0" w:type="dxa"/>
              <w:left w:w="53" w:type="dxa"/>
              <w:bottom w:w="0" w:type="dxa"/>
              <w:right w:w="0" w:type="dxa"/>
            </w:tcMar>
            <w:vAlign w:val="bottom"/>
          </w:tcPr>
          <w:p w14:paraId="5206AF50" w14:textId="77777777" w:rsidR="001614AC" w:rsidRDefault="004468F9">
            <w:pPr>
              <w:keepNext/>
              <w:spacing w:before="55" w:after="30" w:line="288" w:lineRule="auto"/>
            </w:pPr>
            <w:r>
              <w:rPr>
                <w:rFonts w:ascii="Arial" w:eastAsia="Arial" w:hAnsi="Arial" w:cs="Arial"/>
                <w:color w:val="000000"/>
                <w:sz w:val="18"/>
              </w:rPr>
              <w:t>$</w:t>
            </w:r>
          </w:p>
        </w:tc>
        <w:tc>
          <w:tcPr>
            <w:tcW w:w="790" w:type="dxa"/>
            <w:tcBorders>
              <w:top w:val="nil"/>
              <w:left w:val="nil"/>
              <w:bottom w:val="single" w:sz="8" w:space="0" w:color="E9E9E9"/>
              <w:right w:val="nil"/>
            </w:tcBorders>
            <w:tcMar>
              <w:top w:w="0" w:type="dxa"/>
              <w:left w:w="0" w:type="dxa"/>
              <w:bottom w:w="0" w:type="dxa"/>
              <w:right w:w="0" w:type="dxa"/>
            </w:tcMar>
            <w:vAlign w:val="bottom"/>
          </w:tcPr>
          <w:p w14:paraId="65807AD5" w14:textId="77777777" w:rsidR="001614AC" w:rsidRDefault="004468F9">
            <w:pPr>
              <w:keepNext/>
              <w:spacing w:before="55" w:after="30" w:line="288" w:lineRule="auto"/>
              <w:jc w:val="right"/>
            </w:pPr>
            <w:r>
              <w:rPr>
                <w:rFonts w:ascii="Arial" w:eastAsia="Arial" w:hAnsi="Arial" w:cs="Arial"/>
                <w:color w:val="000000"/>
                <w:sz w:val="18"/>
              </w:rPr>
              <w:t>13,011 </w:t>
            </w:r>
          </w:p>
        </w:tc>
        <w:tc>
          <w:tcPr>
            <w:tcW w:w="100" w:type="dxa"/>
            <w:tcBorders>
              <w:top w:val="nil"/>
              <w:left w:val="nil"/>
              <w:bottom w:val="single" w:sz="8" w:space="0" w:color="E9E9E9"/>
              <w:right w:val="nil"/>
            </w:tcBorders>
            <w:tcMar>
              <w:top w:w="0" w:type="dxa"/>
              <w:left w:w="0" w:type="dxa"/>
              <w:bottom w:w="0" w:type="dxa"/>
              <w:right w:w="15" w:type="dxa"/>
            </w:tcMar>
            <w:vAlign w:val="bottom"/>
          </w:tcPr>
          <w:p w14:paraId="0CF5375E" w14:textId="77777777" w:rsidR="001614AC" w:rsidRDefault="001614AC">
            <w:pPr>
              <w:keepNext/>
              <w:spacing w:before="55" w:after="30" w:line="288" w:lineRule="auto"/>
              <w:jc w:val="right"/>
            </w:pPr>
          </w:p>
        </w:tc>
        <w:tc>
          <w:tcPr>
            <w:tcW w:w="405" w:type="dxa"/>
            <w:tcBorders>
              <w:top w:val="single" w:sz="8" w:space="0" w:color="E9E9E9"/>
              <w:left w:val="nil"/>
              <w:bottom w:val="single" w:sz="8" w:space="0" w:color="E9E9E9"/>
              <w:right w:val="nil"/>
            </w:tcBorders>
            <w:tcMar>
              <w:top w:w="0" w:type="dxa"/>
              <w:left w:w="0" w:type="dxa"/>
              <w:bottom w:w="0" w:type="dxa"/>
              <w:right w:w="0" w:type="dxa"/>
            </w:tcMar>
            <w:vAlign w:val="bottom"/>
          </w:tcPr>
          <w:p w14:paraId="3659B989" w14:textId="77777777" w:rsidR="001614AC" w:rsidRDefault="001614AC">
            <w:pPr>
              <w:keepNext/>
            </w:pPr>
          </w:p>
        </w:tc>
        <w:tc>
          <w:tcPr>
            <w:tcW w:w="105" w:type="dxa"/>
            <w:tcBorders>
              <w:top w:val="nil"/>
              <w:left w:val="nil"/>
              <w:bottom w:val="nil"/>
              <w:right w:val="nil"/>
            </w:tcBorders>
            <w:tcMar>
              <w:top w:w="0" w:type="dxa"/>
              <w:left w:w="0" w:type="dxa"/>
              <w:bottom w:w="0" w:type="dxa"/>
              <w:right w:w="0" w:type="dxa"/>
            </w:tcMar>
            <w:vAlign w:val="bottom"/>
          </w:tcPr>
          <w:p w14:paraId="2B2F92F0" w14:textId="77777777" w:rsidR="001614AC" w:rsidRDefault="001614AC">
            <w:pPr>
              <w:keepNext/>
            </w:pPr>
          </w:p>
        </w:tc>
        <w:tc>
          <w:tcPr>
            <w:tcW w:w="160" w:type="dxa"/>
            <w:tcBorders>
              <w:top w:val="nil"/>
              <w:left w:val="nil"/>
              <w:bottom w:val="single" w:sz="8" w:space="0" w:color="E9E9E9"/>
              <w:right w:val="nil"/>
            </w:tcBorders>
            <w:tcMar>
              <w:top w:w="0" w:type="dxa"/>
              <w:left w:w="53" w:type="dxa"/>
              <w:bottom w:w="0" w:type="dxa"/>
              <w:right w:w="0" w:type="dxa"/>
            </w:tcMar>
            <w:vAlign w:val="bottom"/>
          </w:tcPr>
          <w:p w14:paraId="5B24D6AE" w14:textId="77777777" w:rsidR="001614AC" w:rsidRDefault="004468F9">
            <w:pPr>
              <w:keepNext/>
              <w:spacing w:before="55" w:after="30" w:line="288" w:lineRule="auto"/>
            </w:pPr>
            <w:r>
              <w:rPr>
                <w:rFonts w:ascii="Arial" w:eastAsia="Arial" w:hAnsi="Arial" w:cs="Arial"/>
                <w:color w:val="000000"/>
                <w:sz w:val="18"/>
              </w:rPr>
              <w:t>$</w:t>
            </w:r>
          </w:p>
        </w:tc>
        <w:tc>
          <w:tcPr>
            <w:tcW w:w="790" w:type="dxa"/>
            <w:tcBorders>
              <w:top w:val="nil"/>
              <w:left w:val="nil"/>
              <w:bottom w:val="single" w:sz="8" w:space="0" w:color="E9E9E9"/>
              <w:right w:val="nil"/>
            </w:tcBorders>
            <w:tcMar>
              <w:top w:w="0" w:type="dxa"/>
              <w:left w:w="0" w:type="dxa"/>
              <w:bottom w:w="0" w:type="dxa"/>
              <w:right w:w="0" w:type="dxa"/>
            </w:tcMar>
            <w:vAlign w:val="bottom"/>
          </w:tcPr>
          <w:p w14:paraId="2F4CB4B8" w14:textId="77777777" w:rsidR="001614AC" w:rsidRDefault="004468F9">
            <w:pPr>
              <w:keepNext/>
              <w:spacing w:before="55" w:after="30" w:line="288" w:lineRule="auto"/>
              <w:jc w:val="right"/>
            </w:pPr>
            <w:r>
              <w:rPr>
                <w:rFonts w:ascii="Arial" w:eastAsia="Arial" w:hAnsi="Arial" w:cs="Arial"/>
                <w:color w:val="000000"/>
                <w:sz w:val="18"/>
              </w:rPr>
              <w:t>9,866 </w:t>
            </w:r>
          </w:p>
        </w:tc>
        <w:tc>
          <w:tcPr>
            <w:tcW w:w="100" w:type="dxa"/>
            <w:tcBorders>
              <w:top w:val="nil"/>
              <w:left w:val="nil"/>
              <w:bottom w:val="single" w:sz="8" w:space="0" w:color="E9E9E9"/>
              <w:right w:val="nil"/>
            </w:tcBorders>
            <w:tcMar>
              <w:top w:w="0" w:type="dxa"/>
              <w:left w:w="0" w:type="dxa"/>
              <w:bottom w:w="0" w:type="dxa"/>
              <w:right w:w="15" w:type="dxa"/>
            </w:tcMar>
            <w:vAlign w:val="bottom"/>
          </w:tcPr>
          <w:p w14:paraId="2CBDB2B7" w14:textId="77777777" w:rsidR="001614AC" w:rsidRDefault="001614AC">
            <w:pPr>
              <w:keepNext/>
              <w:spacing w:before="55" w:after="30" w:line="288" w:lineRule="auto"/>
              <w:jc w:val="right"/>
            </w:pPr>
          </w:p>
        </w:tc>
        <w:tc>
          <w:tcPr>
            <w:tcW w:w="405" w:type="dxa"/>
            <w:tcBorders>
              <w:top w:val="single" w:sz="8" w:space="0" w:color="E9E9E9"/>
              <w:left w:val="nil"/>
              <w:bottom w:val="single" w:sz="8" w:space="0" w:color="E9E9E9"/>
              <w:right w:val="nil"/>
            </w:tcBorders>
            <w:tcMar>
              <w:top w:w="0" w:type="dxa"/>
              <w:left w:w="0" w:type="dxa"/>
              <w:bottom w:w="0" w:type="dxa"/>
              <w:right w:w="0" w:type="dxa"/>
            </w:tcMar>
            <w:vAlign w:val="bottom"/>
          </w:tcPr>
          <w:p w14:paraId="047DCEFB" w14:textId="77777777" w:rsidR="001614AC" w:rsidRDefault="001614AC">
            <w:pPr>
              <w:keepNext/>
            </w:pPr>
          </w:p>
        </w:tc>
        <w:tc>
          <w:tcPr>
            <w:tcW w:w="105" w:type="dxa"/>
            <w:tcBorders>
              <w:top w:val="nil"/>
              <w:left w:val="nil"/>
              <w:bottom w:val="nil"/>
              <w:right w:val="nil"/>
            </w:tcBorders>
            <w:tcMar>
              <w:top w:w="0" w:type="dxa"/>
              <w:left w:w="0" w:type="dxa"/>
              <w:bottom w:w="0" w:type="dxa"/>
              <w:right w:w="0" w:type="dxa"/>
            </w:tcMar>
            <w:vAlign w:val="bottom"/>
          </w:tcPr>
          <w:p w14:paraId="697A2502" w14:textId="77777777" w:rsidR="001614AC" w:rsidRDefault="001614AC">
            <w:pPr>
              <w:keepNext/>
            </w:pPr>
          </w:p>
        </w:tc>
        <w:tc>
          <w:tcPr>
            <w:tcW w:w="160" w:type="dxa"/>
            <w:tcBorders>
              <w:top w:val="nil"/>
              <w:left w:val="nil"/>
              <w:bottom w:val="single" w:sz="8" w:space="0" w:color="E9E9E9"/>
              <w:right w:val="nil"/>
            </w:tcBorders>
            <w:tcMar>
              <w:top w:w="0" w:type="dxa"/>
              <w:left w:w="53" w:type="dxa"/>
              <w:bottom w:w="0" w:type="dxa"/>
              <w:right w:w="0" w:type="dxa"/>
            </w:tcMar>
            <w:vAlign w:val="bottom"/>
          </w:tcPr>
          <w:p w14:paraId="0DEAB5EA" w14:textId="77777777" w:rsidR="001614AC" w:rsidRDefault="004468F9">
            <w:pPr>
              <w:keepNext/>
              <w:spacing w:before="55" w:after="30" w:line="288" w:lineRule="auto"/>
            </w:pPr>
            <w:r>
              <w:rPr>
                <w:rFonts w:ascii="Arial" w:eastAsia="Arial" w:hAnsi="Arial" w:cs="Arial"/>
                <w:color w:val="000000"/>
                <w:sz w:val="18"/>
              </w:rPr>
              <w:t>$</w:t>
            </w:r>
          </w:p>
        </w:tc>
        <w:tc>
          <w:tcPr>
            <w:tcW w:w="790" w:type="dxa"/>
            <w:tcBorders>
              <w:top w:val="nil"/>
              <w:left w:val="nil"/>
              <w:bottom w:val="single" w:sz="8" w:space="0" w:color="E9E9E9"/>
              <w:right w:val="nil"/>
            </w:tcBorders>
            <w:tcMar>
              <w:top w:w="0" w:type="dxa"/>
              <w:left w:w="0" w:type="dxa"/>
              <w:bottom w:w="0" w:type="dxa"/>
              <w:right w:w="0" w:type="dxa"/>
            </w:tcMar>
            <w:vAlign w:val="bottom"/>
          </w:tcPr>
          <w:p w14:paraId="005192FA" w14:textId="77777777" w:rsidR="001614AC" w:rsidRDefault="004468F9">
            <w:pPr>
              <w:keepNext/>
              <w:spacing w:before="55" w:after="30" w:line="288" w:lineRule="auto"/>
              <w:jc w:val="right"/>
            </w:pPr>
            <w:r>
              <w:rPr>
                <w:rFonts w:ascii="Arial" w:eastAsia="Arial" w:hAnsi="Arial" w:cs="Arial"/>
                <w:color w:val="000000"/>
                <w:sz w:val="18"/>
              </w:rPr>
              <w:t>10,705 </w:t>
            </w:r>
          </w:p>
        </w:tc>
        <w:tc>
          <w:tcPr>
            <w:tcW w:w="100" w:type="dxa"/>
            <w:tcBorders>
              <w:top w:val="nil"/>
              <w:left w:val="nil"/>
              <w:bottom w:val="single" w:sz="8" w:space="0" w:color="E9E9E9"/>
              <w:right w:val="nil"/>
            </w:tcBorders>
            <w:tcMar>
              <w:top w:w="0" w:type="dxa"/>
              <w:left w:w="0" w:type="dxa"/>
              <w:bottom w:w="0" w:type="dxa"/>
              <w:right w:w="15" w:type="dxa"/>
            </w:tcMar>
            <w:vAlign w:val="bottom"/>
          </w:tcPr>
          <w:p w14:paraId="54802070" w14:textId="77777777" w:rsidR="001614AC" w:rsidRDefault="001614AC">
            <w:pPr>
              <w:keepNext/>
              <w:spacing w:before="55" w:after="30" w:line="288" w:lineRule="auto"/>
              <w:jc w:val="right"/>
            </w:pPr>
          </w:p>
        </w:tc>
        <w:tc>
          <w:tcPr>
            <w:tcW w:w="405" w:type="dxa"/>
            <w:tcBorders>
              <w:top w:val="single" w:sz="8" w:space="0" w:color="E9E9E9"/>
              <w:left w:val="nil"/>
              <w:bottom w:val="single" w:sz="8" w:space="0" w:color="E9E9E9"/>
              <w:right w:val="nil"/>
            </w:tcBorders>
            <w:tcMar>
              <w:top w:w="0" w:type="dxa"/>
              <w:left w:w="0" w:type="dxa"/>
              <w:bottom w:w="0" w:type="dxa"/>
              <w:right w:w="0" w:type="dxa"/>
            </w:tcMar>
            <w:vAlign w:val="bottom"/>
          </w:tcPr>
          <w:p w14:paraId="52695B8E" w14:textId="77777777" w:rsidR="001614AC" w:rsidRDefault="001614AC">
            <w:pPr>
              <w:keepNext/>
            </w:pPr>
          </w:p>
        </w:tc>
        <w:tc>
          <w:tcPr>
            <w:tcW w:w="105" w:type="dxa"/>
            <w:tcBorders>
              <w:top w:val="nil"/>
              <w:left w:val="nil"/>
              <w:bottom w:val="nil"/>
              <w:right w:val="nil"/>
            </w:tcBorders>
            <w:tcMar>
              <w:top w:w="0" w:type="dxa"/>
              <w:left w:w="0" w:type="dxa"/>
              <w:bottom w:w="0" w:type="dxa"/>
              <w:right w:w="0" w:type="dxa"/>
            </w:tcMar>
            <w:vAlign w:val="bottom"/>
          </w:tcPr>
          <w:p w14:paraId="2EEA29E8" w14:textId="77777777" w:rsidR="001614AC" w:rsidRDefault="001614AC">
            <w:pPr>
              <w:keepNext/>
            </w:pPr>
          </w:p>
        </w:tc>
        <w:tc>
          <w:tcPr>
            <w:tcW w:w="160" w:type="dxa"/>
            <w:tcBorders>
              <w:top w:val="nil"/>
              <w:left w:val="nil"/>
              <w:bottom w:val="single" w:sz="8" w:space="0" w:color="E9E9E9"/>
              <w:right w:val="nil"/>
            </w:tcBorders>
            <w:tcMar>
              <w:top w:w="0" w:type="dxa"/>
              <w:left w:w="53" w:type="dxa"/>
              <w:bottom w:w="0" w:type="dxa"/>
              <w:right w:w="0" w:type="dxa"/>
            </w:tcMar>
            <w:vAlign w:val="bottom"/>
          </w:tcPr>
          <w:p w14:paraId="68568285" w14:textId="77777777" w:rsidR="001614AC" w:rsidRDefault="004468F9">
            <w:pPr>
              <w:keepNext/>
              <w:spacing w:before="55" w:after="30" w:line="288" w:lineRule="auto"/>
            </w:pPr>
            <w:r>
              <w:rPr>
                <w:rFonts w:ascii="Arial" w:eastAsia="Arial" w:hAnsi="Arial" w:cs="Arial"/>
                <w:color w:val="000000"/>
                <w:sz w:val="18"/>
              </w:rPr>
              <w:t>$</w:t>
            </w:r>
          </w:p>
        </w:tc>
        <w:tc>
          <w:tcPr>
            <w:tcW w:w="790" w:type="dxa"/>
            <w:tcBorders>
              <w:top w:val="nil"/>
              <w:left w:val="nil"/>
              <w:bottom w:val="single" w:sz="8" w:space="0" w:color="E9E9E9"/>
              <w:right w:val="nil"/>
            </w:tcBorders>
            <w:tcMar>
              <w:top w:w="0" w:type="dxa"/>
              <w:left w:w="0" w:type="dxa"/>
              <w:bottom w:w="0" w:type="dxa"/>
              <w:right w:w="0" w:type="dxa"/>
            </w:tcMar>
            <w:vAlign w:val="bottom"/>
          </w:tcPr>
          <w:p w14:paraId="59DA0EF8" w14:textId="77777777" w:rsidR="001614AC" w:rsidRDefault="004468F9">
            <w:pPr>
              <w:keepNext/>
              <w:spacing w:before="55" w:after="30" w:line="288" w:lineRule="auto"/>
              <w:jc w:val="right"/>
            </w:pPr>
            <w:r>
              <w:rPr>
                <w:rFonts w:ascii="Arial" w:eastAsia="Arial" w:hAnsi="Arial" w:cs="Arial"/>
                <w:color w:val="000000"/>
                <w:sz w:val="18"/>
              </w:rPr>
              <w:t>9,109 </w:t>
            </w:r>
          </w:p>
        </w:tc>
        <w:tc>
          <w:tcPr>
            <w:tcW w:w="100" w:type="dxa"/>
            <w:tcBorders>
              <w:top w:val="nil"/>
              <w:left w:val="nil"/>
              <w:bottom w:val="single" w:sz="8" w:space="0" w:color="E9E9E9"/>
              <w:right w:val="nil"/>
            </w:tcBorders>
            <w:tcMar>
              <w:top w:w="0" w:type="dxa"/>
              <w:left w:w="0" w:type="dxa"/>
              <w:bottom w:w="0" w:type="dxa"/>
              <w:right w:w="15" w:type="dxa"/>
            </w:tcMar>
            <w:vAlign w:val="bottom"/>
          </w:tcPr>
          <w:p w14:paraId="1D7D1417" w14:textId="77777777" w:rsidR="001614AC" w:rsidRDefault="001614AC">
            <w:pPr>
              <w:keepNext/>
              <w:spacing w:before="55" w:after="30" w:line="288" w:lineRule="auto"/>
              <w:jc w:val="right"/>
            </w:pPr>
          </w:p>
        </w:tc>
        <w:tc>
          <w:tcPr>
            <w:tcW w:w="405" w:type="dxa"/>
            <w:tcBorders>
              <w:top w:val="single" w:sz="8" w:space="0" w:color="E9E9E9"/>
              <w:left w:val="nil"/>
              <w:bottom w:val="single" w:sz="8" w:space="0" w:color="E9E9E9"/>
              <w:right w:val="nil"/>
            </w:tcBorders>
            <w:tcMar>
              <w:top w:w="0" w:type="dxa"/>
              <w:left w:w="0" w:type="dxa"/>
              <w:bottom w:w="0" w:type="dxa"/>
              <w:right w:w="0" w:type="dxa"/>
            </w:tcMar>
            <w:vAlign w:val="bottom"/>
          </w:tcPr>
          <w:p w14:paraId="62788195" w14:textId="77777777" w:rsidR="001614AC" w:rsidRDefault="001614AC">
            <w:pPr>
              <w:keepNext/>
            </w:pPr>
          </w:p>
        </w:tc>
      </w:tr>
      <w:tr w:rsidR="001614AC" w14:paraId="4FB4589D" w14:textId="77777777">
        <w:trPr>
          <w:cantSplit/>
        </w:trPr>
        <w:tc>
          <w:tcPr>
            <w:tcW w:w="2235" w:type="dxa"/>
            <w:tcBorders>
              <w:top w:val="single" w:sz="8" w:space="0" w:color="E9E9E9"/>
              <w:left w:val="nil"/>
              <w:bottom w:val="single" w:sz="8" w:space="0" w:color="E9E9E9"/>
              <w:right w:val="nil"/>
            </w:tcBorders>
            <w:tcMar>
              <w:top w:w="0" w:type="dxa"/>
              <w:left w:w="53" w:type="dxa"/>
              <w:bottom w:w="0" w:type="dxa"/>
              <w:right w:w="53" w:type="dxa"/>
            </w:tcMar>
            <w:vAlign w:val="bottom"/>
          </w:tcPr>
          <w:p w14:paraId="389E0574" w14:textId="77777777" w:rsidR="001614AC" w:rsidRDefault="004468F9">
            <w:pPr>
              <w:keepNext/>
              <w:spacing w:before="55" w:after="30" w:line="288" w:lineRule="auto"/>
            </w:pPr>
            <w:r>
              <w:rPr>
                <w:rFonts w:ascii="Arial" w:eastAsia="Arial" w:hAnsi="Arial" w:cs="Arial"/>
                <w:color w:val="000000"/>
                <w:sz w:val="18"/>
              </w:rPr>
              <w:t>Initial Coverage</w:t>
            </w:r>
          </w:p>
        </w:tc>
        <w:tc>
          <w:tcPr>
            <w:tcW w:w="105" w:type="dxa"/>
            <w:tcBorders>
              <w:top w:val="nil"/>
              <w:left w:val="nil"/>
              <w:bottom w:val="nil"/>
              <w:right w:val="nil"/>
            </w:tcBorders>
            <w:tcMar>
              <w:top w:w="0" w:type="dxa"/>
              <w:left w:w="0" w:type="dxa"/>
              <w:bottom w:w="0" w:type="dxa"/>
              <w:right w:w="0" w:type="dxa"/>
            </w:tcMar>
            <w:vAlign w:val="bottom"/>
          </w:tcPr>
          <w:p w14:paraId="2144050A" w14:textId="77777777" w:rsidR="001614AC" w:rsidRDefault="001614AC">
            <w:pPr>
              <w:keepNext/>
            </w:pPr>
          </w:p>
        </w:tc>
        <w:tc>
          <w:tcPr>
            <w:tcW w:w="950"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49821890" w14:textId="77777777" w:rsidR="001614AC" w:rsidRDefault="004468F9">
            <w:pPr>
              <w:keepNext/>
              <w:spacing w:before="55" w:after="30" w:line="288" w:lineRule="auto"/>
              <w:jc w:val="right"/>
            </w:pPr>
            <w:r>
              <w:rPr>
                <w:rFonts w:ascii="Arial" w:eastAsia="Arial" w:hAnsi="Arial" w:cs="Arial"/>
                <w:color w:val="000000"/>
                <w:sz w:val="18"/>
              </w:rPr>
              <w:t>498 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1EF5348A" w14:textId="77777777" w:rsidR="001614AC" w:rsidRDefault="001614AC">
            <w:pPr>
              <w:keepNext/>
              <w:spacing w:before="55" w:after="30" w:line="288" w:lineRule="auto"/>
              <w:jc w:val="right"/>
            </w:pPr>
          </w:p>
        </w:tc>
        <w:tc>
          <w:tcPr>
            <w:tcW w:w="405" w:type="dxa"/>
            <w:tcBorders>
              <w:top w:val="single" w:sz="8" w:space="0" w:color="E9E9E9"/>
              <w:left w:val="nil"/>
              <w:bottom w:val="single" w:sz="8" w:space="0" w:color="E9E9E9"/>
              <w:right w:val="nil"/>
            </w:tcBorders>
            <w:tcMar>
              <w:top w:w="0" w:type="dxa"/>
              <w:left w:w="53" w:type="dxa"/>
              <w:bottom w:w="0" w:type="dxa"/>
              <w:right w:w="53" w:type="dxa"/>
            </w:tcMar>
            <w:vAlign w:val="bottom"/>
          </w:tcPr>
          <w:p w14:paraId="3FED5F02" w14:textId="77777777" w:rsidR="001614AC" w:rsidRDefault="004468F9">
            <w:pPr>
              <w:keepNext/>
              <w:spacing w:before="55" w:after="30" w:line="288" w:lineRule="auto"/>
              <w:rPr>
                <w:rFonts w:ascii="Arial" w:eastAsia="Arial" w:hAnsi="Arial" w:cs="Arial"/>
                <w:sz w:val="18"/>
                <w:vertAlign w:val="superscript"/>
              </w:rPr>
            </w:pPr>
            <w:r>
              <w:rPr>
                <w:rFonts w:ascii="Arial" w:eastAsia="Arial" w:hAnsi="Arial" w:cs="Arial"/>
                <w:sz w:val="18"/>
                <w:vertAlign w:val="superscript"/>
              </w:rPr>
              <w:t>(1)</w:t>
            </w:r>
          </w:p>
        </w:tc>
        <w:tc>
          <w:tcPr>
            <w:tcW w:w="105" w:type="dxa"/>
            <w:tcBorders>
              <w:top w:val="nil"/>
              <w:left w:val="nil"/>
              <w:bottom w:val="nil"/>
              <w:right w:val="nil"/>
            </w:tcBorders>
            <w:tcMar>
              <w:top w:w="0" w:type="dxa"/>
              <w:left w:w="0" w:type="dxa"/>
              <w:bottom w:w="0" w:type="dxa"/>
              <w:right w:w="0" w:type="dxa"/>
            </w:tcMar>
            <w:vAlign w:val="bottom"/>
          </w:tcPr>
          <w:p w14:paraId="1062B781" w14:textId="77777777" w:rsidR="001614AC" w:rsidRDefault="001614AC">
            <w:pPr>
              <w:keepNext/>
            </w:pPr>
          </w:p>
        </w:tc>
        <w:tc>
          <w:tcPr>
            <w:tcW w:w="950"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3626994B" w14:textId="77777777" w:rsidR="001614AC" w:rsidRDefault="004468F9">
            <w:pPr>
              <w:keepNext/>
              <w:spacing w:before="55" w:after="30" w:line="288" w:lineRule="auto"/>
              <w:jc w:val="right"/>
            </w:pPr>
            <w:r>
              <w:rPr>
                <w:rFonts w:ascii="Arial" w:eastAsia="Arial" w:hAnsi="Arial" w:cs="Arial"/>
                <w:color w:val="000000"/>
                <w:sz w:val="18"/>
              </w:rPr>
              <w:t>390 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01D3AC64" w14:textId="77777777" w:rsidR="001614AC" w:rsidRDefault="001614AC">
            <w:pPr>
              <w:keepNext/>
              <w:spacing w:before="55" w:after="30" w:line="288" w:lineRule="auto"/>
              <w:jc w:val="right"/>
            </w:pPr>
          </w:p>
        </w:tc>
        <w:tc>
          <w:tcPr>
            <w:tcW w:w="405" w:type="dxa"/>
            <w:tcBorders>
              <w:top w:val="single" w:sz="8" w:space="0" w:color="E9E9E9"/>
              <w:left w:val="nil"/>
              <w:bottom w:val="single" w:sz="8" w:space="0" w:color="E9E9E9"/>
              <w:right w:val="nil"/>
            </w:tcBorders>
            <w:tcMar>
              <w:top w:w="0" w:type="dxa"/>
              <w:left w:w="0" w:type="dxa"/>
              <w:bottom w:w="0" w:type="dxa"/>
              <w:right w:w="0" w:type="dxa"/>
            </w:tcMar>
            <w:vAlign w:val="bottom"/>
          </w:tcPr>
          <w:p w14:paraId="30891926" w14:textId="77777777" w:rsidR="001614AC" w:rsidRDefault="001614AC">
            <w:pPr>
              <w:keepNext/>
            </w:pPr>
          </w:p>
        </w:tc>
        <w:tc>
          <w:tcPr>
            <w:tcW w:w="105" w:type="dxa"/>
            <w:tcBorders>
              <w:top w:val="nil"/>
              <w:left w:val="nil"/>
              <w:bottom w:val="nil"/>
              <w:right w:val="nil"/>
            </w:tcBorders>
            <w:tcMar>
              <w:top w:w="0" w:type="dxa"/>
              <w:left w:w="0" w:type="dxa"/>
              <w:bottom w:w="0" w:type="dxa"/>
              <w:right w:w="0" w:type="dxa"/>
            </w:tcMar>
            <w:vAlign w:val="bottom"/>
          </w:tcPr>
          <w:p w14:paraId="16968FB7" w14:textId="77777777" w:rsidR="001614AC" w:rsidRDefault="001614AC">
            <w:pPr>
              <w:keepNext/>
            </w:pPr>
          </w:p>
        </w:tc>
        <w:tc>
          <w:tcPr>
            <w:tcW w:w="950"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29141FD8" w14:textId="77777777" w:rsidR="001614AC" w:rsidRDefault="004468F9">
            <w:pPr>
              <w:keepNext/>
              <w:spacing w:before="55" w:after="30" w:line="288" w:lineRule="auto"/>
              <w:jc w:val="right"/>
            </w:pPr>
            <w:r>
              <w:rPr>
                <w:rFonts w:ascii="Arial" w:eastAsia="Arial" w:hAnsi="Arial" w:cs="Arial"/>
                <w:color w:val="000000"/>
                <w:sz w:val="18"/>
              </w:rPr>
              <w:t>488 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04167C70" w14:textId="77777777" w:rsidR="001614AC" w:rsidRDefault="001614AC">
            <w:pPr>
              <w:keepNext/>
              <w:spacing w:before="55" w:after="30" w:line="288" w:lineRule="auto"/>
              <w:jc w:val="right"/>
            </w:pPr>
          </w:p>
        </w:tc>
        <w:tc>
          <w:tcPr>
            <w:tcW w:w="405" w:type="dxa"/>
            <w:tcBorders>
              <w:top w:val="single" w:sz="8" w:space="0" w:color="E9E9E9"/>
              <w:left w:val="nil"/>
              <w:bottom w:val="single" w:sz="8" w:space="0" w:color="E9E9E9"/>
              <w:right w:val="nil"/>
            </w:tcBorders>
            <w:tcMar>
              <w:top w:w="0" w:type="dxa"/>
              <w:left w:w="0" w:type="dxa"/>
              <w:bottom w:w="0" w:type="dxa"/>
              <w:right w:w="0" w:type="dxa"/>
            </w:tcMar>
            <w:vAlign w:val="bottom"/>
          </w:tcPr>
          <w:p w14:paraId="6DB0756E" w14:textId="77777777" w:rsidR="001614AC" w:rsidRDefault="001614AC">
            <w:pPr>
              <w:keepNext/>
            </w:pPr>
          </w:p>
        </w:tc>
        <w:tc>
          <w:tcPr>
            <w:tcW w:w="105" w:type="dxa"/>
            <w:tcBorders>
              <w:top w:val="nil"/>
              <w:left w:val="nil"/>
              <w:bottom w:val="nil"/>
              <w:right w:val="nil"/>
            </w:tcBorders>
            <w:tcMar>
              <w:top w:w="0" w:type="dxa"/>
              <w:left w:w="0" w:type="dxa"/>
              <w:bottom w:w="0" w:type="dxa"/>
              <w:right w:w="0" w:type="dxa"/>
            </w:tcMar>
            <w:vAlign w:val="bottom"/>
          </w:tcPr>
          <w:p w14:paraId="2595E543" w14:textId="77777777" w:rsidR="001614AC" w:rsidRDefault="001614AC">
            <w:pPr>
              <w:keepNext/>
            </w:pPr>
          </w:p>
        </w:tc>
        <w:tc>
          <w:tcPr>
            <w:tcW w:w="950"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02890F30" w14:textId="77777777" w:rsidR="001614AC" w:rsidRDefault="004468F9">
            <w:pPr>
              <w:keepNext/>
              <w:spacing w:before="55" w:after="30" w:line="288" w:lineRule="auto"/>
              <w:jc w:val="right"/>
            </w:pPr>
            <w:r>
              <w:rPr>
                <w:rFonts w:ascii="Arial" w:eastAsia="Arial" w:hAnsi="Arial" w:cs="Arial"/>
                <w:color w:val="000000"/>
                <w:sz w:val="18"/>
              </w:rPr>
              <w:t>562 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5F1861BA" w14:textId="77777777" w:rsidR="001614AC" w:rsidRDefault="001614AC">
            <w:pPr>
              <w:keepNext/>
              <w:spacing w:before="55" w:after="30" w:line="288" w:lineRule="auto"/>
              <w:jc w:val="right"/>
            </w:pPr>
          </w:p>
        </w:tc>
        <w:tc>
          <w:tcPr>
            <w:tcW w:w="405" w:type="dxa"/>
            <w:tcBorders>
              <w:top w:val="single" w:sz="8" w:space="0" w:color="E9E9E9"/>
              <w:left w:val="nil"/>
              <w:bottom w:val="single" w:sz="8" w:space="0" w:color="E9E9E9"/>
              <w:right w:val="nil"/>
            </w:tcBorders>
            <w:tcMar>
              <w:top w:w="0" w:type="dxa"/>
              <w:left w:w="0" w:type="dxa"/>
              <w:bottom w:w="0" w:type="dxa"/>
              <w:right w:w="0" w:type="dxa"/>
            </w:tcMar>
            <w:vAlign w:val="bottom"/>
          </w:tcPr>
          <w:p w14:paraId="456A0CBE" w14:textId="77777777" w:rsidR="001614AC" w:rsidRDefault="001614AC">
            <w:pPr>
              <w:keepNext/>
            </w:pPr>
          </w:p>
        </w:tc>
        <w:tc>
          <w:tcPr>
            <w:tcW w:w="105" w:type="dxa"/>
            <w:tcBorders>
              <w:top w:val="nil"/>
              <w:left w:val="nil"/>
              <w:bottom w:val="nil"/>
              <w:right w:val="nil"/>
            </w:tcBorders>
            <w:tcMar>
              <w:top w:w="0" w:type="dxa"/>
              <w:left w:w="0" w:type="dxa"/>
              <w:bottom w:w="0" w:type="dxa"/>
              <w:right w:w="0" w:type="dxa"/>
            </w:tcMar>
            <w:vAlign w:val="bottom"/>
          </w:tcPr>
          <w:p w14:paraId="10779C49" w14:textId="77777777" w:rsidR="001614AC" w:rsidRDefault="001614AC">
            <w:pPr>
              <w:keepNext/>
            </w:pPr>
          </w:p>
        </w:tc>
        <w:tc>
          <w:tcPr>
            <w:tcW w:w="950"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57B34607" w14:textId="77777777" w:rsidR="001614AC" w:rsidRDefault="004468F9">
            <w:pPr>
              <w:keepNext/>
              <w:spacing w:before="55" w:after="30" w:line="288" w:lineRule="auto"/>
              <w:jc w:val="right"/>
            </w:pPr>
            <w:r>
              <w:rPr>
                <w:rFonts w:ascii="Arial" w:eastAsia="Arial" w:hAnsi="Arial" w:cs="Arial"/>
                <w:color w:val="000000"/>
                <w:sz w:val="18"/>
              </w:rPr>
              <w:t>434 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13926C83" w14:textId="77777777" w:rsidR="001614AC" w:rsidRDefault="001614AC">
            <w:pPr>
              <w:keepNext/>
              <w:spacing w:before="55" w:after="30" w:line="288" w:lineRule="auto"/>
              <w:jc w:val="right"/>
            </w:pPr>
          </w:p>
        </w:tc>
        <w:tc>
          <w:tcPr>
            <w:tcW w:w="405" w:type="dxa"/>
            <w:tcBorders>
              <w:top w:val="single" w:sz="8" w:space="0" w:color="E9E9E9"/>
              <w:left w:val="nil"/>
              <w:bottom w:val="single" w:sz="8" w:space="0" w:color="E9E9E9"/>
              <w:right w:val="nil"/>
            </w:tcBorders>
            <w:tcMar>
              <w:top w:w="0" w:type="dxa"/>
              <w:left w:w="53" w:type="dxa"/>
              <w:bottom w:w="0" w:type="dxa"/>
              <w:right w:w="53" w:type="dxa"/>
            </w:tcMar>
            <w:vAlign w:val="bottom"/>
          </w:tcPr>
          <w:p w14:paraId="73599BA1" w14:textId="77777777" w:rsidR="001614AC" w:rsidRDefault="004468F9">
            <w:pPr>
              <w:keepNext/>
              <w:spacing w:before="55" w:after="30" w:line="288" w:lineRule="auto"/>
              <w:rPr>
                <w:rFonts w:ascii="Arial" w:eastAsia="Arial" w:hAnsi="Arial" w:cs="Arial"/>
                <w:sz w:val="18"/>
                <w:vertAlign w:val="superscript"/>
              </w:rPr>
            </w:pPr>
            <w:r>
              <w:rPr>
                <w:rFonts w:ascii="Arial" w:eastAsia="Arial" w:hAnsi="Arial" w:cs="Arial"/>
                <w:sz w:val="18"/>
                <w:vertAlign w:val="superscript"/>
              </w:rPr>
              <w:t>(2)</w:t>
            </w:r>
          </w:p>
        </w:tc>
      </w:tr>
      <w:tr w:rsidR="001614AC" w14:paraId="20E97CE6" w14:textId="77777777">
        <w:trPr>
          <w:cantSplit/>
        </w:trPr>
        <w:tc>
          <w:tcPr>
            <w:tcW w:w="2235" w:type="dxa"/>
            <w:tcBorders>
              <w:top w:val="single" w:sz="8" w:space="0" w:color="E9E9E9"/>
              <w:left w:val="nil"/>
              <w:bottom w:val="single" w:sz="8" w:space="0" w:color="E9E9E9"/>
              <w:right w:val="nil"/>
            </w:tcBorders>
            <w:tcMar>
              <w:top w:w="0" w:type="dxa"/>
              <w:left w:w="53" w:type="dxa"/>
              <w:bottom w:w="0" w:type="dxa"/>
              <w:right w:w="53" w:type="dxa"/>
            </w:tcMar>
            <w:vAlign w:val="bottom"/>
          </w:tcPr>
          <w:p w14:paraId="54B852E1" w14:textId="77777777" w:rsidR="001614AC" w:rsidRDefault="004468F9">
            <w:pPr>
              <w:keepNext/>
              <w:spacing w:before="55" w:after="30" w:line="288" w:lineRule="auto"/>
            </w:pPr>
            <w:r>
              <w:rPr>
                <w:rFonts w:ascii="Arial" w:eastAsia="Arial" w:hAnsi="Arial" w:cs="Arial"/>
                <w:color w:val="000000"/>
                <w:sz w:val="18"/>
              </w:rPr>
              <w:t>Initial First La</w:t>
            </w:r>
            <w:r>
              <w:rPr>
                <w:rFonts w:ascii="Arial" w:eastAsia="Arial" w:hAnsi="Arial" w:cs="Arial"/>
                <w:color w:val="000000"/>
                <w:sz w:val="18"/>
              </w:rPr>
              <w:t>yer Retention</w:t>
            </w:r>
          </w:p>
        </w:tc>
        <w:tc>
          <w:tcPr>
            <w:tcW w:w="105" w:type="dxa"/>
            <w:tcBorders>
              <w:top w:val="nil"/>
              <w:left w:val="nil"/>
              <w:bottom w:val="nil"/>
              <w:right w:val="nil"/>
            </w:tcBorders>
            <w:tcMar>
              <w:top w:w="0" w:type="dxa"/>
              <w:left w:w="0" w:type="dxa"/>
              <w:bottom w:w="0" w:type="dxa"/>
              <w:right w:w="0" w:type="dxa"/>
            </w:tcMar>
            <w:vAlign w:val="bottom"/>
          </w:tcPr>
          <w:p w14:paraId="3E506565" w14:textId="77777777" w:rsidR="001614AC" w:rsidRDefault="001614AC">
            <w:pPr>
              <w:keepNext/>
            </w:pPr>
          </w:p>
        </w:tc>
        <w:tc>
          <w:tcPr>
            <w:tcW w:w="950"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2D4E9D7F" w14:textId="77777777" w:rsidR="001614AC" w:rsidRDefault="004468F9">
            <w:pPr>
              <w:keepNext/>
              <w:spacing w:before="55" w:after="30" w:line="288" w:lineRule="auto"/>
              <w:jc w:val="right"/>
            </w:pPr>
            <w:r>
              <w:rPr>
                <w:rFonts w:ascii="Arial" w:eastAsia="Arial" w:hAnsi="Arial" w:cs="Arial"/>
                <w:color w:val="000000"/>
                <w:sz w:val="18"/>
              </w:rPr>
              <w:t>221 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3BFCE7C1" w14:textId="77777777" w:rsidR="001614AC" w:rsidRDefault="001614AC">
            <w:pPr>
              <w:keepNext/>
              <w:spacing w:before="55" w:after="30" w:line="288" w:lineRule="auto"/>
              <w:jc w:val="right"/>
            </w:pPr>
          </w:p>
        </w:tc>
        <w:tc>
          <w:tcPr>
            <w:tcW w:w="405" w:type="dxa"/>
            <w:tcBorders>
              <w:top w:val="single" w:sz="8" w:space="0" w:color="E9E9E9"/>
              <w:left w:val="nil"/>
              <w:bottom w:val="single" w:sz="8" w:space="0" w:color="E9E9E9"/>
              <w:right w:val="nil"/>
            </w:tcBorders>
            <w:tcMar>
              <w:top w:w="0" w:type="dxa"/>
              <w:left w:w="0" w:type="dxa"/>
              <w:bottom w:w="0" w:type="dxa"/>
              <w:right w:w="0" w:type="dxa"/>
            </w:tcMar>
            <w:vAlign w:val="bottom"/>
          </w:tcPr>
          <w:p w14:paraId="7053B00D" w14:textId="77777777" w:rsidR="001614AC" w:rsidRDefault="001614AC">
            <w:pPr>
              <w:keepNext/>
            </w:pPr>
          </w:p>
        </w:tc>
        <w:tc>
          <w:tcPr>
            <w:tcW w:w="105" w:type="dxa"/>
            <w:tcBorders>
              <w:top w:val="nil"/>
              <w:left w:val="nil"/>
              <w:bottom w:val="nil"/>
              <w:right w:val="nil"/>
            </w:tcBorders>
            <w:tcMar>
              <w:top w:w="0" w:type="dxa"/>
              <w:left w:w="0" w:type="dxa"/>
              <w:bottom w:w="0" w:type="dxa"/>
              <w:right w:w="0" w:type="dxa"/>
            </w:tcMar>
            <w:vAlign w:val="bottom"/>
          </w:tcPr>
          <w:p w14:paraId="5595D3DD" w14:textId="77777777" w:rsidR="001614AC" w:rsidRDefault="001614AC">
            <w:pPr>
              <w:keepNext/>
            </w:pPr>
          </w:p>
        </w:tc>
        <w:tc>
          <w:tcPr>
            <w:tcW w:w="950"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6FEDA9E9" w14:textId="77777777" w:rsidR="001614AC" w:rsidRDefault="004468F9">
            <w:pPr>
              <w:keepNext/>
              <w:spacing w:before="55" w:after="30" w:line="288" w:lineRule="auto"/>
              <w:jc w:val="right"/>
            </w:pPr>
            <w:r>
              <w:rPr>
                <w:rFonts w:ascii="Arial" w:eastAsia="Arial" w:hAnsi="Arial" w:cs="Arial"/>
                <w:color w:val="000000"/>
                <w:sz w:val="18"/>
              </w:rPr>
              <w:t>423 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0B9C4DAD" w14:textId="77777777" w:rsidR="001614AC" w:rsidRDefault="001614AC">
            <w:pPr>
              <w:keepNext/>
              <w:spacing w:before="55" w:after="30" w:line="288" w:lineRule="auto"/>
              <w:jc w:val="right"/>
            </w:pPr>
          </w:p>
        </w:tc>
        <w:tc>
          <w:tcPr>
            <w:tcW w:w="405" w:type="dxa"/>
            <w:tcBorders>
              <w:top w:val="single" w:sz="8" w:space="0" w:color="E9E9E9"/>
              <w:left w:val="nil"/>
              <w:bottom w:val="single" w:sz="8" w:space="0" w:color="E9E9E9"/>
              <w:right w:val="nil"/>
            </w:tcBorders>
            <w:tcMar>
              <w:top w:w="0" w:type="dxa"/>
              <w:left w:w="0" w:type="dxa"/>
              <w:bottom w:w="0" w:type="dxa"/>
              <w:right w:w="0" w:type="dxa"/>
            </w:tcMar>
            <w:vAlign w:val="bottom"/>
          </w:tcPr>
          <w:p w14:paraId="065CAD68" w14:textId="77777777" w:rsidR="001614AC" w:rsidRDefault="001614AC">
            <w:pPr>
              <w:keepNext/>
            </w:pPr>
          </w:p>
        </w:tc>
        <w:tc>
          <w:tcPr>
            <w:tcW w:w="105" w:type="dxa"/>
            <w:tcBorders>
              <w:top w:val="nil"/>
              <w:left w:val="nil"/>
              <w:bottom w:val="nil"/>
              <w:right w:val="nil"/>
            </w:tcBorders>
            <w:tcMar>
              <w:top w:w="0" w:type="dxa"/>
              <w:left w:w="0" w:type="dxa"/>
              <w:bottom w:w="0" w:type="dxa"/>
              <w:right w:w="0" w:type="dxa"/>
            </w:tcMar>
            <w:vAlign w:val="bottom"/>
          </w:tcPr>
          <w:p w14:paraId="2C75342B" w14:textId="77777777" w:rsidR="001614AC" w:rsidRDefault="001614AC">
            <w:pPr>
              <w:keepNext/>
            </w:pPr>
          </w:p>
        </w:tc>
        <w:tc>
          <w:tcPr>
            <w:tcW w:w="950"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275F10BE" w14:textId="77777777" w:rsidR="001614AC" w:rsidRDefault="004468F9">
            <w:pPr>
              <w:keepNext/>
              <w:spacing w:before="55" w:after="30" w:line="288" w:lineRule="auto"/>
              <w:jc w:val="right"/>
            </w:pPr>
            <w:r>
              <w:rPr>
                <w:rFonts w:ascii="Arial" w:eastAsia="Arial" w:hAnsi="Arial" w:cs="Arial"/>
                <w:color w:val="000000"/>
                <w:sz w:val="18"/>
              </w:rPr>
              <w:t>202 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05120891" w14:textId="77777777" w:rsidR="001614AC" w:rsidRDefault="001614AC">
            <w:pPr>
              <w:keepNext/>
              <w:spacing w:before="55" w:after="30" w:line="288" w:lineRule="auto"/>
              <w:jc w:val="right"/>
            </w:pPr>
          </w:p>
        </w:tc>
        <w:tc>
          <w:tcPr>
            <w:tcW w:w="405" w:type="dxa"/>
            <w:tcBorders>
              <w:top w:val="single" w:sz="8" w:space="0" w:color="E9E9E9"/>
              <w:left w:val="nil"/>
              <w:bottom w:val="single" w:sz="8" w:space="0" w:color="E9E9E9"/>
              <w:right w:val="nil"/>
            </w:tcBorders>
            <w:tcMar>
              <w:top w:w="0" w:type="dxa"/>
              <w:left w:w="0" w:type="dxa"/>
              <w:bottom w:w="0" w:type="dxa"/>
              <w:right w:w="0" w:type="dxa"/>
            </w:tcMar>
            <w:vAlign w:val="bottom"/>
          </w:tcPr>
          <w:p w14:paraId="1FDF575A" w14:textId="77777777" w:rsidR="001614AC" w:rsidRDefault="001614AC">
            <w:pPr>
              <w:keepNext/>
            </w:pPr>
          </w:p>
        </w:tc>
        <w:tc>
          <w:tcPr>
            <w:tcW w:w="105" w:type="dxa"/>
            <w:tcBorders>
              <w:top w:val="nil"/>
              <w:left w:val="nil"/>
              <w:bottom w:val="nil"/>
              <w:right w:val="nil"/>
            </w:tcBorders>
            <w:tcMar>
              <w:top w:w="0" w:type="dxa"/>
              <w:left w:w="0" w:type="dxa"/>
              <w:bottom w:w="0" w:type="dxa"/>
              <w:right w:w="0" w:type="dxa"/>
            </w:tcMar>
            <w:vAlign w:val="bottom"/>
          </w:tcPr>
          <w:p w14:paraId="5626E5C5" w14:textId="77777777" w:rsidR="001614AC" w:rsidRDefault="001614AC">
            <w:pPr>
              <w:keepNext/>
            </w:pPr>
          </w:p>
        </w:tc>
        <w:tc>
          <w:tcPr>
            <w:tcW w:w="950"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2D499ABF" w14:textId="77777777" w:rsidR="001614AC" w:rsidRDefault="004468F9">
            <w:pPr>
              <w:keepNext/>
              <w:spacing w:before="55" w:after="30" w:line="288" w:lineRule="auto"/>
              <w:jc w:val="right"/>
            </w:pPr>
            <w:r>
              <w:rPr>
                <w:rFonts w:ascii="Arial" w:eastAsia="Arial" w:hAnsi="Arial" w:cs="Arial"/>
                <w:color w:val="000000"/>
                <w:sz w:val="18"/>
              </w:rPr>
              <w:t>268 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7BC2659A" w14:textId="77777777" w:rsidR="001614AC" w:rsidRDefault="001614AC">
            <w:pPr>
              <w:keepNext/>
              <w:spacing w:before="55" w:after="30" w:line="288" w:lineRule="auto"/>
              <w:jc w:val="right"/>
            </w:pPr>
          </w:p>
        </w:tc>
        <w:tc>
          <w:tcPr>
            <w:tcW w:w="405" w:type="dxa"/>
            <w:tcBorders>
              <w:top w:val="single" w:sz="8" w:space="0" w:color="E9E9E9"/>
              <w:left w:val="nil"/>
              <w:bottom w:val="single" w:sz="8" w:space="0" w:color="E9E9E9"/>
              <w:right w:val="nil"/>
            </w:tcBorders>
            <w:tcMar>
              <w:top w:w="0" w:type="dxa"/>
              <w:left w:w="0" w:type="dxa"/>
              <w:bottom w:w="0" w:type="dxa"/>
              <w:right w:w="0" w:type="dxa"/>
            </w:tcMar>
            <w:vAlign w:val="bottom"/>
          </w:tcPr>
          <w:p w14:paraId="6BC0CB70" w14:textId="77777777" w:rsidR="001614AC" w:rsidRDefault="001614AC">
            <w:pPr>
              <w:keepNext/>
            </w:pPr>
          </w:p>
        </w:tc>
        <w:tc>
          <w:tcPr>
            <w:tcW w:w="105" w:type="dxa"/>
            <w:tcBorders>
              <w:top w:val="nil"/>
              <w:left w:val="nil"/>
              <w:bottom w:val="nil"/>
              <w:right w:val="nil"/>
            </w:tcBorders>
            <w:tcMar>
              <w:top w:w="0" w:type="dxa"/>
              <w:left w:w="0" w:type="dxa"/>
              <w:bottom w:w="0" w:type="dxa"/>
              <w:right w:w="0" w:type="dxa"/>
            </w:tcMar>
            <w:vAlign w:val="bottom"/>
          </w:tcPr>
          <w:p w14:paraId="5E4989B0" w14:textId="77777777" w:rsidR="001614AC" w:rsidRDefault="001614AC">
            <w:pPr>
              <w:keepNext/>
            </w:pPr>
          </w:p>
        </w:tc>
        <w:tc>
          <w:tcPr>
            <w:tcW w:w="950"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46340479" w14:textId="77777777" w:rsidR="001614AC" w:rsidRDefault="004468F9">
            <w:pPr>
              <w:keepNext/>
              <w:spacing w:before="55" w:after="30" w:line="288" w:lineRule="auto"/>
              <w:jc w:val="right"/>
            </w:pPr>
            <w:r>
              <w:rPr>
                <w:rFonts w:ascii="Arial" w:eastAsia="Arial" w:hAnsi="Arial" w:cs="Arial"/>
                <w:color w:val="000000"/>
                <w:sz w:val="18"/>
              </w:rPr>
              <w:t>205 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549C6023" w14:textId="77777777" w:rsidR="001614AC" w:rsidRDefault="001614AC">
            <w:pPr>
              <w:keepNext/>
              <w:spacing w:before="55" w:after="30" w:line="288" w:lineRule="auto"/>
              <w:jc w:val="right"/>
            </w:pPr>
          </w:p>
        </w:tc>
        <w:tc>
          <w:tcPr>
            <w:tcW w:w="405" w:type="dxa"/>
            <w:tcBorders>
              <w:top w:val="single" w:sz="8" w:space="0" w:color="E9E9E9"/>
              <w:left w:val="nil"/>
              <w:bottom w:val="single" w:sz="8" w:space="0" w:color="E9E9E9"/>
              <w:right w:val="nil"/>
            </w:tcBorders>
            <w:tcMar>
              <w:top w:w="0" w:type="dxa"/>
              <w:left w:w="0" w:type="dxa"/>
              <w:bottom w:w="0" w:type="dxa"/>
              <w:right w:w="0" w:type="dxa"/>
            </w:tcMar>
            <w:vAlign w:val="bottom"/>
          </w:tcPr>
          <w:p w14:paraId="0E20F1D0" w14:textId="77777777" w:rsidR="001614AC" w:rsidRDefault="001614AC">
            <w:pPr>
              <w:keepNext/>
            </w:pPr>
          </w:p>
        </w:tc>
      </w:tr>
      <w:tr w:rsidR="001614AC" w14:paraId="7FB67ABB" w14:textId="77777777">
        <w:trPr>
          <w:cantSplit/>
        </w:trPr>
        <w:tc>
          <w:tcPr>
            <w:tcW w:w="2235" w:type="dxa"/>
            <w:tcBorders>
              <w:top w:val="single" w:sz="8" w:space="0" w:color="E9E9E9"/>
              <w:left w:val="nil"/>
              <w:bottom w:val="nil"/>
              <w:right w:val="nil"/>
            </w:tcBorders>
            <w:tcMar>
              <w:top w:w="0" w:type="dxa"/>
              <w:left w:w="0" w:type="dxa"/>
              <w:bottom w:w="0" w:type="dxa"/>
              <w:right w:w="0" w:type="dxa"/>
            </w:tcMar>
            <w:vAlign w:val="bottom"/>
          </w:tcPr>
          <w:p w14:paraId="38695035" w14:textId="77777777" w:rsidR="001614AC" w:rsidRDefault="001614AC">
            <w:pPr>
              <w:keepNext/>
            </w:pPr>
          </w:p>
        </w:tc>
        <w:tc>
          <w:tcPr>
            <w:tcW w:w="105" w:type="dxa"/>
            <w:tcBorders>
              <w:top w:val="nil"/>
              <w:left w:val="nil"/>
              <w:bottom w:val="nil"/>
              <w:right w:val="nil"/>
            </w:tcBorders>
            <w:tcMar>
              <w:top w:w="0" w:type="dxa"/>
              <w:left w:w="0" w:type="dxa"/>
              <w:bottom w:w="0" w:type="dxa"/>
              <w:right w:w="0" w:type="dxa"/>
            </w:tcMar>
            <w:vAlign w:val="bottom"/>
          </w:tcPr>
          <w:p w14:paraId="3B36D420" w14:textId="77777777" w:rsidR="001614AC" w:rsidRDefault="001614AC">
            <w:pPr>
              <w:keepNext/>
            </w:pPr>
          </w:p>
        </w:tc>
        <w:tc>
          <w:tcPr>
            <w:tcW w:w="1050" w:type="dxa"/>
            <w:gridSpan w:val="3"/>
            <w:tcBorders>
              <w:top w:val="single" w:sz="8" w:space="0" w:color="E9E9E9"/>
              <w:left w:val="nil"/>
              <w:bottom w:val="nil"/>
              <w:right w:val="nil"/>
            </w:tcBorders>
            <w:tcMar>
              <w:top w:w="0" w:type="dxa"/>
              <w:left w:w="0" w:type="dxa"/>
              <w:bottom w:w="0" w:type="dxa"/>
              <w:right w:w="0" w:type="dxa"/>
            </w:tcMar>
            <w:vAlign w:val="bottom"/>
          </w:tcPr>
          <w:p w14:paraId="4174A56B" w14:textId="77777777" w:rsidR="001614AC" w:rsidRDefault="001614AC">
            <w:pPr>
              <w:keepNext/>
            </w:pPr>
          </w:p>
        </w:tc>
        <w:tc>
          <w:tcPr>
            <w:tcW w:w="405" w:type="dxa"/>
            <w:tcBorders>
              <w:top w:val="single" w:sz="8" w:space="0" w:color="E9E9E9"/>
              <w:left w:val="nil"/>
              <w:bottom w:val="nil"/>
              <w:right w:val="nil"/>
            </w:tcBorders>
            <w:tcMar>
              <w:top w:w="0" w:type="dxa"/>
              <w:left w:w="0" w:type="dxa"/>
              <w:bottom w:w="0" w:type="dxa"/>
              <w:right w:w="0" w:type="dxa"/>
            </w:tcMar>
            <w:vAlign w:val="bottom"/>
          </w:tcPr>
          <w:p w14:paraId="32FAD2E3" w14:textId="77777777" w:rsidR="001614AC" w:rsidRDefault="001614AC">
            <w:pPr>
              <w:keepNext/>
            </w:pPr>
          </w:p>
        </w:tc>
        <w:tc>
          <w:tcPr>
            <w:tcW w:w="105" w:type="dxa"/>
            <w:tcBorders>
              <w:top w:val="nil"/>
              <w:left w:val="nil"/>
              <w:bottom w:val="nil"/>
              <w:right w:val="nil"/>
            </w:tcBorders>
            <w:tcMar>
              <w:top w:w="0" w:type="dxa"/>
              <w:left w:w="0" w:type="dxa"/>
              <w:bottom w:w="0" w:type="dxa"/>
              <w:right w:w="0" w:type="dxa"/>
            </w:tcMar>
            <w:vAlign w:val="bottom"/>
          </w:tcPr>
          <w:p w14:paraId="5B792036" w14:textId="77777777" w:rsidR="001614AC" w:rsidRDefault="001614AC">
            <w:pPr>
              <w:keepNext/>
            </w:pPr>
          </w:p>
        </w:tc>
        <w:tc>
          <w:tcPr>
            <w:tcW w:w="1050" w:type="dxa"/>
            <w:gridSpan w:val="3"/>
            <w:tcBorders>
              <w:top w:val="single" w:sz="8" w:space="0" w:color="E9E9E9"/>
              <w:left w:val="nil"/>
              <w:bottom w:val="nil"/>
              <w:right w:val="nil"/>
            </w:tcBorders>
            <w:tcMar>
              <w:top w:w="0" w:type="dxa"/>
              <w:left w:w="0" w:type="dxa"/>
              <w:bottom w:w="0" w:type="dxa"/>
              <w:right w:w="0" w:type="dxa"/>
            </w:tcMar>
            <w:vAlign w:val="bottom"/>
          </w:tcPr>
          <w:p w14:paraId="50D597F9" w14:textId="77777777" w:rsidR="001614AC" w:rsidRDefault="001614AC">
            <w:pPr>
              <w:keepNext/>
            </w:pPr>
          </w:p>
        </w:tc>
        <w:tc>
          <w:tcPr>
            <w:tcW w:w="405" w:type="dxa"/>
            <w:tcBorders>
              <w:top w:val="single" w:sz="8" w:space="0" w:color="E9E9E9"/>
              <w:left w:val="nil"/>
              <w:bottom w:val="nil"/>
              <w:right w:val="nil"/>
            </w:tcBorders>
            <w:tcMar>
              <w:top w:w="0" w:type="dxa"/>
              <w:left w:w="0" w:type="dxa"/>
              <w:bottom w:w="0" w:type="dxa"/>
              <w:right w:w="0" w:type="dxa"/>
            </w:tcMar>
            <w:vAlign w:val="bottom"/>
          </w:tcPr>
          <w:p w14:paraId="2D341BED" w14:textId="77777777" w:rsidR="001614AC" w:rsidRDefault="001614AC">
            <w:pPr>
              <w:keepNext/>
            </w:pPr>
          </w:p>
        </w:tc>
        <w:tc>
          <w:tcPr>
            <w:tcW w:w="105" w:type="dxa"/>
            <w:tcBorders>
              <w:top w:val="nil"/>
              <w:left w:val="nil"/>
              <w:bottom w:val="nil"/>
              <w:right w:val="nil"/>
            </w:tcBorders>
            <w:tcMar>
              <w:top w:w="0" w:type="dxa"/>
              <w:left w:w="0" w:type="dxa"/>
              <w:bottom w:w="0" w:type="dxa"/>
              <w:right w:w="0" w:type="dxa"/>
            </w:tcMar>
            <w:vAlign w:val="bottom"/>
          </w:tcPr>
          <w:p w14:paraId="43201F3A" w14:textId="77777777" w:rsidR="001614AC" w:rsidRDefault="001614AC">
            <w:pPr>
              <w:keepNext/>
            </w:pPr>
          </w:p>
        </w:tc>
        <w:tc>
          <w:tcPr>
            <w:tcW w:w="1050" w:type="dxa"/>
            <w:gridSpan w:val="3"/>
            <w:tcBorders>
              <w:top w:val="single" w:sz="8" w:space="0" w:color="E9E9E9"/>
              <w:left w:val="nil"/>
              <w:bottom w:val="nil"/>
              <w:right w:val="nil"/>
            </w:tcBorders>
            <w:tcMar>
              <w:top w:w="0" w:type="dxa"/>
              <w:left w:w="0" w:type="dxa"/>
              <w:bottom w:w="0" w:type="dxa"/>
              <w:right w:w="0" w:type="dxa"/>
            </w:tcMar>
            <w:vAlign w:val="bottom"/>
          </w:tcPr>
          <w:p w14:paraId="425ABC87" w14:textId="77777777" w:rsidR="001614AC" w:rsidRDefault="001614AC">
            <w:pPr>
              <w:keepNext/>
            </w:pPr>
          </w:p>
        </w:tc>
        <w:tc>
          <w:tcPr>
            <w:tcW w:w="405" w:type="dxa"/>
            <w:tcBorders>
              <w:top w:val="single" w:sz="8" w:space="0" w:color="E9E9E9"/>
              <w:left w:val="nil"/>
              <w:bottom w:val="nil"/>
              <w:right w:val="nil"/>
            </w:tcBorders>
            <w:tcMar>
              <w:top w:w="0" w:type="dxa"/>
              <w:left w:w="0" w:type="dxa"/>
              <w:bottom w:w="0" w:type="dxa"/>
              <w:right w:w="0" w:type="dxa"/>
            </w:tcMar>
            <w:vAlign w:val="bottom"/>
          </w:tcPr>
          <w:p w14:paraId="2DFF5352" w14:textId="77777777" w:rsidR="001614AC" w:rsidRDefault="001614AC">
            <w:pPr>
              <w:keepNext/>
            </w:pPr>
          </w:p>
        </w:tc>
        <w:tc>
          <w:tcPr>
            <w:tcW w:w="105" w:type="dxa"/>
            <w:tcBorders>
              <w:top w:val="nil"/>
              <w:left w:val="nil"/>
              <w:bottom w:val="nil"/>
              <w:right w:val="nil"/>
            </w:tcBorders>
            <w:tcMar>
              <w:top w:w="0" w:type="dxa"/>
              <w:left w:w="0" w:type="dxa"/>
              <w:bottom w:w="0" w:type="dxa"/>
              <w:right w:w="0" w:type="dxa"/>
            </w:tcMar>
            <w:vAlign w:val="bottom"/>
          </w:tcPr>
          <w:p w14:paraId="372C472F" w14:textId="77777777" w:rsidR="001614AC" w:rsidRDefault="001614AC">
            <w:pPr>
              <w:keepNext/>
            </w:pPr>
          </w:p>
        </w:tc>
        <w:tc>
          <w:tcPr>
            <w:tcW w:w="1050" w:type="dxa"/>
            <w:gridSpan w:val="3"/>
            <w:tcBorders>
              <w:top w:val="single" w:sz="8" w:space="0" w:color="E9E9E9"/>
              <w:left w:val="nil"/>
              <w:bottom w:val="nil"/>
              <w:right w:val="nil"/>
            </w:tcBorders>
            <w:tcMar>
              <w:top w:w="0" w:type="dxa"/>
              <w:left w:w="0" w:type="dxa"/>
              <w:bottom w:w="0" w:type="dxa"/>
              <w:right w:w="0" w:type="dxa"/>
            </w:tcMar>
            <w:vAlign w:val="bottom"/>
          </w:tcPr>
          <w:p w14:paraId="38B39A1C" w14:textId="77777777" w:rsidR="001614AC" w:rsidRDefault="001614AC">
            <w:pPr>
              <w:keepNext/>
            </w:pPr>
          </w:p>
        </w:tc>
        <w:tc>
          <w:tcPr>
            <w:tcW w:w="405" w:type="dxa"/>
            <w:tcBorders>
              <w:top w:val="single" w:sz="8" w:space="0" w:color="E9E9E9"/>
              <w:left w:val="nil"/>
              <w:bottom w:val="nil"/>
              <w:right w:val="nil"/>
            </w:tcBorders>
            <w:tcMar>
              <w:top w:w="0" w:type="dxa"/>
              <w:left w:w="0" w:type="dxa"/>
              <w:bottom w:w="0" w:type="dxa"/>
              <w:right w:w="0" w:type="dxa"/>
            </w:tcMar>
            <w:vAlign w:val="bottom"/>
          </w:tcPr>
          <w:p w14:paraId="5D2BFB50" w14:textId="77777777" w:rsidR="001614AC" w:rsidRDefault="001614AC">
            <w:pPr>
              <w:keepNext/>
            </w:pPr>
          </w:p>
        </w:tc>
        <w:tc>
          <w:tcPr>
            <w:tcW w:w="105" w:type="dxa"/>
            <w:tcBorders>
              <w:top w:val="nil"/>
              <w:left w:val="nil"/>
              <w:bottom w:val="nil"/>
              <w:right w:val="nil"/>
            </w:tcBorders>
            <w:tcMar>
              <w:top w:w="0" w:type="dxa"/>
              <w:left w:w="0" w:type="dxa"/>
              <w:bottom w:w="0" w:type="dxa"/>
              <w:right w:w="0" w:type="dxa"/>
            </w:tcMar>
            <w:vAlign w:val="bottom"/>
          </w:tcPr>
          <w:p w14:paraId="7B550F6A" w14:textId="77777777" w:rsidR="001614AC" w:rsidRDefault="001614AC">
            <w:pPr>
              <w:keepNext/>
            </w:pPr>
          </w:p>
        </w:tc>
        <w:tc>
          <w:tcPr>
            <w:tcW w:w="1050" w:type="dxa"/>
            <w:gridSpan w:val="3"/>
            <w:tcBorders>
              <w:top w:val="single" w:sz="8" w:space="0" w:color="E9E9E9"/>
              <w:left w:val="nil"/>
              <w:bottom w:val="nil"/>
              <w:right w:val="nil"/>
            </w:tcBorders>
            <w:tcMar>
              <w:top w:w="0" w:type="dxa"/>
              <w:left w:w="0" w:type="dxa"/>
              <w:bottom w:w="0" w:type="dxa"/>
              <w:right w:w="0" w:type="dxa"/>
            </w:tcMar>
            <w:vAlign w:val="bottom"/>
          </w:tcPr>
          <w:p w14:paraId="093D502B" w14:textId="77777777" w:rsidR="001614AC" w:rsidRDefault="001614AC">
            <w:pPr>
              <w:keepNext/>
            </w:pPr>
          </w:p>
        </w:tc>
        <w:tc>
          <w:tcPr>
            <w:tcW w:w="405" w:type="dxa"/>
            <w:tcBorders>
              <w:top w:val="single" w:sz="8" w:space="0" w:color="E9E9E9"/>
              <w:left w:val="nil"/>
              <w:bottom w:val="nil"/>
              <w:right w:val="nil"/>
            </w:tcBorders>
            <w:tcMar>
              <w:top w:w="0" w:type="dxa"/>
              <w:left w:w="0" w:type="dxa"/>
              <w:bottom w:w="0" w:type="dxa"/>
              <w:right w:w="0" w:type="dxa"/>
            </w:tcMar>
            <w:vAlign w:val="bottom"/>
          </w:tcPr>
          <w:p w14:paraId="10394270" w14:textId="77777777" w:rsidR="001614AC" w:rsidRDefault="001614AC">
            <w:pPr>
              <w:keepNext/>
            </w:pPr>
          </w:p>
        </w:tc>
      </w:tr>
      <w:tr w:rsidR="001614AC" w14:paraId="1AAF6864" w14:textId="77777777">
        <w:trPr>
          <w:cantSplit/>
        </w:trPr>
        <w:tc>
          <w:tcPr>
            <w:tcW w:w="2235" w:type="dxa"/>
            <w:tcBorders>
              <w:top w:val="nil"/>
              <w:left w:val="nil"/>
              <w:bottom w:val="single" w:sz="8" w:space="0" w:color="C7C9C7"/>
              <w:right w:val="nil"/>
            </w:tcBorders>
            <w:tcMar>
              <w:top w:w="0" w:type="dxa"/>
              <w:left w:w="53" w:type="dxa"/>
              <w:bottom w:w="0" w:type="dxa"/>
              <w:right w:w="53" w:type="dxa"/>
            </w:tcMar>
            <w:vAlign w:val="bottom"/>
          </w:tcPr>
          <w:p w14:paraId="168F530B" w14:textId="77777777" w:rsidR="001614AC" w:rsidRDefault="004468F9">
            <w:pPr>
              <w:keepNext/>
              <w:spacing w:before="75" w:after="30" w:line="288" w:lineRule="auto"/>
            </w:pPr>
            <w:r>
              <w:rPr>
                <w:rFonts w:ascii="Arial" w:eastAsia="Arial" w:hAnsi="Arial" w:cs="Arial"/>
                <w:color w:val="8B8886"/>
                <w:sz w:val="16"/>
              </w:rPr>
              <w:t>(In millions)</w:t>
            </w:r>
          </w:p>
        </w:tc>
        <w:tc>
          <w:tcPr>
            <w:tcW w:w="105" w:type="dxa"/>
            <w:tcBorders>
              <w:top w:val="nil"/>
              <w:left w:val="nil"/>
              <w:bottom w:val="single" w:sz="8" w:space="0" w:color="C7C9C7"/>
              <w:right w:val="nil"/>
            </w:tcBorders>
            <w:tcMar>
              <w:top w:w="0" w:type="dxa"/>
              <w:left w:w="0" w:type="dxa"/>
              <w:bottom w:w="0" w:type="dxa"/>
              <w:right w:w="0" w:type="dxa"/>
            </w:tcMar>
            <w:vAlign w:val="bottom"/>
          </w:tcPr>
          <w:p w14:paraId="13719142" w14:textId="77777777" w:rsidR="001614AC" w:rsidRDefault="001614AC">
            <w:pPr>
              <w:keepNext/>
            </w:pPr>
          </w:p>
        </w:tc>
        <w:tc>
          <w:tcPr>
            <w:tcW w:w="7695" w:type="dxa"/>
            <w:gridSpan w:val="24"/>
            <w:tcBorders>
              <w:top w:val="nil"/>
              <w:left w:val="nil"/>
              <w:bottom w:val="nil"/>
              <w:right w:val="nil"/>
            </w:tcBorders>
            <w:shd w:val="clear" w:color="auto" w:fill="E6F8F8"/>
            <w:tcMar>
              <w:top w:w="0" w:type="dxa"/>
              <w:left w:w="53" w:type="dxa"/>
              <w:bottom w:w="0" w:type="dxa"/>
              <w:right w:w="53" w:type="dxa"/>
            </w:tcMar>
            <w:vAlign w:val="bottom"/>
          </w:tcPr>
          <w:p w14:paraId="06DE56AA" w14:textId="77777777" w:rsidR="001614AC" w:rsidRDefault="004468F9">
            <w:pPr>
              <w:keepNext/>
              <w:spacing w:before="75" w:after="30" w:line="288" w:lineRule="auto"/>
              <w:jc w:val="center"/>
            </w:pPr>
            <w:r>
              <w:rPr>
                <w:rFonts w:ascii="Arial" w:eastAsia="Arial" w:hAnsi="Arial" w:cs="Arial"/>
                <w:b/>
                <w:color w:val="00BAB3"/>
                <w:sz w:val="18"/>
              </w:rPr>
              <w:t>As of June 30, 2021</w:t>
            </w:r>
          </w:p>
        </w:tc>
      </w:tr>
      <w:tr w:rsidR="001614AC" w14:paraId="6FC6D8F6" w14:textId="77777777">
        <w:trPr>
          <w:cantSplit/>
        </w:trPr>
        <w:tc>
          <w:tcPr>
            <w:tcW w:w="2235" w:type="dxa"/>
            <w:tcBorders>
              <w:top w:val="single" w:sz="8" w:space="0" w:color="C7C9C7"/>
              <w:left w:val="nil"/>
              <w:bottom w:val="single" w:sz="8" w:space="0" w:color="E9E9E9"/>
              <w:right w:val="nil"/>
            </w:tcBorders>
            <w:tcMar>
              <w:top w:w="0" w:type="dxa"/>
              <w:left w:w="53" w:type="dxa"/>
              <w:bottom w:w="0" w:type="dxa"/>
              <w:right w:w="53" w:type="dxa"/>
            </w:tcMar>
            <w:vAlign w:val="bottom"/>
          </w:tcPr>
          <w:p w14:paraId="56447362" w14:textId="77777777" w:rsidR="001614AC" w:rsidRDefault="004468F9">
            <w:pPr>
              <w:keepNext/>
              <w:spacing w:before="55" w:after="30" w:line="288" w:lineRule="auto"/>
            </w:pPr>
            <w:r>
              <w:rPr>
                <w:rFonts w:ascii="Arial" w:eastAsia="Arial" w:hAnsi="Arial" w:cs="Arial"/>
                <w:color w:val="000000"/>
                <w:sz w:val="18"/>
              </w:rPr>
              <w:t>RIF</w:t>
            </w:r>
          </w:p>
        </w:tc>
        <w:tc>
          <w:tcPr>
            <w:tcW w:w="105" w:type="dxa"/>
            <w:tcBorders>
              <w:top w:val="single" w:sz="8" w:space="0" w:color="C7C9C7"/>
              <w:left w:val="nil"/>
              <w:bottom w:val="nil"/>
              <w:right w:val="nil"/>
            </w:tcBorders>
            <w:tcMar>
              <w:top w:w="0" w:type="dxa"/>
              <w:left w:w="0" w:type="dxa"/>
              <w:bottom w:w="0" w:type="dxa"/>
              <w:right w:w="0" w:type="dxa"/>
            </w:tcMar>
            <w:vAlign w:val="bottom"/>
          </w:tcPr>
          <w:p w14:paraId="1B0B5324" w14:textId="77777777" w:rsidR="001614AC" w:rsidRDefault="001614AC">
            <w:pPr>
              <w:keepNext/>
            </w:pPr>
          </w:p>
        </w:tc>
        <w:tc>
          <w:tcPr>
            <w:tcW w:w="160" w:type="dxa"/>
            <w:tcBorders>
              <w:top w:val="single" w:sz="8" w:space="0" w:color="C7C9C7"/>
              <w:left w:val="nil"/>
              <w:bottom w:val="single" w:sz="8" w:space="0" w:color="E9E9E9"/>
              <w:right w:val="nil"/>
            </w:tcBorders>
            <w:tcMar>
              <w:top w:w="0" w:type="dxa"/>
              <w:left w:w="53" w:type="dxa"/>
              <w:bottom w:w="0" w:type="dxa"/>
              <w:right w:w="0" w:type="dxa"/>
            </w:tcMar>
            <w:vAlign w:val="bottom"/>
          </w:tcPr>
          <w:p w14:paraId="1C814C12" w14:textId="77777777" w:rsidR="001614AC" w:rsidRDefault="004468F9">
            <w:pPr>
              <w:keepNext/>
              <w:spacing w:before="55" w:after="30" w:line="288" w:lineRule="auto"/>
            </w:pPr>
            <w:r>
              <w:rPr>
                <w:rFonts w:ascii="Arial" w:eastAsia="Arial" w:hAnsi="Arial" w:cs="Arial"/>
                <w:color w:val="000000"/>
                <w:sz w:val="18"/>
              </w:rPr>
              <w:t>$</w:t>
            </w:r>
          </w:p>
        </w:tc>
        <w:tc>
          <w:tcPr>
            <w:tcW w:w="790" w:type="dxa"/>
            <w:tcBorders>
              <w:top w:val="single" w:sz="8" w:space="0" w:color="C7C9C7"/>
              <w:left w:val="nil"/>
              <w:bottom w:val="single" w:sz="8" w:space="0" w:color="E9E9E9"/>
              <w:right w:val="nil"/>
            </w:tcBorders>
            <w:tcMar>
              <w:top w:w="0" w:type="dxa"/>
              <w:left w:w="0" w:type="dxa"/>
              <w:bottom w:w="0" w:type="dxa"/>
              <w:right w:w="0" w:type="dxa"/>
            </w:tcMar>
            <w:vAlign w:val="bottom"/>
          </w:tcPr>
          <w:p w14:paraId="275006AA" w14:textId="77777777" w:rsidR="001614AC" w:rsidRDefault="004468F9">
            <w:pPr>
              <w:keepNext/>
              <w:spacing w:before="55" w:after="30" w:line="288" w:lineRule="auto"/>
              <w:jc w:val="right"/>
            </w:pPr>
            <w:r>
              <w:rPr>
                <w:rFonts w:ascii="Arial" w:eastAsia="Arial" w:hAnsi="Arial" w:cs="Arial"/>
                <w:color w:val="000000"/>
                <w:sz w:val="18"/>
              </w:rPr>
              <w:t>10,546 </w:t>
            </w:r>
          </w:p>
        </w:tc>
        <w:tc>
          <w:tcPr>
            <w:tcW w:w="100" w:type="dxa"/>
            <w:tcBorders>
              <w:top w:val="single" w:sz="8" w:space="0" w:color="C7C9C7"/>
              <w:left w:val="nil"/>
              <w:bottom w:val="single" w:sz="8" w:space="0" w:color="E9E9E9"/>
              <w:right w:val="nil"/>
            </w:tcBorders>
            <w:tcMar>
              <w:top w:w="0" w:type="dxa"/>
              <w:left w:w="0" w:type="dxa"/>
              <w:bottom w:w="0" w:type="dxa"/>
              <w:right w:w="15" w:type="dxa"/>
            </w:tcMar>
            <w:vAlign w:val="bottom"/>
          </w:tcPr>
          <w:p w14:paraId="441C5D1B" w14:textId="77777777" w:rsidR="001614AC" w:rsidRDefault="001614AC">
            <w:pPr>
              <w:keepNext/>
              <w:spacing w:before="55" w:after="30" w:line="288" w:lineRule="auto"/>
              <w:jc w:val="right"/>
            </w:pPr>
          </w:p>
        </w:tc>
        <w:tc>
          <w:tcPr>
            <w:tcW w:w="405" w:type="dxa"/>
            <w:tcBorders>
              <w:top w:val="single" w:sz="8" w:space="0" w:color="C7C9C7"/>
              <w:left w:val="nil"/>
              <w:bottom w:val="single" w:sz="8" w:space="0" w:color="E9E9E9"/>
              <w:right w:val="nil"/>
            </w:tcBorders>
            <w:tcMar>
              <w:top w:w="0" w:type="dxa"/>
              <w:left w:w="0" w:type="dxa"/>
              <w:bottom w:w="0" w:type="dxa"/>
              <w:right w:w="0" w:type="dxa"/>
            </w:tcMar>
            <w:vAlign w:val="bottom"/>
          </w:tcPr>
          <w:p w14:paraId="0F2CBB3D" w14:textId="77777777" w:rsidR="001614AC" w:rsidRDefault="001614AC">
            <w:pPr>
              <w:keepNext/>
            </w:pPr>
          </w:p>
        </w:tc>
        <w:tc>
          <w:tcPr>
            <w:tcW w:w="105" w:type="dxa"/>
            <w:tcBorders>
              <w:top w:val="single" w:sz="8" w:space="0" w:color="C7C9C7"/>
              <w:left w:val="nil"/>
              <w:bottom w:val="nil"/>
              <w:right w:val="nil"/>
            </w:tcBorders>
            <w:tcMar>
              <w:top w:w="0" w:type="dxa"/>
              <w:left w:w="0" w:type="dxa"/>
              <w:bottom w:w="0" w:type="dxa"/>
              <w:right w:w="0" w:type="dxa"/>
            </w:tcMar>
            <w:vAlign w:val="bottom"/>
          </w:tcPr>
          <w:p w14:paraId="4217D240" w14:textId="77777777" w:rsidR="001614AC" w:rsidRDefault="001614AC">
            <w:pPr>
              <w:keepNext/>
            </w:pPr>
          </w:p>
        </w:tc>
        <w:tc>
          <w:tcPr>
            <w:tcW w:w="160" w:type="dxa"/>
            <w:tcBorders>
              <w:top w:val="single" w:sz="8" w:space="0" w:color="C7C9C7"/>
              <w:left w:val="nil"/>
              <w:bottom w:val="single" w:sz="8" w:space="0" w:color="E9E9E9"/>
              <w:right w:val="nil"/>
            </w:tcBorders>
            <w:tcMar>
              <w:top w:w="0" w:type="dxa"/>
              <w:left w:w="53" w:type="dxa"/>
              <w:bottom w:w="0" w:type="dxa"/>
              <w:right w:w="0" w:type="dxa"/>
            </w:tcMar>
            <w:vAlign w:val="bottom"/>
          </w:tcPr>
          <w:p w14:paraId="26E9B8D8" w14:textId="77777777" w:rsidR="001614AC" w:rsidRDefault="004468F9">
            <w:pPr>
              <w:keepNext/>
              <w:spacing w:before="55" w:after="30" w:line="288" w:lineRule="auto"/>
            </w:pPr>
            <w:r>
              <w:rPr>
                <w:rFonts w:ascii="Arial" w:eastAsia="Arial" w:hAnsi="Arial" w:cs="Arial"/>
                <w:color w:val="000000"/>
                <w:sz w:val="18"/>
              </w:rPr>
              <w:t>$</w:t>
            </w:r>
          </w:p>
        </w:tc>
        <w:tc>
          <w:tcPr>
            <w:tcW w:w="790" w:type="dxa"/>
            <w:tcBorders>
              <w:top w:val="single" w:sz="8" w:space="0" w:color="C7C9C7"/>
              <w:left w:val="nil"/>
              <w:bottom w:val="single" w:sz="8" w:space="0" w:color="E9E9E9"/>
              <w:right w:val="nil"/>
            </w:tcBorders>
            <w:tcMar>
              <w:top w:w="0" w:type="dxa"/>
              <w:left w:w="0" w:type="dxa"/>
              <w:bottom w:w="0" w:type="dxa"/>
              <w:right w:w="0" w:type="dxa"/>
            </w:tcMar>
            <w:vAlign w:val="bottom"/>
          </w:tcPr>
          <w:p w14:paraId="6F64F6E8" w14:textId="77777777" w:rsidR="001614AC" w:rsidRDefault="004468F9">
            <w:pPr>
              <w:keepNext/>
              <w:spacing w:before="55" w:after="30" w:line="288" w:lineRule="auto"/>
              <w:jc w:val="right"/>
            </w:pPr>
            <w:r>
              <w:rPr>
                <w:rFonts w:ascii="Arial" w:eastAsia="Arial" w:hAnsi="Arial" w:cs="Arial"/>
                <w:color w:val="000000"/>
                <w:sz w:val="18"/>
              </w:rPr>
              <w:t>9,516 </w:t>
            </w:r>
          </w:p>
        </w:tc>
        <w:tc>
          <w:tcPr>
            <w:tcW w:w="100" w:type="dxa"/>
            <w:tcBorders>
              <w:top w:val="single" w:sz="8" w:space="0" w:color="C7C9C7"/>
              <w:left w:val="nil"/>
              <w:bottom w:val="single" w:sz="8" w:space="0" w:color="E9E9E9"/>
              <w:right w:val="nil"/>
            </w:tcBorders>
            <w:tcMar>
              <w:top w:w="0" w:type="dxa"/>
              <w:left w:w="0" w:type="dxa"/>
              <w:bottom w:w="0" w:type="dxa"/>
              <w:right w:w="15" w:type="dxa"/>
            </w:tcMar>
            <w:vAlign w:val="bottom"/>
          </w:tcPr>
          <w:p w14:paraId="0F610437" w14:textId="77777777" w:rsidR="001614AC" w:rsidRDefault="001614AC">
            <w:pPr>
              <w:keepNext/>
              <w:spacing w:before="55" w:after="30" w:line="288" w:lineRule="auto"/>
              <w:jc w:val="right"/>
            </w:pPr>
          </w:p>
        </w:tc>
        <w:tc>
          <w:tcPr>
            <w:tcW w:w="405" w:type="dxa"/>
            <w:tcBorders>
              <w:top w:val="single" w:sz="8" w:space="0" w:color="C7C9C7"/>
              <w:left w:val="nil"/>
              <w:bottom w:val="single" w:sz="8" w:space="0" w:color="E9E9E9"/>
              <w:right w:val="nil"/>
            </w:tcBorders>
            <w:tcMar>
              <w:top w:w="0" w:type="dxa"/>
              <w:left w:w="0" w:type="dxa"/>
              <w:bottom w:w="0" w:type="dxa"/>
              <w:right w:w="0" w:type="dxa"/>
            </w:tcMar>
            <w:vAlign w:val="bottom"/>
          </w:tcPr>
          <w:p w14:paraId="17EB750B" w14:textId="77777777" w:rsidR="001614AC" w:rsidRDefault="001614AC">
            <w:pPr>
              <w:keepNext/>
            </w:pPr>
          </w:p>
        </w:tc>
        <w:tc>
          <w:tcPr>
            <w:tcW w:w="105" w:type="dxa"/>
            <w:tcBorders>
              <w:top w:val="single" w:sz="8" w:space="0" w:color="C7C9C7"/>
              <w:left w:val="nil"/>
              <w:bottom w:val="nil"/>
              <w:right w:val="nil"/>
            </w:tcBorders>
            <w:tcMar>
              <w:top w:w="0" w:type="dxa"/>
              <w:left w:w="0" w:type="dxa"/>
              <w:bottom w:w="0" w:type="dxa"/>
              <w:right w:w="0" w:type="dxa"/>
            </w:tcMar>
            <w:vAlign w:val="bottom"/>
          </w:tcPr>
          <w:p w14:paraId="3EF5F047" w14:textId="77777777" w:rsidR="001614AC" w:rsidRDefault="001614AC">
            <w:pPr>
              <w:keepNext/>
            </w:pPr>
          </w:p>
        </w:tc>
        <w:tc>
          <w:tcPr>
            <w:tcW w:w="160" w:type="dxa"/>
            <w:tcBorders>
              <w:top w:val="single" w:sz="8" w:space="0" w:color="C7C9C7"/>
              <w:left w:val="nil"/>
              <w:bottom w:val="single" w:sz="8" w:space="0" w:color="E9E9E9"/>
              <w:right w:val="nil"/>
            </w:tcBorders>
            <w:tcMar>
              <w:top w:w="0" w:type="dxa"/>
              <w:left w:w="53" w:type="dxa"/>
              <w:bottom w:w="0" w:type="dxa"/>
              <w:right w:w="0" w:type="dxa"/>
            </w:tcMar>
            <w:vAlign w:val="bottom"/>
          </w:tcPr>
          <w:p w14:paraId="7C0F9FFE" w14:textId="77777777" w:rsidR="001614AC" w:rsidRDefault="004468F9">
            <w:pPr>
              <w:keepNext/>
              <w:spacing w:before="55" w:after="30" w:line="288" w:lineRule="auto"/>
            </w:pPr>
            <w:r>
              <w:rPr>
                <w:rFonts w:ascii="Arial" w:eastAsia="Arial" w:hAnsi="Arial" w:cs="Arial"/>
                <w:color w:val="000000"/>
                <w:sz w:val="18"/>
              </w:rPr>
              <w:t>$</w:t>
            </w:r>
          </w:p>
        </w:tc>
        <w:tc>
          <w:tcPr>
            <w:tcW w:w="790" w:type="dxa"/>
            <w:tcBorders>
              <w:top w:val="single" w:sz="8" w:space="0" w:color="C7C9C7"/>
              <w:left w:val="nil"/>
              <w:bottom w:val="single" w:sz="8" w:space="0" w:color="E9E9E9"/>
              <w:right w:val="nil"/>
            </w:tcBorders>
            <w:tcMar>
              <w:top w:w="0" w:type="dxa"/>
              <w:left w:w="0" w:type="dxa"/>
              <w:bottom w:w="0" w:type="dxa"/>
              <w:right w:w="0" w:type="dxa"/>
            </w:tcMar>
            <w:vAlign w:val="bottom"/>
          </w:tcPr>
          <w:p w14:paraId="7E79C90F" w14:textId="77777777" w:rsidR="001614AC" w:rsidRDefault="004468F9">
            <w:pPr>
              <w:keepNext/>
              <w:spacing w:before="55" w:after="30" w:line="288" w:lineRule="auto"/>
              <w:jc w:val="right"/>
            </w:pPr>
            <w:r>
              <w:rPr>
                <w:rFonts w:ascii="Arial" w:eastAsia="Arial" w:hAnsi="Arial" w:cs="Arial"/>
                <w:color w:val="000000"/>
                <w:sz w:val="18"/>
              </w:rPr>
              <w:t>4,397 </w:t>
            </w:r>
          </w:p>
        </w:tc>
        <w:tc>
          <w:tcPr>
            <w:tcW w:w="100" w:type="dxa"/>
            <w:tcBorders>
              <w:top w:val="single" w:sz="8" w:space="0" w:color="C7C9C7"/>
              <w:left w:val="nil"/>
              <w:bottom w:val="single" w:sz="8" w:space="0" w:color="E9E9E9"/>
              <w:right w:val="nil"/>
            </w:tcBorders>
            <w:tcMar>
              <w:top w:w="0" w:type="dxa"/>
              <w:left w:w="0" w:type="dxa"/>
              <w:bottom w:w="0" w:type="dxa"/>
              <w:right w:w="15" w:type="dxa"/>
            </w:tcMar>
            <w:vAlign w:val="bottom"/>
          </w:tcPr>
          <w:p w14:paraId="212332F8" w14:textId="77777777" w:rsidR="001614AC" w:rsidRDefault="001614AC">
            <w:pPr>
              <w:keepNext/>
              <w:spacing w:before="55" w:after="30" w:line="288" w:lineRule="auto"/>
              <w:jc w:val="right"/>
            </w:pPr>
          </w:p>
        </w:tc>
        <w:tc>
          <w:tcPr>
            <w:tcW w:w="405" w:type="dxa"/>
            <w:tcBorders>
              <w:top w:val="single" w:sz="8" w:space="0" w:color="C7C9C7"/>
              <w:left w:val="nil"/>
              <w:bottom w:val="single" w:sz="8" w:space="0" w:color="E9E9E9"/>
              <w:right w:val="nil"/>
            </w:tcBorders>
            <w:tcMar>
              <w:top w:w="0" w:type="dxa"/>
              <w:left w:w="0" w:type="dxa"/>
              <w:bottom w:w="0" w:type="dxa"/>
              <w:right w:w="0" w:type="dxa"/>
            </w:tcMar>
            <w:vAlign w:val="bottom"/>
          </w:tcPr>
          <w:p w14:paraId="5E672AEF" w14:textId="77777777" w:rsidR="001614AC" w:rsidRDefault="001614AC">
            <w:pPr>
              <w:keepNext/>
            </w:pPr>
          </w:p>
        </w:tc>
        <w:tc>
          <w:tcPr>
            <w:tcW w:w="105" w:type="dxa"/>
            <w:tcBorders>
              <w:top w:val="single" w:sz="8" w:space="0" w:color="C7C9C7"/>
              <w:left w:val="nil"/>
              <w:bottom w:val="nil"/>
              <w:right w:val="nil"/>
            </w:tcBorders>
            <w:tcMar>
              <w:top w:w="0" w:type="dxa"/>
              <w:left w:w="0" w:type="dxa"/>
              <w:bottom w:w="0" w:type="dxa"/>
              <w:right w:w="0" w:type="dxa"/>
            </w:tcMar>
            <w:vAlign w:val="bottom"/>
          </w:tcPr>
          <w:p w14:paraId="36E700AC" w14:textId="77777777" w:rsidR="001614AC" w:rsidRDefault="001614AC">
            <w:pPr>
              <w:keepNext/>
            </w:pPr>
          </w:p>
        </w:tc>
        <w:tc>
          <w:tcPr>
            <w:tcW w:w="160" w:type="dxa"/>
            <w:tcBorders>
              <w:top w:val="single" w:sz="8" w:space="0" w:color="C7C9C7"/>
              <w:left w:val="nil"/>
              <w:bottom w:val="single" w:sz="8" w:space="0" w:color="E9E9E9"/>
              <w:right w:val="nil"/>
            </w:tcBorders>
            <w:tcMar>
              <w:top w:w="0" w:type="dxa"/>
              <w:left w:w="53" w:type="dxa"/>
              <w:bottom w:w="0" w:type="dxa"/>
              <w:right w:w="0" w:type="dxa"/>
            </w:tcMar>
            <w:vAlign w:val="bottom"/>
          </w:tcPr>
          <w:p w14:paraId="571184E6" w14:textId="77777777" w:rsidR="001614AC" w:rsidRDefault="004468F9">
            <w:pPr>
              <w:keepNext/>
              <w:spacing w:before="55" w:after="30" w:line="288" w:lineRule="auto"/>
            </w:pPr>
            <w:r>
              <w:rPr>
                <w:rFonts w:ascii="Arial" w:eastAsia="Arial" w:hAnsi="Arial" w:cs="Arial"/>
                <w:color w:val="000000"/>
                <w:sz w:val="18"/>
              </w:rPr>
              <w:t>$</w:t>
            </w:r>
          </w:p>
        </w:tc>
        <w:tc>
          <w:tcPr>
            <w:tcW w:w="790" w:type="dxa"/>
            <w:tcBorders>
              <w:top w:val="single" w:sz="8" w:space="0" w:color="C7C9C7"/>
              <w:left w:val="nil"/>
              <w:bottom w:val="single" w:sz="8" w:space="0" w:color="E9E9E9"/>
              <w:right w:val="nil"/>
            </w:tcBorders>
            <w:tcMar>
              <w:top w:w="0" w:type="dxa"/>
              <w:left w:w="0" w:type="dxa"/>
              <w:bottom w:w="0" w:type="dxa"/>
              <w:right w:w="0" w:type="dxa"/>
            </w:tcMar>
            <w:vAlign w:val="bottom"/>
          </w:tcPr>
          <w:p w14:paraId="56245128" w14:textId="77777777" w:rsidR="001614AC" w:rsidRDefault="004468F9">
            <w:pPr>
              <w:keepNext/>
              <w:spacing w:before="55" w:after="30" w:line="288" w:lineRule="auto"/>
              <w:jc w:val="right"/>
            </w:pPr>
            <w:r>
              <w:rPr>
                <w:rFonts w:ascii="Arial" w:eastAsia="Arial" w:hAnsi="Arial" w:cs="Arial"/>
                <w:color w:val="000000"/>
                <w:sz w:val="18"/>
              </w:rPr>
              <w:t>3,289 </w:t>
            </w:r>
          </w:p>
        </w:tc>
        <w:tc>
          <w:tcPr>
            <w:tcW w:w="100" w:type="dxa"/>
            <w:tcBorders>
              <w:top w:val="single" w:sz="8" w:space="0" w:color="C7C9C7"/>
              <w:left w:val="nil"/>
              <w:bottom w:val="single" w:sz="8" w:space="0" w:color="E9E9E9"/>
              <w:right w:val="nil"/>
            </w:tcBorders>
            <w:tcMar>
              <w:top w:w="0" w:type="dxa"/>
              <w:left w:w="0" w:type="dxa"/>
              <w:bottom w:w="0" w:type="dxa"/>
              <w:right w:w="15" w:type="dxa"/>
            </w:tcMar>
            <w:vAlign w:val="bottom"/>
          </w:tcPr>
          <w:p w14:paraId="4A4A510F" w14:textId="77777777" w:rsidR="001614AC" w:rsidRDefault="001614AC">
            <w:pPr>
              <w:keepNext/>
              <w:spacing w:before="55" w:after="30" w:line="288" w:lineRule="auto"/>
              <w:jc w:val="right"/>
            </w:pPr>
          </w:p>
        </w:tc>
        <w:tc>
          <w:tcPr>
            <w:tcW w:w="405" w:type="dxa"/>
            <w:tcBorders>
              <w:top w:val="single" w:sz="8" w:space="0" w:color="C7C9C7"/>
              <w:left w:val="nil"/>
              <w:bottom w:val="single" w:sz="8" w:space="0" w:color="E9E9E9"/>
              <w:right w:val="nil"/>
            </w:tcBorders>
            <w:tcMar>
              <w:top w:w="0" w:type="dxa"/>
              <w:left w:w="0" w:type="dxa"/>
              <w:bottom w:w="0" w:type="dxa"/>
              <w:right w:w="0" w:type="dxa"/>
            </w:tcMar>
            <w:vAlign w:val="bottom"/>
          </w:tcPr>
          <w:p w14:paraId="20148B03" w14:textId="77777777" w:rsidR="001614AC" w:rsidRDefault="001614AC">
            <w:pPr>
              <w:keepNext/>
            </w:pPr>
          </w:p>
        </w:tc>
        <w:tc>
          <w:tcPr>
            <w:tcW w:w="105" w:type="dxa"/>
            <w:tcBorders>
              <w:top w:val="single" w:sz="8" w:space="0" w:color="C7C9C7"/>
              <w:left w:val="nil"/>
              <w:bottom w:val="nil"/>
              <w:right w:val="nil"/>
            </w:tcBorders>
            <w:tcMar>
              <w:top w:w="0" w:type="dxa"/>
              <w:left w:w="0" w:type="dxa"/>
              <w:bottom w:w="0" w:type="dxa"/>
              <w:right w:w="0" w:type="dxa"/>
            </w:tcMar>
            <w:vAlign w:val="bottom"/>
          </w:tcPr>
          <w:p w14:paraId="4F25AE68" w14:textId="77777777" w:rsidR="001614AC" w:rsidRDefault="001614AC">
            <w:pPr>
              <w:keepNext/>
            </w:pPr>
          </w:p>
        </w:tc>
        <w:tc>
          <w:tcPr>
            <w:tcW w:w="160" w:type="dxa"/>
            <w:tcBorders>
              <w:top w:val="single" w:sz="8" w:space="0" w:color="C7C9C7"/>
              <w:left w:val="nil"/>
              <w:bottom w:val="single" w:sz="8" w:space="0" w:color="E9E9E9"/>
              <w:right w:val="nil"/>
            </w:tcBorders>
            <w:tcMar>
              <w:top w:w="0" w:type="dxa"/>
              <w:left w:w="53" w:type="dxa"/>
              <w:bottom w:w="0" w:type="dxa"/>
              <w:right w:w="0" w:type="dxa"/>
            </w:tcMar>
            <w:vAlign w:val="bottom"/>
          </w:tcPr>
          <w:p w14:paraId="73A0AE16" w14:textId="77777777" w:rsidR="001614AC" w:rsidRDefault="004468F9">
            <w:pPr>
              <w:keepNext/>
              <w:spacing w:before="55" w:after="30" w:line="288" w:lineRule="auto"/>
            </w:pPr>
            <w:r>
              <w:rPr>
                <w:rFonts w:ascii="Arial" w:eastAsia="Arial" w:hAnsi="Arial" w:cs="Arial"/>
                <w:color w:val="000000"/>
                <w:sz w:val="18"/>
              </w:rPr>
              <w:t>$</w:t>
            </w:r>
          </w:p>
        </w:tc>
        <w:tc>
          <w:tcPr>
            <w:tcW w:w="790" w:type="dxa"/>
            <w:tcBorders>
              <w:top w:val="single" w:sz="8" w:space="0" w:color="C7C9C7"/>
              <w:left w:val="nil"/>
              <w:bottom w:val="single" w:sz="8" w:space="0" w:color="E9E9E9"/>
              <w:right w:val="nil"/>
            </w:tcBorders>
            <w:tcMar>
              <w:top w:w="0" w:type="dxa"/>
              <w:left w:w="0" w:type="dxa"/>
              <w:bottom w:w="0" w:type="dxa"/>
              <w:right w:w="0" w:type="dxa"/>
            </w:tcMar>
            <w:vAlign w:val="bottom"/>
          </w:tcPr>
          <w:p w14:paraId="764367D1" w14:textId="77777777" w:rsidR="001614AC" w:rsidRDefault="004468F9">
            <w:pPr>
              <w:keepNext/>
              <w:spacing w:before="55" w:after="30" w:line="288" w:lineRule="auto"/>
              <w:jc w:val="right"/>
            </w:pPr>
            <w:r>
              <w:rPr>
                <w:rFonts w:ascii="Arial" w:eastAsia="Arial" w:hAnsi="Arial" w:cs="Arial"/>
                <w:color w:val="000000"/>
                <w:sz w:val="18"/>
              </w:rPr>
              <w:t>2,818 </w:t>
            </w:r>
          </w:p>
        </w:tc>
        <w:tc>
          <w:tcPr>
            <w:tcW w:w="100" w:type="dxa"/>
            <w:tcBorders>
              <w:top w:val="single" w:sz="8" w:space="0" w:color="C7C9C7"/>
              <w:left w:val="nil"/>
              <w:bottom w:val="single" w:sz="8" w:space="0" w:color="E9E9E9"/>
              <w:right w:val="nil"/>
            </w:tcBorders>
            <w:tcMar>
              <w:top w:w="0" w:type="dxa"/>
              <w:left w:w="0" w:type="dxa"/>
              <w:bottom w:w="0" w:type="dxa"/>
              <w:right w:w="15" w:type="dxa"/>
            </w:tcMar>
            <w:vAlign w:val="bottom"/>
          </w:tcPr>
          <w:p w14:paraId="12F2B770" w14:textId="77777777" w:rsidR="001614AC" w:rsidRDefault="001614AC">
            <w:pPr>
              <w:keepNext/>
              <w:spacing w:before="55" w:after="30" w:line="288" w:lineRule="auto"/>
              <w:jc w:val="right"/>
            </w:pPr>
          </w:p>
        </w:tc>
        <w:tc>
          <w:tcPr>
            <w:tcW w:w="405" w:type="dxa"/>
            <w:tcBorders>
              <w:top w:val="single" w:sz="8" w:space="0" w:color="C7C9C7"/>
              <w:left w:val="nil"/>
              <w:bottom w:val="single" w:sz="8" w:space="0" w:color="E9E9E9"/>
              <w:right w:val="nil"/>
            </w:tcBorders>
            <w:tcMar>
              <w:top w:w="0" w:type="dxa"/>
              <w:left w:w="0" w:type="dxa"/>
              <w:bottom w:w="0" w:type="dxa"/>
              <w:right w:w="0" w:type="dxa"/>
            </w:tcMar>
            <w:vAlign w:val="bottom"/>
          </w:tcPr>
          <w:p w14:paraId="0473F691" w14:textId="77777777" w:rsidR="001614AC" w:rsidRDefault="001614AC">
            <w:pPr>
              <w:keepNext/>
            </w:pPr>
          </w:p>
        </w:tc>
      </w:tr>
      <w:tr w:rsidR="001614AC" w14:paraId="1C6ED3DB" w14:textId="77777777">
        <w:trPr>
          <w:cantSplit/>
        </w:trPr>
        <w:tc>
          <w:tcPr>
            <w:tcW w:w="2235" w:type="dxa"/>
            <w:tcBorders>
              <w:top w:val="single" w:sz="8" w:space="0" w:color="E9E9E9"/>
              <w:left w:val="nil"/>
              <w:bottom w:val="single" w:sz="8" w:space="0" w:color="E9E9E9"/>
              <w:right w:val="nil"/>
            </w:tcBorders>
            <w:tcMar>
              <w:top w:w="0" w:type="dxa"/>
              <w:left w:w="53" w:type="dxa"/>
              <w:bottom w:w="0" w:type="dxa"/>
              <w:right w:w="53" w:type="dxa"/>
            </w:tcMar>
            <w:vAlign w:val="bottom"/>
          </w:tcPr>
          <w:p w14:paraId="3A7E4FBA" w14:textId="77777777" w:rsidR="001614AC" w:rsidRDefault="004468F9">
            <w:pPr>
              <w:keepNext/>
              <w:spacing w:before="55" w:after="30" w:line="288" w:lineRule="auto"/>
            </w:pPr>
            <w:r>
              <w:rPr>
                <w:rFonts w:ascii="Arial" w:eastAsia="Arial" w:hAnsi="Arial" w:cs="Arial"/>
                <w:color w:val="000000"/>
                <w:sz w:val="18"/>
              </w:rPr>
              <w:t>Remaining Coverage</w:t>
            </w:r>
          </w:p>
        </w:tc>
        <w:tc>
          <w:tcPr>
            <w:tcW w:w="105" w:type="dxa"/>
            <w:tcBorders>
              <w:top w:val="nil"/>
              <w:left w:val="nil"/>
              <w:bottom w:val="nil"/>
              <w:right w:val="nil"/>
            </w:tcBorders>
            <w:tcMar>
              <w:top w:w="0" w:type="dxa"/>
              <w:left w:w="0" w:type="dxa"/>
              <w:bottom w:w="0" w:type="dxa"/>
              <w:right w:w="0" w:type="dxa"/>
            </w:tcMar>
            <w:vAlign w:val="bottom"/>
          </w:tcPr>
          <w:p w14:paraId="1AC55DE0" w14:textId="77777777" w:rsidR="001614AC" w:rsidRDefault="001614AC">
            <w:pPr>
              <w:keepNext/>
            </w:pPr>
          </w:p>
        </w:tc>
        <w:tc>
          <w:tcPr>
            <w:tcW w:w="950"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20AF22E8" w14:textId="77777777" w:rsidR="001614AC" w:rsidRDefault="004468F9">
            <w:pPr>
              <w:keepNext/>
              <w:spacing w:before="55" w:after="30" w:line="288" w:lineRule="auto"/>
              <w:jc w:val="right"/>
            </w:pPr>
            <w:r>
              <w:rPr>
                <w:rFonts w:ascii="Arial" w:eastAsia="Arial" w:hAnsi="Arial" w:cs="Arial"/>
                <w:color w:val="000000"/>
                <w:sz w:val="18"/>
              </w:rPr>
              <w:t>498 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79DAF186" w14:textId="77777777" w:rsidR="001614AC" w:rsidRDefault="001614AC">
            <w:pPr>
              <w:keepNext/>
              <w:spacing w:before="55" w:after="30" w:line="288" w:lineRule="auto"/>
              <w:jc w:val="right"/>
            </w:pPr>
          </w:p>
        </w:tc>
        <w:tc>
          <w:tcPr>
            <w:tcW w:w="405" w:type="dxa"/>
            <w:tcBorders>
              <w:top w:val="single" w:sz="8" w:space="0" w:color="E9E9E9"/>
              <w:left w:val="nil"/>
              <w:bottom w:val="single" w:sz="8" w:space="0" w:color="E9E9E9"/>
              <w:right w:val="nil"/>
            </w:tcBorders>
            <w:tcMar>
              <w:top w:w="0" w:type="dxa"/>
              <w:left w:w="0" w:type="dxa"/>
              <w:bottom w:w="0" w:type="dxa"/>
              <w:right w:w="0" w:type="dxa"/>
            </w:tcMar>
            <w:vAlign w:val="bottom"/>
          </w:tcPr>
          <w:p w14:paraId="5F709A50" w14:textId="77777777" w:rsidR="001614AC" w:rsidRDefault="001614AC">
            <w:pPr>
              <w:keepNext/>
            </w:pPr>
          </w:p>
        </w:tc>
        <w:tc>
          <w:tcPr>
            <w:tcW w:w="105" w:type="dxa"/>
            <w:tcBorders>
              <w:top w:val="nil"/>
              <w:left w:val="nil"/>
              <w:bottom w:val="nil"/>
              <w:right w:val="nil"/>
            </w:tcBorders>
            <w:tcMar>
              <w:top w:w="0" w:type="dxa"/>
              <w:left w:w="0" w:type="dxa"/>
              <w:bottom w:w="0" w:type="dxa"/>
              <w:right w:w="0" w:type="dxa"/>
            </w:tcMar>
            <w:vAlign w:val="bottom"/>
          </w:tcPr>
          <w:p w14:paraId="7DDCD9FB" w14:textId="77777777" w:rsidR="001614AC" w:rsidRDefault="001614AC">
            <w:pPr>
              <w:keepNext/>
            </w:pPr>
          </w:p>
        </w:tc>
        <w:tc>
          <w:tcPr>
            <w:tcW w:w="950"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1CA37A1B" w14:textId="77777777" w:rsidR="001614AC" w:rsidRDefault="004468F9">
            <w:pPr>
              <w:keepNext/>
              <w:spacing w:before="55" w:after="30" w:line="288" w:lineRule="auto"/>
              <w:jc w:val="right"/>
            </w:pPr>
            <w:r>
              <w:rPr>
                <w:rFonts w:ascii="Arial" w:eastAsia="Arial" w:hAnsi="Arial" w:cs="Arial"/>
                <w:color w:val="000000"/>
                <w:sz w:val="18"/>
              </w:rPr>
              <w:t>285 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46902477" w14:textId="77777777" w:rsidR="001614AC" w:rsidRDefault="001614AC">
            <w:pPr>
              <w:keepNext/>
              <w:spacing w:before="55" w:after="30" w:line="288" w:lineRule="auto"/>
              <w:jc w:val="right"/>
            </w:pPr>
          </w:p>
        </w:tc>
        <w:tc>
          <w:tcPr>
            <w:tcW w:w="405" w:type="dxa"/>
            <w:tcBorders>
              <w:top w:val="single" w:sz="8" w:space="0" w:color="E9E9E9"/>
              <w:left w:val="nil"/>
              <w:bottom w:val="single" w:sz="8" w:space="0" w:color="E9E9E9"/>
              <w:right w:val="nil"/>
            </w:tcBorders>
            <w:tcMar>
              <w:top w:w="0" w:type="dxa"/>
              <w:left w:w="0" w:type="dxa"/>
              <w:bottom w:w="0" w:type="dxa"/>
              <w:right w:w="0" w:type="dxa"/>
            </w:tcMar>
            <w:vAlign w:val="bottom"/>
          </w:tcPr>
          <w:p w14:paraId="22D3CE16" w14:textId="77777777" w:rsidR="001614AC" w:rsidRDefault="001614AC">
            <w:pPr>
              <w:keepNext/>
            </w:pPr>
          </w:p>
        </w:tc>
        <w:tc>
          <w:tcPr>
            <w:tcW w:w="105" w:type="dxa"/>
            <w:tcBorders>
              <w:top w:val="nil"/>
              <w:left w:val="nil"/>
              <w:bottom w:val="nil"/>
              <w:right w:val="nil"/>
            </w:tcBorders>
            <w:tcMar>
              <w:top w:w="0" w:type="dxa"/>
              <w:left w:w="0" w:type="dxa"/>
              <w:bottom w:w="0" w:type="dxa"/>
              <w:right w:w="0" w:type="dxa"/>
            </w:tcMar>
            <w:vAlign w:val="bottom"/>
          </w:tcPr>
          <w:p w14:paraId="3295E833" w14:textId="77777777" w:rsidR="001614AC" w:rsidRDefault="001614AC">
            <w:pPr>
              <w:keepNext/>
            </w:pPr>
          </w:p>
        </w:tc>
        <w:tc>
          <w:tcPr>
            <w:tcW w:w="950"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3BF9CDEF" w14:textId="77777777" w:rsidR="001614AC" w:rsidRDefault="004468F9">
            <w:pPr>
              <w:keepNext/>
              <w:spacing w:before="55" w:after="30" w:line="288" w:lineRule="auto"/>
              <w:jc w:val="right"/>
            </w:pPr>
            <w:r>
              <w:rPr>
                <w:rFonts w:ascii="Arial" w:eastAsia="Arial" w:hAnsi="Arial" w:cs="Arial"/>
                <w:color w:val="000000"/>
                <w:sz w:val="18"/>
              </w:rPr>
              <w:t>488 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795E28C1" w14:textId="77777777" w:rsidR="001614AC" w:rsidRDefault="001614AC">
            <w:pPr>
              <w:keepNext/>
              <w:spacing w:before="55" w:after="30" w:line="288" w:lineRule="auto"/>
              <w:jc w:val="right"/>
            </w:pPr>
          </w:p>
        </w:tc>
        <w:tc>
          <w:tcPr>
            <w:tcW w:w="405" w:type="dxa"/>
            <w:tcBorders>
              <w:top w:val="single" w:sz="8" w:space="0" w:color="E9E9E9"/>
              <w:left w:val="nil"/>
              <w:bottom w:val="single" w:sz="8" w:space="0" w:color="E9E9E9"/>
              <w:right w:val="nil"/>
            </w:tcBorders>
            <w:tcMar>
              <w:top w:w="0" w:type="dxa"/>
              <w:left w:w="0" w:type="dxa"/>
              <w:bottom w:w="0" w:type="dxa"/>
              <w:right w:w="0" w:type="dxa"/>
            </w:tcMar>
            <w:vAlign w:val="bottom"/>
          </w:tcPr>
          <w:p w14:paraId="2C4E79A3" w14:textId="77777777" w:rsidR="001614AC" w:rsidRDefault="001614AC">
            <w:pPr>
              <w:keepNext/>
            </w:pPr>
          </w:p>
        </w:tc>
        <w:tc>
          <w:tcPr>
            <w:tcW w:w="105" w:type="dxa"/>
            <w:tcBorders>
              <w:top w:val="nil"/>
              <w:left w:val="nil"/>
              <w:bottom w:val="nil"/>
              <w:right w:val="nil"/>
            </w:tcBorders>
            <w:tcMar>
              <w:top w:w="0" w:type="dxa"/>
              <w:left w:w="0" w:type="dxa"/>
              <w:bottom w:w="0" w:type="dxa"/>
              <w:right w:w="0" w:type="dxa"/>
            </w:tcMar>
            <w:vAlign w:val="bottom"/>
          </w:tcPr>
          <w:p w14:paraId="599D3010" w14:textId="77777777" w:rsidR="001614AC" w:rsidRDefault="001614AC">
            <w:pPr>
              <w:keepNext/>
            </w:pPr>
          </w:p>
        </w:tc>
        <w:tc>
          <w:tcPr>
            <w:tcW w:w="950"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7E49CB72" w14:textId="77777777" w:rsidR="001614AC" w:rsidRDefault="004468F9">
            <w:pPr>
              <w:keepNext/>
              <w:spacing w:before="55" w:after="30" w:line="288" w:lineRule="auto"/>
              <w:jc w:val="right"/>
            </w:pPr>
            <w:r>
              <w:rPr>
                <w:rFonts w:ascii="Arial" w:eastAsia="Arial" w:hAnsi="Arial" w:cs="Arial"/>
                <w:color w:val="000000"/>
                <w:sz w:val="18"/>
              </w:rPr>
              <w:t>385 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700EDB5B" w14:textId="77777777" w:rsidR="001614AC" w:rsidRDefault="001614AC">
            <w:pPr>
              <w:keepNext/>
              <w:spacing w:before="55" w:after="30" w:line="288" w:lineRule="auto"/>
              <w:jc w:val="right"/>
            </w:pPr>
          </w:p>
        </w:tc>
        <w:tc>
          <w:tcPr>
            <w:tcW w:w="405" w:type="dxa"/>
            <w:tcBorders>
              <w:top w:val="single" w:sz="8" w:space="0" w:color="E9E9E9"/>
              <w:left w:val="nil"/>
              <w:bottom w:val="single" w:sz="8" w:space="0" w:color="E9E9E9"/>
              <w:right w:val="nil"/>
            </w:tcBorders>
            <w:tcMar>
              <w:top w:w="0" w:type="dxa"/>
              <w:left w:w="0" w:type="dxa"/>
              <w:bottom w:w="0" w:type="dxa"/>
              <w:right w:w="0" w:type="dxa"/>
            </w:tcMar>
            <w:vAlign w:val="bottom"/>
          </w:tcPr>
          <w:p w14:paraId="05023783" w14:textId="77777777" w:rsidR="001614AC" w:rsidRDefault="001614AC">
            <w:pPr>
              <w:keepNext/>
            </w:pPr>
          </w:p>
        </w:tc>
        <w:tc>
          <w:tcPr>
            <w:tcW w:w="105" w:type="dxa"/>
            <w:tcBorders>
              <w:top w:val="nil"/>
              <w:left w:val="nil"/>
              <w:bottom w:val="nil"/>
              <w:right w:val="nil"/>
            </w:tcBorders>
            <w:tcMar>
              <w:top w:w="0" w:type="dxa"/>
              <w:left w:w="0" w:type="dxa"/>
              <w:bottom w:w="0" w:type="dxa"/>
              <w:right w:w="0" w:type="dxa"/>
            </w:tcMar>
            <w:vAlign w:val="bottom"/>
          </w:tcPr>
          <w:p w14:paraId="41183D09" w14:textId="77777777" w:rsidR="001614AC" w:rsidRDefault="001614AC">
            <w:pPr>
              <w:keepNext/>
            </w:pPr>
          </w:p>
        </w:tc>
        <w:tc>
          <w:tcPr>
            <w:tcW w:w="950"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59EA4EB2" w14:textId="77777777" w:rsidR="001614AC" w:rsidRDefault="004468F9">
            <w:pPr>
              <w:keepNext/>
              <w:spacing w:before="55" w:after="30" w:line="288" w:lineRule="auto"/>
              <w:jc w:val="right"/>
            </w:pPr>
            <w:r>
              <w:rPr>
                <w:rFonts w:ascii="Arial" w:eastAsia="Arial" w:hAnsi="Arial" w:cs="Arial"/>
                <w:color w:val="000000"/>
                <w:sz w:val="18"/>
              </w:rPr>
              <w:t>276 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0CD9E6FF" w14:textId="77777777" w:rsidR="001614AC" w:rsidRDefault="001614AC">
            <w:pPr>
              <w:keepNext/>
              <w:spacing w:before="55" w:after="30" w:line="288" w:lineRule="auto"/>
              <w:jc w:val="right"/>
            </w:pPr>
          </w:p>
        </w:tc>
        <w:tc>
          <w:tcPr>
            <w:tcW w:w="405" w:type="dxa"/>
            <w:tcBorders>
              <w:top w:val="single" w:sz="8" w:space="0" w:color="E9E9E9"/>
              <w:left w:val="nil"/>
              <w:bottom w:val="single" w:sz="8" w:space="0" w:color="E9E9E9"/>
              <w:right w:val="nil"/>
            </w:tcBorders>
            <w:tcMar>
              <w:top w:w="0" w:type="dxa"/>
              <w:left w:w="53" w:type="dxa"/>
              <w:bottom w:w="0" w:type="dxa"/>
              <w:right w:w="53" w:type="dxa"/>
            </w:tcMar>
            <w:vAlign w:val="bottom"/>
          </w:tcPr>
          <w:p w14:paraId="1E7F806F" w14:textId="77777777" w:rsidR="001614AC" w:rsidRDefault="004468F9">
            <w:pPr>
              <w:keepNext/>
              <w:spacing w:before="55" w:after="30" w:line="288" w:lineRule="auto"/>
              <w:rPr>
                <w:rFonts w:ascii="Arial" w:eastAsia="Arial" w:hAnsi="Arial" w:cs="Arial"/>
                <w:sz w:val="18"/>
                <w:vertAlign w:val="superscript"/>
              </w:rPr>
            </w:pPr>
            <w:r>
              <w:rPr>
                <w:rFonts w:ascii="Arial" w:eastAsia="Arial" w:hAnsi="Arial" w:cs="Arial"/>
                <w:sz w:val="18"/>
                <w:vertAlign w:val="superscript"/>
              </w:rPr>
              <w:t>(2)</w:t>
            </w:r>
          </w:p>
        </w:tc>
      </w:tr>
      <w:tr w:rsidR="001614AC" w14:paraId="620A68B3" w14:textId="77777777">
        <w:trPr>
          <w:cantSplit/>
        </w:trPr>
        <w:tc>
          <w:tcPr>
            <w:tcW w:w="2235" w:type="dxa"/>
            <w:tcBorders>
              <w:top w:val="single" w:sz="8" w:space="0" w:color="E9E9E9"/>
              <w:left w:val="nil"/>
              <w:bottom w:val="single" w:sz="8" w:space="0" w:color="E9E9E9"/>
              <w:right w:val="nil"/>
            </w:tcBorders>
            <w:tcMar>
              <w:top w:w="0" w:type="dxa"/>
              <w:left w:w="53" w:type="dxa"/>
              <w:bottom w:w="0" w:type="dxa"/>
              <w:right w:w="53" w:type="dxa"/>
            </w:tcMar>
            <w:vAlign w:val="bottom"/>
          </w:tcPr>
          <w:p w14:paraId="62C22E81" w14:textId="77777777" w:rsidR="001614AC" w:rsidRDefault="004468F9">
            <w:pPr>
              <w:keepNext/>
              <w:spacing w:before="55" w:after="30" w:line="288" w:lineRule="auto"/>
            </w:pPr>
            <w:r>
              <w:rPr>
                <w:rFonts w:ascii="Arial" w:eastAsia="Arial" w:hAnsi="Arial" w:cs="Arial"/>
                <w:color w:val="000000"/>
                <w:sz w:val="18"/>
              </w:rPr>
              <w:t xml:space="preserve">First Layer </w:t>
            </w:r>
            <w:r>
              <w:rPr>
                <w:rFonts w:ascii="Arial" w:eastAsia="Arial" w:hAnsi="Arial" w:cs="Arial"/>
                <w:color w:val="000000"/>
                <w:sz w:val="18"/>
              </w:rPr>
              <w:t>Retention</w:t>
            </w:r>
          </w:p>
        </w:tc>
        <w:tc>
          <w:tcPr>
            <w:tcW w:w="105" w:type="dxa"/>
            <w:tcBorders>
              <w:top w:val="nil"/>
              <w:left w:val="nil"/>
              <w:bottom w:val="nil"/>
              <w:right w:val="nil"/>
            </w:tcBorders>
            <w:tcMar>
              <w:top w:w="0" w:type="dxa"/>
              <w:left w:w="0" w:type="dxa"/>
              <w:bottom w:w="0" w:type="dxa"/>
              <w:right w:w="0" w:type="dxa"/>
            </w:tcMar>
            <w:vAlign w:val="bottom"/>
          </w:tcPr>
          <w:p w14:paraId="4E7F02AC" w14:textId="77777777" w:rsidR="001614AC" w:rsidRDefault="001614AC">
            <w:pPr>
              <w:keepNext/>
            </w:pPr>
          </w:p>
        </w:tc>
        <w:tc>
          <w:tcPr>
            <w:tcW w:w="950"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79966B54" w14:textId="77777777" w:rsidR="001614AC" w:rsidRDefault="004468F9">
            <w:pPr>
              <w:keepNext/>
              <w:spacing w:before="55" w:after="30" w:line="288" w:lineRule="auto"/>
              <w:jc w:val="right"/>
            </w:pPr>
            <w:r>
              <w:rPr>
                <w:rFonts w:ascii="Arial" w:eastAsia="Arial" w:hAnsi="Arial" w:cs="Arial"/>
                <w:color w:val="000000"/>
                <w:sz w:val="18"/>
              </w:rPr>
              <w:t>221 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1AA07678" w14:textId="77777777" w:rsidR="001614AC" w:rsidRDefault="001614AC">
            <w:pPr>
              <w:keepNext/>
              <w:spacing w:before="55" w:after="30" w:line="288" w:lineRule="auto"/>
              <w:jc w:val="right"/>
            </w:pPr>
          </w:p>
        </w:tc>
        <w:tc>
          <w:tcPr>
            <w:tcW w:w="405" w:type="dxa"/>
            <w:tcBorders>
              <w:top w:val="single" w:sz="8" w:space="0" w:color="E9E9E9"/>
              <w:left w:val="nil"/>
              <w:bottom w:val="single" w:sz="8" w:space="0" w:color="E9E9E9"/>
              <w:right w:val="nil"/>
            </w:tcBorders>
            <w:tcMar>
              <w:top w:w="0" w:type="dxa"/>
              <w:left w:w="0" w:type="dxa"/>
              <w:bottom w:w="0" w:type="dxa"/>
              <w:right w:w="0" w:type="dxa"/>
            </w:tcMar>
            <w:vAlign w:val="bottom"/>
          </w:tcPr>
          <w:p w14:paraId="18EDA44D" w14:textId="77777777" w:rsidR="001614AC" w:rsidRDefault="001614AC">
            <w:pPr>
              <w:keepNext/>
            </w:pPr>
          </w:p>
        </w:tc>
        <w:tc>
          <w:tcPr>
            <w:tcW w:w="105" w:type="dxa"/>
            <w:tcBorders>
              <w:top w:val="nil"/>
              <w:left w:val="nil"/>
              <w:bottom w:val="nil"/>
              <w:right w:val="nil"/>
            </w:tcBorders>
            <w:tcMar>
              <w:top w:w="0" w:type="dxa"/>
              <w:left w:w="0" w:type="dxa"/>
              <w:bottom w:w="0" w:type="dxa"/>
              <w:right w:w="0" w:type="dxa"/>
            </w:tcMar>
            <w:vAlign w:val="bottom"/>
          </w:tcPr>
          <w:p w14:paraId="6FC4D51E" w14:textId="77777777" w:rsidR="001614AC" w:rsidRDefault="001614AC">
            <w:pPr>
              <w:keepNext/>
            </w:pPr>
          </w:p>
        </w:tc>
        <w:tc>
          <w:tcPr>
            <w:tcW w:w="950"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6D30D41C" w14:textId="77777777" w:rsidR="001614AC" w:rsidRDefault="004468F9">
            <w:pPr>
              <w:keepNext/>
              <w:spacing w:before="55" w:after="30" w:line="288" w:lineRule="auto"/>
              <w:jc w:val="right"/>
            </w:pPr>
            <w:r>
              <w:rPr>
                <w:rFonts w:ascii="Arial" w:eastAsia="Arial" w:hAnsi="Arial" w:cs="Arial"/>
                <w:color w:val="000000"/>
                <w:sz w:val="18"/>
              </w:rPr>
              <w:t>423 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05462BE3" w14:textId="77777777" w:rsidR="001614AC" w:rsidRDefault="001614AC">
            <w:pPr>
              <w:keepNext/>
              <w:spacing w:before="55" w:after="30" w:line="288" w:lineRule="auto"/>
              <w:jc w:val="right"/>
            </w:pPr>
          </w:p>
        </w:tc>
        <w:tc>
          <w:tcPr>
            <w:tcW w:w="405" w:type="dxa"/>
            <w:tcBorders>
              <w:top w:val="single" w:sz="8" w:space="0" w:color="E9E9E9"/>
              <w:left w:val="nil"/>
              <w:bottom w:val="single" w:sz="8" w:space="0" w:color="E9E9E9"/>
              <w:right w:val="nil"/>
            </w:tcBorders>
            <w:tcMar>
              <w:top w:w="0" w:type="dxa"/>
              <w:left w:w="0" w:type="dxa"/>
              <w:bottom w:w="0" w:type="dxa"/>
              <w:right w:w="0" w:type="dxa"/>
            </w:tcMar>
            <w:vAlign w:val="bottom"/>
          </w:tcPr>
          <w:p w14:paraId="700E64BA" w14:textId="77777777" w:rsidR="001614AC" w:rsidRDefault="001614AC">
            <w:pPr>
              <w:keepNext/>
            </w:pPr>
          </w:p>
        </w:tc>
        <w:tc>
          <w:tcPr>
            <w:tcW w:w="105" w:type="dxa"/>
            <w:tcBorders>
              <w:top w:val="nil"/>
              <w:left w:val="nil"/>
              <w:bottom w:val="nil"/>
              <w:right w:val="nil"/>
            </w:tcBorders>
            <w:tcMar>
              <w:top w:w="0" w:type="dxa"/>
              <w:left w:w="0" w:type="dxa"/>
              <w:bottom w:w="0" w:type="dxa"/>
              <w:right w:w="0" w:type="dxa"/>
            </w:tcMar>
            <w:vAlign w:val="bottom"/>
          </w:tcPr>
          <w:p w14:paraId="733B156D" w14:textId="77777777" w:rsidR="001614AC" w:rsidRDefault="001614AC">
            <w:pPr>
              <w:keepNext/>
            </w:pPr>
          </w:p>
        </w:tc>
        <w:tc>
          <w:tcPr>
            <w:tcW w:w="950"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3CB1D921" w14:textId="77777777" w:rsidR="001614AC" w:rsidRDefault="004468F9">
            <w:pPr>
              <w:keepNext/>
              <w:spacing w:before="55" w:after="30" w:line="288" w:lineRule="auto"/>
              <w:jc w:val="right"/>
            </w:pPr>
            <w:r>
              <w:rPr>
                <w:rFonts w:ascii="Arial" w:eastAsia="Arial" w:hAnsi="Arial" w:cs="Arial"/>
                <w:color w:val="000000"/>
                <w:sz w:val="18"/>
              </w:rPr>
              <w:t>202 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0DE39B70" w14:textId="77777777" w:rsidR="001614AC" w:rsidRDefault="001614AC">
            <w:pPr>
              <w:keepNext/>
              <w:spacing w:before="55" w:after="30" w:line="288" w:lineRule="auto"/>
              <w:jc w:val="right"/>
            </w:pPr>
          </w:p>
        </w:tc>
        <w:tc>
          <w:tcPr>
            <w:tcW w:w="405" w:type="dxa"/>
            <w:tcBorders>
              <w:top w:val="single" w:sz="8" w:space="0" w:color="E9E9E9"/>
              <w:left w:val="nil"/>
              <w:bottom w:val="single" w:sz="8" w:space="0" w:color="E9E9E9"/>
              <w:right w:val="nil"/>
            </w:tcBorders>
            <w:tcMar>
              <w:top w:w="0" w:type="dxa"/>
              <w:left w:w="0" w:type="dxa"/>
              <w:bottom w:w="0" w:type="dxa"/>
              <w:right w:w="0" w:type="dxa"/>
            </w:tcMar>
            <w:vAlign w:val="bottom"/>
          </w:tcPr>
          <w:p w14:paraId="6FCEBFFF" w14:textId="77777777" w:rsidR="001614AC" w:rsidRDefault="001614AC">
            <w:pPr>
              <w:keepNext/>
            </w:pPr>
          </w:p>
        </w:tc>
        <w:tc>
          <w:tcPr>
            <w:tcW w:w="105" w:type="dxa"/>
            <w:tcBorders>
              <w:top w:val="nil"/>
              <w:left w:val="nil"/>
              <w:bottom w:val="nil"/>
              <w:right w:val="nil"/>
            </w:tcBorders>
            <w:tcMar>
              <w:top w:w="0" w:type="dxa"/>
              <w:left w:w="0" w:type="dxa"/>
              <w:bottom w:w="0" w:type="dxa"/>
              <w:right w:w="0" w:type="dxa"/>
            </w:tcMar>
            <w:vAlign w:val="bottom"/>
          </w:tcPr>
          <w:p w14:paraId="69A88F32" w14:textId="77777777" w:rsidR="001614AC" w:rsidRDefault="001614AC">
            <w:pPr>
              <w:keepNext/>
            </w:pPr>
          </w:p>
        </w:tc>
        <w:tc>
          <w:tcPr>
            <w:tcW w:w="950"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028A7138" w14:textId="77777777" w:rsidR="001614AC" w:rsidRDefault="004468F9">
            <w:pPr>
              <w:keepNext/>
              <w:spacing w:before="55" w:after="30" w:line="288" w:lineRule="auto"/>
              <w:jc w:val="right"/>
            </w:pPr>
            <w:r>
              <w:rPr>
                <w:rFonts w:ascii="Arial" w:eastAsia="Arial" w:hAnsi="Arial" w:cs="Arial"/>
                <w:color w:val="000000"/>
                <w:sz w:val="18"/>
              </w:rPr>
              <w:t>264 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14263515" w14:textId="77777777" w:rsidR="001614AC" w:rsidRDefault="001614AC">
            <w:pPr>
              <w:keepNext/>
              <w:spacing w:before="55" w:after="30" w:line="288" w:lineRule="auto"/>
              <w:jc w:val="right"/>
            </w:pPr>
          </w:p>
        </w:tc>
        <w:tc>
          <w:tcPr>
            <w:tcW w:w="405" w:type="dxa"/>
            <w:tcBorders>
              <w:top w:val="single" w:sz="8" w:space="0" w:color="E9E9E9"/>
              <w:left w:val="nil"/>
              <w:bottom w:val="single" w:sz="8" w:space="0" w:color="E9E9E9"/>
              <w:right w:val="nil"/>
            </w:tcBorders>
            <w:tcMar>
              <w:top w:w="0" w:type="dxa"/>
              <w:left w:w="0" w:type="dxa"/>
              <w:bottom w:w="0" w:type="dxa"/>
              <w:right w:w="0" w:type="dxa"/>
            </w:tcMar>
            <w:vAlign w:val="bottom"/>
          </w:tcPr>
          <w:p w14:paraId="18CF21E7" w14:textId="77777777" w:rsidR="001614AC" w:rsidRDefault="001614AC">
            <w:pPr>
              <w:keepNext/>
            </w:pPr>
          </w:p>
        </w:tc>
        <w:tc>
          <w:tcPr>
            <w:tcW w:w="105" w:type="dxa"/>
            <w:tcBorders>
              <w:top w:val="nil"/>
              <w:left w:val="nil"/>
              <w:bottom w:val="nil"/>
              <w:right w:val="nil"/>
            </w:tcBorders>
            <w:tcMar>
              <w:top w:w="0" w:type="dxa"/>
              <w:left w:w="0" w:type="dxa"/>
              <w:bottom w:w="0" w:type="dxa"/>
              <w:right w:w="0" w:type="dxa"/>
            </w:tcMar>
            <w:vAlign w:val="bottom"/>
          </w:tcPr>
          <w:p w14:paraId="5D545908" w14:textId="77777777" w:rsidR="001614AC" w:rsidRDefault="001614AC">
            <w:pPr>
              <w:keepNext/>
            </w:pPr>
          </w:p>
        </w:tc>
        <w:tc>
          <w:tcPr>
            <w:tcW w:w="950"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07E87801" w14:textId="77777777" w:rsidR="001614AC" w:rsidRDefault="004468F9">
            <w:pPr>
              <w:keepNext/>
              <w:spacing w:before="55" w:after="30" w:line="288" w:lineRule="auto"/>
              <w:jc w:val="right"/>
            </w:pPr>
            <w:r>
              <w:rPr>
                <w:rFonts w:ascii="Arial" w:eastAsia="Arial" w:hAnsi="Arial" w:cs="Arial"/>
                <w:color w:val="000000"/>
                <w:sz w:val="18"/>
              </w:rPr>
              <w:t>201 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7C5067A5" w14:textId="77777777" w:rsidR="001614AC" w:rsidRDefault="001614AC">
            <w:pPr>
              <w:keepNext/>
              <w:spacing w:before="55" w:after="30" w:line="288" w:lineRule="auto"/>
              <w:jc w:val="right"/>
            </w:pPr>
          </w:p>
        </w:tc>
        <w:tc>
          <w:tcPr>
            <w:tcW w:w="405" w:type="dxa"/>
            <w:tcBorders>
              <w:top w:val="single" w:sz="8" w:space="0" w:color="E9E9E9"/>
              <w:left w:val="nil"/>
              <w:bottom w:val="single" w:sz="8" w:space="0" w:color="E9E9E9"/>
              <w:right w:val="nil"/>
            </w:tcBorders>
            <w:tcMar>
              <w:top w:w="0" w:type="dxa"/>
              <w:left w:w="0" w:type="dxa"/>
              <w:bottom w:w="0" w:type="dxa"/>
              <w:right w:w="0" w:type="dxa"/>
            </w:tcMar>
            <w:vAlign w:val="bottom"/>
          </w:tcPr>
          <w:p w14:paraId="33A5285E" w14:textId="77777777" w:rsidR="001614AC" w:rsidRDefault="001614AC">
            <w:pPr>
              <w:keepNext/>
            </w:pPr>
          </w:p>
        </w:tc>
      </w:tr>
      <w:tr w:rsidR="001614AC" w14:paraId="3C3702E8" w14:textId="77777777">
        <w:trPr>
          <w:cantSplit/>
        </w:trPr>
        <w:tc>
          <w:tcPr>
            <w:tcW w:w="2235" w:type="dxa"/>
            <w:tcBorders>
              <w:top w:val="single" w:sz="8" w:space="0" w:color="E9E9E9"/>
              <w:left w:val="nil"/>
              <w:bottom w:val="nil"/>
              <w:right w:val="nil"/>
            </w:tcBorders>
            <w:tcMar>
              <w:top w:w="0" w:type="dxa"/>
              <w:left w:w="0" w:type="dxa"/>
              <w:bottom w:w="0" w:type="dxa"/>
              <w:right w:w="0" w:type="dxa"/>
            </w:tcMar>
            <w:vAlign w:val="bottom"/>
          </w:tcPr>
          <w:p w14:paraId="445F90F7" w14:textId="77777777" w:rsidR="001614AC" w:rsidRDefault="001614AC">
            <w:pPr>
              <w:keepNext/>
            </w:pPr>
          </w:p>
        </w:tc>
        <w:tc>
          <w:tcPr>
            <w:tcW w:w="105" w:type="dxa"/>
            <w:tcBorders>
              <w:top w:val="nil"/>
              <w:left w:val="nil"/>
              <w:bottom w:val="nil"/>
              <w:right w:val="nil"/>
            </w:tcBorders>
            <w:tcMar>
              <w:top w:w="0" w:type="dxa"/>
              <w:left w:w="0" w:type="dxa"/>
              <w:bottom w:w="0" w:type="dxa"/>
              <w:right w:w="0" w:type="dxa"/>
            </w:tcMar>
            <w:vAlign w:val="bottom"/>
          </w:tcPr>
          <w:p w14:paraId="214929D3" w14:textId="77777777" w:rsidR="001614AC" w:rsidRDefault="001614AC">
            <w:pPr>
              <w:keepNext/>
            </w:pPr>
          </w:p>
        </w:tc>
        <w:tc>
          <w:tcPr>
            <w:tcW w:w="1050" w:type="dxa"/>
            <w:gridSpan w:val="3"/>
            <w:tcBorders>
              <w:top w:val="single" w:sz="8" w:space="0" w:color="E9E9E9"/>
              <w:left w:val="nil"/>
              <w:bottom w:val="nil"/>
              <w:right w:val="nil"/>
            </w:tcBorders>
            <w:tcMar>
              <w:top w:w="0" w:type="dxa"/>
              <w:left w:w="0" w:type="dxa"/>
              <w:bottom w:w="0" w:type="dxa"/>
              <w:right w:w="0" w:type="dxa"/>
            </w:tcMar>
            <w:vAlign w:val="bottom"/>
          </w:tcPr>
          <w:p w14:paraId="0ED6522E" w14:textId="77777777" w:rsidR="001614AC" w:rsidRDefault="001614AC">
            <w:pPr>
              <w:keepNext/>
            </w:pPr>
          </w:p>
        </w:tc>
        <w:tc>
          <w:tcPr>
            <w:tcW w:w="405" w:type="dxa"/>
            <w:tcBorders>
              <w:top w:val="single" w:sz="8" w:space="0" w:color="E9E9E9"/>
              <w:left w:val="nil"/>
              <w:bottom w:val="nil"/>
              <w:right w:val="nil"/>
            </w:tcBorders>
            <w:tcMar>
              <w:top w:w="0" w:type="dxa"/>
              <w:left w:w="0" w:type="dxa"/>
              <w:bottom w:w="0" w:type="dxa"/>
              <w:right w:w="0" w:type="dxa"/>
            </w:tcMar>
            <w:vAlign w:val="bottom"/>
          </w:tcPr>
          <w:p w14:paraId="4F1B6FF9" w14:textId="77777777" w:rsidR="001614AC" w:rsidRDefault="001614AC">
            <w:pPr>
              <w:keepNext/>
            </w:pPr>
          </w:p>
        </w:tc>
        <w:tc>
          <w:tcPr>
            <w:tcW w:w="105" w:type="dxa"/>
            <w:tcBorders>
              <w:top w:val="nil"/>
              <w:left w:val="nil"/>
              <w:bottom w:val="nil"/>
              <w:right w:val="nil"/>
            </w:tcBorders>
            <w:tcMar>
              <w:top w:w="0" w:type="dxa"/>
              <w:left w:w="0" w:type="dxa"/>
              <w:bottom w:w="0" w:type="dxa"/>
              <w:right w:w="0" w:type="dxa"/>
            </w:tcMar>
            <w:vAlign w:val="bottom"/>
          </w:tcPr>
          <w:p w14:paraId="6AA38550" w14:textId="77777777" w:rsidR="001614AC" w:rsidRDefault="001614AC">
            <w:pPr>
              <w:keepNext/>
            </w:pPr>
          </w:p>
        </w:tc>
        <w:tc>
          <w:tcPr>
            <w:tcW w:w="1050" w:type="dxa"/>
            <w:gridSpan w:val="3"/>
            <w:tcBorders>
              <w:top w:val="single" w:sz="8" w:space="0" w:color="E9E9E9"/>
              <w:left w:val="nil"/>
              <w:bottom w:val="nil"/>
              <w:right w:val="nil"/>
            </w:tcBorders>
            <w:tcMar>
              <w:top w:w="0" w:type="dxa"/>
              <w:left w:w="0" w:type="dxa"/>
              <w:bottom w:w="0" w:type="dxa"/>
              <w:right w:w="0" w:type="dxa"/>
            </w:tcMar>
            <w:vAlign w:val="bottom"/>
          </w:tcPr>
          <w:p w14:paraId="1E3E3072" w14:textId="77777777" w:rsidR="001614AC" w:rsidRDefault="001614AC">
            <w:pPr>
              <w:keepNext/>
            </w:pPr>
          </w:p>
        </w:tc>
        <w:tc>
          <w:tcPr>
            <w:tcW w:w="405" w:type="dxa"/>
            <w:tcBorders>
              <w:top w:val="single" w:sz="8" w:space="0" w:color="E9E9E9"/>
              <w:left w:val="nil"/>
              <w:bottom w:val="nil"/>
              <w:right w:val="nil"/>
            </w:tcBorders>
            <w:tcMar>
              <w:top w:w="0" w:type="dxa"/>
              <w:left w:w="0" w:type="dxa"/>
              <w:bottom w:w="0" w:type="dxa"/>
              <w:right w:w="0" w:type="dxa"/>
            </w:tcMar>
            <w:vAlign w:val="bottom"/>
          </w:tcPr>
          <w:p w14:paraId="52D54BD9" w14:textId="77777777" w:rsidR="001614AC" w:rsidRDefault="001614AC">
            <w:pPr>
              <w:keepNext/>
            </w:pPr>
          </w:p>
        </w:tc>
        <w:tc>
          <w:tcPr>
            <w:tcW w:w="105" w:type="dxa"/>
            <w:tcBorders>
              <w:top w:val="nil"/>
              <w:left w:val="nil"/>
              <w:bottom w:val="nil"/>
              <w:right w:val="nil"/>
            </w:tcBorders>
            <w:tcMar>
              <w:top w:w="0" w:type="dxa"/>
              <w:left w:w="0" w:type="dxa"/>
              <w:bottom w:w="0" w:type="dxa"/>
              <w:right w:w="0" w:type="dxa"/>
            </w:tcMar>
            <w:vAlign w:val="bottom"/>
          </w:tcPr>
          <w:p w14:paraId="5BCB93C7" w14:textId="77777777" w:rsidR="001614AC" w:rsidRDefault="001614AC">
            <w:pPr>
              <w:keepNext/>
            </w:pPr>
          </w:p>
        </w:tc>
        <w:tc>
          <w:tcPr>
            <w:tcW w:w="1050" w:type="dxa"/>
            <w:gridSpan w:val="3"/>
            <w:tcBorders>
              <w:top w:val="single" w:sz="8" w:space="0" w:color="E9E9E9"/>
              <w:left w:val="nil"/>
              <w:bottom w:val="nil"/>
              <w:right w:val="nil"/>
            </w:tcBorders>
            <w:tcMar>
              <w:top w:w="0" w:type="dxa"/>
              <w:left w:w="0" w:type="dxa"/>
              <w:bottom w:w="0" w:type="dxa"/>
              <w:right w:w="0" w:type="dxa"/>
            </w:tcMar>
            <w:vAlign w:val="bottom"/>
          </w:tcPr>
          <w:p w14:paraId="2BF1323B" w14:textId="77777777" w:rsidR="001614AC" w:rsidRDefault="001614AC">
            <w:pPr>
              <w:keepNext/>
            </w:pPr>
          </w:p>
        </w:tc>
        <w:tc>
          <w:tcPr>
            <w:tcW w:w="405" w:type="dxa"/>
            <w:tcBorders>
              <w:top w:val="single" w:sz="8" w:space="0" w:color="E9E9E9"/>
              <w:left w:val="nil"/>
              <w:bottom w:val="nil"/>
              <w:right w:val="nil"/>
            </w:tcBorders>
            <w:tcMar>
              <w:top w:w="0" w:type="dxa"/>
              <w:left w:w="0" w:type="dxa"/>
              <w:bottom w:w="0" w:type="dxa"/>
              <w:right w:w="0" w:type="dxa"/>
            </w:tcMar>
            <w:vAlign w:val="bottom"/>
          </w:tcPr>
          <w:p w14:paraId="5F20BB5A" w14:textId="77777777" w:rsidR="001614AC" w:rsidRDefault="001614AC">
            <w:pPr>
              <w:keepNext/>
            </w:pPr>
          </w:p>
        </w:tc>
        <w:tc>
          <w:tcPr>
            <w:tcW w:w="105" w:type="dxa"/>
            <w:tcBorders>
              <w:top w:val="nil"/>
              <w:left w:val="nil"/>
              <w:bottom w:val="nil"/>
              <w:right w:val="nil"/>
            </w:tcBorders>
            <w:tcMar>
              <w:top w:w="0" w:type="dxa"/>
              <w:left w:w="0" w:type="dxa"/>
              <w:bottom w:w="0" w:type="dxa"/>
              <w:right w:w="0" w:type="dxa"/>
            </w:tcMar>
            <w:vAlign w:val="bottom"/>
          </w:tcPr>
          <w:p w14:paraId="05C05533" w14:textId="77777777" w:rsidR="001614AC" w:rsidRDefault="001614AC">
            <w:pPr>
              <w:keepNext/>
            </w:pPr>
          </w:p>
        </w:tc>
        <w:tc>
          <w:tcPr>
            <w:tcW w:w="1050" w:type="dxa"/>
            <w:gridSpan w:val="3"/>
            <w:tcBorders>
              <w:top w:val="single" w:sz="8" w:space="0" w:color="E9E9E9"/>
              <w:left w:val="nil"/>
              <w:bottom w:val="nil"/>
              <w:right w:val="nil"/>
            </w:tcBorders>
            <w:tcMar>
              <w:top w:w="0" w:type="dxa"/>
              <w:left w:w="0" w:type="dxa"/>
              <w:bottom w:w="0" w:type="dxa"/>
              <w:right w:w="0" w:type="dxa"/>
            </w:tcMar>
            <w:vAlign w:val="bottom"/>
          </w:tcPr>
          <w:p w14:paraId="3E912F6A" w14:textId="77777777" w:rsidR="001614AC" w:rsidRDefault="001614AC">
            <w:pPr>
              <w:keepNext/>
            </w:pPr>
          </w:p>
        </w:tc>
        <w:tc>
          <w:tcPr>
            <w:tcW w:w="405" w:type="dxa"/>
            <w:tcBorders>
              <w:top w:val="single" w:sz="8" w:space="0" w:color="E9E9E9"/>
              <w:left w:val="nil"/>
              <w:bottom w:val="nil"/>
              <w:right w:val="nil"/>
            </w:tcBorders>
            <w:tcMar>
              <w:top w:w="0" w:type="dxa"/>
              <w:left w:w="0" w:type="dxa"/>
              <w:bottom w:w="0" w:type="dxa"/>
              <w:right w:w="0" w:type="dxa"/>
            </w:tcMar>
            <w:vAlign w:val="bottom"/>
          </w:tcPr>
          <w:p w14:paraId="62D4BD96" w14:textId="77777777" w:rsidR="001614AC" w:rsidRDefault="001614AC">
            <w:pPr>
              <w:keepNext/>
            </w:pPr>
          </w:p>
        </w:tc>
        <w:tc>
          <w:tcPr>
            <w:tcW w:w="105" w:type="dxa"/>
            <w:tcBorders>
              <w:top w:val="nil"/>
              <w:left w:val="nil"/>
              <w:bottom w:val="nil"/>
              <w:right w:val="nil"/>
            </w:tcBorders>
            <w:tcMar>
              <w:top w:w="0" w:type="dxa"/>
              <w:left w:w="0" w:type="dxa"/>
              <w:bottom w:w="0" w:type="dxa"/>
              <w:right w:w="0" w:type="dxa"/>
            </w:tcMar>
            <w:vAlign w:val="bottom"/>
          </w:tcPr>
          <w:p w14:paraId="167A19A8" w14:textId="77777777" w:rsidR="001614AC" w:rsidRDefault="001614AC">
            <w:pPr>
              <w:keepNext/>
            </w:pPr>
          </w:p>
        </w:tc>
        <w:tc>
          <w:tcPr>
            <w:tcW w:w="1050" w:type="dxa"/>
            <w:gridSpan w:val="3"/>
            <w:tcBorders>
              <w:top w:val="single" w:sz="8" w:space="0" w:color="E9E9E9"/>
              <w:left w:val="nil"/>
              <w:bottom w:val="nil"/>
              <w:right w:val="nil"/>
            </w:tcBorders>
            <w:tcMar>
              <w:top w:w="0" w:type="dxa"/>
              <w:left w:w="0" w:type="dxa"/>
              <w:bottom w:w="0" w:type="dxa"/>
              <w:right w:w="0" w:type="dxa"/>
            </w:tcMar>
            <w:vAlign w:val="bottom"/>
          </w:tcPr>
          <w:p w14:paraId="653706AA" w14:textId="77777777" w:rsidR="001614AC" w:rsidRDefault="001614AC">
            <w:pPr>
              <w:keepNext/>
            </w:pPr>
          </w:p>
        </w:tc>
        <w:tc>
          <w:tcPr>
            <w:tcW w:w="405" w:type="dxa"/>
            <w:tcBorders>
              <w:top w:val="single" w:sz="8" w:space="0" w:color="E9E9E9"/>
              <w:left w:val="nil"/>
              <w:bottom w:val="nil"/>
              <w:right w:val="nil"/>
            </w:tcBorders>
            <w:tcMar>
              <w:top w:w="0" w:type="dxa"/>
              <w:left w:w="0" w:type="dxa"/>
              <w:bottom w:w="0" w:type="dxa"/>
              <w:right w:w="0" w:type="dxa"/>
            </w:tcMar>
            <w:vAlign w:val="bottom"/>
          </w:tcPr>
          <w:p w14:paraId="0B079049" w14:textId="77777777" w:rsidR="001614AC" w:rsidRDefault="001614AC">
            <w:pPr>
              <w:keepNext/>
            </w:pPr>
          </w:p>
        </w:tc>
      </w:tr>
      <w:tr w:rsidR="001614AC" w14:paraId="73C48562" w14:textId="77777777">
        <w:trPr>
          <w:cantSplit/>
        </w:trPr>
        <w:tc>
          <w:tcPr>
            <w:tcW w:w="2235" w:type="dxa"/>
            <w:tcBorders>
              <w:top w:val="nil"/>
              <w:left w:val="nil"/>
              <w:bottom w:val="single" w:sz="8" w:space="0" w:color="C7C9C7"/>
              <w:right w:val="nil"/>
            </w:tcBorders>
            <w:tcMar>
              <w:top w:w="0" w:type="dxa"/>
              <w:left w:w="53" w:type="dxa"/>
              <w:bottom w:w="0" w:type="dxa"/>
              <w:right w:w="53" w:type="dxa"/>
            </w:tcMar>
            <w:vAlign w:val="bottom"/>
          </w:tcPr>
          <w:p w14:paraId="25775593" w14:textId="77777777" w:rsidR="001614AC" w:rsidRDefault="004468F9">
            <w:pPr>
              <w:keepNext/>
              <w:spacing w:before="75" w:after="30" w:line="288" w:lineRule="auto"/>
            </w:pPr>
            <w:r>
              <w:rPr>
                <w:rFonts w:ascii="Arial" w:eastAsia="Arial" w:hAnsi="Arial" w:cs="Arial"/>
                <w:color w:val="8B8886"/>
                <w:sz w:val="16"/>
              </w:rPr>
              <w:t>(In millions)</w:t>
            </w:r>
          </w:p>
        </w:tc>
        <w:tc>
          <w:tcPr>
            <w:tcW w:w="105" w:type="dxa"/>
            <w:tcBorders>
              <w:top w:val="nil"/>
              <w:left w:val="nil"/>
              <w:bottom w:val="single" w:sz="8" w:space="0" w:color="C7C9C7"/>
              <w:right w:val="nil"/>
            </w:tcBorders>
            <w:tcMar>
              <w:top w:w="0" w:type="dxa"/>
              <w:left w:w="0" w:type="dxa"/>
              <w:bottom w:w="0" w:type="dxa"/>
              <w:right w:w="0" w:type="dxa"/>
            </w:tcMar>
            <w:vAlign w:val="bottom"/>
          </w:tcPr>
          <w:p w14:paraId="6E1AB354" w14:textId="77777777" w:rsidR="001614AC" w:rsidRDefault="001614AC">
            <w:pPr>
              <w:keepNext/>
            </w:pPr>
          </w:p>
        </w:tc>
        <w:tc>
          <w:tcPr>
            <w:tcW w:w="7695" w:type="dxa"/>
            <w:gridSpan w:val="24"/>
            <w:tcBorders>
              <w:top w:val="nil"/>
              <w:left w:val="nil"/>
              <w:bottom w:val="nil"/>
              <w:right w:val="nil"/>
            </w:tcBorders>
            <w:shd w:val="clear" w:color="auto" w:fill="F4F4F4"/>
            <w:tcMar>
              <w:top w:w="0" w:type="dxa"/>
              <w:left w:w="53" w:type="dxa"/>
              <w:bottom w:w="0" w:type="dxa"/>
              <w:right w:w="53" w:type="dxa"/>
            </w:tcMar>
            <w:vAlign w:val="bottom"/>
          </w:tcPr>
          <w:p w14:paraId="115E8FEF" w14:textId="77777777" w:rsidR="001614AC" w:rsidRDefault="004468F9">
            <w:pPr>
              <w:keepNext/>
              <w:spacing w:before="75" w:after="30" w:line="288" w:lineRule="auto"/>
              <w:jc w:val="center"/>
            </w:pPr>
            <w:r>
              <w:rPr>
                <w:rFonts w:ascii="Arial" w:eastAsia="Arial" w:hAnsi="Arial" w:cs="Arial"/>
                <w:b/>
                <w:color w:val="00BAB3"/>
                <w:sz w:val="18"/>
              </w:rPr>
              <w:t>As of December 31, 2020</w:t>
            </w:r>
          </w:p>
        </w:tc>
      </w:tr>
      <w:tr w:rsidR="001614AC" w14:paraId="48EEAE7C" w14:textId="77777777">
        <w:trPr>
          <w:cantSplit/>
        </w:trPr>
        <w:tc>
          <w:tcPr>
            <w:tcW w:w="2235" w:type="dxa"/>
            <w:tcBorders>
              <w:top w:val="single" w:sz="8" w:space="0" w:color="C7C9C7"/>
              <w:left w:val="nil"/>
              <w:bottom w:val="single" w:sz="8" w:space="0" w:color="E9E9E9"/>
              <w:right w:val="nil"/>
            </w:tcBorders>
            <w:tcMar>
              <w:top w:w="0" w:type="dxa"/>
              <w:left w:w="53" w:type="dxa"/>
              <w:bottom w:w="0" w:type="dxa"/>
              <w:right w:w="53" w:type="dxa"/>
            </w:tcMar>
            <w:vAlign w:val="bottom"/>
          </w:tcPr>
          <w:p w14:paraId="553DFE55" w14:textId="77777777" w:rsidR="001614AC" w:rsidRDefault="004468F9">
            <w:pPr>
              <w:keepNext/>
              <w:spacing w:before="55" w:after="30" w:line="288" w:lineRule="auto"/>
            </w:pPr>
            <w:r>
              <w:rPr>
                <w:rFonts w:ascii="Arial" w:eastAsia="Arial" w:hAnsi="Arial" w:cs="Arial"/>
                <w:color w:val="000000"/>
                <w:sz w:val="18"/>
              </w:rPr>
              <w:t>RIF</w:t>
            </w:r>
          </w:p>
        </w:tc>
        <w:tc>
          <w:tcPr>
            <w:tcW w:w="105" w:type="dxa"/>
            <w:tcBorders>
              <w:top w:val="single" w:sz="8" w:space="0" w:color="C7C9C7"/>
              <w:left w:val="nil"/>
              <w:bottom w:val="nil"/>
              <w:right w:val="nil"/>
            </w:tcBorders>
            <w:tcMar>
              <w:top w:w="0" w:type="dxa"/>
              <w:left w:w="0" w:type="dxa"/>
              <w:bottom w:w="0" w:type="dxa"/>
              <w:right w:w="0" w:type="dxa"/>
            </w:tcMar>
            <w:vAlign w:val="bottom"/>
          </w:tcPr>
          <w:p w14:paraId="4652D4ED" w14:textId="77777777" w:rsidR="001614AC" w:rsidRDefault="001614AC">
            <w:pPr>
              <w:keepNext/>
            </w:pPr>
          </w:p>
        </w:tc>
        <w:tc>
          <w:tcPr>
            <w:tcW w:w="160" w:type="dxa"/>
            <w:tcBorders>
              <w:top w:val="single" w:sz="8" w:space="0" w:color="C7C9C7"/>
              <w:left w:val="nil"/>
              <w:bottom w:val="single" w:sz="8" w:space="0" w:color="E9E9E9"/>
              <w:right w:val="nil"/>
            </w:tcBorders>
            <w:tcMar>
              <w:top w:w="0" w:type="dxa"/>
              <w:left w:w="53" w:type="dxa"/>
              <w:bottom w:w="0" w:type="dxa"/>
              <w:right w:w="0" w:type="dxa"/>
            </w:tcMar>
            <w:vAlign w:val="bottom"/>
          </w:tcPr>
          <w:p w14:paraId="72BF5DF6" w14:textId="77777777" w:rsidR="001614AC" w:rsidRDefault="004468F9">
            <w:pPr>
              <w:keepNext/>
              <w:spacing w:before="55" w:after="30" w:line="288" w:lineRule="auto"/>
            </w:pPr>
            <w:r>
              <w:rPr>
                <w:rFonts w:ascii="Arial" w:eastAsia="Arial" w:hAnsi="Arial" w:cs="Arial"/>
                <w:color w:val="000000"/>
                <w:sz w:val="18"/>
              </w:rPr>
              <w:t>$</w:t>
            </w:r>
          </w:p>
        </w:tc>
        <w:tc>
          <w:tcPr>
            <w:tcW w:w="790" w:type="dxa"/>
            <w:tcBorders>
              <w:top w:val="single" w:sz="8" w:space="0" w:color="C7C9C7"/>
              <w:left w:val="nil"/>
              <w:bottom w:val="single" w:sz="8" w:space="0" w:color="E9E9E9"/>
              <w:right w:val="nil"/>
            </w:tcBorders>
            <w:tcMar>
              <w:top w:w="0" w:type="dxa"/>
              <w:left w:w="0" w:type="dxa"/>
              <w:bottom w:w="0" w:type="dxa"/>
              <w:right w:w="0" w:type="dxa"/>
            </w:tcMar>
            <w:vAlign w:val="bottom"/>
          </w:tcPr>
          <w:p w14:paraId="3284ACB7" w14:textId="77777777" w:rsidR="001614AC" w:rsidRDefault="004468F9">
            <w:pPr>
              <w:keepNext/>
              <w:spacing w:before="55" w:after="30" w:line="288" w:lineRule="auto"/>
              <w:jc w:val="right"/>
            </w:pPr>
            <w:r>
              <w:rPr>
                <w:rFonts w:ascii="Arial" w:eastAsia="Arial" w:hAnsi="Arial" w:cs="Arial"/>
                <w:color w:val="000000"/>
                <w:sz w:val="18"/>
              </w:rPr>
              <w:t>— </w:t>
            </w:r>
          </w:p>
        </w:tc>
        <w:tc>
          <w:tcPr>
            <w:tcW w:w="100" w:type="dxa"/>
            <w:tcBorders>
              <w:top w:val="single" w:sz="8" w:space="0" w:color="C7C9C7"/>
              <w:left w:val="nil"/>
              <w:bottom w:val="single" w:sz="8" w:space="0" w:color="E9E9E9"/>
              <w:right w:val="nil"/>
            </w:tcBorders>
            <w:tcMar>
              <w:top w:w="0" w:type="dxa"/>
              <w:left w:w="0" w:type="dxa"/>
              <w:bottom w:w="0" w:type="dxa"/>
              <w:right w:w="15" w:type="dxa"/>
            </w:tcMar>
            <w:vAlign w:val="bottom"/>
          </w:tcPr>
          <w:p w14:paraId="26E2B62F" w14:textId="77777777" w:rsidR="001614AC" w:rsidRDefault="001614AC">
            <w:pPr>
              <w:keepNext/>
              <w:spacing w:before="55" w:after="30" w:line="288" w:lineRule="auto"/>
              <w:jc w:val="right"/>
            </w:pPr>
          </w:p>
        </w:tc>
        <w:tc>
          <w:tcPr>
            <w:tcW w:w="405" w:type="dxa"/>
            <w:tcBorders>
              <w:top w:val="single" w:sz="8" w:space="0" w:color="C7C9C7"/>
              <w:left w:val="nil"/>
              <w:bottom w:val="single" w:sz="8" w:space="0" w:color="E9E9E9"/>
              <w:right w:val="nil"/>
            </w:tcBorders>
            <w:tcMar>
              <w:top w:w="0" w:type="dxa"/>
              <w:left w:w="0" w:type="dxa"/>
              <w:bottom w:w="0" w:type="dxa"/>
              <w:right w:w="0" w:type="dxa"/>
            </w:tcMar>
            <w:vAlign w:val="bottom"/>
          </w:tcPr>
          <w:p w14:paraId="6273EA69" w14:textId="77777777" w:rsidR="001614AC" w:rsidRDefault="001614AC">
            <w:pPr>
              <w:keepNext/>
            </w:pPr>
          </w:p>
        </w:tc>
        <w:tc>
          <w:tcPr>
            <w:tcW w:w="105" w:type="dxa"/>
            <w:tcBorders>
              <w:top w:val="single" w:sz="8" w:space="0" w:color="C7C9C7"/>
              <w:left w:val="nil"/>
              <w:bottom w:val="nil"/>
              <w:right w:val="nil"/>
            </w:tcBorders>
            <w:tcMar>
              <w:top w:w="0" w:type="dxa"/>
              <w:left w:w="0" w:type="dxa"/>
              <w:bottom w:w="0" w:type="dxa"/>
              <w:right w:w="0" w:type="dxa"/>
            </w:tcMar>
            <w:vAlign w:val="bottom"/>
          </w:tcPr>
          <w:p w14:paraId="13F4A6F9" w14:textId="77777777" w:rsidR="001614AC" w:rsidRDefault="001614AC">
            <w:pPr>
              <w:keepNext/>
            </w:pPr>
          </w:p>
        </w:tc>
        <w:tc>
          <w:tcPr>
            <w:tcW w:w="160" w:type="dxa"/>
            <w:tcBorders>
              <w:top w:val="single" w:sz="8" w:space="0" w:color="C7C9C7"/>
              <w:left w:val="nil"/>
              <w:bottom w:val="single" w:sz="8" w:space="0" w:color="E9E9E9"/>
              <w:right w:val="nil"/>
            </w:tcBorders>
            <w:tcMar>
              <w:top w:w="0" w:type="dxa"/>
              <w:left w:w="53" w:type="dxa"/>
              <w:bottom w:w="0" w:type="dxa"/>
              <w:right w:w="0" w:type="dxa"/>
            </w:tcMar>
            <w:vAlign w:val="bottom"/>
          </w:tcPr>
          <w:p w14:paraId="2BB6565B" w14:textId="77777777" w:rsidR="001614AC" w:rsidRDefault="004468F9">
            <w:pPr>
              <w:keepNext/>
              <w:spacing w:before="55" w:after="30" w:line="288" w:lineRule="auto"/>
            </w:pPr>
            <w:r>
              <w:rPr>
                <w:rFonts w:ascii="Arial" w:eastAsia="Arial" w:hAnsi="Arial" w:cs="Arial"/>
                <w:color w:val="000000"/>
                <w:sz w:val="18"/>
              </w:rPr>
              <w:t>$</w:t>
            </w:r>
          </w:p>
        </w:tc>
        <w:tc>
          <w:tcPr>
            <w:tcW w:w="790" w:type="dxa"/>
            <w:tcBorders>
              <w:top w:val="single" w:sz="8" w:space="0" w:color="C7C9C7"/>
              <w:left w:val="nil"/>
              <w:bottom w:val="single" w:sz="8" w:space="0" w:color="E9E9E9"/>
              <w:right w:val="nil"/>
            </w:tcBorders>
            <w:tcMar>
              <w:top w:w="0" w:type="dxa"/>
              <w:left w:w="0" w:type="dxa"/>
              <w:bottom w:w="0" w:type="dxa"/>
              <w:right w:w="0" w:type="dxa"/>
            </w:tcMar>
            <w:vAlign w:val="bottom"/>
          </w:tcPr>
          <w:p w14:paraId="0D1BA7DF" w14:textId="77777777" w:rsidR="001614AC" w:rsidRDefault="004468F9">
            <w:pPr>
              <w:keepNext/>
              <w:spacing w:before="55" w:after="30" w:line="288" w:lineRule="auto"/>
              <w:jc w:val="right"/>
            </w:pPr>
            <w:r>
              <w:rPr>
                <w:rFonts w:ascii="Arial" w:eastAsia="Arial" w:hAnsi="Arial" w:cs="Arial"/>
                <w:color w:val="000000"/>
                <w:sz w:val="18"/>
              </w:rPr>
              <w:t>11,748 </w:t>
            </w:r>
          </w:p>
        </w:tc>
        <w:tc>
          <w:tcPr>
            <w:tcW w:w="100" w:type="dxa"/>
            <w:tcBorders>
              <w:top w:val="single" w:sz="8" w:space="0" w:color="C7C9C7"/>
              <w:left w:val="nil"/>
              <w:bottom w:val="single" w:sz="8" w:space="0" w:color="E9E9E9"/>
              <w:right w:val="nil"/>
            </w:tcBorders>
            <w:tcMar>
              <w:top w:w="0" w:type="dxa"/>
              <w:left w:w="0" w:type="dxa"/>
              <w:bottom w:w="0" w:type="dxa"/>
              <w:right w:w="15" w:type="dxa"/>
            </w:tcMar>
            <w:vAlign w:val="bottom"/>
          </w:tcPr>
          <w:p w14:paraId="7903BC12" w14:textId="77777777" w:rsidR="001614AC" w:rsidRDefault="001614AC">
            <w:pPr>
              <w:keepNext/>
              <w:spacing w:before="55" w:after="30" w:line="288" w:lineRule="auto"/>
              <w:jc w:val="right"/>
            </w:pPr>
          </w:p>
        </w:tc>
        <w:tc>
          <w:tcPr>
            <w:tcW w:w="405" w:type="dxa"/>
            <w:tcBorders>
              <w:top w:val="single" w:sz="8" w:space="0" w:color="C7C9C7"/>
              <w:left w:val="nil"/>
              <w:bottom w:val="single" w:sz="8" w:space="0" w:color="E9E9E9"/>
              <w:right w:val="nil"/>
            </w:tcBorders>
            <w:tcMar>
              <w:top w:w="0" w:type="dxa"/>
              <w:left w:w="0" w:type="dxa"/>
              <w:bottom w:w="0" w:type="dxa"/>
              <w:right w:w="0" w:type="dxa"/>
            </w:tcMar>
            <w:vAlign w:val="bottom"/>
          </w:tcPr>
          <w:p w14:paraId="1F53093C" w14:textId="77777777" w:rsidR="001614AC" w:rsidRDefault="001614AC">
            <w:pPr>
              <w:keepNext/>
            </w:pPr>
          </w:p>
        </w:tc>
        <w:tc>
          <w:tcPr>
            <w:tcW w:w="105" w:type="dxa"/>
            <w:tcBorders>
              <w:top w:val="single" w:sz="8" w:space="0" w:color="C7C9C7"/>
              <w:left w:val="nil"/>
              <w:bottom w:val="nil"/>
              <w:right w:val="nil"/>
            </w:tcBorders>
            <w:tcMar>
              <w:top w:w="0" w:type="dxa"/>
              <w:left w:w="0" w:type="dxa"/>
              <w:bottom w:w="0" w:type="dxa"/>
              <w:right w:w="0" w:type="dxa"/>
            </w:tcMar>
            <w:vAlign w:val="bottom"/>
          </w:tcPr>
          <w:p w14:paraId="4F95FEAA" w14:textId="77777777" w:rsidR="001614AC" w:rsidRDefault="001614AC">
            <w:pPr>
              <w:keepNext/>
            </w:pPr>
          </w:p>
        </w:tc>
        <w:tc>
          <w:tcPr>
            <w:tcW w:w="160" w:type="dxa"/>
            <w:tcBorders>
              <w:top w:val="single" w:sz="8" w:space="0" w:color="C7C9C7"/>
              <w:left w:val="nil"/>
              <w:bottom w:val="single" w:sz="8" w:space="0" w:color="E9E9E9"/>
              <w:right w:val="nil"/>
            </w:tcBorders>
            <w:tcMar>
              <w:top w:w="0" w:type="dxa"/>
              <w:left w:w="53" w:type="dxa"/>
              <w:bottom w:w="0" w:type="dxa"/>
              <w:right w:w="0" w:type="dxa"/>
            </w:tcMar>
            <w:vAlign w:val="bottom"/>
          </w:tcPr>
          <w:p w14:paraId="48579E9E" w14:textId="77777777" w:rsidR="001614AC" w:rsidRDefault="004468F9">
            <w:pPr>
              <w:keepNext/>
              <w:spacing w:before="55" w:after="30" w:line="288" w:lineRule="auto"/>
            </w:pPr>
            <w:r>
              <w:rPr>
                <w:rFonts w:ascii="Arial" w:eastAsia="Arial" w:hAnsi="Arial" w:cs="Arial"/>
                <w:color w:val="000000"/>
                <w:sz w:val="18"/>
              </w:rPr>
              <w:t>$</w:t>
            </w:r>
          </w:p>
        </w:tc>
        <w:tc>
          <w:tcPr>
            <w:tcW w:w="790" w:type="dxa"/>
            <w:tcBorders>
              <w:top w:val="single" w:sz="8" w:space="0" w:color="C7C9C7"/>
              <w:left w:val="nil"/>
              <w:bottom w:val="single" w:sz="8" w:space="0" w:color="E9E9E9"/>
              <w:right w:val="nil"/>
            </w:tcBorders>
            <w:tcMar>
              <w:top w:w="0" w:type="dxa"/>
              <w:left w:w="0" w:type="dxa"/>
              <w:bottom w:w="0" w:type="dxa"/>
              <w:right w:w="0" w:type="dxa"/>
            </w:tcMar>
            <w:vAlign w:val="bottom"/>
          </w:tcPr>
          <w:p w14:paraId="646CEB96" w14:textId="77777777" w:rsidR="001614AC" w:rsidRDefault="004468F9">
            <w:pPr>
              <w:keepNext/>
              <w:spacing w:before="55" w:after="30" w:line="288" w:lineRule="auto"/>
              <w:jc w:val="right"/>
            </w:pPr>
            <w:r>
              <w:rPr>
                <w:rFonts w:ascii="Arial" w:eastAsia="Arial" w:hAnsi="Arial" w:cs="Arial"/>
                <w:color w:val="000000"/>
                <w:sz w:val="18"/>
              </w:rPr>
              <w:t>6,121 </w:t>
            </w:r>
          </w:p>
        </w:tc>
        <w:tc>
          <w:tcPr>
            <w:tcW w:w="100" w:type="dxa"/>
            <w:tcBorders>
              <w:top w:val="single" w:sz="8" w:space="0" w:color="C7C9C7"/>
              <w:left w:val="nil"/>
              <w:bottom w:val="single" w:sz="8" w:space="0" w:color="E9E9E9"/>
              <w:right w:val="nil"/>
            </w:tcBorders>
            <w:tcMar>
              <w:top w:w="0" w:type="dxa"/>
              <w:left w:w="0" w:type="dxa"/>
              <w:bottom w:w="0" w:type="dxa"/>
              <w:right w:w="15" w:type="dxa"/>
            </w:tcMar>
            <w:vAlign w:val="bottom"/>
          </w:tcPr>
          <w:p w14:paraId="4196D1AD" w14:textId="77777777" w:rsidR="001614AC" w:rsidRDefault="001614AC">
            <w:pPr>
              <w:keepNext/>
              <w:spacing w:before="55" w:after="30" w:line="288" w:lineRule="auto"/>
              <w:jc w:val="right"/>
            </w:pPr>
          </w:p>
        </w:tc>
        <w:tc>
          <w:tcPr>
            <w:tcW w:w="405" w:type="dxa"/>
            <w:tcBorders>
              <w:top w:val="single" w:sz="8" w:space="0" w:color="C7C9C7"/>
              <w:left w:val="nil"/>
              <w:bottom w:val="single" w:sz="8" w:space="0" w:color="E9E9E9"/>
              <w:right w:val="nil"/>
            </w:tcBorders>
            <w:tcMar>
              <w:top w:w="0" w:type="dxa"/>
              <w:left w:w="0" w:type="dxa"/>
              <w:bottom w:w="0" w:type="dxa"/>
              <w:right w:w="0" w:type="dxa"/>
            </w:tcMar>
            <w:vAlign w:val="bottom"/>
          </w:tcPr>
          <w:p w14:paraId="51F6C12C" w14:textId="77777777" w:rsidR="001614AC" w:rsidRDefault="001614AC">
            <w:pPr>
              <w:keepNext/>
            </w:pPr>
          </w:p>
        </w:tc>
        <w:tc>
          <w:tcPr>
            <w:tcW w:w="105" w:type="dxa"/>
            <w:tcBorders>
              <w:top w:val="single" w:sz="8" w:space="0" w:color="C7C9C7"/>
              <w:left w:val="nil"/>
              <w:bottom w:val="nil"/>
              <w:right w:val="nil"/>
            </w:tcBorders>
            <w:tcMar>
              <w:top w:w="0" w:type="dxa"/>
              <w:left w:w="0" w:type="dxa"/>
              <w:bottom w:w="0" w:type="dxa"/>
              <w:right w:w="0" w:type="dxa"/>
            </w:tcMar>
            <w:vAlign w:val="bottom"/>
          </w:tcPr>
          <w:p w14:paraId="025DA156" w14:textId="77777777" w:rsidR="001614AC" w:rsidRDefault="001614AC">
            <w:pPr>
              <w:keepNext/>
            </w:pPr>
          </w:p>
        </w:tc>
        <w:tc>
          <w:tcPr>
            <w:tcW w:w="160" w:type="dxa"/>
            <w:tcBorders>
              <w:top w:val="single" w:sz="8" w:space="0" w:color="C7C9C7"/>
              <w:left w:val="nil"/>
              <w:bottom w:val="single" w:sz="8" w:space="0" w:color="E9E9E9"/>
              <w:right w:val="nil"/>
            </w:tcBorders>
            <w:tcMar>
              <w:top w:w="0" w:type="dxa"/>
              <w:left w:w="53" w:type="dxa"/>
              <w:bottom w:w="0" w:type="dxa"/>
              <w:right w:w="0" w:type="dxa"/>
            </w:tcMar>
            <w:vAlign w:val="bottom"/>
          </w:tcPr>
          <w:p w14:paraId="5D030661" w14:textId="77777777" w:rsidR="001614AC" w:rsidRDefault="004468F9">
            <w:pPr>
              <w:keepNext/>
              <w:spacing w:before="55" w:after="30" w:line="288" w:lineRule="auto"/>
            </w:pPr>
            <w:r>
              <w:rPr>
                <w:rFonts w:ascii="Arial" w:eastAsia="Arial" w:hAnsi="Arial" w:cs="Arial"/>
                <w:color w:val="000000"/>
                <w:sz w:val="18"/>
              </w:rPr>
              <w:t>$</w:t>
            </w:r>
          </w:p>
        </w:tc>
        <w:tc>
          <w:tcPr>
            <w:tcW w:w="790" w:type="dxa"/>
            <w:tcBorders>
              <w:top w:val="single" w:sz="8" w:space="0" w:color="C7C9C7"/>
              <w:left w:val="nil"/>
              <w:bottom w:val="single" w:sz="8" w:space="0" w:color="E9E9E9"/>
              <w:right w:val="nil"/>
            </w:tcBorders>
            <w:tcMar>
              <w:top w:w="0" w:type="dxa"/>
              <w:left w:w="0" w:type="dxa"/>
              <w:bottom w:w="0" w:type="dxa"/>
              <w:right w:w="0" w:type="dxa"/>
            </w:tcMar>
            <w:vAlign w:val="bottom"/>
          </w:tcPr>
          <w:p w14:paraId="5818A289" w14:textId="77777777" w:rsidR="001614AC" w:rsidRDefault="004468F9">
            <w:pPr>
              <w:keepNext/>
              <w:spacing w:before="55" w:after="30" w:line="288" w:lineRule="auto"/>
              <w:jc w:val="right"/>
            </w:pPr>
            <w:r>
              <w:rPr>
                <w:rFonts w:ascii="Arial" w:eastAsia="Arial" w:hAnsi="Arial" w:cs="Arial"/>
                <w:color w:val="000000"/>
                <w:sz w:val="18"/>
              </w:rPr>
              <w:t>4,657 </w:t>
            </w:r>
          </w:p>
        </w:tc>
        <w:tc>
          <w:tcPr>
            <w:tcW w:w="100" w:type="dxa"/>
            <w:tcBorders>
              <w:top w:val="single" w:sz="8" w:space="0" w:color="C7C9C7"/>
              <w:left w:val="nil"/>
              <w:bottom w:val="single" w:sz="8" w:space="0" w:color="E9E9E9"/>
              <w:right w:val="nil"/>
            </w:tcBorders>
            <w:tcMar>
              <w:top w:w="0" w:type="dxa"/>
              <w:left w:w="0" w:type="dxa"/>
              <w:bottom w:w="0" w:type="dxa"/>
              <w:right w:w="15" w:type="dxa"/>
            </w:tcMar>
            <w:vAlign w:val="bottom"/>
          </w:tcPr>
          <w:p w14:paraId="442056CF" w14:textId="77777777" w:rsidR="001614AC" w:rsidRDefault="001614AC">
            <w:pPr>
              <w:keepNext/>
              <w:spacing w:before="55" w:after="30" w:line="288" w:lineRule="auto"/>
              <w:jc w:val="right"/>
            </w:pPr>
          </w:p>
        </w:tc>
        <w:tc>
          <w:tcPr>
            <w:tcW w:w="405" w:type="dxa"/>
            <w:tcBorders>
              <w:top w:val="single" w:sz="8" w:space="0" w:color="C7C9C7"/>
              <w:left w:val="nil"/>
              <w:bottom w:val="single" w:sz="8" w:space="0" w:color="E9E9E9"/>
              <w:right w:val="nil"/>
            </w:tcBorders>
            <w:tcMar>
              <w:top w:w="0" w:type="dxa"/>
              <w:left w:w="0" w:type="dxa"/>
              <w:bottom w:w="0" w:type="dxa"/>
              <w:right w:w="0" w:type="dxa"/>
            </w:tcMar>
            <w:vAlign w:val="bottom"/>
          </w:tcPr>
          <w:p w14:paraId="27AF1266" w14:textId="77777777" w:rsidR="001614AC" w:rsidRDefault="001614AC">
            <w:pPr>
              <w:keepNext/>
            </w:pPr>
          </w:p>
        </w:tc>
        <w:tc>
          <w:tcPr>
            <w:tcW w:w="105" w:type="dxa"/>
            <w:tcBorders>
              <w:top w:val="single" w:sz="8" w:space="0" w:color="C7C9C7"/>
              <w:left w:val="nil"/>
              <w:bottom w:val="nil"/>
              <w:right w:val="nil"/>
            </w:tcBorders>
            <w:tcMar>
              <w:top w:w="0" w:type="dxa"/>
              <w:left w:w="0" w:type="dxa"/>
              <w:bottom w:w="0" w:type="dxa"/>
              <w:right w:w="0" w:type="dxa"/>
            </w:tcMar>
            <w:vAlign w:val="bottom"/>
          </w:tcPr>
          <w:p w14:paraId="0261ACAC" w14:textId="77777777" w:rsidR="001614AC" w:rsidRDefault="001614AC">
            <w:pPr>
              <w:keepNext/>
            </w:pPr>
          </w:p>
        </w:tc>
        <w:tc>
          <w:tcPr>
            <w:tcW w:w="160" w:type="dxa"/>
            <w:tcBorders>
              <w:top w:val="single" w:sz="8" w:space="0" w:color="C7C9C7"/>
              <w:left w:val="nil"/>
              <w:bottom w:val="single" w:sz="8" w:space="0" w:color="E9E9E9"/>
              <w:right w:val="nil"/>
            </w:tcBorders>
            <w:tcMar>
              <w:top w:w="0" w:type="dxa"/>
              <w:left w:w="53" w:type="dxa"/>
              <w:bottom w:w="0" w:type="dxa"/>
              <w:right w:w="0" w:type="dxa"/>
            </w:tcMar>
            <w:vAlign w:val="bottom"/>
          </w:tcPr>
          <w:p w14:paraId="7829FF40" w14:textId="77777777" w:rsidR="001614AC" w:rsidRDefault="004468F9">
            <w:pPr>
              <w:keepNext/>
              <w:spacing w:before="55" w:after="30" w:line="288" w:lineRule="auto"/>
            </w:pPr>
            <w:r>
              <w:rPr>
                <w:rFonts w:ascii="Arial" w:eastAsia="Arial" w:hAnsi="Arial" w:cs="Arial"/>
                <w:color w:val="000000"/>
                <w:sz w:val="18"/>
              </w:rPr>
              <w:t>$</w:t>
            </w:r>
          </w:p>
        </w:tc>
        <w:tc>
          <w:tcPr>
            <w:tcW w:w="790" w:type="dxa"/>
            <w:tcBorders>
              <w:top w:val="single" w:sz="8" w:space="0" w:color="C7C9C7"/>
              <w:left w:val="nil"/>
              <w:bottom w:val="single" w:sz="8" w:space="0" w:color="E9E9E9"/>
              <w:right w:val="nil"/>
            </w:tcBorders>
            <w:tcMar>
              <w:top w:w="0" w:type="dxa"/>
              <w:left w:w="0" w:type="dxa"/>
              <w:bottom w:w="0" w:type="dxa"/>
              <w:right w:w="0" w:type="dxa"/>
            </w:tcMar>
            <w:vAlign w:val="bottom"/>
          </w:tcPr>
          <w:p w14:paraId="7E322000" w14:textId="77777777" w:rsidR="001614AC" w:rsidRDefault="004468F9">
            <w:pPr>
              <w:keepNext/>
              <w:spacing w:before="55" w:after="30" w:line="288" w:lineRule="auto"/>
              <w:jc w:val="right"/>
            </w:pPr>
            <w:r>
              <w:rPr>
                <w:rFonts w:ascii="Arial" w:eastAsia="Arial" w:hAnsi="Arial" w:cs="Arial"/>
                <w:color w:val="000000"/>
                <w:sz w:val="18"/>
              </w:rPr>
              <w:t>3,986 </w:t>
            </w:r>
          </w:p>
        </w:tc>
        <w:tc>
          <w:tcPr>
            <w:tcW w:w="100" w:type="dxa"/>
            <w:tcBorders>
              <w:top w:val="single" w:sz="8" w:space="0" w:color="C7C9C7"/>
              <w:left w:val="nil"/>
              <w:bottom w:val="single" w:sz="8" w:space="0" w:color="E9E9E9"/>
              <w:right w:val="nil"/>
            </w:tcBorders>
            <w:tcMar>
              <w:top w:w="0" w:type="dxa"/>
              <w:left w:w="0" w:type="dxa"/>
              <w:bottom w:w="0" w:type="dxa"/>
              <w:right w:w="15" w:type="dxa"/>
            </w:tcMar>
            <w:vAlign w:val="bottom"/>
          </w:tcPr>
          <w:p w14:paraId="6402AA8A" w14:textId="77777777" w:rsidR="001614AC" w:rsidRDefault="001614AC">
            <w:pPr>
              <w:keepNext/>
              <w:spacing w:before="55" w:after="30" w:line="288" w:lineRule="auto"/>
              <w:jc w:val="right"/>
            </w:pPr>
          </w:p>
        </w:tc>
        <w:tc>
          <w:tcPr>
            <w:tcW w:w="405" w:type="dxa"/>
            <w:tcBorders>
              <w:top w:val="single" w:sz="8" w:space="0" w:color="C7C9C7"/>
              <w:left w:val="nil"/>
              <w:bottom w:val="single" w:sz="8" w:space="0" w:color="E9E9E9"/>
              <w:right w:val="nil"/>
            </w:tcBorders>
            <w:tcMar>
              <w:top w:w="0" w:type="dxa"/>
              <w:left w:w="0" w:type="dxa"/>
              <w:bottom w:w="0" w:type="dxa"/>
              <w:right w:w="0" w:type="dxa"/>
            </w:tcMar>
            <w:vAlign w:val="bottom"/>
          </w:tcPr>
          <w:p w14:paraId="55556ACA" w14:textId="77777777" w:rsidR="001614AC" w:rsidRDefault="001614AC">
            <w:pPr>
              <w:keepNext/>
            </w:pPr>
          </w:p>
        </w:tc>
      </w:tr>
      <w:tr w:rsidR="001614AC" w14:paraId="45268F43" w14:textId="77777777">
        <w:trPr>
          <w:cantSplit/>
        </w:trPr>
        <w:tc>
          <w:tcPr>
            <w:tcW w:w="2235" w:type="dxa"/>
            <w:tcBorders>
              <w:top w:val="single" w:sz="8" w:space="0" w:color="E9E9E9"/>
              <w:left w:val="nil"/>
              <w:bottom w:val="single" w:sz="8" w:space="0" w:color="E9E9E9"/>
              <w:right w:val="nil"/>
            </w:tcBorders>
            <w:tcMar>
              <w:top w:w="0" w:type="dxa"/>
              <w:left w:w="53" w:type="dxa"/>
              <w:bottom w:w="0" w:type="dxa"/>
              <w:right w:w="53" w:type="dxa"/>
            </w:tcMar>
            <w:vAlign w:val="bottom"/>
          </w:tcPr>
          <w:p w14:paraId="07A8A27E" w14:textId="77777777" w:rsidR="001614AC" w:rsidRDefault="004468F9">
            <w:pPr>
              <w:keepNext/>
              <w:spacing w:before="55" w:after="30" w:line="288" w:lineRule="auto"/>
            </w:pPr>
            <w:r>
              <w:rPr>
                <w:rFonts w:ascii="Arial" w:eastAsia="Arial" w:hAnsi="Arial" w:cs="Arial"/>
                <w:color w:val="000000"/>
                <w:sz w:val="18"/>
              </w:rPr>
              <w:t>Remaining Coverage</w:t>
            </w:r>
          </w:p>
        </w:tc>
        <w:tc>
          <w:tcPr>
            <w:tcW w:w="105" w:type="dxa"/>
            <w:tcBorders>
              <w:top w:val="nil"/>
              <w:left w:val="nil"/>
              <w:bottom w:val="nil"/>
              <w:right w:val="nil"/>
            </w:tcBorders>
            <w:tcMar>
              <w:top w:w="0" w:type="dxa"/>
              <w:left w:w="0" w:type="dxa"/>
              <w:bottom w:w="0" w:type="dxa"/>
              <w:right w:w="0" w:type="dxa"/>
            </w:tcMar>
            <w:vAlign w:val="bottom"/>
          </w:tcPr>
          <w:p w14:paraId="6B6E6E46" w14:textId="77777777" w:rsidR="001614AC" w:rsidRDefault="001614AC">
            <w:pPr>
              <w:keepNext/>
            </w:pPr>
          </w:p>
        </w:tc>
        <w:tc>
          <w:tcPr>
            <w:tcW w:w="950"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06895D9B" w14:textId="77777777" w:rsidR="001614AC" w:rsidRDefault="004468F9">
            <w:pPr>
              <w:keepNext/>
              <w:spacing w:before="55" w:after="30" w:line="288" w:lineRule="auto"/>
              <w:jc w:val="right"/>
            </w:pPr>
            <w:r>
              <w:rPr>
                <w:rFonts w:ascii="Arial" w:eastAsia="Arial" w:hAnsi="Arial" w:cs="Arial"/>
                <w:color w:val="000000"/>
                <w:sz w:val="18"/>
              </w:rPr>
              <w:t>—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5ED8C59E" w14:textId="77777777" w:rsidR="001614AC" w:rsidRDefault="001614AC">
            <w:pPr>
              <w:keepNext/>
              <w:spacing w:before="55" w:after="30" w:line="288" w:lineRule="auto"/>
              <w:jc w:val="right"/>
            </w:pPr>
          </w:p>
        </w:tc>
        <w:tc>
          <w:tcPr>
            <w:tcW w:w="405" w:type="dxa"/>
            <w:tcBorders>
              <w:top w:val="single" w:sz="8" w:space="0" w:color="E9E9E9"/>
              <w:left w:val="nil"/>
              <w:bottom w:val="single" w:sz="8" w:space="0" w:color="E9E9E9"/>
              <w:right w:val="nil"/>
            </w:tcBorders>
            <w:tcMar>
              <w:top w:w="0" w:type="dxa"/>
              <w:left w:w="0" w:type="dxa"/>
              <w:bottom w:w="0" w:type="dxa"/>
              <w:right w:w="0" w:type="dxa"/>
            </w:tcMar>
            <w:vAlign w:val="bottom"/>
          </w:tcPr>
          <w:p w14:paraId="3D223516" w14:textId="77777777" w:rsidR="001614AC" w:rsidRDefault="001614AC">
            <w:pPr>
              <w:keepNext/>
            </w:pPr>
          </w:p>
        </w:tc>
        <w:tc>
          <w:tcPr>
            <w:tcW w:w="105" w:type="dxa"/>
            <w:tcBorders>
              <w:top w:val="nil"/>
              <w:left w:val="nil"/>
              <w:bottom w:val="nil"/>
              <w:right w:val="nil"/>
            </w:tcBorders>
            <w:tcMar>
              <w:top w:w="0" w:type="dxa"/>
              <w:left w:w="0" w:type="dxa"/>
              <w:bottom w:w="0" w:type="dxa"/>
              <w:right w:w="0" w:type="dxa"/>
            </w:tcMar>
            <w:vAlign w:val="bottom"/>
          </w:tcPr>
          <w:p w14:paraId="645B5C0A" w14:textId="77777777" w:rsidR="001614AC" w:rsidRDefault="001614AC">
            <w:pPr>
              <w:keepNext/>
            </w:pPr>
          </w:p>
        </w:tc>
        <w:tc>
          <w:tcPr>
            <w:tcW w:w="950"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1FE6DDAD" w14:textId="77777777" w:rsidR="001614AC" w:rsidRDefault="004468F9">
            <w:pPr>
              <w:keepNext/>
              <w:spacing w:before="55" w:after="30" w:line="288" w:lineRule="auto"/>
              <w:jc w:val="right"/>
            </w:pPr>
            <w:r>
              <w:rPr>
                <w:rFonts w:ascii="Arial" w:eastAsia="Arial" w:hAnsi="Arial" w:cs="Arial"/>
                <w:color w:val="000000"/>
                <w:sz w:val="18"/>
              </w:rPr>
              <w:t>390 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76D2FADB" w14:textId="77777777" w:rsidR="001614AC" w:rsidRDefault="001614AC">
            <w:pPr>
              <w:keepNext/>
              <w:spacing w:before="55" w:after="30" w:line="288" w:lineRule="auto"/>
              <w:jc w:val="right"/>
            </w:pPr>
          </w:p>
        </w:tc>
        <w:tc>
          <w:tcPr>
            <w:tcW w:w="405" w:type="dxa"/>
            <w:tcBorders>
              <w:top w:val="single" w:sz="8" w:space="0" w:color="E9E9E9"/>
              <w:left w:val="nil"/>
              <w:bottom w:val="single" w:sz="8" w:space="0" w:color="E9E9E9"/>
              <w:right w:val="nil"/>
            </w:tcBorders>
            <w:tcMar>
              <w:top w:w="0" w:type="dxa"/>
              <w:left w:w="0" w:type="dxa"/>
              <w:bottom w:w="0" w:type="dxa"/>
              <w:right w:w="0" w:type="dxa"/>
            </w:tcMar>
            <w:vAlign w:val="bottom"/>
          </w:tcPr>
          <w:p w14:paraId="16EE8891" w14:textId="77777777" w:rsidR="001614AC" w:rsidRDefault="001614AC">
            <w:pPr>
              <w:keepNext/>
            </w:pPr>
          </w:p>
        </w:tc>
        <w:tc>
          <w:tcPr>
            <w:tcW w:w="105" w:type="dxa"/>
            <w:tcBorders>
              <w:top w:val="nil"/>
              <w:left w:val="nil"/>
              <w:bottom w:val="nil"/>
              <w:right w:val="nil"/>
            </w:tcBorders>
            <w:tcMar>
              <w:top w:w="0" w:type="dxa"/>
              <w:left w:w="0" w:type="dxa"/>
              <w:bottom w:w="0" w:type="dxa"/>
              <w:right w:w="0" w:type="dxa"/>
            </w:tcMar>
            <w:vAlign w:val="bottom"/>
          </w:tcPr>
          <w:p w14:paraId="57F9D075" w14:textId="77777777" w:rsidR="001614AC" w:rsidRDefault="001614AC">
            <w:pPr>
              <w:keepNext/>
            </w:pPr>
          </w:p>
        </w:tc>
        <w:tc>
          <w:tcPr>
            <w:tcW w:w="950"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25BEF1AC" w14:textId="77777777" w:rsidR="001614AC" w:rsidRDefault="004468F9">
            <w:pPr>
              <w:keepNext/>
              <w:spacing w:before="55" w:after="30" w:line="288" w:lineRule="auto"/>
              <w:jc w:val="right"/>
            </w:pPr>
            <w:r>
              <w:rPr>
                <w:rFonts w:ascii="Arial" w:eastAsia="Arial" w:hAnsi="Arial" w:cs="Arial"/>
                <w:color w:val="000000"/>
                <w:sz w:val="18"/>
              </w:rPr>
              <w:t>488 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294A0CCE" w14:textId="77777777" w:rsidR="001614AC" w:rsidRDefault="001614AC">
            <w:pPr>
              <w:keepNext/>
              <w:spacing w:before="55" w:after="30" w:line="288" w:lineRule="auto"/>
              <w:jc w:val="right"/>
            </w:pPr>
          </w:p>
        </w:tc>
        <w:tc>
          <w:tcPr>
            <w:tcW w:w="405" w:type="dxa"/>
            <w:tcBorders>
              <w:top w:val="single" w:sz="8" w:space="0" w:color="E9E9E9"/>
              <w:left w:val="nil"/>
              <w:bottom w:val="single" w:sz="8" w:space="0" w:color="E9E9E9"/>
              <w:right w:val="nil"/>
            </w:tcBorders>
            <w:tcMar>
              <w:top w:w="0" w:type="dxa"/>
              <w:left w:w="0" w:type="dxa"/>
              <w:bottom w:w="0" w:type="dxa"/>
              <w:right w:w="0" w:type="dxa"/>
            </w:tcMar>
            <w:vAlign w:val="bottom"/>
          </w:tcPr>
          <w:p w14:paraId="18DA12F4" w14:textId="77777777" w:rsidR="001614AC" w:rsidRDefault="001614AC">
            <w:pPr>
              <w:keepNext/>
            </w:pPr>
          </w:p>
        </w:tc>
        <w:tc>
          <w:tcPr>
            <w:tcW w:w="105" w:type="dxa"/>
            <w:tcBorders>
              <w:top w:val="nil"/>
              <w:left w:val="nil"/>
              <w:bottom w:val="nil"/>
              <w:right w:val="nil"/>
            </w:tcBorders>
            <w:tcMar>
              <w:top w:w="0" w:type="dxa"/>
              <w:left w:w="0" w:type="dxa"/>
              <w:bottom w:w="0" w:type="dxa"/>
              <w:right w:w="0" w:type="dxa"/>
            </w:tcMar>
            <w:vAlign w:val="bottom"/>
          </w:tcPr>
          <w:p w14:paraId="0115E580" w14:textId="77777777" w:rsidR="001614AC" w:rsidRDefault="001614AC">
            <w:pPr>
              <w:keepNext/>
            </w:pPr>
          </w:p>
        </w:tc>
        <w:tc>
          <w:tcPr>
            <w:tcW w:w="950"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4011FE39" w14:textId="77777777" w:rsidR="001614AC" w:rsidRDefault="004468F9">
            <w:pPr>
              <w:keepNext/>
              <w:spacing w:before="55" w:after="30" w:line="288" w:lineRule="auto"/>
              <w:jc w:val="right"/>
            </w:pPr>
            <w:r>
              <w:rPr>
                <w:rFonts w:ascii="Arial" w:eastAsia="Arial" w:hAnsi="Arial" w:cs="Arial"/>
                <w:color w:val="000000"/>
                <w:sz w:val="18"/>
              </w:rPr>
              <w:t>385 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0D529652" w14:textId="77777777" w:rsidR="001614AC" w:rsidRDefault="001614AC">
            <w:pPr>
              <w:keepNext/>
              <w:spacing w:before="55" w:after="30" w:line="288" w:lineRule="auto"/>
              <w:jc w:val="right"/>
            </w:pPr>
          </w:p>
        </w:tc>
        <w:tc>
          <w:tcPr>
            <w:tcW w:w="405" w:type="dxa"/>
            <w:tcBorders>
              <w:top w:val="single" w:sz="8" w:space="0" w:color="E9E9E9"/>
              <w:left w:val="nil"/>
              <w:bottom w:val="single" w:sz="8" w:space="0" w:color="E9E9E9"/>
              <w:right w:val="nil"/>
            </w:tcBorders>
            <w:tcMar>
              <w:top w:w="0" w:type="dxa"/>
              <w:left w:w="0" w:type="dxa"/>
              <w:bottom w:w="0" w:type="dxa"/>
              <w:right w:w="0" w:type="dxa"/>
            </w:tcMar>
            <w:vAlign w:val="bottom"/>
          </w:tcPr>
          <w:p w14:paraId="345D7CEA" w14:textId="77777777" w:rsidR="001614AC" w:rsidRDefault="001614AC">
            <w:pPr>
              <w:keepNext/>
            </w:pPr>
          </w:p>
        </w:tc>
        <w:tc>
          <w:tcPr>
            <w:tcW w:w="105" w:type="dxa"/>
            <w:tcBorders>
              <w:top w:val="nil"/>
              <w:left w:val="nil"/>
              <w:bottom w:val="nil"/>
              <w:right w:val="nil"/>
            </w:tcBorders>
            <w:tcMar>
              <w:top w:w="0" w:type="dxa"/>
              <w:left w:w="0" w:type="dxa"/>
              <w:bottom w:w="0" w:type="dxa"/>
              <w:right w:w="0" w:type="dxa"/>
            </w:tcMar>
            <w:vAlign w:val="bottom"/>
          </w:tcPr>
          <w:p w14:paraId="018DEE89" w14:textId="77777777" w:rsidR="001614AC" w:rsidRDefault="001614AC">
            <w:pPr>
              <w:keepNext/>
            </w:pPr>
          </w:p>
        </w:tc>
        <w:tc>
          <w:tcPr>
            <w:tcW w:w="950"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3D04A2DC" w14:textId="77777777" w:rsidR="001614AC" w:rsidRDefault="004468F9">
            <w:pPr>
              <w:keepNext/>
              <w:spacing w:before="55" w:after="30" w:line="288" w:lineRule="auto"/>
              <w:jc w:val="right"/>
            </w:pPr>
            <w:r>
              <w:rPr>
                <w:rFonts w:ascii="Arial" w:eastAsia="Arial" w:hAnsi="Arial" w:cs="Arial"/>
                <w:color w:val="000000"/>
                <w:sz w:val="18"/>
              </w:rPr>
              <w:t>276 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75E8A863" w14:textId="77777777" w:rsidR="001614AC" w:rsidRDefault="001614AC">
            <w:pPr>
              <w:keepNext/>
              <w:spacing w:before="55" w:after="30" w:line="288" w:lineRule="auto"/>
              <w:jc w:val="right"/>
            </w:pPr>
          </w:p>
        </w:tc>
        <w:tc>
          <w:tcPr>
            <w:tcW w:w="405" w:type="dxa"/>
            <w:tcBorders>
              <w:top w:val="single" w:sz="8" w:space="0" w:color="E9E9E9"/>
              <w:left w:val="nil"/>
              <w:bottom w:val="single" w:sz="8" w:space="0" w:color="E9E9E9"/>
              <w:right w:val="nil"/>
            </w:tcBorders>
            <w:tcMar>
              <w:top w:w="0" w:type="dxa"/>
              <w:left w:w="53" w:type="dxa"/>
              <w:bottom w:w="0" w:type="dxa"/>
              <w:right w:w="53" w:type="dxa"/>
            </w:tcMar>
            <w:vAlign w:val="bottom"/>
          </w:tcPr>
          <w:p w14:paraId="7990DACB" w14:textId="77777777" w:rsidR="001614AC" w:rsidRDefault="004468F9">
            <w:pPr>
              <w:keepNext/>
              <w:spacing w:before="55" w:after="30" w:line="288" w:lineRule="auto"/>
              <w:rPr>
                <w:rFonts w:ascii="Arial" w:eastAsia="Arial" w:hAnsi="Arial" w:cs="Arial"/>
                <w:sz w:val="18"/>
                <w:vertAlign w:val="superscript"/>
              </w:rPr>
            </w:pPr>
            <w:r>
              <w:rPr>
                <w:rFonts w:ascii="Arial" w:eastAsia="Arial" w:hAnsi="Arial" w:cs="Arial"/>
                <w:sz w:val="18"/>
                <w:vertAlign w:val="superscript"/>
              </w:rPr>
              <w:t>(2)</w:t>
            </w:r>
          </w:p>
        </w:tc>
      </w:tr>
      <w:tr w:rsidR="001614AC" w14:paraId="481EC777" w14:textId="77777777">
        <w:trPr>
          <w:cantSplit/>
        </w:trPr>
        <w:tc>
          <w:tcPr>
            <w:tcW w:w="2235" w:type="dxa"/>
            <w:tcBorders>
              <w:top w:val="single" w:sz="8" w:space="0" w:color="E9E9E9"/>
              <w:left w:val="nil"/>
              <w:bottom w:val="single" w:sz="8" w:space="0" w:color="E9E9E9"/>
              <w:right w:val="nil"/>
            </w:tcBorders>
            <w:tcMar>
              <w:top w:w="0" w:type="dxa"/>
              <w:left w:w="53" w:type="dxa"/>
              <w:bottom w:w="0" w:type="dxa"/>
              <w:right w:w="53" w:type="dxa"/>
            </w:tcMar>
            <w:vAlign w:val="bottom"/>
          </w:tcPr>
          <w:p w14:paraId="7352DE5F" w14:textId="77777777" w:rsidR="001614AC" w:rsidRDefault="004468F9">
            <w:pPr>
              <w:spacing w:before="55" w:after="30" w:line="288" w:lineRule="auto"/>
            </w:pPr>
            <w:r>
              <w:rPr>
                <w:rFonts w:ascii="Arial" w:eastAsia="Arial" w:hAnsi="Arial" w:cs="Arial"/>
                <w:color w:val="000000"/>
                <w:sz w:val="18"/>
              </w:rPr>
              <w:t xml:space="preserve">First Layer </w:t>
            </w:r>
            <w:r>
              <w:rPr>
                <w:rFonts w:ascii="Arial" w:eastAsia="Arial" w:hAnsi="Arial" w:cs="Arial"/>
                <w:color w:val="000000"/>
                <w:sz w:val="18"/>
              </w:rPr>
              <w:t>Retention</w:t>
            </w:r>
          </w:p>
        </w:tc>
        <w:tc>
          <w:tcPr>
            <w:tcW w:w="105" w:type="dxa"/>
            <w:tcBorders>
              <w:top w:val="nil"/>
              <w:left w:val="nil"/>
              <w:bottom w:val="nil"/>
              <w:right w:val="nil"/>
            </w:tcBorders>
            <w:tcMar>
              <w:top w:w="0" w:type="dxa"/>
              <w:left w:w="0" w:type="dxa"/>
              <w:bottom w:w="0" w:type="dxa"/>
              <w:right w:w="0" w:type="dxa"/>
            </w:tcMar>
            <w:vAlign w:val="bottom"/>
          </w:tcPr>
          <w:p w14:paraId="4D29C4F8" w14:textId="77777777" w:rsidR="001614AC" w:rsidRDefault="001614AC"/>
        </w:tc>
        <w:tc>
          <w:tcPr>
            <w:tcW w:w="950"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56762BA5" w14:textId="77777777" w:rsidR="001614AC" w:rsidRDefault="004468F9">
            <w:pPr>
              <w:spacing w:before="55" w:after="30" w:line="288" w:lineRule="auto"/>
              <w:jc w:val="right"/>
            </w:pPr>
            <w:r>
              <w:rPr>
                <w:rFonts w:ascii="Arial" w:eastAsia="Arial" w:hAnsi="Arial" w:cs="Arial"/>
                <w:color w:val="000000"/>
                <w:sz w:val="18"/>
              </w:rPr>
              <w:t>—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0E7532B5" w14:textId="77777777" w:rsidR="001614AC" w:rsidRDefault="001614AC">
            <w:pPr>
              <w:spacing w:before="55" w:after="30" w:line="288" w:lineRule="auto"/>
              <w:jc w:val="right"/>
            </w:pPr>
          </w:p>
        </w:tc>
        <w:tc>
          <w:tcPr>
            <w:tcW w:w="405" w:type="dxa"/>
            <w:tcBorders>
              <w:top w:val="single" w:sz="8" w:space="0" w:color="E9E9E9"/>
              <w:left w:val="nil"/>
              <w:bottom w:val="single" w:sz="8" w:space="0" w:color="E9E9E9"/>
              <w:right w:val="nil"/>
            </w:tcBorders>
            <w:tcMar>
              <w:top w:w="0" w:type="dxa"/>
              <w:left w:w="0" w:type="dxa"/>
              <w:bottom w:w="0" w:type="dxa"/>
              <w:right w:w="0" w:type="dxa"/>
            </w:tcMar>
            <w:vAlign w:val="bottom"/>
          </w:tcPr>
          <w:p w14:paraId="41271475" w14:textId="77777777" w:rsidR="001614AC" w:rsidRDefault="001614AC"/>
        </w:tc>
        <w:tc>
          <w:tcPr>
            <w:tcW w:w="105" w:type="dxa"/>
            <w:tcBorders>
              <w:top w:val="nil"/>
              <w:left w:val="nil"/>
              <w:bottom w:val="nil"/>
              <w:right w:val="nil"/>
            </w:tcBorders>
            <w:tcMar>
              <w:top w:w="0" w:type="dxa"/>
              <w:left w:w="0" w:type="dxa"/>
              <w:bottom w:w="0" w:type="dxa"/>
              <w:right w:w="0" w:type="dxa"/>
            </w:tcMar>
            <w:vAlign w:val="bottom"/>
          </w:tcPr>
          <w:p w14:paraId="1348AA04" w14:textId="77777777" w:rsidR="001614AC" w:rsidRDefault="001614AC"/>
        </w:tc>
        <w:tc>
          <w:tcPr>
            <w:tcW w:w="950"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65AF294D" w14:textId="77777777" w:rsidR="001614AC" w:rsidRDefault="004468F9">
            <w:pPr>
              <w:spacing w:before="55" w:after="30" w:line="288" w:lineRule="auto"/>
              <w:jc w:val="right"/>
            </w:pPr>
            <w:r>
              <w:rPr>
                <w:rFonts w:ascii="Arial" w:eastAsia="Arial" w:hAnsi="Arial" w:cs="Arial"/>
                <w:color w:val="000000"/>
                <w:sz w:val="18"/>
              </w:rPr>
              <w:t>423 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0BD0649D" w14:textId="77777777" w:rsidR="001614AC" w:rsidRDefault="001614AC">
            <w:pPr>
              <w:spacing w:before="55" w:after="30" w:line="288" w:lineRule="auto"/>
              <w:jc w:val="right"/>
            </w:pPr>
          </w:p>
        </w:tc>
        <w:tc>
          <w:tcPr>
            <w:tcW w:w="405" w:type="dxa"/>
            <w:tcBorders>
              <w:top w:val="single" w:sz="8" w:space="0" w:color="E9E9E9"/>
              <w:left w:val="nil"/>
              <w:bottom w:val="single" w:sz="8" w:space="0" w:color="E9E9E9"/>
              <w:right w:val="nil"/>
            </w:tcBorders>
            <w:tcMar>
              <w:top w:w="0" w:type="dxa"/>
              <w:left w:w="0" w:type="dxa"/>
              <w:bottom w:w="0" w:type="dxa"/>
              <w:right w:w="0" w:type="dxa"/>
            </w:tcMar>
            <w:vAlign w:val="bottom"/>
          </w:tcPr>
          <w:p w14:paraId="54B09541" w14:textId="77777777" w:rsidR="001614AC" w:rsidRDefault="001614AC"/>
        </w:tc>
        <w:tc>
          <w:tcPr>
            <w:tcW w:w="105" w:type="dxa"/>
            <w:tcBorders>
              <w:top w:val="nil"/>
              <w:left w:val="nil"/>
              <w:bottom w:val="nil"/>
              <w:right w:val="nil"/>
            </w:tcBorders>
            <w:tcMar>
              <w:top w:w="0" w:type="dxa"/>
              <w:left w:w="0" w:type="dxa"/>
              <w:bottom w:w="0" w:type="dxa"/>
              <w:right w:w="0" w:type="dxa"/>
            </w:tcMar>
            <w:vAlign w:val="bottom"/>
          </w:tcPr>
          <w:p w14:paraId="155ABDA0" w14:textId="77777777" w:rsidR="001614AC" w:rsidRDefault="001614AC"/>
        </w:tc>
        <w:tc>
          <w:tcPr>
            <w:tcW w:w="950"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552962E3" w14:textId="77777777" w:rsidR="001614AC" w:rsidRDefault="004468F9">
            <w:pPr>
              <w:spacing w:before="55" w:after="30" w:line="288" w:lineRule="auto"/>
              <w:jc w:val="right"/>
            </w:pPr>
            <w:r>
              <w:rPr>
                <w:rFonts w:ascii="Arial" w:eastAsia="Arial" w:hAnsi="Arial" w:cs="Arial"/>
                <w:color w:val="000000"/>
                <w:sz w:val="18"/>
              </w:rPr>
              <w:t>202 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2FC38E69" w14:textId="77777777" w:rsidR="001614AC" w:rsidRDefault="001614AC">
            <w:pPr>
              <w:spacing w:before="55" w:after="30" w:line="288" w:lineRule="auto"/>
              <w:jc w:val="right"/>
            </w:pPr>
          </w:p>
        </w:tc>
        <w:tc>
          <w:tcPr>
            <w:tcW w:w="405" w:type="dxa"/>
            <w:tcBorders>
              <w:top w:val="single" w:sz="8" w:space="0" w:color="E9E9E9"/>
              <w:left w:val="nil"/>
              <w:bottom w:val="single" w:sz="8" w:space="0" w:color="E9E9E9"/>
              <w:right w:val="nil"/>
            </w:tcBorders>
            <w:tcMar>
              <w:top w:w="0" w:type="dxa"/>
              <w:left w:w="0" w:type="dxa"/>
              <w:bottom w:w="0" w:type="dxa"/>
              <w:right w:w="0" w:type="dxa"/>
            </w:tcMar>
            <w:vAlign w:val="bottom"/>
          </w:tcPr>
          <w:p w14:paraId="7C3B13DA" w14:textId="77777777" w:rsidR="001614AC" w:rsidRDefault="001614AC"/>
        </w:tc>
        <w:tc>
          <w:tcPr>
            <w:tcW w:w="105" w:type="dxa"/>
            <w:tcBorders>
              <w:top w:val="nil"/>
              <w:left w:val="nil"/>
              <w:bottom w:val="nil"/>
              <w:right w:val="nil"/>
            </w:tcBorders>
            <w:tcMar>
              <w:top w:w="0" w:type="dxa"/>
              <w:left w:w="0" w:type="dxa"/>
              <w:bottom w:w="0" w:type="dxa"/>
              <w:right w:w="0" w:type="dxa"/>
            </w:tcMar>
            <w:vAlign w:val="bottom"/>
          </w:tcPr>
          <w:p w14:paraId="01759DDE" w14:textId="77777777" w:rsidR="001614AC" w:rsidRDefault="001614AC"/>
        </w:tc>
        <w:tc>
          <w:tcPr>
            <w:tcW w:w="950"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1835F0F1" w14:textId="77777777" w:rsidR="001614AC" w:rsidRDefault="004468F9">
            <w:pPr>
              <w:spacing w:before="55" w:after="30" w:line="288" w:lineRule="auto"/>
              <w:jc w:val="right"/>
            </w:pPr>
            <w:r>
              <w:rPr>
                <w:rFonts w:ascii="Arial" w:eastAsia="Arial" w:hAnsi="Arial" w:cs="Arial"/>
                <w:color w:val="000000"/>
                <w:sz w:val="18"/>
              </w:rPr>
              <w:t>265 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6869163B" w14:textId="77777777" w:rsidR="001614AC" w:rsidRDefault="001614AC">
            <w:pPr>
              <w:spacing w:before="55" w:after="30" w:line="288" w:lineRule="auto"/>
              <w:jc w:val="right"/>
            </w:pPr>
          </w:p>
        </w:tc>
        <w:tc>
          <w:tcPr>
            <w:tcW w:w="405" w:type="dxa"/>
            <w:tcBorders>
              <w:top w:val="single" w:sz="8" w:space="0" w:color="E9E9E9"/>
              <w:left w:val="nil"/>
              <w:bottom w:val="single" w:sz="8" w:space="0" w:color="E9E9E9"/>
              <w:right w:val="nil"/>
            </w:tcBorders>
            <w:tcMar>
              <w:top w:w="0" w:type="dxa"/>
              <w:left w:w="0" w:type="dxa"/>
              <w:bottom w:w="0" w:type="dxa"/>
              <w:right w:w="0" w:type="dxa"/>
            </w:tcMar>
            <w:vAlign w:val="bottom"/>
          </w:tcPr>
          <w:p w14:paraId="2286C21F" w14:textId="77777777" w:rsidR="001614AC" w:rsidRDefault="001614AC"/>
        </w:tc>
        <w:tc>
          <w:tcPr>
            <w:tcW w:w="105" w:type="dxa"/>
            <w:tcBorders>
              <w:top w:val="nil"/>
              <w:left w:val="nil"/>
              <w:bottom w:val="nil"/>
              <w:right w:val="nil"/>
            </w:tcBorders>
            <w:tcMar>
              <w:top w:w="0" w:type="dxa"/>
              <w:left w:w="0" w:type="dxa"/>
              <w:bottom w:w="0" w:type="dxa"/>
              <w:right w:w="0" w:type="dxa"/>
            </w:tcMar>
            <w:vAlign w:val="bottom"/>
          </w:tcPr>
          <w:p w14:paraId="26D1D19E" w14:textId="77777777" w:rsidR="001614AC" w:rsidRDefault="001614AC"/>
        </w:tc>
        <w:tc>
          <w:tcPr>
            <w:tcW w:w="950"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5A635045" w14:textId="77777777" w:rsidR="001614AC" w:rsidRDefault="004468F9">
            <w:pPr>
              <w:spacing w:before="55" w:after="30" w:line="288" w:lineRule="auto"/>
              <w:jc w:val="right"/>
            </w:pPr>
            <w:r>
              <w:rPr>
                <w:rFonts w:ascii="Arial" w:eastAsia="Arial" w:hAnsi="Arial" w:cs="Arial"/>
                <w:color w:val="000000"/>
                <w:sz w:val="18"/>
              </w:rPr>
              <w:t>201 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2F0B57E9" w14:textId="77777777" w:rsidR="001614AC" w:rsidRDefault="001614AC">
            <w:pPr>
              <w:spacing w:before="55" w:after="30" w:line="288" w:lineRule="auto"/>
              <w:jc w:val="right"/>
            </w:pPr>
          </w:p>
        </w:tc>
        <w:tc>
          <w:tcPr>
            <w:tcW w:w="405" w:type="dxa"/>
            <w:tcBorders>
              <w:top w:val="single" w:sz="8" w:space="0" w:color="E9E9E9"/>
              <w:left w:val="nil"/>
              <w:bottom w:val="single" w:sz="8" w:space="0" w:color="E9E9E9"/>
              <w:right w:val="nil"/>
            </w:tcBorders>
            <w:tcMar>
              <w:top w:w="0" w:type="dxa"/>
              <w:left w:w="0" w:type="dxa"/>
              <w:bottom w:w="0" w:type="dxa"/>
              <w:right w:w="0" w:type="dxa"/>
            </w:tcMar>
            <w:vAlign w:val="bottom"/>
          </w:tcPr>
          <w:p w14:paraId="61384E40" w14:textId="77777777" w:rsidR="001614AC" w:rsidRDefault="001614AC"/>
        </w:tc>
      </w:tr>
    </w:tbl>
    <w:p w14:paraId="5FD6EE61" w14:textId="77777777" w:rsidR="001614AC" w:rsidRDefault="004468F9" w:rsidP="004468F9">
      <w:pPr>
        <w:keepNext/>
        <w:numPr>
          <w:ilvl w:val="0"/>
          <w:numId w:val="20"/>
        </w:numPr>
        <w:spacing w:line="288" w:lineRule="auto"/>
        <w:ind w:left="360"/>
        <w:rPr>
          <w:rFonts w:ascii="Arial" w:eastAsia="Arial" w:hAnsi="Arial" w:cs="Arial"/>
          <w:b/>
          <w:color w:val="64615D"/>
          <w:sz w:val="16"/>
        </w:rPr>
      </w:pPr>
      <w:r>
        <w:rPr>
          <w:rFonts w:ascii="Arial" w:eastAsia="Arial" w:hAnsi="Arial" w:cs="Arial"/>
          <w:color w:val="64615D"/>
          <w:sz w:val="16"/>
        </w:rPr>
        <w:t>Radian Group purchased $45.4 million original principal amount of these mortgage insurance-linked notes, which are included in fixed-maturities available for</w:t>
      </w:r>
      <w:r>
        <w:rPr>
          <w:rFonts w:ascii="Arial" w:eastAsia="Arial" w:hAnsi="Arial" w:cs="Arial"/>
          <w:color w:val="64615D"/>
          <w:sz w:val="16"/>
        </w:rPr>
        <w:t xml:space="preserve"> sale on our condensed consolidated balance sheet at June 30, 2021. See Notes 5 and 6 for additional information.</w:t>
      </w:r>
    </w:p>
    <w:p w14:paraId="5383EA63" w14:textId="77777777" w:rsidR="001614AC" w:rsidRDefault="004468F9" w:rsidP="004468F9">
      <w:pPr>
        <w:keepNext/>
        <w:numPr>
          <w:ilvl w:val="0"/>
          <w:numId w:val="20"/>
        </w:numPr>
        <w:spacing w:line="288" w:lineRule="auto"/>
        <w:ind w:left="360"/>
        <w:rPr>
          <w:rFonts w:ascii="Arial" w:eastAsia="Arial" w:hAnsi="Arial" w:cs="Arial"/>
          <w:b/>
          <w:color w:val="64615D"/>
          <w:sz w:val="16"/>
        </w:rPr>
      </w:pPr>
      <w:r>
        <w:rPr>
          <w:rFonts w:ascii="Arial" w:eastAsia="Arial" w:hAnsi="Arial" w:cs="Arial"/>
          <w:color w:val="64615D"/>
          <w:sz w:val="16"/>
        </w:rPr>
        <w:t>Excludes a separate excess-of-loss reinsurance agreement entered into by Radian Guaranty with both initial and remaining coverage of $21.4 mil</w:t>
      </w:r>
      <w:r>
        <w:rPr>
          <w:rFonts w:ascii="Arial" w:eastAsia="Arial" w:hAnsi="Arial" w:cs="Arial"/>
          <w:color w:val="64615D"/>
          <w:sz w:val="16"/>
        </w:rPr>
        <w:t xml:space="preserve">lion. </w:t>
      </w:r>
    </w:p>
    <w:p w14:paraId="06C3A811" w14:textId="77777777" w:rsidR="001614AC" w:rsidRDefault="004468F9">
      <w:pPr>
        <w:spacing w:before="200" w:after="100" w:line="288" w:lineRule="auto"/>
        <w:ind w:firstLine="450"/>
        <w:rPr>
          <w:b/>
          <w:color w:val="64615D"/>
          <w:sz w:val="18"/>
        </w:rPr>
      </w:pPr>
      <w:r>
        <w:rPr>
          <w:rFonts w:ascii="Arial" w:eastAsia="Arial" w:hAnsi="Arial" w:cs="Arial"/>
          <w:sz w:val="18"/>
        </w:rPr>
        <w:t>The Eagle Re Issuers are not subsidiaries or affiliates of Radian Guaranty. Based on the accounting guidance that addresses VIEs, we have not consolidated any of the assets and liabilities of the Eagle Re Issuers in our financial statements, because</w:t>
      </w:r>
      <w:r>
        <w:rPr>
          <w:rFonts w:ascii="Arial" w:eastAsia="Arial" w:hAnsi="Arial" w:cs="Arial"/>
          <w:sz w:val="18"/>
        </w:rPr>
        <w:t xml:space="preserve"> Radian does not have: (i) the power to direct the activities that most significantly affect the Eagle Re Issuers’ economic performances or (ii) the obligation to absorb losses or the right to receive benefits from the Eagle Re Issuers that potentially cou</w:t>
      </w:r>
      <w:r>
        <w:rPr>
          <w:rFonts w:ascii="Arial" w:eastAsia="Arial" w:hAnsi="Arial" w:cs="Arial"/>
          <w:sz w:val="18"/>
        </w:rPr>
        <w:t>ld be significant to the Eagle Re Issuers. See Note 2 of Notes to Consolidated Financial Statements in our 2020 Form 10-K for more information on our accounting treatment of VIEs.</w:t>
      </w:r>
    </w:p>
    <w:p w14:paraId="1B134E53" w14:textId="77777777" w:rsidR="001614AC" w:rsidRDefault="004468F9">
      <w:pPr>
        <w:spacing w:before="100" w:after="100" w:line="288" w:lineRule="auto"/>
        <w:ind w:firstLine="450"/>
        <w:rPr>
          <w:rFonts w:ascii="Arial" w:eastAsia="Arial" w:hAnsi="Arial" w:cs="Arial"/>
          <w:b/>
          <w:color w:val="64615D"/>
          <w:sz w:val="18"/>
        </w:rPr>
      </w:pPr>
      <w:r>
        <w:rPr>
          <w:rFonts w:ascii="Arial" w:eastAsia="Arial" w:hAnsi="Arial" w:cs="Arial"/>
          <w:sz w:val="18"/>
        </w:rPr>
        <w:t xml:space="preserve"> The reinsurance premium due to the Eagle Re Issuers is calculated by multip</w:t>
      </w:r>
      <w:r>
        <w:rPr>
          <w:rFonts w:ascii="Arial" w:eastAsia="Arial" w:hAnsi="Arial" w:cs="Arial"/>
          <w:sz w:val="18"/>
        </w:rPr>
        <w:t>lying the outstanding reinsurance coverage amount at the beginning of a period by a coupon rate, which is the sum of one-month LIBOR (or an acceptable alternative to LIBOR) or SOFR, as applicable, plus a contractual risk margin, and then subtracting actual</w:t>
      </w:r>
      <w:r>
        <w:rPr>
          <w:rFonts w:ascii="Arial" w:eastAsia="Arial" w:hAnsi="Arial" w:cs="Arial"/>
          <w:sz w:val="18"/>
        </w:rPr>
        <w:t xml:space="preserve"> investment income collected on the assets in the reinsurance trust during the preceding month. As a result, the premiums we pay will vary based on: (i) the spread between LIBOR (or an acceptable alternative to LIBOR) or SOFR, as provided in each applicabl</w:t>
      </w:r>
      <w:r>
        <w:rPr>
          <w:rFonts w:ascii="Arial" w:eastAsia="Arial" w:hAnsi="Arial" w:cs="Arial"/>
          <w:sz w:val="18"/>
        </w:rPr>
        <w:t>e reinsurance agreement, and the rates on the investments held by the reinsurance trust and (ii) the outstanding amount of reinsurance coverage. As the reinsurance premium will vary based on changes in these rates, we concluded that the reinsurance agreeme</w:t>
      </w:r>
      <w:r>
        <w:rPr>
          <w:rFonts w:ascii="Arial" w:eastAsia="Arial" w:hAnsi="Arial" w:cs="Arial"/>
          <w:sz w:val="18"/>
        </w:rPr>
        <w:t>nts contain embedded derivatives, which we have accounted for separately as freestanding derivatives and recorded in other assets or other liabilities on our condensed consolidated balance sheets. Changes in the fair value of these embedded derivatives are</w:t>
      </w:r>
      <w:r>
        <w:rPr>
          <w:rFonts w:ascii="Arial" w:eastAsia="Arial" w:hAnsi="Arial" w:cs="Arial"/>
          <w:sz w:val="18"/>
        </w:rPr>
        <w:t xml:space="preserve"> recorded in net gains (losses) on investments and other financial instruments in our condensed consolidated statements of operations. See Note 5 herein and Note 5 of Notes to Consolidated Financial Statements in our 2020 Form 10-K for more information on </w:t>
      </w:r>
      <w:r>
        <w:rPr>
          <w:rFonts w:ascii="Arial" w:eastAsia="Arial" w:hAnsi="Arial" w:cs="Arial"/>
          <w:sz w:val="18"/>
        </w:rPr>
        <w:t>our fair value measurements of financial instruments, including our embedded derivatives.</w:t>
      </w:r>
    </w:p>
    <w:p w14:paraId="4EB077D4" w14:textId="77777777" w:rsidR="001614AC" w:rsidRDefault="004468F9">
      <w:pPr>
        <w:spacing w:before="100" w:after="100" w:line="288" w:lineRule="auto"/>
        <w:ind w:firstLine="450"/>
        <w:rPr>
          <w:rFonts w:ascii="Arial" w:eastAsia="Arial" w:hAnsi="Arial" w:cs="Arial"/>
          <w:b/>
          <w:color w:val="64615D"/>
          <w:sz w:val="18"/>
        </w:rPr>
      </w:pPr>
      <w:r>
        <w:rPr>
          <w:rFonts w:ascii="Arial" w:eastAsia="Arial" w:hAnsi="Arial" w:cs="Arial"/>
          <w:sz w:val="18"/>
        </w:rPr>
        <w:t>In the event an Eagle Re Issuer is unable to meet its future obligations to us, if any, our insurance subsidiaries would be liable to make claims payments to our poli</w:t>
      </w:r>
      <w:r>
        <w:rPr>
          <w:rFonts w:ascii="Arial" w:eastAsia="Arial" w:hAnsi="Arial" w:cs="Arial"/>
          <w:sz w:val="18"/>
        </w:rPr>
        <w:t>cyholders. In the event that all of the assets in the reinsurance trust (consisting of U.S. government money market funds, cash or U.S. Treasury securities) have become worthless and the Eagle Re Issuer is unable to make its payments to us, our maximum pot</w:t>
      </w:r>
      <w:r>
        <w:rPr>
          <w:rFonts w:ascii="Arial" w:eastAsia="Arial" w:hAnsi="Arial" w:cs="Arial"/>
          <w:sz w:val="18"/>
        </w:rPr>
        <w:t xml:space="preserve">ential loss would be the amount of mortgage insurance claim payments for losses on the insured policies, net of the aggregate reinsurance payments already received, up to the full aggregate </w:t>
      </w:r>
      <w:r>
        <w:rPr>
          <w:rFonts w:ascii="Arial" w:eastAsia="Arial" w:hAnsi="Arial" w:cs="Arial"/>
          <w:sz w:val="18"/>
        </w:rPr>
        <w:lastRenderedPageBreak/>
        <w:t xml:space="preserve">excess-of-loss reinsurance coverage amount. In the same scenario, </w:t>
      </w:r>
      <w:r>
        <w:rPr>
          <w:rFonts w:ascii="Arial" w:eastAsia="Arial" w:hAnsi="Arial" w:cs="Arial"/>
          <w:sz w:val="18"/>
        </w:rPr>
        <w:t xml:space="preserve">the related embedded derivative would no longer have value. </w:t>
      </w:r>
    </w:p>
    <w:p w14:paraId="62F1EA43" w14:textId="77777777" w:rsidR="001614AC" w:rsidRDefault="004468F9">
      <w:pPr>
        <w:keepNext/>
        <w:spacing w:before="100" w:after="100" w:line="288" w:lineRule="auto"/>
        <w:ind w:firstLine="450"/>
        <w:rPr>
          <w:rFonts w:ascii="Arial" w:eastAsia="Arial" w:hAnsi="Arial" w:cs="Arial"/>
          <w:b/>
          <w:color w:val="64615D"/>
          <w:sz w:val="18"/>
        </w:rPr>
      </w:pPr>
      <w:r>
        <w:rPr>
          <w:rFonts w:ascii="Arial" w:eastAsia="Arial" w:hAnsi="Arial" w:cs="Arial"/>
          <w:sz w:val="18"/>
        </w:rPr>
        <w:t>The Eagle Re Issuers represent our only VIEs as of June 30, 2021 and December 31, 2020. The following table presents the total assets and liabilities of the Eagle Re Issuers as of the dates indic</w:t>
      </w:r>
      <w:r>
        <w:rPr>
          <w:rFonts w:ascii="Arial" w:eastAsia="Arial" w:hAnsi="Arial" w:cs="Arial"/>
          <w:sz w:val="18"/>
        </w:rPr>
        <w:t>ated.</w:t>
      </w:r>
    </w:p>
    <w:tbl>
      <w:tblPr>
        <w:tblW w:w="102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73"/>
        <w:gridCol w:w="108"/>
        <w:gridCol w:w="162"/>
        <w:gridCol w:w="1258"/>
        <w:gridCol w:w="101"/>
        <w:gridCol w:w="159"/>
        <w:gridCol w:w="162"/>
        <w:gridCol w:w="1258"/>
        <w:gridCol w:w="101"/>
      </w:tblGrid>
      <w:tr w:rsidR="001614AC" w14:paraId="3B30DEE1" w14:textId="77777777">
        <w:trPr>
          <w:cantSplit/>
        </w:trPr>
        <w:tc>
          <w:tcPr>
            <w:tcW w:w="10080" w:type="dxa"/>
            <w:gridSpan w:val="9"/>
            <w:tcBorders>
              <w:top w:val="nil"/>
              <w:left w:val="nil"/>
              <w:bottom w:val="single" w:sz="12" w:space="0" w:color="99AAB6"/>
              <w:right w:val="nil"/>
            </w:tcBorders>
            <w:shd w:val="clear" w:color="auto" w:fill="FFFFFF"/>
            <w:tcMar>
              <w:top w:w="0" w:type="dxa"/>
              <w:left w:w="53" w:type="dxa"/>
              <w:bottom w:w="0" w:type="dxa"/>
              <w:right w:w="53" w:type="dxa"/>
            </w:tcMar>
            <w:vAlign w:val="bottom"/>
          </w:tcPr>
          <w:p w14:paraId="75B4FBE8" w14:textId="77777777" w:rsidR="001614AC" w:rsidRDefault="004468F9">
            <w:pPr>
              <w:keepNext/>
              <w:spacing w:before="75" w:after="30" w:line="288" w:lineRule="auto"/>
              <w:rPr>
                <w:rFonts w:ascii="Arial" w:eastAsia="Arial" w:hAnsi="Arial" w:cs="Arial"/>
                <w:b/>
                <w:sz w:val="20"/>
              </w:rPr>
            </w:pPr>
            <w:r>
              <w:rPr>
                <w:rFonts w:ascii="Arial" w:eastAsia="Arial" w:hAnsi="Arial" w:cs="Arial"/>
                <w:b/>
                <w:sz w:val="20"/>
              </w:rPr>
              <w:t xml:space="preserve">Total assets and liabilities of Eagle Re Issuers </w:t>
            </w:r>
            <w:r>
              <w:rPr>
                <w:rFonts w:ascii="Arial" w:eastAsia="Arial" w:hAnsi="Arial" w:cs="Arial"/>
                <w:b/>
                <w:sz w:val="20"/>
                <w:vertAlign w:val="superscript"/>
              </w:rPr>
              <w:t>(1)</w:t>
            </w:r>
          </w:p>
        </w:tc>
      </w:tr>
      <w:tr w:rsidR="001614AC" w14:paraId="519124E1" w14:textId="77777777">
        <w:trPr>
          <w:cantSplit/>
          <w:trHeight w:hRule="exact" w:val="135"/>
        </w:trPr>
        <w:tc>
          <w:tcPr>
            <w:tcW w:w="6870" w:type="dxa"/>
            <w:tcBorders>
              <w:top w:val="nil"/>
              <w:left w:val="nil"/>
              <w:bottom w:val="nil"/>
              <w:right w:val="nil"/>
            </w:tcBorders>
            <w:tcMar>
              <w:top w:w="0" w:type="dxa"/>
              <w:left w:w="0" w:type="dxa"/>
              <w:bottom w:w="0" w:type="dxa"/>
              <w:right w:w="0" w:type="dxa"/>
            </w:tcMar>
            <w:vAlign w:val="bottom"/>
          </w:tcPr>
          <w:p w14:paraId="5CE33148" w14:textId="77777777" w:rsidR="001614AC" w:rsidRDefault="001614AC">
            <w:pPr>
              <w:keepNext/>
            </w:pPr>
          </w:p>
        </w:tc>
        <w:tc>
          <w:tcPr>
            <w:tcW w:w="105" w:type="dxa"/>
            <w:tcBorders>
              <w:top w:val="single" w:sz="12" w:space="0" w:color="99AAB6"/>
              <w:left w:val="nil"/>
              <w:bottom w:val="nil"/>
              <w:right w:val="nil"/>
            </w:tcBorders>
            <w:tcMar>
              <w:top w:w="0" w:type="dxa"/>
              <w:left w:w="0" w:type="dxa"/>
              <w:bottom w:w="0" w:type="dxa"/>
              <w:right w:w="0" w:type="dxa"/>
            </w:tcMar>
            <w:vAlign w:val="bottom"/>
          </w:tcPr>
          <w:p w14:paraId="12E6854E" w14:textId="77777777" w:rsidR="001614AC" w:rsidRDefault="001614AC">
            <w:pPr>
              <w:keepNext/>
            </w:pPr>
          </w:p>
        </w:tc>
        <w:tc>
          <w:tcPr>
            <w:tcW w:w="1500" w:type="dxa"/>
            <w:gridSpan w:val="3"/>
            <w:tcBorders>
              <w:top w:val="single" w:sz="12" w:space="0" w:color="99AAB6"/>
              <w:left w:val="nil"/>
              <w:bottom w:val="nil"/>
              <w:right w:val="nil"/>
            </w:tcBorders>
            <w:tcMar>
              <w:top w:w="0" w:type="dxa"/>
              <w:left w:w="0" w:type="dxa"/>
              <w:bottom w:w="0" w:type="dxa"/>
              <w:right w:w="0" w:type="dxa"/>
            </w:tcMar>
            <w:vAlign w:val="bottom"/>
          </w:tcPr>
          <w:p w14:paraId="3094B543" w14:textId="77777777" w:rsidR="001614AC" w:rsidRDefault="001614AC">
            <w:pPr>
              <w:keepNext/>
            </w:pPr>
          </w:p>
        </w:tc>
        <w:tc>
          <w:tcPr>
            <w:tcW w:w="105" w:type="dxa"/>
            <w:tcBorders>
              <w:top w:val="single" w:sz="12" w:space="0" w:color="99AAB6"/>
              <w:left w:val="nil"/>
              <w:bottom w:val="nil"/>
              <w:right w:val="nil"/>
            </w:tcBorders>
            <w:tcMar>
              <w:top w:w="0" w:type="dxa"/>
              <w:left w:w="0" w:type="dxa"/>
              <w:bottom w:w="0" w:type="dxa"/>
              <w:right w:w="0" w:type="dxa"/>
            </w:tcMar>
            <w:vAlign w:val="bottom"/>
          </w:tcPr>
          <w:p w14:paraId="53FAA075" w14:textId="77777777" w:rsidR="001614AC" w:rsidRDefault="001614AC">
            <w:pPr>
              <w:keepNext/>
            </w:pPr>
          </w:p>
        </w:tc>
        <w:tc>
          <w:tcPr>
            <w:tcW w:w="1500" w:type="dxa"/>
            <w:gridSpan w:val="3"/>
            <w:tcBorders>
              <w:top w:val="single" w:sz="12" w:space="0" w:color="99AAB6"/>
              <w:left w:val="nil"/>
              <w:bottom w:val="nil"/>
              <w:right w:val="nil"/>
            </w:tcBorders>
            <w:tcMar>
              <w:top w:w="0" w:type="dxa"/>
              <w:left w:w="0" w:type="dxa"/>
              <w:bottom w:w="0" w:type="dxa"/>
              <w:right w:w="0" w:type="dxa"/>
            </w:tcMar>
            <w:vAlign w:val="bottom"/>
          </w:tcPr>
          <w:p w14:paraId="50EA8F88" w14:textId="77777777" w:rsidR="001614AC" w:rsidRDefault="001614AC">
            <w:pPr>
              <w:keepNext/>
            </w:pPr>
          </w:p>
        </w:tc>
      </w:tr>
      <w:tr w:rsidR="001614AC" w14:paraId="287352FC" w14:textId="77777777">
        <w:trPr>
          <w:cantSplit/>
        </w:trPr>
        <w:tc>
          <w:tcPr>
            <w:tcW w:w="6870" w:type="dxa"/>
            <w:tcBorders>
              <w:top w:val="nil"/>
              <w:left w:val="nil"/>
              <w:bottom w:val="single" w:sz="8" w:space="0" w:color="C7C9C7"/>
              <w:right w:val="nil"/>
            </w:tcBorders>
            <w:tcMar>
              <w:top w:w="0" w:type="dxa"/>
              <w:left w:w="53" w:type="dxa"/>
              <w:bottom w:w="0" w:type="dxa"/>
              <w:right w:w="53" w:type="dxa"/>
            </w:tcMar>
            <w:vAlign w:val="bottom"/>
          </w:tcPr>
          <w:p w14:paraId="4840A8B9" w14:textId="77777777" w:rsidR="001614AC" w:rsidRDefault="004468F9">
            <w:pPr>
              <w:keepNext/>
              <w:spacing w:before="75" w:after="30" w:line="288" w:lineRule="auto"/>
            </w:pPr>
            <w:r>
              <w:rPr>
                <w:rFonts w:ascii="Arial" w:eastAsia="Arial" w:hAnsi="Arial" w:cs="Arial"/>
                <w:color w:val="8B8886"/>
                <w:sz w:val="16"/>
              </w:rPr>
              <w:t>(In thousands)</w:t>
            </w:r>
          </w:p>
        </w:tc>
        <w:tc>
          <w:tcPr>
            <w:tcW w:w="105" w:type="dxa"/>
            <w:tcBorders>
              <w:top w:val="nil"/>
              <w:left w:val="nil"/>
              <w:bottom w:val="single" w:sz="8" w:space="0" w:color="C7C9C7"/>
              <w:right w:val="nil"/>
            </w:tcBorders>
            <w:tcMar>
              <w:top w:w="0" w:type="dxa"/>
              <w:left w:w="0" w:type="dxa"/>
              <w:bottom w:w="0" w:type="dxa"/>
              <w:right w:w="0" w:type="dxa"/>
            </w:tcMar>
            <w:vAlign w:val="bottom"/>
          </w:tcPr>
          <w:p w14:paraId="7395AB01" w14:textId="77777777" w:rsidR="001614AC" w:rsidRDefault="001614AC">
            <w:pPr>
              <w:keepNext/>
            </w:pPr>
          </w:p>
        </w:tc>
        <w:tc>
          <w:tcPr>
            <w:tcW w:w="1500" w:type="dxa"/>
            <w:gridSpan w:val="3"/>
            <w:tcBorders>
              <w:top w:val="nil"/>
              <w:left w:val="nil"/>
              <w:bottom w:val="single" w:sz="8" w:space="0" w:color="C7C9C7"/>
              <w:right w:val="nil"/>
            </w:tcBorders>
            <w:shd w:val="clear" w:color="auto" w:fill="E6F8F8"/>
            <w:tcMar>
              <w:top w:w="0" w:type="dxa"/>
              <w:left w:w="53" w:type="dxa"/>
              <w:bottom w:w="0" w:type="dxa"/>
              <w:right w:w="53" w:type="dxa"/>
            </w:tcMar>
            <w:vAlign w:val="bottom"/>
          </w:tcPr>
          <w:p w14:paraId="4FCE317C" w14:textId="77777777" w:rsidR="001614AC" w:rsidRDefault="004468F9">
            <w:pPr>
              <w:keepNext/>
              <w:spacing w:before="75" w:after="30" w:line="288" w:lineRule="auto"/>
              <w:jc w:val="center"/>
            </w:pPr>
            <w:r>
              <w:rPr>
                <w:rFonts w:ascii="Arial" w:eastAsia="Arial" w:hAnsi="Arial" w:cs="Arial"/>
                <w:b/>
                <w:color w:val="00BAB3"/>
                <w:sz w:val="18"/>
              </w:rPr>
              <w:t>June 30,</w:t>
            </w:r>
            <w:r>
              <w:br/>
            </w:r>
            <w:r>
              <w:rPr>
                <w:rFonts w:ascii="Arial" w:eastAsia="Arial" w:hAnsi="Arial" w:cs="Arial"/>
                <w:b/>
                <w:color w:val="00BAB3"/>
                <w:sz w:val="18"/>
              </w:rPr>
              <w:t>2021</w:t>
            </w:r>
          </w:p>
        </w:tc>
        <w:tc>
          <w:tcPr>
            <w:tcW w:w="105" w:type="dxa"/>
            <w:tcBorders>
              <w:top w:val="nil"/>
              <w:left w:val="nil"/>
              <w:bottom w:val="single" w:sz="8" w:space="0" w:color="C7C9C7"/>
              <w:right w:val="nil"/>
            </w:tcBorders>
            <w:tcMar>
              <w:top w:w="0" w:type="dxa"/>
              <w:left w:w="0" w:type="dxa"/>
              <w:bottom w:w="0" w:type="dxa"/>
              <w:right w:w="0" w:type="dxa"/>
            </w:tcMar>
            <w:vAlign w:val="bottom"/>
          </w:tcPr>
          <w:p w14:paraId="344D4015" w14:textId="77777777" w:rsidR="001614AC" w:rsidRDefault="001614AC">
            <w:pPr>
              <w:keepNext/>
            </w:pPr>
          </w:p>
        </w:tc>
        <w:tc>
          <w:tcPr>
            <w:tcW w:w="1500" w:type="dxa"/>
            <w:gridSpan w:val="3"/>
            <w:tcBorders>
              <w:top w:val="nil"/>
              <w:left w:val="nil"/>
              <w:bottom w:val="single" w:sz="8" w:space="0" w:color="C7C9C7"/>
              <w:right w:val="nil"/>
            </w:tcBorders>
            <w:shd w:val="clear" w:color="auto" w:fill="F4F4F4"/>
            <w:tcMar>
              <w:top w:w="0" w:type="dxa"/>
              <w:left w:w="53" w:type="dxa"/>
              <w:bottom w:w="0" w:type="dxa"/>
              <w:right w:w="53" w:type="dxa"/>
            </w:tcMar>
            <w:vAlign w:val="bottom"/>
          </w:tcPr>
          <w:p w14:paraId="12A03DE6" w14:textId="77777777" w:rsidR="001614AC" w:rsidRDefault="004468F9">
            <w:pPr>
              <w:keepNext/>
              <w:spacing w:before="75" w:after="30" w:line="288" w:lineRule="auto"/>
              <w:jc w:val="center"/>
            </w:pPr>
            <w:r>
              <w:rPr>
                <w:rFonts w:ascii="Arial" w:eastAsia="Arial" w:hAnsi="Arial" w:cs="Arial"/>
                <w:b/>
                <w:color w:val="00BAB3"/>
                <w:sz w:val="18"/>
              </w:rPr>
              <w:t>December 31,</w:t>
            </w:r>
            <w:r>
              <w:br/>
            </w:r>
            <w:r>
              <w:rPr>
                <w:rFonts w:ascii="Arial" w:eastAsia="Arial" w:hAnsi="Arial" w:cs="Arial"/>
                <w:b/>
                <w:color w:val="00BAB3"/>
                <w:sz w:val="18"/>
              </w:rPr>
              <w:t>2020</w:t>
            </w:r>
          </w:p>
        </w:tc>
      </w:tr>
      <w:tr w:rsidR="001614AC" w14:paraId="3658E032" w14:textId="77777777">
        <w:trPr>
          <w:cantSplit/>
        </w:trPr>
        <w:tc>
          <w:tcPr>
            <w:tcW w:w="6870" w:type="dxa"/>
            <w:tcBorders>
              <w:top w:val="single" w:sz="8" w:space="0" w:color="C7C9C7"/>
              <w:left w:val="nil"/>
              <w:bottom w:val="single" w:sz="8" w:space="0" w:color="E9E9E9"/>
              <w:right w:val="nil"/>
            </w:tcBorders>
            <w:tcMar>
              <w:top w:w="0" w:type="dxa"/>
              <w:left w:w="53" w:type="dxa"/>
              <w:bottom w:w="0" w:type="dxa"/>
              <w:right w:w="53" w:type="dxa"/>
            </w:tcMar>
            <w:vAlign w:val="bottom"/>
          </w:tcPr>
          <w:p w14:paraId="6B434A63" w14:textId="77777777" w:rsidR="001614AC" w:rsidRDefault="004468F9">
            <w:pPr>
              <w:keepNext/>
              <w:spacing w:before="55" w:after="30" w:line="288" w:lineRule="auto"/>
            </w:pPr>
            <w:r>
              <w:rPr>
                <w:rFonts w:ascii="Arial" w:eastAsia="Arial" w:hAnsi="Arial" w:cs="Arial"/>
                <w:color w:val="000000"/>
                <w:sz w:val="18"/>
              </w:rPr>
              <w:t>Eagle Re 2021-1 Ltd.</w:t>
            </w:r>
          </w:p>
        </w:tc>
        <w:tc>
          <w:tcPr>
            <w:tcW w:w="105" w:type="dxa"/>
            <w:tcBorders>
              <w:top w:val="single" w:sz="8" w:space="0" w:color="C7C9C7"/>
              <w:left w:val="nil"/>
              <w:bottom w:val="nil"/>
              <w:right w:val="nil"/>
            </w:tcBorders>
            <w:tcMar>
              <w:top w:w="0" w:type="dxa"/>
              <w:left w:w="0" w:type="dxa"/>
              <w:bottom w:w="0" w:type="dxa"/>
              <w:right w:w="0" w:type="dxa"/>
            </w:tcMar>
            <w:vAlign w:val="bottom"/>
          </w:tcPr>
          <w:p w14:paraId="0F89A4B0" w14:textId="77777777" w:rsidR="001614AC" w:rsidRDefault="001614AC">
            <w:pPr>
              <w:keepNext/>
            </w:pPr>
          </w:p>
        </w:tc>
        <w:tc>
          <w:tcPr>
            <w:tcW w:w="160" w:type="dxa"/>
            <w:tcBorders>
              <w:top w:val="single" w:sz="8" w:space="0" w:color="C7C9C7"/>
              <w:left w:val="nil"/>
              <w:bottom w:val="single" w:sz="8" w:space="0" w:color="E9E9E9"/>
              <w:right w:val="nil"/>
            </w:tcBorders>
            <w:tcMar>
              <w:top w:w="0" w:type="dxa"/>
              <w:left w:w="53" w:type="dxa"/>
              <w:bottom w:w="0" w:type="dxa"/>
              <w:right w:w="0" w:type="dxa"/>
            </w:tcMar>
            <w:vAlign w:val="bottom"/>
          </w:tcPr>
          <w:p w14:paraId="2E7FBCFE" w14:textId="77777777" w:rsidR="001614AC" w:rsidRDefault="004468F9">
            <w:pPr>
              <w:keepNext/>
              <w:spacing w:before="55" w:after="30" w:line="288" w:lineRule="auto"/>
            </w:pPr>
            <w:r>
              <w:rPr>
                <w:rFonts w:ascii="Arial" w:eastAsia="Arial" w:hAnsi="Arial" w:cs="Arial"/>
                <w:color w:val="000000"/>
                <w:sz w:val="18"/>
              </w:rPr>
              <w:t>$</w:t>
            </w:r>
          </w:p>
        </w:tc>
        <w:tc>
          <w:tcPr>
            <w:tcW w:w="1240" w:type="dxa"/>
            <w:tcBorders>
              <w:top w:val="single" w:sz="8" w:space="0" w:color="C7C9C7"/>
              <w:left w:val="nil"/>
              <w:bottom w:val="single" w:sz="8" w:space="0" w:color="E9E9E9"/>
              <w:right w:val="nil"/>
            </w:tcBorders>
            <w:tcMar>
              <w:top w:w="0" w:type="dxa"/>
              <w:left w:w="0" w:type="dxa"/>
              <w:bottom w:w="0" w:type="dxa"/>
              <w:right w:w="0" w:type="dxa"/>
            </w:tcMar>
            <w:vAlign w:val="bottom"/>
          </w:tcPr>
          <w:p w14:paraId="758239EE" w14:textId="77777777" w:rsidR="001614AC" w:rsidRDefault="004468F9">
            <w:pPr>
              <w:keepNext/>
              <w:spacing w:before="55" w:after="30" w:line="288" w:lineRule="auto"/>
              <w:jc w:val="right"/>
            </w:pPr>
            <w:r>
              <w:rPr>
                <w:rFonts w:ascii="Arial" w:eastAsia="Arial" w:hAnsi="Arial" w:cs="Arial"/>
                <w:color w:val="000000"/>
                <w:sz w:val="18"/>
              </w:rPr>
              <w:t>497,735 </w:t>
            </w:r>
          </w:p>
        </w:tc>
        <w:tc>
          <w:tcPr>
            <w:tcW w:w="100" w:type="dxa"/>
            <w:tcBorders>
              <w:top w:val="single" w:sz="8" w:space="0" w:color="C7C9C7"/>
              <w:left w:val="nil"/>
              <w:bottom w:val="single" w:sz="8" w:space="0" w:color="E9E9E9"/>
              <w:right w:val="nil"/>
            </w:tcBorders>
            <w:tcMar>
              <w:top w:w="0" w:type="dxa"/>
              <w:left w:w="0" w:type="dxa"/>
              <w:bottom w:w="0" w:type="dxa"/>
              <w:right w:w="15" w:type="dxa"/>
            </w:tcMar>
            <w:vAlign w:val="bottom"/>
          </w:tcPr>
          <w:p w14:paraId="1FF5619D" w14:textId="77777777" w:rsidR="001614AC" w:rsidRDefault="001614AC">
            <w:pPr>
              <w:keepNext/>
              <w:spacing w:before="55" w:after="30" w:line="288" w:lineRule="auto"/>
              <w:jc w:val="right"/>
            </w:pPr>
          </w:p>
        </w:tc>
        <w:tc>
          <w:tcPr>
            <w:tcW w:w="105" w:type="dxa"/>
            <w:tcBorders>
              <w:top w:val="single" w:sz="8" w:space="0" w:color="C7C9C7"/>
              <w:left w:val="nil"/>
              <w:bottom w:val="nil"/>
              <w:right w:val="nil"/>
            </w:tcBorders>
            <w:tcMar>
              <w:top w:w="0" w:type="dxa"/>
              <w:left w:w="0" w:type="dxa"/>
              <w:bottom w:w="0" w:type="dxa"/>
              <w:right w:w="0" w:type="dxa"/>
            </w:tcMar>
            <w:vAlign w:val="bottom"/>
          </w:tcPr>
          <w:p w14:paraId="23AE8B25" w14:textId="77777777" w:rsidR="001614AC" w:rsidRDefault="001614AC">
            <w:pPr>
              <w:keepNext/>
            </w:pPr>
          </w:p>
        </w:tc>
        <w:tc>
          <w:tcPr>
            <w:tcW w:w="160" w:type="dxa"/>
            <w:tcBorders>
              <w:top w:val="single" w:sz="8" w:space="0" w:color="C7C9C7"/>
              <w:left w:val="nil"/>
              <w:bottom w:val="single" w:sz="8" w:space="0" w:color="E9E9E9"/>
              <w:right w:val="nil"/>
            </w:tcBorders>
            <w:tcMar>
              <w:top w:w="0" w:type="dxa"/>
              <w:left w:w="53" w:type="dxa"/>
              <w:bottom w:w="0" w:type="dxa"/>
              <w:right w:w="0" w:type="dxa"/>
            </w:tcMar>
            <w:vAlign w:val="bottom"/>
          </w:tcPr>
          <w:p w14:paraId="7A1CCC60" w14:textId="77777777" w:rsidR="001614AC" w:rsidRDefault="004468F9">
            <w:pPr>
              <w:keepNext/>
              <w:spacing w:before="55" w:after="30" w:line="288" w:lineRule="auto"/>
            </w:pPr>
            <w:r>
              <w:rPr>
                <w:rFonts w:ascii="Arial" w:eastAsia="Arial" w:hAnsi="Arial" w:cs="Arial"/>
                <w:color w:val="000000"/>
                <w:sz w:val="18"/>
              </w:rPr>
              <w:t>$</w:t>
            </w:r>
          </w:p>
        </w:tc>
        <w:tc>
          <w:tcPr>
            <w:tcW w:w="1240" w:type="dxa"/>
            <w:tcBorders>
              <w:top w:val="single" w:sz="8" w:space="0" w:color="C7C9C7"/>
              <w:left w:val="nil"/>
              <w:bottom w:val="single" w:sz="8" w:space="0" w:color="E9E9E9"/>
              <w:right w:val="nil"/>
            </w:tcBorders>
            <w:tcMar>
              <w:top w:w="0" w:type="dxa"/>
              <w:left w:w="0" w:type="dxa"/>
              <w:bottom w:w="0" w:type="dxa"/>
              <w:right w:w="0" w:type="dxa"/>
            </w:tcMar>
            <w:vAlign w:val="bottom"/>
          </w:tcPr>
          <w:p w14:paraId="3DD97915" w14:textId="77777777" w:rsidR="001614AC" w:rsidRDefault="004468F9">
            <w:pPr>
              <w:keepNext/>
              <w:spacing w:before="55" w:after="30" w:line="288" w:lineRule="auto"/>
              <w:jc w:val="right"/>
            </w:pPr>
            <w:r>
              <w:rPr>
                <w:rFonts w:ascii="Arial" w:eastAsia="Arial" w:hAnsi="Arial" w:cs="Arial"/>
                <w:color w:val="000000"/>
                <w:sz w:val="18"/>
              </w:rPr>
              <w:t>— </w:t>
            </w:r>
          </w:p>
        </w:tc>
        <w:tc>
          <w:tcPr>
            <w:tcW w:w="100" w:type="dxa"/>
            <w:tcBorders>
              <w:top w:val="single" w:sz="8" w:space="0" w:color="C7C9C7"/>
              <w:left w:val="nil"/>
              <w:bottom w:val="single" w:sz="8" w:space="0" w:color="E9E9E9"/>
              <w:right w:val="nil"/>
            </w:tcBorders>
            <w:tcMar>
              <w:top w:w="0" w:type="dxa"/>
              <w:left w:w="0" w:type="dxa"/>
              <w:bottom w:w="0" w:type="dxa"/>
              <w:right w:w="15" w:type="dxa"/>
            </w:tcMar>
            <w:vAlign w:val="bottom"/>
          </w:tcPr>
          <w:p w14:paraId="5B06FE5B" w14:textId="77777777" w:rsidR="001614AC" w:rsidRDefault="001614AC">
            <w:pPr>
              <w:keepNext/>
              <w:spacing w:before="55" w:after="30" w:line="288" w:lineRule="auto"/>
              <w:jc w:val="right"/>
            </w:pPr>
          </w:p>
        </w:tc>
      </w:tr>
      <w:tr w:rsidR="001614AC" w14:paraId="52286206" w14:textId="77777777">
        <w:trPr>
          <w:cantSplit/>
        </w:trPr>
        <w:tc>
          <w:tcPr>
            <w:tcW w:w="6870" w:type="dxa"/>
            <w:tcBorders>
              <w:top w:val="single" w:sz="8" w:space="0" w:color="E9E9E9"/>
              <w:left w:val="nil"/>
              <w:bottom w:val="single" w:sz="8" w:space="0" w:color="E9E9E9"/>
              <w:right w:val="nil"/>
            </w:tcBorders>
            <w:tcMar>
              <w:top w:w="0" w:type="dxa"/>
              <w:left w:w="53" w:type="dxa"/>
              <w:bottom w:w="0" w:type="dxa"/>
              <w:right w:w="53" w:type="dxa"/>
            </w:tcMar>
            <w:vAlign w:val="bottom"/>
          </w:tcPr>
          <w:p w14:paraId="0A9DB0AA" w14:textId="77777777" w:rsidR="001614AC" w:rsidRDefault="004468F9">
            <w:pPr>
              <w:keepNext/>
              <w:spacing w:before="55" w:after="30" w:line="288" w:lineRule="auto"/>
            </w:pPr>
            <w:r>
              <w:rPr>
                <w:rFonts w:ascii="Arial" w:eastAsia="Arial" w:hAnsi="Arial" w:cs="Arial"/>
                <w:color w:val="000000"/>
                <w:sz w:val="18"/>
              </w:rPr>
              <w:t>Eagle Re 2020-2 Ltd.</w:t>
            </w:r>
          </w:p>
        </w:tc>
        <w:tc>
          <w:tcPr>
            <w:tcW w:w="105" w:type="dxa"/>
            <w:tcBorders>
              <w:top w:val="nil"/>
              <w:left w:val="nil"/>
              <w:bottom w:val="nil"/>
              <w:right w:val="nil"/>
            </w:tcBorders>
            <w:tcMar>
              <w:top w:w="0" w:type="dxa"/>
              <w:left w:w="0" w:type="dxa"/>
              <w:bottom w:w="0" w:type="dxa"/>
              <w:right w:w="0" w:type="dxa"/>
            </w:tcMar>
            <w:vAlign w:val="bottom"/>
          </w:tcPr>
          <w:p w14:paraId="5E8F1CB5" w14:textId="77777777" w:rsidR="001614AC" w:rsidRDefault="001614AC">
            <w:pPr>
              <w:keepNext/>
            </w:pPr>
          </w:p>
        </w:tc>
        <w:tc>
          <w:tcPr>
            <w:tcW w:w="1400"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334D3960" w14:textId="77777777" w:rsidR="001614AC" w:rsidRDefault="004468F9">
            <w:pPr>
              <w:keepNext/>
              <w:spacing w:before="55" w:after="30" w:line="288" w:lineRule="auto"/>
              <w:jc w:val="right"/>
            </w:pPr>
            <w:r>
              <w:rPr>
                <w:rFonts w:ascii="Arial" w:eastAsia="Arial" w:hAnsi="Arial" w:cs="Arial"/>
                <w:color w:val="000000"/>
                <w:sz w:val="18"/>
              </w:rPr>
              <w:t>284,730 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349EE7C0" w14:textId="77777777" w:rsidR="001614AC" w:rsidRDefault="001614AC">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4F2D7C5A" w14:textId="77777777" w:rsidR="001614AC" w:rsidRDefault="001614AC">
            <w:pPr>
              <w:keepNext/>
            </w:pPr>
          </w:p>
        </w:tc>
        <w:tc>
          <w:tcPr>
            <w:tcW w:w="1400"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1F086D1A" w14:textId="77777777" w:rsidR="001614AC" w:rsidRDefault="004468F9">
            <w:pPr>
              <w:keepNext/>
              <w:spacing w:before="55" w:after="30" w:line="288" w:lineRule="auto"/>
              <w:jc w:val="right"/>
            </w:pPr>
            <w:r>
              <w:rPr>
                <w:rFonts w:ascii="Arial" w:eastAsia="Arial" w:hAnsi="Arial" w:cs="Arial"/>
                <w:color w:val="000000"/>
                <w:sz w:val="18"/>
              </w:rPr>
              <w:t>390,324 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214E4135" w14:textId="77777777" w:rsidR="001614AC" w:rsidRDefault="001614AC">
            <w:pPr>
              <w:keepNext/>
              <w:spacing w:before="55" w:after="30" w:line="288" w:lineRule="auto"/>
              <w:jc w:val="right"/>
            </w:pPr>
          </w:p>
        </w:tc>
      </w:tr>
      <w:tr w:rsidR="001614AC" w14:paraId="143BC5E6" w14:textId="77777777">
        <w:trPr>
          <w:cantSplit/>
        </w:trPr>
        <w:tc>
          <w:tcPr>
            <w:tcW w:w="6870" w:type="dxa"/>
            <w:tcBorders>
              <w:top w:val="single" w:sz="8" w:space="0" w:color="E9E9E9"/>
              <w:left w:val="nil"/>
              <w:bottom w:val="single" w:sz="8" w:space="0" w:color="E9E9E9"/>
              <w:right w:val="nil"/>
            </w:tcBorders>
            <w:tcMar>
              <w:top w:w="0" w:type="dxa"/>
              <w:left w:w="53" w:type="dxa"/>
              <w:bottom w:w="0" w:type="dxa"/>
              <w:right w:w="53" w:type="dxa"/>
            </w:tcMar>
            <w:vAlign w:val="bottom"/>
          </w:tcPr>
          <w:p w14:paraId="72455CDD" w14:textId="77777777" w:rsidR="001614AC" w:rsidRDefault="004468F9">
            <w:pPr>
              <w:keepNext/>
              <w:spacing w:before="55" w:after="30" w:line="288" w:lineRule="auto"/>
            </w:pPr>
            <w:r>
              <w:rPr>
                <w:rFonts w:ascii="Arial" w:eastAsia="Arial" w:hAnsi="Arial" w:cs="Arial"/>
                <w:color w:val="000000"/>
                <w:sz w:val="18"/>
              </w:rPr>
              <w:t>Eagle Re 2020-1 Ltd.</w:t>
            </w:r>
          </w:p>
        </w:tc>
        <w:tc>
          <w:tcPr>
            <w:tcW w:w="105" w:type="dxa"/>
            <w:tcBorders>
              <w:top w:val="nil"/>
              <w:left w:val="nil"/>
              <w:bottom w:val="nil"/>
              <w:right w:val="nil"/>
            </w:tcBorders>
            <w:tcMar>
              <w:top w:w="0" w:type="dxa"/>
              <w:left w:w="0" w:type="dxa"/>
              <w:bottom w:w="0" w:type="dxa"/>
              <w:right w:w="0" w:type="dxa"/>
            </w:tcMar>
            <w:vAlign w:val="bottom"/>
          </w:tcPr>
          <w:p w14:paraId="6A087E92" w14:textId="77777777" w:rsidR="001614AC" w:rsidRDefault="001614AC">
            <w:pPr>
              <w:keepNext/>
            </w:pPr>
          </w:p>
        </w:tc>
        <w:tc>
          <w:tcPr>
            <w:tcW w:w="1400"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62ECA3A5" w14:textId="77777777" w:rsidR="001614AC" w:rsidRDefault="004468F9">
            <w:pPr>
              <w:keepNext/>
              <w:spacing w:before="55" w:after="30" w:line="288" w:lineRule="auto"/>
              <w:jc w:val="right"/>
            </w:pPr>
            <w:r>
              <w:rPr>
                <w:rFonts w:ascii="Arial" w:eastAsia="Arial" w:hAnsi="Arial" w:cs="Arial"/>
                <w:color w:val="000000"/>
                <w:sz w:val="18"/>
              </w:rPr>
              <w:t>488,385 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2B4ECD68" w14:textId="77777777" w:rsidR="001614AC" w:rsidRDefault="001614AC">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092AC7CE" w14:textId="77777777" w:rsidR="001614AC" w:rsidRDefault="001614AC">
            <w:pPr>
              <w:keepNext/>
            </w:pPr>
          </w:p>
        </w:tc>
        <w:tc>
          <w:tcPr>
            <w:tcW w:w="1400"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493FE614" w14:textId="77777777" w:rsidR="001614AC" w:rsidRDefault="004468F9">
            <w:pPr>
              <w:keepNext/>
              <w:spacing w:before="55" w:after="30" w:line="288" w:lineRule="auto"/>
              <w:jc w:val="right"/>
            </w:pPr>
            <w:r>
              <w:rPr>
                <w:rFonts w:ascii="Arial" w:eastAsia="Arial" w:hAnsi="Arial" w:cs="Arial"/>
                <w:color w:val="000000"/>
                <w:sz w:val="18"/>
              </w:rPr>
              <w:t>488,385 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336A689B" w14:textId="77777777" w:rsidR="001614AC" w:rsidRDefault="001614AC">
            <w:pPr>
              <w:keepNext/>
              <w:spacing w:before="55" w:after="30" w:line="288" w:lineRule="auto"/>
              <w:jc w:val="right"/>
            </w:pPr>
          </w:p>
        </w:tc>
      </w:tr>
      <w:tr w:rsidR="001614AC" w14:paraId="0F8085BD" w14:textId="77777777">
        <w:trPr>
          <w:cantSplit/>
        </w:trPr>
        <w:tc>
          <w:tcPr>
            <w:tcW w:w="6870" w:type="dxa"/>
            <w:tcBorders>
              <w:top w:val="single" w:sz="8" w:space="0" w:color="E9E9E9"/>
              <w:left w:val="nil"/>
              <w:bottom w:val="single" w:sz="8" w:space="0" w:color="E9E9E9"/>
              <w:right w:val="nil"/>
            </w:tcBorders>
            <w:tcMar>
              <w:top w:w="0" w:type="dxa"/>
              <w:left w:w="53" w:type="dxa"/>
              <w:bottom w:w="0" w:type="dxa"/>
              <w:right w:w="53" w:type="dxa"/>
            </w:tcMar>
            <w:vAlign w:val="bottom"/>
          </w:tcPr>
          <w:p w14:paraId="5423B5E3" w14:textId="77777777" w:rsidR="001614AC" w:rsidRDefault="004468F9">
            <w:pPr>
              <w:keepNext/>
              <w:spacing w:before="55" w:after="30" w:line="288" w:lineRule="auto"/>
            </w:pPr>
            <w:r>
              <w:rPr>
                <w:rFonts w:ascii="Arial" w:eastAsia="Arial" w:hAnsi="Arial" w:cs="Arial"/>
                <w:color w:val="000000"/>
                <w:sz w:val="18"/>
              </w:rPr>
              <w:t>Eagle Re 2019-1 Ltd.</w:t>
            </w:r>
          </w:p>
        </w:tc>
        <w:tc>
          <w:tcPr>
            <w:tcW w:w="105" w:type="dxa"/>
            <w:tcBorders>
              <w:top w:val="nil"/>
              <w:left w:val="nil"/>
              <w:bottom w:val="nil"/>
              <w:right w:val="nil"/>
            </w:tcBorders>
            <w:tcMar>
              <w:top w:w="0" w:type="dxa"/>
              <w:left w:w="0" w:type="dxa"/>
              <w:bottom w:w="0" w:type="dxa"/>
              <w:right w:w="0" w:type="dxa"/>
            </w:tcMar>
            <w:vAlign w:val="bottom"/>
          </w:tcPr>
          <w:p w14:paraId="79059B2E" w14:textId="77777777" w:rsidR="001614AC" w:rsidRDefault="001614AC">
            <w:pPr>
              <w:keepNext/>
            </w:pPr>
          </w:p>
        </w:tc>
        <w:tc>
          <w:tcPr>
            <w:tcW w:w="1400"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671F2C1E" w14:textId="77777777" w:rsidR="001614AC" w:rsidRDefault="004468F9">
            <w:pPr>
              <w:keepNext/>
              <w:spacing w:before="55" w:after="30" w:line="288" w:lineRule="auto"/>
              <w:jc w:val="right"/>
            </w:pPr>
            <w:r>
              <w:rPr>
                <w:rFonts w:ascii="Arial" w:eastAsia="Arial" w:hAnsi="Arial" w:cs="Arial"/>
                <w:color w:val="000000"/>
                <w:sz w:val="18"/>
              </w:rPr>
              <w:t>384,602 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31EC7735" w14:textId="77777777" w:rsidR="001614AC" w:rsidRDefault="001614AC">
            <w:pPr>
              <w:keepNext/>
              <w:spacing w:before="55" w:after="30" w:line="288" w:lineRule="auto"/>
              <w:jc w:val="right"/>
            </w:pPr>
          </w:p>
        </w:tc>
        <w:tc>
          <w:tcPr>
            <w:tcW w:w="105" w:type="dxa"/>
            <w:tcBorders>
              <w:top w:val="nil"/>
              <w:left w:val="nil"/>
              <w:bottom w:val="nil"/>
              <w:right w:val="nil"/>
            </w:tcBorders>
            <w:tcMar>
              <w:top w:w="0" w:type="dxa"/>
              <w:left w:w="53" w:type="dxa"/>
              <w:bottom w:w="0" w:type="dxa"/>
              <w:right w:w="53" w:type="dxa"/>
            </w:tcMar>
            <w:vAlign w:val="bottom"/>
          </w:tcPr>
          <w:p w14:paraId="57A5ECD7" w14:textId="77777777" w:rsidR="001614AC" w:rsidRDefault="004468F9">
            <w:pPr>
              <w:keepNext/>
              <w:spacing w:before="75" w:after="30" w:line="288" w:lineRule="auto"/>
            </w:pPr>
            <w:r>
              <w:rPr>
                <w:rFonts w:ascii="Arial" w:eastAsia="Arial" w:hAnsi="Arial" w:cs="Arial"/>
                <w:color w:val="000000"/>
                <w:sz w:val="18"/>
              </w:rPr>
              <w:t> </w:t>
            </w:r>
          </w:p>
        </w:tc>
        <w:tc>
          <w:tcPr>
            <w:tcW w:w="1400"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137BE3FA" w14:textId="77777777" w:rsidR="001614AC" w:rsidRDefault="004468F9">
            <w:pPr>
              <w:keepNext/>
              <w:spacing w:before="55" w:after="30" w:line="288" w:lineRule="auto"/>
              <w:jc w:val="right"/>
            </w:pPr>
            <w:r>
              <w:rPr>
                <w:rFonts w:ascii="Arial" w:eastAsia="Arial" w:hAnsi="Arial" w:cs="Arial"/>
                <w:color w:val="000000"/>
                <w:sz w:val="18"/>
              </w:rPr>
              <w:t>384,602 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12E5A891" w14:textId="77777777" w:rsidR="001614AC" w:rsidRDefault="001614AC">
            <w:pPr>
              <w:keepNext/>
              <w:spacing w:before="55" w:after="30" w:line="288" w:lineRule="auto"/>
              <w:jc w:val="right"/>
            </w:pPr>
          </w:p>
        </w:tc>
      </w:tr>
      <w:tr w:rsidR="001614AC" w14:paraId="298FB0E7" w14:textId="77777777">
        <w:trPr>
          <w:cantSplit/>
        </w:trPr>
        <w:tc>
          <w:tcPr>
            <w:tcW w:w="6870" w:type="dxa"/>
            <w:tcBorders>
              <w:top w:val="single" w:sz="8" w:space="0" w:color="E9E9E9"/>
              <w:left w:val="nil"/>
              <w:bottom w:val="nil"/>
              <w:right w:val="nil"/>
            </w:tcBorders>
            <w:tcMar>
              <w:top w:w="0" w:type="dxa"/>
              <w:left w:w="53" w:type="dxa"/>
              <w:bottom w:w="0" w:type="dxa"/>
              <w:right w:w="53" w:type="dxa"/>
            </w:tcMar>
            <w:vAlign w:val="bottom"/>
          </w:tcPr>
          <w:p w14:paraId="50976CF0" w14:textId="77777777" w:rsidR="001614AC" w:rsidRDefault="004468F9">
            <w:pPr>
              <w:keepNext/>
              <w:spacing w:before="55" w:after="30" w:line="288" w:lineRule="auto"/>
            </w:pPr>
            <w:r>
              <w:rPr>
                <w:rFonts w:ascii="Arial" w:eastAsia="Arial" w:hAnsi="Arial" w:cs="Arial"/>
                <w:color w:val="000000"/>
                <w:sz w:val="18"/>
              </w:rPr>
              <w:t>Eagle Re 2018-1 Ltd.</w:t>
            </w:r>
          </w:p>
        </w:tc>
        <w:tc>
          <w:tcPr>
            <w:tcW w:w="105" w:type="dxa"/>
            <w:tcBorders>
              <w:top w:val="nil"/>
              <w:left w:val="nil"/>
              <w:bottom w:val="nil"/>
              <w:right w:val="nil"/>
            </w:tcBorders>
            <w:tcMar>
              <w:top w:w="0" w:type="dxa"/>
              <w:left w:w="0" w:type="dxa"/>
              <w:bottom w:w="0" w:type="dxa"/>
              <w:right w:w="0" w:type="dxa"/>
            </w:tcMar>
            <w:vAlign w:val="bottom"/>
          </w:tcPr>
          <w:p w14:paraId="5C3B25C0" w14:textId="77777777" w:rsidR="001614AC" w:rsidRDefault="001614AC">
            <w:pPr>
              <w:keepNext/>
            </w:pPr>
          </w:p>
        </w:tc>
        <w:tc>
          <w:tcPr>
            <w:tcW w:w="1400" w:type="dxa"/>
            <w:gridSpan w:val="2"/>
            <w:tcBorders>
              <w:top w:val="single" w:sz="8" w:space="0" w:color="E9E9E9"/>
              <w:left w:val="nil"/>
              <w:bottom w:val="single" w:sz="8" w:space="0" w:color="C7C9C7"/>
              <w:right w:val="nil"/>
            </w:tcBorders>
            <w:tcMar>
              <w:top w:w="0" w:type="dxa"/>
              <w:left w:w="53" w:type="dxa"/>
              <w:bottom w:w="0" w:type="dxa"/>
              <w:right w:w="0" w:type="dxa"/>
            </w:tcMar>
            <w:vAlign w:val="bottom"/>
          </w:tcPr>
          <w:p w14:paraId="64242C89" w14:textId="77777777" w:rsidR="001614AC" w:rsidRDefault="004468F9">
            <w:pPr>
              <w:keepNext/>
              <w:spacing w:before="55" w:after="30" w:line="288" w:lineRule="auto"/>
              <w:jc w:val="right"/>
            </w:pPr>
            <w:r>
              <w:rPr>
                <w:rFonts w:ascii="Arial" w:eastAsia="Arial" w:hAnsi="Arial" w:cs="Arial"/>
                <w:color w:val="000000"/>
                <w:sz w:val="18"/>
              </w:rPr>
              <w:t>275,718 </w:t>
            </w:r>
          </w:p>
        </w:tc>
        <w:tc>
          <w:tcPr>
            <w:tcW w:w="100" w:type="dxa"/>
            <w:tcBorders>
              <w:top w:val="single" w:sz="8" w:space="0" w:color="E9E9E9"/>
              <w:left w:val="nil"/>
              <w:bottom w:val="single" w:sz="8" w:space="0" w:color="C7C9C7"/>
              <w:right w:val="nil"/>
            </w:tcBorders>
            <w:tcMar>
              <w:top w:w="0" w:type="dxa"/>
              <w:left w:w="0" w:type="dxa"/>
              <w:bottom w:w="0" w:type="dxa"/>
              <w:right w:w="15" w:type="dxa"/>
            </w:tcMar>
            <w:vAlign w:val="bottom"/>
          </w:tcPr>
          <w:p w14:paraId="5ACD724A" w14:textId="77777777" w:rsidR="001614AC" w:rsidRDefault="001614AC">
            <w:pPr>
              <w:keepNext/>
              <w:spacing w:before="55" w:after="30" w:line="288" w:lineRule="auto"/>
              <w:jc w:val="right"/>
            </w:pPr>
          </w:p>
        </w:tc>
        <w:tc>
          <w:tcPr>
            <w:tcW w:w="105" w:type="dxa"/>
            <w:tcBorders>
              <w:top w:val="nil"/>
              <w:left w:val="nil"/>
              <w:bottom w:val="nil"/>
              <w:right w:val="nil"/>
            </w:tcBorders>
            <w:tcMar>
              <w:top w:w="0" w:type="dxa"/>
              <w:left w:w="53" w:type="dxa"/>
              <w:bottom w:w="0" w:type="dxa"/>
              <w:right w:w="53" w:type="dxa"/>
            </w:tcMar>
            <w:vAlign w:val="bottom"/>
          </w:tcPr>
          <w:p w14:paraId="16A657A7" w14:textId="77777777" w:rsidR="001614AC" w:rsidRDefault="004468F9">
            <w:pPr>
              <w:keepNext/>
              <w:spacing w:before="75" w:after="30" w:line="288" w:lineRule="auto"/>
            </w:pPr>
            <w:r>
              <w:rPr>
                <w:rFonts w:ascii="Arial" w:eastAsia="Arial" w:hAnsi="Arial" w:cs="Arial"/>
                <w:color w:val="000000"/>
                <w:sz w:val="18"/>
              </w:rPr>
              <w:t> </w:t>
            </w:r>
          </w:p>
        </w:tc>
        <w:tc>
          <w:tcPr>
            <w:tcW w:w="1400" w:type="dxa"/>
            <w:gridSpan w:val="2"/>
            <w:tcBorders>
              <w:top w:val="single" w:sz="8" w:space="0" w:color="E9E9E9"/>
              <w:left w:val="nil"/>
              <w:bottom w:val="single" w:sz="8" w:space="0" w:color="C7C9C7"/>
              <w:right w:val="nil"/>
            </w:tcBorders>
            <w:tcMar>
              <w:top w:w="0" w:type="dxa"/>
              <w:left w:w="53" w:type="dxa"/>
              <w:bottom w:w="0" w:type="dxa"/>
              <w:right w:w="0" w:type="dxa"/>
            </w:tcMar>
            <w:vAlign w:val="bottom"/>
          </w:tcPr>
          <w:p w14:paraId="067D622F" w14:textId="77777777" w:rsidR="001614AC" w:rsidRDefault="004468F9">
            <w:pPr>
              <w:keepNext/>
              <w:spacing w:before="55" w:after="30" w:line="288" w:lineRule="auto"/>
              <w:jc w:val="right"/>
            </w:pPr>
            <w:r>
              <w:rPr>
                <w:rFonts w:ascii="Arial" w:eastAsia="Arial" w:hAnsi="Arial" w:cs="Arial"/>
                <w:color w:val="000000"/>
                <w:sz w:val="18"/>
              </w:rPr>
              <w:t>275,718 </w:t>
            </w:r>
          </w:p>
        </w:tc>
        <w:tc>
          <w:tcPr>
            <w:tcW w:w="100" w:type="dxa"/>
            <w:tcBorders>
              <w:top w:val="single" w:sz="8" w:space="0" w:color="E9E9E9"/>
              <w:left w:val="nil"/>
              <w:bottom w:val="single" w:sz="8" w:space="0" w:color="C7C9C7"/>
              <w:right w:val="nil"/>
            </w:tcBorders>
            <w:tcMar>
              <w:top w:w="0" w:type="dxa"/>
              <w:left w:w="0" w:type="dxa"/>
              <w:bottom w:w="0" w:type="dxa"/>
              <w:right w:w="15" w:type="dxa"/>
            </w:tcMar>
            <w:vAlign w:val="bottom"/>
          </w:tcPr>
          <w:p w14:paraId="132C679D" w14:textId="77777777" w:rsidR="001614AC" w:rsidRDefault="001614AC">
            <w:pPr>
              <w:keepNext/>
              <w:spacing w:before="55" w:after="30" w:line="288" w:lineRule="auto"/>
              <w:jc w:val="right"/>
            </w:pPr>
          </w:p>
        </w:tc>
      </w:tr>
      <w:tr w:rsidR="001614AC" w14:paraId="73EE5F7F" w14:textId="77777777">
        <w:trPr>
          <w:cantSplit/>
        </w:trPr>
        <w:tc>
          <w:tcPr>
            <w:tcW w:w="6870" w:type="dxa"/>
            <w:tcBorders>
              <w:top w:val="nil"/>
              <w:left w:val="nil"/>
              <w:bottom w:val="nil"/>
              <w:right w:val="nil"/>
            </w:tcBorders>
            <w:shd w:val="clear" w:color="auto" w:fill="F4F4F4"/>
            <w:tcMar>
              <w:top w:w="0" w:type="dxa"/>
              <w:left w:w="53" w:type="dxa"/>
              <w:bottom w:w="0" w:type="dxa"/>
              <w:right w:w="53" w:type="dxa"/>
            </w:tcMar>
            <w:vAlign w:val="bottom"/>
          </w:tcPr>
          <w:p w14:paraId="0882509C" w14:textId="77777777" w:rsidR="001614AC" w:rsidRDefault="004468F9">
            <w:pPr>
              <w:spacing w:before="75" w:after="30" w:line="288" w:lineRule="auto"/>
            </w:pPr>
            <w:r>
              <w:rPr>
                <w:rFonts w:ascii="Arial" w:eastAsia="Arial" w:hAnsi="Arial" w:cs="Arial"/>
                <w:color w:val="000000"/>
                <w:sz w:val="18"/>
              </w:rPr>
              <w:t>To</w:t>
            </w:r>
            <w:r>
              <w:rPr>
                <w:rFonts w:ascii="Arial" w:eastAsia="Arial" w:hAnsi="Arial" w:cs="Arial"/>
                <w:color w:val="000000"/>
                <w:sz w:val="18"/>
              </w:rPr>
              <w:t>tal</w:t>
            </w:r>
          </w:p>
        </w:tc>
        <w:tc>
          <w:tcPr>
            <w:tcW w:w="105" w:type="dxa"/>
            <w:tcBorders>
              <w:top w:val="nil"/>
              <w:left w:val="nil"/>
              <w:bottom w:val="nil"/>
              <w:right w:val="nil"/>
            </w:tcBorders>
            <w:shd w:val="clear" w:color="auto" w:fill="F4F4F4"/>
            <w:tcMar>
              <w:top w:w="0" w:type="dxa"/>
              <w:left w:w="0" w:type="dxa"/>
              <w:bottom w:w="0" w:type="dxa"/>
              <w:right w:w="0" w:type="dxa"/>
            </w:tcMar>
            <w:vAlign w:val="bottom"/>
          </w:tcPr>
          <w:p w14:paraId="0A5B171D" w14:textId="77777777" w:rsidR="001614AC" w:rsidRDefault="001614AC"/>
        </w:tc>
        <w:tc>
          <w:tcPr>
            <w:tcW w:w="160" w:type="dxa"/>
            <w:tcBorders>
              <w:top w:val="single" w:sz="8" w:space="0" w:color="C7C9C7"/>
              <w:left w:val="nil"/>
              <w:bottom w:val="double" w:sz="8" w:space="0" w:color="C7C9C7"/>
              <w:right w:val="nil"/>
            </w:tcBorders>
            <w:shd w:val="clear" w:color="auto" w:fill="F4F4F4"/>
            <w:tcMar>
              <w:top w:w="0" w:type="dxa"/>
              <w:left w:w="53" w:type="dxa"/>
              <w:bottom w:w="0" w:type="dxa"/>
              <w:right w:w="0" w:type="dxa"/>
            </w:tcMar>
            <w:vAlign w:val="bottom"/>
          </w:tcPr>
          <w:p w14:paraId="63926DFA" w14:textId="77777777" w:rsidR="001614AC" w:rsidRDefault="004468F9">
            <w:pPr>
              <w:spacing w:before="55" w:after="30" w:line="288" w:lineRule="auto"/>
            </w:pPr>
            <w:r>
              <w:rPr>
                <w:rFonts w:ascii="Arial" w:eastAsia="Arial" w:hAnsi="Arial" w:cs="Arial"/>
                <w:color w:val="000000"/>
                <w:sz w:val="18"/>
              </w:rPr>
              <w:t>$</w:t>
            </w:r>
          </w:p>
        </w:tc>
        <w:tc>
          <w:tcPr>
            <w:tcW w:w="1240" w:type="dxa"/>
            <w:tcBorders>
              <w:top w:val="single" w:sz="8" w:space="0" w:color="C7C9C7"/>
              <w:left w:val="nil"/>
              <w:bottom w:val="double" w:sz="8" w:space="0" w:color="C7C9C7"/>
              <w:right w:val="nil"/>
            </w:tcBorders>
            <w:shd w:val="clear" w:color="auto" w:fill="F4F4F4"/>
            <w:tcMar>
              <w:top w:w="0" w:type="dxa"/>
              <w:left w:w="0" w:type="dxa"/>
              <w:bottom w:w="0" w:type="dxa"/>
              <w:right w:w="0" w:type="dxa"/>
            </w:tcMar>
            <w:vAlign w:val="bottom"/>
          </w:tcPr>
          <w:p w14:paraId="039203BD" w14:textId="77777777" w:rsidR="001614AC" w:rsidRDefault="004468F9">
            <w:pPr>
              <w:spacing w:before="55" w:after="30" w:line="288" w:lineRule="auto"/>
              <w:jc w:val="right"/>
            </w:pPr>
            <w:r>
              <w:rPr>
                <w:rFonts w:ascii="Arial" w:eastAsia="Arial" w:hAnsi="Arial" w:cs="Arial"/>
                <w:color w:val="000000"/>
                <w:sz w:val="18"/>
              </w:rPr>
              <w:t>1,931,170 </w:t>
            </w:r>
          </w:p>
        </w:tc>
        <w:tc>
          <w:tcPr>
            <w:tcW w:w="100" w:type="dxa"/>
            <w:tcBorders>
              <w:top w:val="single" w:sz="8" w:space="0" w:color="C7C9C7"/>
              <w:left w:val="nil"/>
              <w:bottom w:val="double" w:sz="8" w:space="0" w:color="C7C9C7"/>
              <w:right w:val="nil"/>
            </w:tcBorders>
            <w:shd w:val="clear" w:color="auto" w:fill="F4F4F4"/>
            <w:tcMar>
              <w:top w:w="0" w:type="dxa"/>
              <w:left w:w="0" w:type="dxa"/>
              <w:bottom w:w="0" w:type="dxa"/>
              <w:right w:w="15" w:type="dxa"/>
            </w:tcMar>
            <w:vAlign w:val="bottom"/>
          </w:tcPr>
          <w:p w14:paraId="13A61D10" w14:textId="77777777" w:rsidR="001614AC" w:rsidRDefault="001614AC">
            <w:pPr>
              <w:spacing w:before="55" w:after="30" w:line="288" w:lineRule="auto"/>
              <w:jc w:val="right"/>
            </w:pPr>
          </w:p>
        </w:tc>
        <w:tc>
          <w:tcPr>
            <w:tcW w:w="105" w:type="dxa"/>
            <w:tcBorders>
              <w:top w:val="nil"/>
              <w:left w:val="nil"/>
              <w:bottom w:val="nil"/>
              <w:right w:val="nil"/>
            </w:tcBorders>
            <w:shd w:val="clear" w:color="auto" w:fill="F4F4F4"/>
            <w:tcMar>
              <w:top w:w="0" w:type="dxa"/>
              <w:left w:w="53" w:type="dxa"/>
              <w:bottom w:w="0" w:type="dxa"/>
              <w:right w:w="53" w:type="dxa"/>
            </w:tcMar>
            <w:vAlign w:val="bottom"/>
          </w:tcPr>
          <w:p w14:paraId="66B5B984" w14:textId="77777777" w:rsidR="001614AC" w:rsidRDefault="004468F9">
            <w:pPr>
              <w:spacing w:before="75" w:after="30" w:line="288" w:lineRule="auto"/>
            </w:pPr>
            <w:r>
              <w:rPr>
                <w:rFonts w:ascii="Arial" w:eastAsia="Arial" w:hAnsi="Arial" w:cs="Arial"/>
                <w:color w:val="000000"/>
                <w:sz w:val="18"/>
              </w:rPr>
              <w:t> </w:t>
            </w:r>
          </w:p>
        </w:tc>
        <w:tc>
          <w:tcPr>
            <w:tcW w:w="160" w:type="dxa"/>
            <w:tcBorders>
              <w:top w:val="single" w:sz="8" w:space="0" w:color="C7C9C7"/>
              <w:left w:val="nil"/>
              <w:bottom w:val="double" w:sz="8" w:space="0" w:color="C7C9C7"/>
              <w:right w:val="nil"/>
            </w:tcBorders>
            <w:shd w:val="clear" w:color="auto" w:fill="F4F4F4"/>
            <w:tcMar>
              <w:top w:w="0" w:type="dxa"/>
              <w:left w:w="53" w:type="dxa"/>
              <w:bottom w:w="0" w:type="dxa"/>
              <w:right w:w="0" w:type="dxa"/>
            </w:tcMar>
            <w:vAlign w:val="bottom"/>
          </w:tcPr>
          <w:p w14:paraId="649ADA76" w14:textId="77777777" w:rsidR="001614AC" w:rsidRDefault="004468F9">
            <w:pPr>
              <w:spacing w:before="55" w:after="30" w:line="288" w:lineRule="auto"/>
            </w:pPr>
            <w:r>
              <w:rPr>
                <w:rFonts w:ascii="Arial" w:eastAsia="Arial" w:hAnsi="Arial" w:cs="Arial"/>
                <w:color w:val="000000"/>
                <w:sz w:val="18"/>
              </w:rPr>
              <w:t>$</w:t>
            </w:r>
          </w:p>
        </w:tc>
        <w:tc>
          <w:tcPr>
            <w:tcW w:w="1240" w:type="dxa"/>
            <w:tcBorders>
              <w:top w:val="single" w:sz="8" w:space="0" w:color="C7C9C7"/>
              <w:left w:val="nil"/>
              <w:bottom w:val="double" w:sz="8" w:space="0" w:color="C7C9C7"/>
              <w:right w:val="nil"/>
            </w:tcBorders>
            <w:shd w:val="clear" w:color="auto" w:fill="F4F4F4"/>
            <w:tcMar>
              <w:top w:w="0" w:type="dxa"/>
              <w:left w:w="0" w:type="dxa"/>
              <w:bottom w:w="0" w:type="dxa"/>
              <w:right w:w="0" w:type="dxa"/>
            </w:tcMar>
            <w:vAlign w:val="bottom"/>
          </w:tcPr>
          <w:p w14:paraId="23BBD515" w14:textId="77777777" w:rsidR="001614AC" w:rsidRDefault="004468F9">
            <w:pPr>
              <w:spacing w:before="55" w:after="30" w:line="288" w:lineRule="auto"/>
              <w:jc w:val="right"/>
            </w:pPr>
            <w:r>
              <w:rPr>
                <w:rFonts w:ascii="Arial" w:eastAsia="Arial" w:hAnsi="Arial" w:cs="Arial"/>
                <w:color w:val="000000"/>
                <w:sz w:val="18"/>
              </w:rPr>
              <w:t>1,539,029 </w:t>
            </w:r>
          </w:p>
        </w:tc>
        <w:tc>
          <w:tcPr>
            <w:tcW w:w="100" w:type="dxa"/>
            <w:tcBorders>
              <w:top w:val="single" w:sz="8" w:space="0" w:color="C7C9C7"/>
              <w:left w:val="nil"/>
              <w:bottom w:val="double" w:sz="8" w:space="0" w:color="C7C9C7"/>
              <w:right w:val="nil"/>
            </w:tcBorders>
            <w:shd w:val="clear" w:color="auto" w:fill="F4F4F4"/>
            <w:tcMar>
              <w:top w:w="0" w:type="dxa"/>
              <w:left w:w="0" w:type="dxa"/>
              <w:bottom w:w="0" w:type="dxa"/>
              <w:right w:w="15" w:type="dxa"/>
            </w:tcMar>
            <w:vAlign w:val="bottom"/>
          </w:tcPr>
          <w:p w14:paraId="77EA55E6" w14:textId="77777777" w:rsidR="001614AC" w:rsidRDefault="001614AC">
            <w:pPr>
              <w:spacing w:before="55" w:after="30" w:line="288" w:lineRule="auto"/>
              <w:jc w:val="right"/>
            </w:pPr>
          </w:p>
        </w:tc>
      </w:tr>
    </w:tbl>
    <w:p w14:paraId="1AD29096" w14:textId="77777777" w:rsidR="001614AC" w:rsidRDefault="004468F9" w:rsidP="004468F9">
      <w:pPr>
        <w:keepNext/>
        <w:numPr>
          <w:ilvl w:val="0"/>
          <w:numId w:val="21"/>
        </w:numPr>
        <w:spacing w:line="288" w:lineRule="auto"/>
        <w:ind w:left="360"/>
        <w:rPr>
          <w:rFonts w:ascii="Arial" w:eastAsia="Arial" w:hAnsi="Arial" w:cs="Arial"/>
          <w:b/>
          <w:color w:val="64615D"/>
          <w:sz w:val="16"/>
        </w:rPr>
      </w:pPr>
      <w:r>
        <w:rPr>
          <w:rFonts w:ascii="Arial" w:eastAsia="Arial" w:hAnsi="Arial" w:cs="Arial"/>
          <w:color w:val="64615D"/>
          <w:sz w:val="16"/>
        </w:rPr>
        <w:t xml:space="preserve">Assets held by the Eagle Re Issuers are required to be invested in U.S. government money market funds, cash or U.S. Treasury securities. Liabilities of the Eagle Re Issuers consist of their mortgage </w:t>
      </w:r>
      <w:r>
        <w:rPr>
          <w:rFonts w:ascii="Arial" w:eastAsia="Arial" w:hAnsi="Arial" w:cs="Arial"/>
          <w:color w:val="64615D"/>
          <w:sz w:val="16"/>
        </w:rPr>
        <w:t>insurance-linked notes, described above. Assets and liabilities are equal to each other for each of the Eagle Re Issuers.</w:t>
      </w:r>
    </w:p>
    <w:p w14:paraId="1B01914D" w14:textId="77777777" w:rsidR="001614AC" w:rsidRDefault="004468F9">
      <w:pPr>
        <w:keepNext/>
        <w:spacing w:before="180" w:after="140" w:line="288" w:lineRule="auto"/>
        <w:rPr>
          <w:rFonts w:ascii="Arial" w:eastAsia="Arial" w:hAnsi="Arial" w:cs="Arial"/>
          <w:b/>
          <w:color w:val="002B49"/>
          <w:sz w:val="26"/>
        </w:rPr>
      </w:pPr>
      <w:r>
        <w:rPr>
          <w:rFonts w:ascii="Arial" w:eastAsia="Arial" w:hAnsi="Arial" w:cs="Arial"/>
          <w:b/>
          <w:color w:val="002B49"/>
          <w:sz w:val="26"/>
        </w:rPr>
        <w:t>Other Collateral</w:t>
      </w:r>
    </w:p>
    <w:p w14:paraId="26300367" w14:textId="77777777" w:rsidR="001614AC" w:rsidRDefault="004468F9">
      <w:pPr>
        <w:spacing w:before="100" w:after="100" w:line="288" w:lineRule="auto"/>
        <w:ind w:firstLine="450"/>
        <w:rPr>
          <w:rFonts w:ascii="Arial" w:eastAsia="Arial" w:hAnsi="Arial" w:cs="Arial"/>
          <w:b/>
          <w:color w:val="64615D"/>
          <w:sz w:val="18"/>
        </w:rPr>
      </w:pPr>
      <w:r>
        <w:rPr>
          <w:rFonts w:ascii="Arial" w:eastAsia="Arial" w:hAnsi="Arial" w:cs="Arial"/>
          <w:sz w:val="18"/>
        </w:rPr>
        <w:t>Although we use reinsurance as one of our risk management tools, reinsurance does not relieve us of our obligations t</w:t>
      </w:r>
      <w:r>
        <w:rPr>
          <w:rFonts w:ascii="Arial" w:eastAsia="Arial" w:hAnsi="Arial" w:cs="Arial"/>
          <w:sz w:val="18"/>
        </w:rPr>
        <w:t>o our policyholders. In the event the reinsurers are unable to meet their obligations to us, our insurance subsidiaries would be liable for any defaulted amounts. However, consistent with the PMIERs reinsurer counterparty collateral requirements, Radian Gu</w:t>
      </w:r>
      <w:r>
        <w:rPr>
          <w:rFonts w:ascii="Arial" w:eastAsia="Arial" w:hAnsi="Arial" w:cs="Arial"/>
          <w:sz w:val="18"/>
        </w:rPr>
        <w:t>aranty’s reinsurers have established trusts to help secure our potential cash r</w:t>
      </w:r>
      <w:r>
        <w:rPr>
          <w:rFonts w:ascii="Arial" w:eastAsia="Arial" w:hAnsi="Arial" w:cs="Arial"/>
          <w:sz w:val="18"/>
          <w:shd w:val="clear" w:color="auto" w:fill="FFFFFF"/>
        </w:rPr>
        <w:t xml:space="preserve">ecoveries. In addition to the total VIE assets of the Eagle Re Issuers discussed above, the amount held in reinsurance trusts was $197.8 million </w:t>
      </w:r>
      <w:r>
        <w:rPr>
          <w:rFonts w:ascii="Arial" w:eastAsia="Arial" w:hAnsi="Arial" w:cs="Arial"/>
          <w:sz w:val="18"/>
        </w:rPr>
        <w:t>as of June 30, 2021, compared to</w:t>
      </w:r>
      <w:r>
        <w:rPr>
          <w:rFonts w:ascii="Arial" w:eastAsia="Arial" w:hAnsi="Arial" w:cs="Arial"/>
          <w:sz w:val="18"/>
        </w:rPr>
        <w:t xml:space="preserve"> $228.6 million as of December 31, 2020. In addition, for the Single Premium QSR Program, Radian Guaranty holds amounts related to ceded premiums written to collateralize the reinsurers’ obligations, which is reported in reinsurance funds withheld on our c</w:t>
      </w:r>
      <w:r>
        <w:rPr>
          <w:rFonts w:ascii="Arial" w:eastAsia="Arial" w:hAnsi="Arial" w:cs="Arial"/>
          <w:sz w:val="18"/>
        </w:rPr>
        <w:t>ondensed consolidated balance sheets. Any loss recoveries and profit commissions paid to Radian Guaranty related to the Single Premium QSR Program are expected to be realized from this account.</w:t>
      </w:r>
    </w:p>
    <w:p w14:paraId="1AFF4463" w14:textId="77777777" w:rsidR="001614AC" w:rsidRDefault="004468F9">
      <w:pPr>
        <w:spacing w:before="100" w:line="288" w:lineRule="auto"/>
        <w:ind w:firstLine="450"/>
        <w:rPr>
          <w:rFonts w:ascii="Arial" w:eastAsia="Arial" w:hAnsi="Arial" w:cs="Arial"/>
          <w:b/>
          <w:color w:val="64615D"/>
          <w:sz w:val="18"/>
        </w:rPr>
      </w:pPr>
      <w:r>
        <w:rPr>
          <w:rFonts w:ascii="Arial" w:eastAsia="Arial" w:hAnsi="Arial" w:cs="Arial"/>
          <w:sz w:val="18"/>
        </w:rPr>
        <w:t>See Note 8 of Notes to Consolidated Financial Statements in ou</w:t>
      </w:r>
      <w:r>
        <w:rPr>
          <w:rFonts w:ascii="Arial" w:eastAsia="Arial" w:hAnsi="Arial" w:cs="Arial"/>
          <w:sz w:val="18"/>
        </w:rPr>
        <w:t>r 2020 Form 10-K for more information about our reinsurance transactions.</w:t>
      </w:r>
    </w:p>
    <w:p w14:paraId="4DEF45C2" w14:textId="77777777" w:rsidR="001614AC" w:rsidRDefault="001614AC">
      <w:pPr>
        <w:spacing w:before="100" w:line="288" w:lineRule="auto"/>
        <w:ind w:firstLine="450"/>
        <w:rPr>
          <w:rFonts w:ascii="Arial" w:eastAsia="Arial" w:hAnsi="Arial" w:cs="Arial"/>
          <w:b/>
          <w:color w:val="64615D"/>
          <w:sz w:val="16"/>
        </w:rPr>
        <w:sectPr w:rsidR="001614AC">
          <w:headerReference w:type="default" r:id="rId31"/>
          <w:pgSz w:w="12240" w:h="15840"/>
          <w:pgMar w:top="1260" w:right="1080" w:bottom="1080" w:left="1080" w:header="270" w:footer="270" w:gutter="0"/>
          <w:cols w:space="708"/>
        </w:sectPr>
      </w:pPr>
    </w:p>
    <w:p w14:paraId="6F53FB5D" w14:textId="77777777" w:rsidR="001614AC" w:rsidRDefault="004468F9">
      <w:pPr>
        <w:keepNext/>
        <w:tabs>
          <w:tab w:val="left" w:pos="360"/>
        </w:tabs>
        <w:spacing w:before="200" w:after="160" w:line="288" w:lineRule="auto"/>
        <w:ind w:left="360" w:hanging="360"/>
        <w:outlineLvl w:val="3"/>
        <w:rPr>
          <w:rFonts w:ascii="Arial" w:eastAsia="Arial" w:hAnsi="Arial" w:cs="Arial"/>
          <w:b/>
          <w:color w:val="4D6B80"/>
          <w:sz w:val="30"/>
        </w:rPr>
      </w:pPr>
      <w:bookmarkStart w:id="20" w:name="Section21"/>
      <w:bookmarkEnd w:id="20"/>
      <w:r>
        <w:rPr>
          <w:rFonts w:ascii="Arial" w:eastAsia="Arial" w:hAnsi="Arial" w:cs="Arial"/>
          <w:b/>
          <w:color w:val="4D6B80"/>
          <w:sz w:val="30"/>
        </w:rPr>
        <w:t>9. Other Assets</w:t>
      </w:r>
    </w:p>
    <w:p w14:paraId="03DF2177" w14:textId="77777777" w:rsidR="001614AC" w:rsidRDefault="004468F9">
      <w:pPr>
        <w:keepNext/>
        <w:spacing w:before="100" w:after="100" w:line="288" w:lineRule="auto"/>
        <w:ind w:firstLine="450"/>
        <w:rPr>
          <w:rFonts w:ascii="Arial" w:eastAsia="Arial" w:hAnsi="Arial" w:cs="Arial"/>
          <w:b/>
          <w:color w:val="4D6B80"/>
          <w:sz w:val="18"/>
        </w:rPr>
      </w:pPr>
      <w:r>
        <w:rPr>
          <w:rFonts w:ascii="Arial" w:eastAsia="Arial" w:hAnsi="Arial" w:cs="Arial"/>
          <w:sz w:val="18"/>
        </w:rPr>
        <w:t>The following table shows the components of other assets as of the dates indicated.</w:t>
      </w:r>
    </w:p>
    <w:tbl>
      <w:tblPr>
        <w:tblW w:w="102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03"/>
        <w:gridCol w:w="107"/>
        <w:gridCol w:w="163"/>
        <w:gridCol w:w="1264"/>
        <w:gridCol w:w="102"/>
        <w:gridCol w:w="114"/>
        <w:gridCol w:w="163"/>
        <w:gridCol w:w="1264"/>
        <w:gridCol w:w="102"/>
      </w:tblGrid>
      <w:tr w:rsidR="001614AC" w14:paraId="60BB50E9" w14:textId="77777777">
        <w:trPr>
          <w:cantSplit/>
        </w:trPr>
        <w:tc>
          <w:tcPr>
            <w:tcW w:w="10080" w:type="dxa"/>
            <w:gridSpan w:val="9"/>
            <w:tcBorders>
              <w:top w:val="nil"/>
              <w:left w:val="nil"/>
              <w:bottom w:val="single" w:sz="12" w:space="0" w:color="99AAB6"/>
              <w:right w:val="nil"/>
            </w:tcBorders>
            <w:tcMar>
              <w:top w:w="0" w:type="dxa"/>
              <w:left w:w="53" w:type="dxa"/>
              <w:bottom w:w="0" w:type="dxa"/>
              <w:right w:w="53" w:type="dxa"/>
            </w:tcMar>
            <w:vAlign w:val="bottom"/>
          </w:tcPr>
          <w:p w14:paraId="22137D51" w14:textId="77777777" w:rsidR="001614AC" w:rsidRDefault="004468F9">
            <w:pPr>
              <w:keepNext/>
              <w:spacing w:before="75" w:after="30" w:line="288" w:lineRule="auto"/>
              <w:rPr>
                <w:rFonts w:ascii="Arial" w:eastAsia="Arial" w:hAnsi="Arial" w:cs="Arial"/>
                <w:b/>
                <w:sz w:val="20"/>
              </w:rPr>
            </w:pPr>
            <w:r>
              <w:rPr>
                <w:rFonts w:ascii="Arial" w:eastAsia="Arial" w:hAnsi="Arial" w:cs="Arial"/>
                <w:b/>
                <w:sz w:val="20"/>
              </w:rPr>
              <w:t>Other assets</w:t>
            </w:r>
          </w:p>
        </w:tc>
      </w:tr>
      <w:tr w:rsidR="001614AC" w14:paraId="1ABAA2A1" w14:textId="77777777">
        <w:trPr>
          <w:cantSplit/>
          <w:trHeight w:hRule="exact" w:val="135"/>
        </w:trPr>
        <w:tc>
          <w:tcPr>
            <w:tcW w:w="6870" w:type="dxa"/>
            <w:tcBorders>
              <w:top w:val="nil"/>
              <w:left w:val="nil"/>
              <w:bottom w:val="nil"/>
              <w:right w:val="nil"/>
            </w:tcBorders>
            <w:tcMar>
              <w:top w:w="0" w:type="dxa"/>
              <w:left w:w="0" w:type="dxa"/>
              <w:bottom w:w="0" w:type="dxa"/>
              <w:right w:w="0" w:type="dxa"/>
            </w:tcMar>
            <w:vAlign w:val="bottom"/>
          </w:tcPr>
          <w:p w14:paraId="0D1BD53C" w14:textId="77777777" w:rsidR="001614AC" w:rsidRDefault="001614AC">
            <w:pPr>
              <w:keepNext/>
            </w:pPr>
          </w:p>
        </w:tc>
        <w:tc>
          <w:tcPr>
            <w:tcW w:w="105" w:type="dxa"/>
            <w:tcBorders>
              <w:top w:val="single" w:sz="12" w:space="0" w:color="99AAB6"/>
              <w:left w:val="nil"/>
              <w:bottom w:val="nil"/>
              <w:right w:val="nil"/>
            </w:tcBorders>
            <w:tcMar>
              <w:top w:w="0" w:type="dxa"/>
              <w:left w:w="0" w:type="dxa"/>
              <w:bottom w:w="0" w:type="dxa"/>
              <w:right w:w="0" w:type="dxa"/>
            </w:tcMar>
            <w:vAlign w:val="bottom"/>
          </w:tcPr>
          <w:p w14:paraId="7FD0296C" w14:textId="77777777" w:rsidR="001614AC" w:rsidRDefault="001614AC">
            <w:pPr>
              <w:keepNext/>
            </w:pPr>
          </w:p>
        </w:tc>
        <w:tc>
          <w:tcPr>
            <w:tcW w:w="1500" w:type="dxa"/>
            <w:gridSpan w:val="3"/>
            <w:tcBorders>
              <w:top w:val="single" w:sz="12" w:space="0" w:color="99AAB6"/>
              <w:left w:val="nil"/>
              <w:bottom w:val="nil"/>
              <w:right w:val="nil"/>
            </w:tcBorders>
            <w:tcMar>
              <w:top w:w="0" w:type="dxa"/>
              <w:left w:w="0" w:type="dxa"/>
              <w:bottom w:w="0" w:type="dxa"/>
              <w:right w:w="0" w:type="dxa"/>
            </w:tcMar>
            <w:vAlign w:val="bottom"/>
          </w:tcPr>
          <w:p w14:paraId="6FD21123" w14:textId="77777777" w:rsidR="001614AC" w:rsidRDefault="001614AC">
            <w:pPr>
              <w:keepNext/>
            </w:pPr>
          </w:p>
        </w:tc>
        <w:tc>
          <w:tcPr>
            <w:tcW w:w="105" w:type="dxa"/>
            <w:tcBorders>
              <w:top w:val="single" w:sz="12" w:space="0" w:color="99AAB6"/>
              <w:left w:val="nil"/>
              <w:bottom w:val="nil"/>
              <w:right w:val="nil"/>
            </w:tcBorders>
            <w:tcMar>
              <w:top w:w="0" w:type="dxa"/>
              <w:left w:w="0" w:type="dxa"/>
              <w:bottom w:w="0" w:type="dxa"/>
              <w:right w:w="0" w:type="dxa"/>
            </w:tcMar>
            <w:vAlign w:val="bottom"/>
          </w:tcPr>
          <w:p w14:paraId="68E8641F" w14:textId="77777777" w:rsidR="001614AC" w:rsidRDefault="001614AC">
            <w:pPr>
              <w:keepNext/>
            </w:pPr>
          </w:p>
        </w:tc>
        <w:tc>
          <w:tcPr>
            <w:tcW w:w="1500" w:type="dxa"/>
            <w:gridSpan w:val="3"/>
            <w:tcBorders>
              <w:top w:val="single" w:sz="12" w:space="0" w:color="99AAB6"/>
              <w:left w:val="nil"/>
              <w:bottom w:val="nil"/>
              <w:right w:val="nil"/>
            </w:tcBorders>
            <w:tcMar>
              <w:top w:w="0" w:type="dxa"/>
              <w:left w:w="0" w:type="dxa"/>
              <w:bottom w:w="0" w:type="dxa"/>
              <w:right w:w="0" w:type="dxa"/>
            </w:tcMar>
            <w:vAlign w:val="bottom"/>
          </w:tcPr>
          <w:p w14:paraId="3655F592" w14:textId="77777777" w:rsidR="001614AC" w:rsidRDefault="001614AC">
            <w:pPr>
              <w:keepNext/>
            </w:pPr>
          </w:p>
        </w:tc>
      </w:tr>
      <w:tr w:rsidR="001614AC" w14:paraId="624A3D2A" w14:textId="77777777">
        <w:trPr>
          <w:cantSplit/>
        </w:trPr>
        <w:tc>
          <w:tcPr>
            <w:tcW w:w="6870" w:type="dxa"/>
            <w:tcBorders>
              <w:top w:val="nil"/>
              <w:left w:val="nil"/>
              <w:bottom w:val="single" w:sz="8" w:space="0" w:color="C7C9C7"/>
              <w:right w:val="nil"/>
            </w:tcBorders>
            <w:tcMar>
              <w:top w:w="0" w:type="dxa"/>
              <w:left w:w="53" w:type="dxa"/>
              <w:bottom w:w="0" w:type="dxa"/>
              <w:right w:w="53" w:type="dxa"/>
            </w:tcMar>
            <w:vAlign w:val="bottom"/>
          </w:tcPr>
          <w:p w14:paraId="04FDC3FF" w14:textId="77777777" w:rsidR="001614AC" w:rsidRDefault="004468F9">
            <w:pPr>
              <w:keepNext/>
              <w:spacing w:before="75" w:after="30" w:line="288" w:lineRule="auto"/>
            </w:pPr>
            <w:r>
              <w:rPr>
                <w:rFonts w:ascii="Arial" w:eastAsia="Arial" w:hAnsi="Arial" w:cs="Arial"/>
                <w:color w:val="8B8886"/>
                <w:sz w:val="16"/>
              </w:rPr>
              <w:t>(In thousands) </w:t>
            </w:r>
          </w:p>
        </w:tc>
        <w:tc>
          <w:tcPr>
            <w:tcW w:w="105" w:type="dxa"/>
            <w:tcBorders>
              <w:top w:val="nil"/>
              <w:left w:val="nil"/>
              <w:bottom w:val="single" w:sz="8" w:space="0" w:color="C7C9C7"/>
              <w:right w:val="nil"/>
            </w:tcBorders>
            <w:tcMar>
              <w:top w:w="0" w:type="dxa"/>
              <w:left w:w="0" w:type="dxa"/>
              <w:bottom w:w="0" w:type="dxa"/>
              <w:right w:w="0" w:type="dxa"/>
            </w:tcMar>
            <w:vAlign w:val="bottom"/>
          </w:tcPr>
          <w:p w14:paraId="1654C862" w14:textId="77777777" w:rsidR="001614AC" w:rsidRDefault="001614AC">
            <w:pPr>
              <w:keepNext/>
            </w:pPr>
          </w:p>
        </w:tc>
        <w:tc>
          <w:tcPr>
            <w:tcW w:w="1500" w:type="dxa"/>
            <w:gridSpan w:val="3"/>
            <w:tcBorders>
              <w:top w:val="nil"/>
              <w:left w:val="nil"/>
              <w:bottom w:val="single" w:sz="8" w:space="0" w:color="C7C9C7"/>
              <w:right w:val="nil"/>
            </w:tcBorders>
            <w:shd w:val="clear" w:color="auto" w:fill="E6F8F8"/>
            <w:tcMar>
              <w:top w:w="0" w:type="dxa"/>
              <w:left w:w="53" w:type="dxa"/>
              <w:bottom w:w="0" w:type="dxa"/>
              <w:right w:w="53" w:type="dxa"/>
            </w:tcMar>
            <w:vAlign w:val="bottom"/>
          </w:tcPr>
          <w:p w14:paraId="4D981AA9" w14:textId="77777777" w:rsidR="001614AC" w:rsidRDefault="004468F9">
            <w:pPr>
              <w:keepNext/>
              <w:spacing w:before="75" w:after="30" w:line="288" w:lineRule="auto"/>
              <w:jc w:val="center"/>
            </w:pPr>
            <w:r>
              <w:rPr>
                <w:rFonts w:ascii="Arial" w:eastAsia="Arial" w:hAnsi="Arial" w:cs="Arial"/>
                <w:b/>
                <w:color w:val="00BAB3"/>
                <w:sz w:val="18"/>
              </w:rPr>
              <w:t>June 30,</w:t>
            </w:r>
            <w:r>
              <w:br/>
            </w:r>
            <w:r>
              <w:rPr>
                <w:rFonts w:ascii="Arial" w:eastAsia="Arial" w:hAnsi="Arial" w:cs="Arial"/>
                <w:b/>
                <w:color w:val="00BAB3"/>
                <w:sz w:val="18"/>
              </w:rPr>
              <w:t>2021</w:t>
            </w:r>
          </w:p>
        </w:tc>
        <w:tc>
          <w:tcPr>
            <w:tcW w:w="105" w:type="dxa"/>
            <w:tcBorders>
              <w:top w:val="nil"/>
              <w:left w:val="nil"/>
              <w:bottom w:val="single" w:sz="8" w:space="0" w:color="C7C9C7"/>
              <w:right w:val="nil"/>
            </w:tcBorders>
            <w:tcMar>
              <w:top w:w="0" w:type="dxa"/>
              <w:left w:w="0" w:type="dxa"/>
              <w:bottom w:w="0" w:type="dxa"/>
              <w:right w:w="0" w:type="dxa"/>
            </w:tcMar>
            <w:vAlign w:val="bottom"/>
          </w:tcPr>
          <w:p w14:paraId="5F43B509" w14:textId="77777777" w:rsidR="001614AC" w:rsidRDefault="001614AC">
            <w:pPr>
              <w:keepNext/>
            </w:pPr>
          </w:p>
        </w:tc>
        <w:tc>
          <w:tcPr>
            <w:tcW w:w="1500" w:type="dxa"/>
            <w:gridSpan w:val="3"/>
            <w:tcBorders>
              <w:top w:val="nil"/>
              <w:left w:val="nil"/>
              <w:bottom w:val="single" w:sz="8" w:space="0" w:color="C7C9C7"/>
              <w:right w:val="nil"/>
            </w:tcBorders>
            <w:shd w:val="clear" w:color="auto" w:fill="F4F4F4"/>
            <w:tcMar>
              <w:top w:w="0" w:type="dxa"/>
              <w:left w:w="53" w:type="dxa"/>
              <w:bottom w:w="0" w:type="dxa"/>
              <w:right w:w="53" w:type="dxa"/>
            </w:tcMar>
            <w:vAlign w:val="bottom"/>
          </w:tcPr>
          <w:p w14:paraId="43850CD6" w14:textId="77777777" w:rsidR="001614AC" w:rsidRDefault="004468F9">
            <w:pPr>
              <w:keepNext/>
              <w:spacing w:before="75" w:after="30" w:line="288" w:lineRule="auto"/>
              <w:jc w:val="center"/>
            </w:pPr>
            <w:r>
              <w:rPr>
                <w:rFonts w:ascii="Arial" w:eastAsia="Arial" w:hAnsi="Arial" w:cs="Arial"/>
                <w:b/>
                <w:color w:val="00BAB3"/>
                <w:sz w:val="18"/>
              </w:rPr>
              <w:t>December 31,</w:t>
            </w:r>
            <w:r>
              <w:br/>
            </w:r>
            <w:r>
              <w:rPr>
                <w:rFonts w:ascii="Arial" w:eastAsia="Arial" w:hAnsi="Arial" w:cs="Arial"/>
                <w:b/>
                <w:color w:val="00BAB3"/>
                <w:sz w:val="18"/>
              </w:rPr>
              <w:t>2020</w:t>
            </w:r>
          </w:p>
        </w:tc>
      </w:tr>
      <w:tr w:rsidR="001614AC" w14:paraId="69A3C218" w14:textId="77777777">
        <w:trPr>
          <w:cantSplit/>
        </w:trPr>
        <w:tc>
          <w:tcPr>
            <w:tcW w:w="6870" w:type="dxa"/>
            <w:tcBorders>
              <w:top w:val="single" w:sz="8" w:space="0" w:color="C7C9C7"/>
              <w:left w:val="nil"/>
              <w:bottom w:val="single" w:sz="8" w:space="0" w:color="E9E9E9"/>
              <w:right w:val="nil"/>
            </w:tcBorders>
            <w:tcMar>
              <w:top w:w="0" w:type="dxa"/>
              <w:left w:w="53" w:type="dxa"/>
              <w:bottom w:w="0" w:type="dxa"/>
              <w:right w:w="53" w:type="dxa"/>
            </w:tcMar>
            <w:vAlign w:val="bottom"/>
          </w:tcPr>
          <w:p w14:paraId="551962C7" w14:textId="77777777" w:rsidR="001614AC" w:rsidRDefault="004468F9">
            <w:pPr>
              <w:keepNext/>
              <w:spacing w:before="55" w:after="30" w:line="288" w:lineRule="auto"/>
              <w:rPr>
                <w:rFonts w:ascii="Arial" w:eastAsia="Arial" w:hAnsi="Arial" w:cs="Arial"/>
                <w:sz w:val="18"/>
              </w:rPr>
            </w:pPr>
            <w:r>
              <w:rPr>
                <w:rFonts w:ascii="Arial" w:eastAsia="Arial" w:hAnsi="Arial" w:cs="Arial"/>
                <w:sz w:val="18"/>
              </w:rPr>
              <w:t>Prepaid federal income taxes (Note 10)</w:t>
            </w:r>
          </w:p>
        </w:tc>
        <w:tc>
          <w:tcPr>
            <w:tcW w:w="105" w:type="dxa"/>
            <w:tcBorders>
              <w:top w:val="single" w:sz="8" w:space="0" w:color="C7C9C7"/>
              <w:left w:val="nil"/>
              <w:bottom w:val="nil"/>
              <w:right w:val="nil"/>
            </w:tcBorders>
            <w:tcMar>
              <w:top w:w="0" w:type="dxa"/>
              <w:left w:w="0" w:type="dxa"/>
              <w:bottom w:w="0" w:type="dxa"/>
              <w:right w:w="0" w:type="dxa"/>
            </w:tcMar>
            <w:vAlign w:val="bottom"/>
          </w:tcPr>
          <w:p w14:paraId="49EF430F" w14:textId="77777777" w:rsidR="001614AC" w:rsidRDefault="001614AC">
            <w:pPr>
              <w:keepNext/>
            </w:pPr>
          </w:p>
        </w:tc>
        <w:tc>
          <w:tcPr>
            <w:tcW w:w="160" w:type="dxa"/>
            <w:tcBorders>
              <w:top w:val="single" w:sz="8" w:space="0" w:color="C7C9C7"/>
              <w:left w:val="nil"/>
              <w:bottom w:val="single" w:sz="8" w:space="0" w:color="E9E9E9"/>
              <w:right w:val="nil"/>
            </w:tcBorders>
            <w:tcMar>
              <w:top w:w="0" w:type="dxa"/>
              <w:left w:w="53" w:type="dxa"/>
              <w:bottom w:w="0" w:type="dxa"/>
              <w:right w:w="0" w:type="dxa"/>
            </w:tcMar>
            <w:vAlign w:val="bottom"/>
          </w:tcPr>
          <w:p w14:paraId="7AEC7D53" w14:textId="77777777" w:rsidR="001614AC" w:rsidRDefault="004468F9">
            <w:pPr>
              <w:keepNext/>
              <w:spacing w:before="55" w:after="30" w:line="288" w:lineRule="auto"/>
            </w:pPr>
            <w:r>
              <w:rPr>
                <w:rFonts w:ascii="Arial" w:eastAsia="Arial" w:hAnsi="Arial" w:cs="Arial"/>
                <w:color w:val="000000"/>
                <w:sz w:val="18"/>
              </w:rPr>
              <w:t>$</w:t>
            </w:r>
          </w:p>
        </w:tc>
        <w:tc>
          <w:tcPr>
            <w:tcW w:w="1240" w:type="dxa"/>
            <w:tcBorders>
              <w:top w:val="single" w:sz="8" w:space="0" w:color="C7C9C7"/>
              <w:left w:val="nil"/>
              <w:bottom w:val="single" w:sz="8" w:space="0" w:color="E9E9E9"/>
              <w:right w:val="nil"/>
            </w:tcBorders>
            <w:tcMar>
              <w:top w:w="0" w:type="dxa"/>
              <w:left w:w="0" w:type="dxa"/>
              <w:bottom w:w="0" w:type="dxa"/>
              <w:right w:w="0" w:type="dxa"/>
            </w:tcMar>
            <w:vAlign w:val="bottom"/>
          </w:tcPr>
          <w:p w14:paraId="5D90C20D" w14:textId="77777777" w:rsidR="001614AC" w:rsidRDefault="004468F9">
            <w:pPr>
              <w:keepNext/>
              <w:spacing w:before="55" w:after="30" w:line="288" w:lineRule="auto"/>
              <w:jc w:val="right"/>
            </w:pPr>
            <w:r>
              <w:rPr>
                <w:rFonts w:ascii="Arial" w:eastAsia="Arial" w:hAnsi="Arial" w:cs="Arial"/>
                <w:color w:val="000000"/>
                <w:sz w:val="18"/>
              </w:rPr>
              <w:t>275,623 </w:t>
            </w:r>
          </w:p>
        </w:tc>
        <w:tc>
          <w:tcPr>
            <w:tcW w:w="100" w:type="dxa"/>
            <w:tcBorders>
              <w:top w:val="single" w:sz="8" w:space="0" w:color="C7C9C7"/>
              <w:left w:val="nil"/>
              <w:bottom w:val="single" w:sz="8" w:space="0" w:color="E9E9E9"/>
              <w:right w:val="nil"/>
            </w:tcBorders>
            <w:tcMar>
              <w:top w:w="0" w:type="dxa"/>
              <w:left w:w="0" w:type="dxa"/>
              <w:bottom w:w="0" w:type="dxa"/>
              <w:right w:w="15" w:type="dxa"/>
            </w:tcMar>
            <w:vAlign w:val="bottom"/>
          </w:tcPr>
          <w:p w14:paraId="157151F4" w14:textId="77777777" w:rsidR="001614AC" w:rsidRDefault="001614AC">
            <w:pPr>
              <w:keepNext/>
              <w:spacing w:before="55" w:after="30" w:line="288" w:lineRule="auto"/>
              <w:jc w:val="right"/>
            </w:pPr>
          </w:p>
        </w:tc>
        <w:tc>
          <w:tcPr>
            <w:tcW w:w="105" w:type="dxa"/>
            <w:tcBorders>
              <w:top w:val="single" w:sz="8" w:space="0" w:color="C7C9C7"/>
              <w:left w:val="nil"/>
              <w:bottom w:val="nil"/>
              <w:right w:val="nil"/>
            </w:tcBorders>
            <w:tcMar>
              <w:top w:w="0" w:type="dxa"/>
              <w:left w:w="0" w:type="dxa"/>
              <w:bottom w:w="0" w:type="dxa"/>
              <w:right w:w="0" w:type="dxa"/>
            </w:tcMar>
            <w:vAlign w:val="bottom"/>
          </w:tcPr>
          <w:p w14:paraId="3761C054" w14:textId="77777777" w:rsidR="001614AC" w:rsidRDefault="001614AC">
            <w:pPr>
              <w:keepNext/>
            </w:pPr>
          </w:p>
        </w:tc>
        <w:tc>
          <w:tcPr>
            <w:tcW w:w="160" w:type="dxa"/>
            <w:tcBorders>
              <w:top w:val="single" w:sz="8" w:space="0" w:color="C7C9C7"/>
              <w:left w:val="nil"/>
              <w:bottom w:val="single" w:sz="8" w:space="0" w:color="E9E9E9"/>
              <w:right w:val="nil"/>
            </w:tcBorders>
            <w:tcMar>
              <w:top w:w="0" w:type="dxa"/>
              <w:left w:w="53" w:type="dxa"/>
              <w:bottom w:w="0" w:type="dxa"/>
              <w:right w:w="0" w:type="dxa"/>
            </w:tcMar>
            <w:vAlign w:val="bottom"/>
          </w:tcPr>
          <w:p w14:paraId="3C1C2351" w14:textId="77777777" w:rsidR="001614AC" w:rsidRDefault="004468F9">
            <w:pPr>
              <w:keepNext/>
              <w:spacing w:before="55" w:after="30" w:line="288" w:lineRule="auto"/>
            </w:pPr>
            <w:r>
              <w:rPr>
                <w:rFonts w:ascii="Arial" w:eastAsia="Arial" w:hAnsi="Arial" w:cs="Arial"/>
                <w:color w:val="000000"/>
                <w:sz w:val="18"/>
              </w:rPr>
              <w:t>$</w:t>
            </w:r>
          </w:p>
        </w:tc>
        <w:tc>
          <w:tcPr>
            <w:tcW w:w="1240" w:type="dxa"/>
            <w:tcBorders>
              <w:top w:val="single" w:sz="8" w:space="0" w:color="C7C9C7"/>
              <w:left w:val="nil"/>
              <w:bottom w:val="single" w:sz="8" w:space="0" w:color="E9E9E9"/>
              <w:right w:val="nil"/>
            </w:tcBorders>
            <w:tcMar>
              <w:top w:w="0" w:type="dxa"/>
              <w:left w:w="0" w:type="dxa"/>
              <w:bottom w:w="0" w:type="dxa"/>
              <w:right w:w="0" w:type="dxa"/>
            </w:tcMar>
            <w:vAlign w:val="bottom"/>
          </w:tcPr>
          <w:p w14:paraId="1E83BB3C" w14:textId="77777777" w:rsidR="001614AC" w:rsidRDefault="004468F9">
            <w:pPr>
              <w:keepNext/>
              <w:spacing w:before="55" w:after="30" w:line="288" w:lineRule="auto"/>
              <w:jc w:val="right"/>
            </w:pPr>
            <w:r>
              <w:rPr>
                <w:rFonts w:ascii="Arial" w:eastAsia="Arial" w:hAnsi="Arial" w:cs="Arial"/>
                <w:color w:val="000000"/>
                <w:sz w:val="18"/>
              </w:rPr>
              <w:t>210,889 </w:t>
            </w:r>
          </w:p>
        </w:tc>
        <w:tc>
          <w:tcPr>
            <w:tcW w:w="100" w:type="dxa"/>
            <w:tcBorders>
              <w:top w:val="single" w:sz="8" w:space="0" w:color="C7C9C7"/>
              <w:left w:val="nil"/>
              <w:bottom w:val="single" w:sz="8" w:space="0" w:color="E9E9E9"/>
              <w:right w:val="nil"/>
            </w:tcBorders>
            <w:tcMar>
              <w:top w:w="0" w:type="dxa"/>
              <w:left w:w="0" w:type="dxa"/>
              <w:bottom w:w="0" w:type="dxa"/>
              <w:right w:w="15" w:type="dxa"/>
            </w:tcMar>
            <w:vAlign w:val="bottom"/>
          </w:tcPr>
          <w:p w14:paraId="3EB2BA59" w14:textId="77777777" w:rsidR="001614AC" w:rsidRDefault="001614AC">
            <w:pPr>
              <w:keepNext/>
              <w:spacing w:before="55" w:after="30" w:line="288" w:lineRule="auto"/>
              <w:jc w:val="right"/>
            </w:pPr>
          </w:p>
        </w:tc>
      </w:tr>
      <w:tr w:rsidR="001614AC" w14:paraId="50B943F2" w14:textId="77777777">
        <w:trPr>
          <w:cantSplit/>
        </w:trPr>
        <w:tc>
          <w:tcPr>
            <w:tcW w:w="6870" w:type="dxa"/>
            <w:tcBorders>
              <w:top w:val="single" w:sz="8" w:space="0" w:color="E9E9E9"/>
              <w:left w:val="nil"/>
              <w:bottom w:val="single" w:sz="8" w:space="0" w:color="E9E9E9"/>
              <w:right w:val="nil"/>
            </w:tcBorders>
            <w:tcMar>
              <w:top w:w="0" w:type="dxa"/>
              <w:left w:w="53" w:type="dxa"/>
              <w:bottom w:w="0" w:type="dxa"/>
              <w:right w:w="53" w:type="dxa"/>
            </w:tcMar>
            <w:vAlign w:val="bottom"/>
          </w:tcPr>
          <w:p w14:paraId="4A5A03C9" w14:textId="77777777" w:rsidR="001614AC" w:rsidRDefault="004468F9">
            <w:pPr>
              <w:keepNext/>
              <w:spacing w:before="55" w:after="30" w:line="288" w:lineRule="auto"/>
              <w:rPr>
                <w:rFonts w:ascii="Arial" w:eastAsia="Arial" w:hAnsi="Arial" w:cs="Arial"/>
                <w:sz w:val="18"/>
              </w:rPr>
            </w:pPr>
            <w:r>
              <w:rPr>
                <w:rFonts w:ascii="Arial" w:eastAsia="Arial" w:hAnsi="Arial" w:cs="Arial"/>
                <w:sz w:val="18"/>
              </w:rPr>
              <w:t xml:space="preserve">Prepaid reinsurance premiums </w:t>
            </w:r>
            <w:r>
              <w:rPr>
                <w:rFonts w:ascii="Arial" w:eastAsia="Arial" w:hAnsi="Arial" w:cs="Arial"/>
                <w:sz w:val="18"/>
                <w:vertAlign w:val="superscript"/>
              </w:rPr>
              <w:t>(1)</w:t>
            </w:r>
          </w:p>
        </w:tc>
        <w:tc>
          <w:tcPr>
            <w:tcW w:w="105" w:type="dxa"/>
            <w:tcBorders>
              <w:top w:val="nil"/>
              <w:left w:val="nil"/>
              <w:bottom w:val="nil"/>
              <w:right w:val="nil"/>
            </w:tcBorders>
            <w:tcMar>
              <w:top w:w="0" w:type="dxa"/>
              <w:left w:w="53" w:type="dxa"/>
              <w:bottom w:w="0" w:type="dxa"/>
              <w:right w:w="15" w:type="dxa"/>
            </w:tcMar>
            <w:vAlign w:val="bottom"/>
          </w:tcPr>
          <w:p w14:paraId="7A501387" w14:textId="77777777" w:rsidR="001614AC" w:rsidRDefault="001614AC">
            <w:pPr>
              <w:keepNext/>
              <w:spacing w:before="75" w:after="30" w:line="288" w:lineRule="auto"/>
            </w:pPr>
          </w:p>
        </w:tc>
        <w:tc>
          <w:tcPr>
            <w:tcW w:w="1400"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6D0A1641" w14:textId="77777777" w:rsidR="001614AC" w:rsidRDefault="004468F9">
            <w:pPr>
              <w:keepNext/>
              <w:spacing w:before="55" w:after="30" w:line="288" w:lineRule="auto"/>
              <w:jc w:val="right"/>
            </w:pPr>
            <w:r>
              <w:rPr>
                <w:rFonts w:ascii="Arial" w:eastAsia="Arial" w:hAnsi="Arial" w:cs="Arial"/>
                <w:color w:val="000000"/>
                <w:sz w:val="18"/>
              </w:rPr>
              <w:t>225,727 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3704B154" w14:textId="77777777" w:rsidR="001614AC" w:rsidRDefault="001614AC">
            <w:pPr>
              <w:keepNext/>
              <w:spacing w:before="55" w:after="30" w:line="288" w:lineRule="auto"/>
              <w:jc w:val="right"/>
            </w:pPr>
          </w:p>
        </w:tc>
        <w:tc>
          <w:tcPr>
            <w:tcW w:w="105" w:type="dxa"/>
            <w:tcBorders>
              <w:top w:val="nil"/>
              <w:left w:val="nil"/>
              <w:bottom w:val="nil"/>
              <w:right w:val="nil"/>
            </w:tcBorders>
            <w:tcMar>
              <w:top w:w="0" w:type="dxa"/>
              <w:left w:w="53" w:type="dxa"/>
              <w:bottom w:w="0" w:type="dxa"/>
              <w:right w:w="53" w:type="dxa"/>
            </w:tcMar>
            <w:vAlign w:val="bottom"/>
          </w:tcPr>
          <w:p w14:paraId="4A13A4C7" w14:textId="77777777" w:rsidR="001614AC" w:rsidRDefault="001614AC">
            <w:pPr>
              <w:keepNext/>
              <w:spacing w:before="75" w:after="30" w:line="288" w:lineRule="auto"/>
            </w:pPr>
          </w:p>
        </w:tc>
        <w:tc>
          <w:tcPr>
            <w:tcW w:w="1400"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6EA54826" w14:textId="77777777" w:rsidR="001614AC" w:rsidRDefault="004468F9">
            <w:pPr>
              <w:keepNext/>
              <w:spacing w:before="55" w:after="30" w:line="288" w:lineRule="auto"/>
              <w:jc w:val="right"/>
            </w:pPr>
            <w:r>
              <w:rPr>
                <w:rFonts w:ascii="Arial" w:eastAsia="Arial" w:hAnsi="Arial" w:cs="Arial"/>
                <w:color w:val="000000"/>
                <w:sz w:val="18"/>
              </w:rPr>
              <w:t>267,638 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55CDBC2F" w14:textId="77777777" w:rsidR="001614AC" w:rsidRDefault="001614AC">
            <w:pPr>
              <w:keepNext/>
              <w:spacing w:before="55" w:after="30" w:line="288" w:lineRule="auto"/>
              <w:jc w:val="right"/>
            </w:pPr>
          </w:p>
        </w:tc>
      </w:tr>
      <w:tr w:rsidR="001614AC" w14:paraId="46551283" w14:textId="77777777">
        <w:trPr>
          <w:cantSplit/>
        </w:trPr>
        <w:tc>
          <w:tcPr>
            <w:tcW w:w="6870" w:type="dxa"/>
            <w:tcBorders>
              <w:top w:val="single" w:sz="8" w:space="0" w:color="E9E9E9"/>
              <w:left w:val="nil"/>
              <w:bottom w:val="single" w:sz="8" w:space="0" w:color="E9E9E9"/>
              <w:right w:val="nil"/>
            </w:tcBorders>
            <w:tcMar>
              <w:top w:w="0" w:type="dxa"/>
              <w:left w:w="53" w:type="dxa"/>
              <w:bottom w:w="0" w:type="dxa"/>
              <w:right w:w="53" w:type="dxa"/>
            </w:tcMar>
            <w:vAlign w:val="bottom"/>
          </w:tcPr>
          <w:p w14:paraId="6E7071D4" w14:textId="77777777" w:rsidR="001614AC" w:rsidRDefault="004468F9">
            <w:pPr>
              <w:keepNext/>
              <w:spacing w:before="55" w:after="30" w:line="288" w:lineRule="auto"/>
              <w:rPr>
                <w:rFonts w:ascii="Arial" w:eastAsia="Arial" w:hAnsi="Arial" w:cs="Arial"/>
                <w:sz w:val="18"/>
              </w:rPr>
            </w:pPr>
            <w:r>
              <w:rPr>
                <w:rFonts w:ascii="Arial" w:eastAsia="Arial" w:hAnsi="Arial" w:cs="Arial"/>
                <w:sz w:val="18"/>
              </w:rPr>
              <w:t>Loaned securities (Note 5)</w:t>
            </w:r>
          </w:p>
        </w:tc>
        <w:tc>
          <w:tcPr>
            <w:tcW w:w="105" w:type="dxa"/>
            <w:tcBorders>
              <w:top w:val="nil"/>
              <w:left w:val="nil"/>
              <w:bottom w:val="nil"/>
              <w:right w:val="nil"/>
            </w:tcBorders>
            <w:tcMar>
              <w:top w:w="0" w:type="dxa"/>
              <w:left w:w="0" w:type="dxa"/>
              <w:bottom w:w="0" w:type="dxa"/>
              <w:right w:w="0" w:type="dxa"/>
            </w:tcMar>
            <w:vAlign w:val="bottom"/>
          </w:tcPr>
          <w:p w14:paraId="6ACBC6D4" w14:textId="77777777" w:rsidR="001614AC" w:rsidRDefault="001614AC">
            <w:pPr>
              <w:keepNext/>
            </w:pPr>
          </w:p>
        </w:tc>
        <w:tc>
          <w:tcPr>
            <w:tcW w:w="1400"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269793C0" w14:textId="77777777" w:rsidR="001614AC" w:rsidRDefault="004468F9">
            <w:pPr>
              <w:keepNext/>
              <w:spacing w:before="55" w:after="30" w:line="288" w:lineRule="auto"/>
              <w:jc w:val="right"/>
            </w:pPr>
            <w:r>
              <w:rPr>
                <w:rFonts w:ascii="Arial" w:eastAsia="Arial" w:hAnsi="Arial" w:cs="Arial"/>
                <w:color w:val="000000"/>
                <w:sz w:val="18"/>
              </w:rPr>
              <w:t>130,850 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200BF369" w14:textId="77777777" w:rsidR="001614AC" w:rsidRDefault="001614AC">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0585C1A3" w14:textId="77777777" w:rsidR="001614AC" w:rsidRDefault="001614AC">
            <w:pPr>
              <w:keepNext/>
            </w:pPr>
          </w:p>
        </w:tc>
        <w:tc>
          <w:tcPr>
            <w:tcW w:w="1400"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7762506B" w14:textId="77777777" w:rsidR="001614AC" w:rsidRDefault="004468F9">
            <w:pPr>
              <w:keepNext/>
              <w:spacing w:before="55" w:after="30" w:line="288" w:lineRule="auto"/>
              <w:jc w:val="right"/>
            </w:pPr>
            <w:r>
              <w:rPr>
                <w:rFonts w:ascii="Arial" w:eastAsia="Arial" w:hAnsi="Arial" w:cs="Arial"/>
                <w:color w:val="000000"/>
                <w:sz w:val="18"/>
              </w:rPr>
              <w:t>57,499 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11B420A5" w14:textId="77777777" w:rsidR="001614AC" w:rsidRDefault="001614AC">
            <w:pPr>
              <w:keepNext/>
              <w:spacing w:before="55" w:after="30" w:line="288" w:lineRule="auto"/>
              <w:jc w:val="right"/>
            </w:pPr>
          </w:p>
        </w:tc>
      </w:tr>
      <w:tr w:rsidR="001614AC" w14:paraId="614A3A9F" w14:textId="77777777">
        <w:trPr>
          <w:cantSplit/>
        </w:trPr>
        <w:tc>
          <w:tcPr>
            <w:tcW w:w="6870" w:type="dxa"/>
            <w:tcBorders>
              <w:top w:val="single" w:sz="8" w:space="0" w:color="E9E9E9"/>
              <w:left w:val="nil"/>
              <w:bottom w:val="single" w:sz="8" w:space="0" w:color="E9E9E9"/>
              <w:right w:val="nil"/>
            </w:tcBorders>
            <w:tcMar>
              <w:top w:w="0" w:type="dxa"/>
              <w:left w:w="53" w:type="dxa"/>
              <w:bottom w:w="0" w:type="dxa"/>
              <w:right w:w="53" w:type="dxa"/>
            </w:tcMar>
            <w:vAlign w:val="bottom"/>
          </w:tcPr>
          <w:p w14:paraId="48B40AC0" w14:textId="77777777" w:rsidR="001614AC" w:rsidRDefault="004468F9">
            <w:pPr>
              <w:keepNext/>
              <w:spacing w:before="55" w:after="30" w:line="288" w:lineRule="auto"/>
              <w:rPr>
                <w:rFonts w:ascii="Arial" w:eastAsia="Arial" w:hAnsi="Arial" w:cs="Arial"/>
                <w:sz w:val="18"/>
              </w:rPr>
            </w:pPr>
            <w:r>
              <w:rPr>
                <w:rFonts w:ascii="Arial" w:eastAsia="Arial" w:hAnsi="Arial" w:cs="Arial"/>
                <w:sz w:val="18"/>
              </w:rPr>
              <w:t>Company-owned life insurance</w:t>
            </w:r>
            <w:r>
              <w:rPr>
                <w:rFonts w:ascii="Arial" w:eastAsia="Arial" w:hAnsi="Arial" w:cs="Arial"/>
                <w:sz w:val="18"/>
                <w:vertAlign w:val="superscript"/>
              </w:rPr>
              <w:t xml:space="preserve"> (2)</w:t>
            </w:r>
          </w:p>
        </w:tc>
        <w:tc>
          <w:tcPr>
            <w:tcW w:w="105" w:type="dxa"/>
            <w:tcBorders>
              <w:top w:val="nil"/>
              <w:left w:val="nil"/>
              <w:bottom w:val="nil"/>
              <w:right w:val="nil"/>
            </w:tcBorders>
            <w:tcMar>
              <w:top w:w="0" w:type="dxa"/>
              <w:left w:w="0" w:type="dxa"/>
              <w:bottom w:w="0" w:type="dxa"/>
              <w:right w:w="0" w:type="dxa"/>
            </w:tcMar>
            <w:vAlign w:val="bottom"/>
          </w:tcPr>
          <w:p w14:paraId="3E0D3573" w14:textId="77777777" w:rsidR="001614AC" w:rsidRDefault="001614AC">
            <w:pPr>
              <w:keepNext/>
            </w:pPr>
          </w:p>
        </w:tc>
        <w:tc>
          <w:tcPr>
            <w:tcW w:w="1400"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1BC8647B" w14:textId="77777777" w:rsidR="001614AC" w:rsidRDefault="004468F9">
            <w:pPr>
              <w:keepNext/>
              <w:spacing w:before="55" w:after="30" w:line="288" w:lineRule="auto"/>
              <w:jc w:val="right"/>
            </w:pPr>
            <w:r>
              <w:rPr>
                <w:rFonts w:ascii="Arial" w:eastAsia="Arial" w:hAnsi="Arial" w:cs="Arial"/>
                <w:color w:val="000000"/>
                <w:sz w:val="18"/>
              </w:rPr>
              <w:t>112,638 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71C38524" w14:textId="77777777" w:rsidR="001614AC" w:rsidRDefault="001614AC">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74D7BAB3" w14:textId="77777777" w:rsidR="001614AC" w:rsidRDefault="001614AC">
            <w:pPr>
              <w:keepNext/>
            </w:pPr>
          </w:p>
        </w:tc>
        <w:tc>
          <w:tcPr>
            <w:tcW w:w="1400"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1322525A" w14:textId="77777777" w:rsidR="001614AC" w:rsidRDefault="004468F9">
            <w:pPr>
              <w:keepNext/>
              <w:spacing w:before="55" w:after="30" w:line="288" w:lineRule="auto"/>
              <w:jc w:val="right"/>
            </w:pPr>
            <w:r>
              <w:rPr>
                <w:rFonts w:ascii="Arial" w:eastAsia="Arial" w:hAnsi="Arial" w:cs="Arial"/>
                <w:color w:val="000000"/>
                <w:sz w:val="18"/>
              </w:rPr>
              <w:t>115,586 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26BDFAC6" w14:textId="77777777" w:rsidR="001614AC" w:rsidRDefault="001614AC">
            <w:pPr>
              <w:keepNext/>
              <w:spacing w:before="55" w:after="30" w:line="288" w:lineRule="auto"/>
              <w:jc w:val="right"/>
            </w:pPr>
          </w:p>
        </w:tc>
      </w:tr>
      <w:tr w:rsidR="001614AC" w14:paraId="312DFFF7" w14:textId="77777777">
        <w:trPr>
          <w:cantSplit/>
        </w:trPr>
        <w:tc>
          <w:tcPr>
            <w:tcW w:w="6870" w:type="dxa"/>
            <w:tcBorders>
              <w:top w:val="single" w:sz="8" w:space="0" w:color="E9E9E9"/>
              <w:left w:val="nil"/>
              <w:bottom w:val="single" w:sz="8" w:space="0" w:color="E9E9E9"/>
              <w:right w:val="nil"/>
            </w:tcBorders>
            <w:tcMar>
              <w:top w:w="0" w:type="dxa"/>
              <w:left w:w="53" w:type="dxa"/>
              <w:bottom w:w="0" w:type="dxa"/>
              <w:right w:w="53" w:type="dxa"/>
            </w:tcMar>
            <w:vAlign w:val="bottom"/>
          </w:tcPr>
          <w:p w14:paraId="77B7C48B" w14:textId="77777777" w:rsidR="001614AC" w:rsidRDefault="004468F9">
            <w:pPr>
              <w:keepNext/>
              <w:spacing w:before="55" w:after="30" w:line="288" w:lineRule="auto"/>
              <w:ind w:left="360" w:hanging="360"/>
              <w:rPr>
                <w:rFonts w:ascii="Arial" w:eastAsia="Arial" w:hAnsi="Arial" w:cs="Arial"/>
                <w:b/>
                <w:color w:val="4D6B80"/>
                <w:sz w:val="30"/>
              </w:rPr>
            </w:pPr>
            <w:r>
              <w:rPr>
                <w:rFonts w:ascii="Arial" w:eastAsia="Arial" w:hAnsi="Arial" w:cs="Arial"/>
                <w:sz w:val="18"/>
              </w:rPr>
              <w:t>Right-of-use assets (Note 13)</w:t>
            </w:r>
          </w:p>
        </w:tc>
        <w:tc>
          <w:tcPr>
            <w:tcW w:w="105" w:type="dxa"/>
            <w:tcBorders>
              <w:top w:val="nil"/>
              <w:left w:val="nil"/>
              <w:bottom w:val="nil"/>
              <w:right w:val="nil"/>
            </w:tcBorders>
            <w:tcMar>
              <w:top w:w="0" w:type="dxa"/>
              <w:left w:w="0" w:type="dxa"/>
              <w:bottom w:w="0" w:type="dxa"/>
              <w:right w:w="0" w:type="dxa"/>
            </w:tcMar>
            <w:vAlign w:val="bottom"/>
          </w:tcPr>
          <w:p w14:paraId="5FFC0014" w14:textId="77777777" w:rsidR="001614AC" w:rsidRDefault="001614AC">
            <w:pPr>
              <w:keepNext/>
            </w:pPr>
          </w:p>
        </w:tc>
        <w:tc>
          <w:tcPr>
            <w:tcW w:w="1400"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619BFB92" w14:textId="77777777" w:rsidR="001614AC" w:rsidRDefault="004468F9">
            <w:pPr>
              <w:keepNext/>
              <w:spacing w:before="55" w:after="30" w:line="288" w:lineRule="auto"/>
              <w:jc w:val="right"/>
            </w:pPr>
            <w:r>
              <w:rPr>
                <w:rFonts w:ascii="Arial" w:eastAsia="Arial" w:hAnsi="Arial" w:cs="Arial"/>
                <w:color w:val="000000"/>
                <w:sz w:val="18"/>
              </w:rPr>
              <w:t>34,662 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380EF6FE" w14:textId="77777777" w:rsidR="001614AC" w:rsidRDefault="001614AC">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312637C8" w14:textId="77777777" w:rsidR="001614AC" w:rsidRDefault="001614AC">
            <w:pPr>
              <w:keepNext/>
            </w:pPr>
          </w:p>
        </w:tc>
        <w:tc>
          <w:tcPr>
            <w:tcW w:w="1400"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2236AE67" w14:textId="77777777" w:rsidR="001614AC" w:rsidRDefault="004468F9">
            <w:pPr>
              <w:keepNext/>
              <w:spacing w:before="55" w:after="30" w:line="288" w:lineRule="auto"/>
              <w:jc w:val="right"/>
            </w:pPr>
            <w:r>
              <w:rPr>
                <w:rFonts w:ascii="Arial" w:eastAsia="Arial" w:hAnsi="Arial" w:cs="Arial"/>
                <w:color w:val="000000"/>
                <w:sz w:val="18"/>
              </w:rPr>
              <w:t>32,985 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26CD687B" w14:textId="77777777" w:rsidR="001614AC" w:rsidRDefault="001614AC">
            <w:pPr>
              <w:keepNext/>
              <w:spacing w:before="55" w:after="30" w:line="288" w:lineRule="auto"/>
              <w:jc w:val="right"/>
            </w:pPr>
          </w:p>
        </w:tc>
      </w:tr>
      <w:tr w:rsidR="001614AC" w14:paraId="18A12124" w14:textId="77777777">
        <w:trPr>
          <w:cantSplit/>
        </w:trPr>
        <w:tc>
          <w:tcPr>
            <w:tcW w:w="6870" w:type="dxa"/>
            <w:tcBorders>
              <w:top w:val="single" w:sz="8" w:space="0" w:color="E9E9E9"/>
              <w:left w:val="nil"/>
              <w:bottom w:val="nil"/>
              <w:right w:val="nil"/>
            </w:tcBorders>
            <w:tcMar>
              <w:top w:w="0" w:type="dxa"/>
              <w:left w:w="53" w:type="dxa"/>
              <w:bottom w:w="0" w:type="dxa"/>
              <w:right w:w="53" w:type="dxa"/>
            </w:tcMar>
            <w:vAlign w:val="bottom"/>
          </w:tcPr>
          <w:p w14:paraId="4CC172EF" w14:textId="77777777" w:rsidR="001614AC" w:rsidRDefault="004468F9">
            <w:pPr>
              <w:keepNext/>
              <w:spacing w:before="55" w:after="30" w:line="288" w:lineRule="auto"/>
            </w:pPr>
            <w:r>
              <w:rPr>
                <w:rFonts w:ascii="Arial" w:eastAsia="Arial" w:hAnsi="Arial" w:cs="Arial"/>
                <w:color w:val="000000"/>
                <w:sz w:val="18"/>
              </w:rPr>
              <w:t>Other</w:t>
            </w:r>
          </w:p>
        </w:tc>
        <w:tc>
          <w:tcPr>
            <w:tcW w:w="105" w:type="dxa"/>
            <w:tcBorders>
              <w:top w:val="nil"/>
              <w:left w:val="nil"/>
              <w:bottom w:val="nil"/>
              <w:right w:val="nil"/>
            </w:tcBorders>
            <w:tcMar>
              <w:top w:w="0" w:type="dxa"/>
              <w:left w:w="0" w:type="dxa"/>
              <w:bottom w:w="0" w:type="dxa"/>
              <w:right w:w="0" w:type="dxa"/>
            </w:tcMar>
            <w:vAlign w:val="bottom"/>
          </w:tcPr>
          <w:p w14:paraId="34630A40" w14:textId="77777777" w:rsidR="001614AC" w:rsidRDefault="001614AC">
            <w:pPr>
              <w:keepNext/>
            </w:pPr>
          </w:p>
        </w:tc>
        <w:tc>
          <w:tcPr>
            <w:tcW w:w="1400" w:type="dxa"/>
            <w:gridSpan w:val="2"/>
            <w:tcBorders>
              <w:top w:val="single" w:sz="8" w:space="0" w:color="E9E9E9"/>
              <w:left w:val="nil"/>
              <w:bottom w:val="single" w:sz="8" w:space="0" w:color="C7C9C7"/>
              <w:right w:val="nil"/>
            </w:tcBorders>
            <w:tcMar>
              <w:top w:w="0" w:type="dxa"/>
              <w:left w:w="53" w:type="dxa"/>
              <w:bottom w:w="0" w:type="dxa"/>
              <w:right w:w="0" w:type="dxa"/>
            </w:tcMar>
            <w:vAlign w:val="bottom"/>
          </w:tcPr>
          <w:p w14:paraId="568D0168" w14:textId="77777777" w:rsidR="001614AC" w:rsidRDefault="004468F9">
            <w:pPr>
              <w:keepNext/>
              <w:spacing w:before="55" w:after="30" w:line="288" w:lineRule="auto"/>
              <w:jc w:val="right"/>
            </w:pPr>
            <w:r>
              <w:rPr>
                <w:rFonts w:ascii="Arial" w:eastAsia="Arial" w:hAnsi="Arial" w:cs="Arial"/>
                <w:color w:val="000000"/>
                <w:sz w:val="18"/>
              </w:rPr>
              <w:t>35,761 </w:t>
            </w:r>
          </w:p>
        </w:tc>
        <w:tc>
          <w:tcPr>
            <w:tcW w:w="100" w:type="dxa"/>
            <w:tcBorders>
              <w:top w:val="single" w:sz="8" w:space="0" w:color="E9E9E9"/>
              <w:left w:val="nil"/>
              <w:bottom w:val="single" w:sz="8" w:space="0" w:color="C7C9C7"/>
              <w:right w:val="nil"/>
            </w:tcBorders>
            <w:tcMar>
              <w:top w:w="0" w:type="dxa"/>
              <w:left w:w="0" w:type="dxa"/>
              <w:bottom w:w="0" w:type="dxa"/>
              <w:right w:w="15" w:type="dxa"/>
            </w:tcMar>
            <w:vAlign w:val="bottom"/>
          </w:tcPr>
          <w:p w14:paraId="7A7BC98C" w14:textId="77777777" w:rsidR="001614AC" w:rsidRDefault="001614AC">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79EFE6BC" w14:textId="77777777" w:rsidR="001614AC" w:rsidRDefault="001614AC">
            <w:pPr>
              <w:keepNext/>
            </w:pPr>
          </w:p>
        </w:tc>
        <w:tc>
          <w:tcPr>
            <w:tcW w:w="1400" w:type="dxa"/>
            <w:gridSpan w:val="2"/>
            <w:tcBorders>
              <w:top w:val="single" w:sz="8" w:space="0" w:color="E9E9E9"/>
              <w:left w:val="nil"/>
              <w:bottom w:val="single" w:sz="8" w:space="0" w:color="C7C9C7"/>
              <w:right w:val="nil"/>
            </w:tcBorders>
            <w:tcMar>
              <w:top w:w="0" w:type="dxa"/>
              <w:left w:w="53" w:type="dxa"/>
              <w:bottom w:w="0" w:type="dxa"/>
              <w:right w:w="0" w:type="dxa"/>
            </w:tcMar>
            <w:vAlign w:val="bottom"/>
          </w:tcPr>
          <w:p w14:paraId="0373A347" w14:textId="77777777" w:rsidR="001614AC" w:rsidRDefault="004468F9">
            <w:pPr>
              <w:keepNext/>
              <w:spacing w:before="55" w:after="30" w:line="288" w:lineRule="auto"/>
              <w:jc w:val="right"/>
            </w:pPr>
            <w:r>
              <w:rPr>
                <w:rFonts w:ascii="Arial" w:eastAsia="Arial" w:hAnsi="Arial" w:cs="Arial"/>
                <w:color w:val="000000"/>
                <w:sz w:val="18"/>
              </w:rPr>
              <w:t>30,488 </w:t>
            </w:r>
          </w:p>
        </w:tc>
        <w:tc>
          <w:tcPr>
            <w:tcW w:w="100" w:type="dxa"/>
            <w:tcBorders>
              <w:top w:val="single" w:sz="8" w:space="0" w:color="E9E9E9"/>
              <w:left w:val="nil"/>
              <w:bottom w:val="single" w:sz="8" w:space="0" w:color="C7C9C7"/>
              <w:right w:val="nil"/>
            </w:tcBorders>
            <w:tcMar>
              <w:top w:w="0" w:type="dxa"/>
              <w:left w:w="0" w:type="dxa"/>
              <w:bottom w:w="0" w:type="dxa"/>
              <w:right w:w="15" w:type="dxa"/>
            </w:tcMar>
            <w:vAlign w:val="bottom"/>
          </w:tcPr>
          <w:p w14:paraId="064B7A57" w14:textId="77777777" w:rsidR="001614AC" w:rsidRDefault="001614AC">
            <w:pPr>
              <w:keepNext/>
              <w:spacing w:before="55" w:after="30" w:line="288" w:lineRule="auto"/>
              <w:jc w:val="right"/>
            </w:pPr>
          </w:p>
        </w:tc>
      </w:tr>
      <w:tr w:rsidR="001614AC" w14:paraId="4CF18DC7" w14:textId="77777777">
        <w:trPr>
          <w:cantSplit/>
        </w:trPr>
        <w:tc>
          <w:tcPr>
            <w:tcW w:w="6870" w:type="dxa"/>
            <w:tcBorders>
              <w:top w:val="nil"/>
              <w:left w:val="nil"/>
              <w:bottom w:val="nil"/>
              <w:right w:val="nil"/>
            </w:tcBorders>
            <w:shd w:val="clear" w:color="auto" w:fill="F4F4F4"/>
            <w:tcMar>
              <w:top w:w="0" w:type="dxa"/>
              <w:left w:w="53" w:type="dxa"/>
              <w:bottom w:w="0" w:type="dxa"/>
              <w:right w:w="53" w:type="dxa"/>
            </w:tcMar>
            <w:vAlign w:val="bottom"/>
          </w:tcPr>
          <w:p w14:paraId="78812B21" w14:textId="77777777" w:rsidR="001614AC" w:rsidRDefault="004468F9">
            <w:pPr>
              <w:spacing w:before="75" w:after="30" w:line="288" w:lineRule="auto"/>
            </w:pPr>
            <w:r>
              <w:rPr>
                <w:rFonts w:ascii="Arial" w:eastAsia="Arial" w:hAnsi="Arial" w:cs="Arial"/>
                <w:color w:val="000000"/>
                <w:sz w:val="18"/>
              </w:rPr>
              <w:t xml:space="preserve">Total </w:t>
            </w:r>
            <w:r>
              <w:rPr>
                <w:rFonts w:ascii="Arial" w:eastAsia="Arial" w:hAnsi="Arial" w:cs="Arial"/>
                <w:color w:val="000000"/>
                <w:sz w:val="18"/>
              </w:rPr>
              <w:t>other assets</w:t>
            </w:r>
          </w:p>
        </w:tc>
        <w:tc>
          <w:tcPr>
            <w:tcW w:w="105" w:type="dxa"/>
            <w:tcBorders>
              <w:top w:val="nil"/>
              <w:left w:val="nil"/>
              <w:bottom w:val="nil"/>
              <w:right w:val="nil"/>
            </w:tcBorders>
            <w:shd w:val="clear" w:color="auto" w:fill="F4F4F4"/>
            <w:tcMar>
              <w:top w:w="0" w:type="dxa"/>
              <w:left w:w="0" w:type="dxa"/>
              <w:bottom w:w="0" w:type="dxa"/>
              <w:right w:w="0" w:type="dxa"/>
            </w:tcMar>
            <w:vAlign w:val="bottom"/>
          </w:tcPr>
          <w:p w14:paraId="0E609504" w14:textId="77777777" w:rsidR="001614AC" w:rsidRDefault="001614AC"/>
        </w:tc>
        <w:tc>
          <w:tcPr>
            <w:tcW w:w="160" w:type="dxa"/>
            <w:tcBorders>
              <w:top w:val="single" w:sz="8" w:space="0" w:color="C7C9C7"/>
              <w:left w:val="nil"/>
              <w:bottom w:val="double" w:sz="8" w:space="0" w:color="C7C9C7"/>
              <w:right w:val="nil"/>
            </w:tcBorders>
            <w:shd w:val="clear" w:color="auto" w:fill="F4F4F4"/>
            <w:tcMar>
              <w:top w:w="0" w:type="dxa"/>
              <w:left w:w="53" w:type="dxa"/>
              <w:bottom w:w="0" w:type="dxa"/>
              <w:right w:w="0" w:type="dxa"/>
            </w:tcMar>
            <w:vAlign w:val="bottom"/>
          </w:tcPr>
          <w:p w14:paraId="2A417007" w14:textId="77777777" w:rsidR="001614AC" w:rsidRDefault="004468F9">
            <w:pPr>
              <w:spacing w:before="55" w:after="30" w:line="288" w:lineRule="auto"/>
            </w:pPr>
            <w:r>
              <w:rPr>
                <w:rFonts w:ascii="Arial" w:eastAsia="Arial" w:hAnsi="Arial" w:cs="Arial"/>
                <w:color w:val="000000"/>
                <w:sz w:val="18"/>
              </w:rPr>
              <w:t>$</w:t>
            </w:r>
          </w:p>
        </w:tc>
        <w:tc>
          <w:tcPr>
            <w:tcW w:w="1240" w:type="dxa"/>
            <w:tcBorders>
              <w:top w:val="single" w:sz="8" w:space="0" w:color="C7C9C7"/>
              <w:left w:val="nil"/>
              <w:bottom w:val="double" w:sz="8" w:space="0" w:color="C7C9C7"/>
              <w:right w:val="nil"/>
            </w:tcBorders>
            <w:shd w:val="clear" w:color="auto" w:fill="F4F4F4"/>
            <w:tcMar>
              <w:top w:w="0" w:type="dxa"/>
              <w:left w:w="0" w:type="dxa"/>
              <w:bottom w:w="0" w:type="dxa"/>
              <w:right w:w="0" w:type="dxa"/>
            </w:tcMar>
            <w:vAlign w:val="bottom"/>
          </w:tcPr>
          <w:p w14:paraId="2B739183" w14:textId="77777777" w:rsidR="001614AC" w:rsidRDefault="004468F9">
            <w:pPr>
              <w:spacing w:before="55" w:after="30" w:line="288" w:lineRule="auto"/>
              <w:jc w:val="right"/>
            </w:pPr>
            <w:r>
              <w:rPr>
                <w:rFonts w:ascii="Arial" w:eastAsia="Arial" w:hAnsi="Arial" w:cs="Arial"/>
                <w:color w:val="000000"/>
                <w:sz w:val="18"/>
              </w:rPr>
              <w:t>815,261 </w:t>
            </w:r>
          </w:p>
        </w:tc>
        <w:tc>
          <w:tcPr>
            <w:tcW w:w="100" w:type="dxa"/>
            <w:tcBorders>
              <w:top w:val="single" w:sz="8" w:space="0" w:color="C7C9C7"/>
              <w:left w:val="nil"/>
              <w:bottom w:val="double" w:sz="8" w:space="0" w:color="C7C9C7"/>
              <w:right w:val="nil"/>
            </w:tcBorders>
            <w:shd w:val="clear" w:color="auto" w:fill="F4F4F4"/>
            <w:tcMar>
              <w:top w:w="0" w:type="dxa"/>
              <w:left w:w="0" w:type="dxa"/>
              <w:bottom w:w="0" w:type="dxa"/>
              <w:right w:w="15" w:type="dxa"/>
            </w:tcMar>
            <w:vAlign w:val="bottom"/>
          </w:tcPr>
          <w:p w14:paraId="0BA227AF" w14:textId="77777777" w:rsidR="001614AC" w:rsidRDefault="001614AC">
            <w:pPr>
              <w:spacing w:before="55" w:after="30" w:line="288" w:lineRule="auto"/>
              <w:jc w:val="right"/>
            </w:pPr>
          </w:p>
        </w:tc>
        <w:tc>
          <w:tcPr>
            <w:tcW w:w="105" w:type="dxa"/>
            <w:tcBorders>
              <w:top w:val="nil"/>
              <w:left w:val="nil"/>
              <w:bottom w:val="nil"/>
              <w:right w:val="nil"/>
            </w:tcBorders>
            <w:shd w:val="clear" w:color="auto" w:fill="F4F4F4"/>
            <w:tcMar>
              <w:top w:w="0" w:type="dxa"/>
              <w:left w:w="0" w:type="dxa"/>
              <w:bottom w:w="0" w:type="dxa"/>
              <w:right w:w="0" w:type="dxa"/>
            </w:tcMar>
            <w:vAlign w:val="bottom"/>
          </w:tcPr>
          <w:p w14:paraId="66D916ED" w14:textId="77777777" w:rsidR="001614AC" w:rsidRDefault="001614AC"/>
        </w:tc>
        <w:tc>
          <w:tcPr>
            <w:tcW w:w="160" w:type="dxa"/>
            <w:tcBorders>
              <w:top w:val="single" w:sz="8" w:space="0" w:color="C7C9C7"/>
              <w:left w:val="nil"/>
              <w:bottom w:val="double" w:sz="8" w:space="0" w:color="C7C9C7"/>
              <w:right w:val="nil"/>
            </w:tcBorders>
            <w:shd w:val="clear" w:color="auto" w:fill="F4F4F4"/>
            <w:tcMar>
              <w:top w:w="0" w:type="dxa"/>
              <w:left w:w="53" w:type="dxa"/>
              <w:bottom w:w="0" w:type="dxa"/>
              <w:right w:w="0" w:type="dxa"/>
            </w:tcMar>
            <w:vAlign w:val="bottom"/>
          </w:tcPr>
          <w:p w14:paraId="31515E56" w14:textId="77777777" w:rsidR="001614AC" w:rsidRDefault="004468F9">
            <w:pPr>
              <w:spacing w:before="55" w:after="30" w:line="288" w:lineRule="auto"/>
            </w:pPr>
            <w:r>
              <w:rPr>
                <w:rFonts w:ascii="Arial" w:eastAsia="Arial" w:hAnsi="Arial" w:cs="Arial"/>
                <w:color w:val="000000"/>
                <w:sz w:val="18"/>
              </w:rPr>
              <w:t>$</w:t>
            </w:r>
          </w:p>
        </w:tc>
        <w:tc>
          <w:tcPr>
            <w:tcW w:w="1240" w:type="dxa"/>
            <w:tcBorders>
              <w:top w:val="single" w:sz="8" w:space="0" w:color="C7C9C7"/>
              <w:left w:val="nil"/>
              <w:bottom w:val="double" w:sz="8" w:space="0" w:color="C7C9C7"/>
              <w:right w:val="nil"/>
            </w:tcBorders>
            <w:shd w:val="clear" w:color="auto" w:fill="F4F4F4"/>
            <w:tcMar>
              <w:top w:w="0" w:type="dxa"/>
              <w:left w:w="0" w:type="dxa"/>
              <w:bottom w:w="0" w:type="dxa"/>
              <w:right w:w="0" w:type="dxa"/>
            </w:tcMar>
            <w:vAlign w:val="bottom"/>
          </w:tcPr>
          <w:p w14:paraId="199CD3B9" w14:textId="77777777" w:rsidR="001614AC" w:rsidRDefault="004468F9">
            <w:pPr>
              <w:spacing w:before="55" w:after="30" w:line="288" w:lineRule="auto"/>
              <w:jc w:val="right"/>
            </w:pPr>
            <w:r>
              <w:rPr>
                <w:rFonts w:ascii="Arial" w:eastAsia="Arial" w:hAnsi="Arial" w:cs="Arial"/>
                <w:color w:val="000000"/>
                <w:sz w:val="18"/>
              </w:rPr>
              <w:t>715,085 </w:t>
            </w:r>
          </w:p>
        </w:tc>
        <w:tc>
          <w:tcPr>
            <w:tcW w:w="100" w:type="dxa"/>
            <w:tcBorders>
              <w:top w:val="single" w:sz="8" w:space="0" w:color="C7C9C7"/>
              <w:left w:val="nil"/>
              <w:bottom w:val="double" w:sz="8" w:space="0" w:color="C7C9C7"/>
              <w:right w:val="nil"/>
            </w:tcBorders>
            <w:shd w:val="clear" w:color="auto" w:fill="F4F4F4"/>
            <w:tcMar>
              <w:top w:w="0" w:type="dxa"/>
              <w:left w:w="0" w:type="dxa"/>
              <w:bottom w:w="0" w:type="dxa"/>
              <w:right w:w="15" w:type="dxa"/>
            </w:tcMar>
            <w:vAlign w:val="bottom"/>
          </w:tcPr>
          <w:p w14:paraId="307328D0" w14:textId="77777777" w:rsidR="001614AC" w:rsidRDefault="001614AC">
            <w:pPr>
              <w:spacing w:before="55" w:after="30" w:line="288" w:lineRule="auto"/>
              <w:jc w:val="right"/>
            </w:pPr>
          </w:p>
        </w:tc>
      </w:tr>
    </w:tbl>
    <w:p w14:paraId="69D8D971" w14:textId="77777777" w:rsidR="001614AC" w:rsidRDefault="004468F9" w:rsidP="004468F9">
      <w:pPr>
        <w:keepNext/>
        <w:numPr>
          <w:ilvl w:val="0"/>
          <w:numId w:val="22"/>
        </w:numPr>
        <w:spacing w:line="288" w:lineRule="auto"/>
        <w:ind w:left="360"/>
        <w:rPr>
          <w:rFonts w:ascii="Arial" w:eastAsia="Arial" w:hAnsi="Arial" w:cs="Arial"/>
          <w:b/>
          <w:color w:val="64615D"/>
          <w:sz w:val="16"/>
        </w:rPr>
      </w:pPr>
      <w:r>
        <w:rPr>
          <w:rFonts w:ascii="Arial" w:eastAsia="Arial" w:hAnsi="Arial" w:cs="Arial"/>
          <w:color w:val="64615D"/>
          <w:sz w:val="16"/>
        </w:rPr>
        <w:lastRenderedPageBreak/>
        <w:t xml:space="preserve">Relates to our Single Premium QSR Program. </w:t>
      </w:r>
    </w:p>
    <w:p w14:paraId="3F1AAF33" w14:textId="77777777" w:rsidR="001614AC" w:rsidRDefault="004468F9" w:rsidP="004468F9">
      <w:pPr>
        <w:keepNext/>
        <w:numPr>
          <w:ilvl w:val="0"/>
          <w:numId w:val="22"/>
        </w:numPr>
        <w:spacing w:line="288" w:lineRule="auto"/>
        <w:ind w:left="360"/>
        <w:rPr>
          <w:rFonts w:ascii="Arial" w:eastAsia="Arial" w:hAnsi="Arial" w:cs="Arial"/>
          <w:b/>
          <w:color w:val="64615D"/>
          <w:sz w:val="16"/>
        </w:rPr>
      </w:pPr>
      <w:r>
        <w:rPr>
          <w:rFonts w:ascii="Arial" w:eastAsia="Arial" w:hAnsi="Arial" w:cs="Arial"/>
          <w:color w:val="64615D"/>
          <w:sz w:val="16"/>
        </w:rPr>
        <w:t xml:space="preserve">We are the beneficiary of insurance policies on the lives of certain of our current and past officers and employees. The balances reported in other assets reflect the </w:t>
      </w:r>
      <w:r>
        <w:rPr>
          <w:rFonts w:ascii="Arial" w:eastAsia="Arial" w:hAnsi="Arial" w:cs="Arial"/>
          <w:color w:val="64615D"/>
          <w:sz w:val="16"/>
        </w:rPr>
        <w:t>amounts that could be realized upon surrender of the insurance policies as of each respective date.</w:t>
      </w:r>
    </w:p>
    <w:p w14:paraId="7DC0079F" w14:textId="77777777" w:rsidR="001614AC" w:rsidRDefault="004468F9">
      <w:pPr>
        <w:spacing w:before="180" w:after="140" w:line="288" w:lineRule="auto"/>
        <w:rPr>
          <w:rFonts w:ascii="Arial" w:eastAsia="Arial" w:hAnsi="Arial" w:cs="Arial"/>
          <w:b/>
          <w:color w:val="002B49"/>
          <w:sz w:val="26"/>
        </w:rPr>
      </w:pPr>
      <w:r>
        <w:rPr>
          <w:rFonts w:ascii="Arial" w:eastAsia="Arial" w:hAnsi="Arial" w:cs="Arial"/>
          <w:b/>
          <w:color w:val="002B49"/>
          <w:sz w:val="26"/>
        </w:rPr>
        <w:t>Right-of-Use Assets</w:t>
      </w:r>
    </w:p>
    <w:p w14:paraId="4AF165A2" w14:textId="77777777" w:rsidR="001614AC" w:rsidRDefault="004468F9">
      <w:pPr>
        <w:spacing w:before="100" w:after="100" w:line="288" w:lineRule="auto"/>
        <w:ind w:firstLine="450"/>
        <w:rPr>
          <w:rFonts w:ascii="Arial" w:eastAsia="Arial" w:hAnsi="Arial" w:cs="Arial"/>
          <w:b/>
          <w:color w:val="64615D"/>
          <w:sz w:val="18"/>
        </w:rPr>
      </w:pPr>
      <w:r>
        <w:rPr>
          <w:rFonts w:ascii="Arial" w:eastAsia="Arial" w:hAnsi="Arial" w:cs="Arial"/>
          <w:sz w:val="18"/>
        </w:rPr>
        <w:t>We assess our various asset groups, which include right-of-use assets, for changes in grouping and for potential impairment when certain</w:t>
      </w:r>
      <w:r>
        <w:rPr>
          <w:rFonts w:ascii="Arial" w:eastAsia="Arial" w:hAnsi="Arial" w:cs="Arial"/>
          <w:sz w:val="18"/>
        </w:rPr>
        <w:t xml:space="preserve"> events occur or when there are changes in circumstances, including potential alternative uses. If circumstances require a change in asset groupings or a right-of-use asset to be tested for possible impairment, and the carrying value of the right-of-use as</w:t>
      </w:r>
      <w:r>
        <w:rPr>
          <w:rFonts w:ascii="Arial" w:eastAsia="Arial" w:hAnsi="Arial" w:cs="Arial"/>
          <w:sz w:val="18"/>
        </w:rPr>
        <w:t>set is not recoverable on an undiscounted cash flow basis, an impairment is recognized to the extent that the carrying value exceeds its fair value.</w:t>
      </w:r>
    </w:p>
    <w:p w14:paraId="29D4CFE5" w14:textId="77777777" w:rsidR="001614AC" w:rsidRDefault="004468F9">
      <w:pPr>
        <w:spacing w:before="100" w:line="288" w:lineRule="auto"/>
        <w:ind w:firstLine="450"/>
        <w:rPr>
          <w:rFonts w:ascii="Arial" w:eastAsia="Arial" w:hAnsi="Arial" w:cs="Arial"/>
          <w:b/>
          <w:color w:val="64615D"/>
          <w:sz w:val="18"/>
        </w:rPr>
      </w:pPr>
      <w:r>
        <w:rPr>
          <w:rFonts w:ascii="Arial" w:eastAsia="Arial" w:hAnsi="Arial" w:cs="Arial"/>
          <w:sz w:val="18"/>
        </w:rPr>
        <w:t xml:space="preserve">During the second quarter of 2021, in response to the COVID-19 pandemic and Radian’s successful transition </w:t>
      </w:r>
      <w:r>
        <w:rPr>
          <w:rFonts w:ascii="Arial" w:eastAsia="Arial" w:hAnsi="Arial" w:cs="Arial"/>
          <w:sz w:val="18"/>
        </w:rPr>
        <w:t>to a virtual work environment, we made the decision to exit, and to actively market for sublease, all office space in our current corporate headquarters. As part of this change, we also entered into a new lease with reduced square footage at another Philad</w:t>
      </w:r>
      <w:r>
        <w:rPr>
          <w:rFonts w:ascii="Arial" w:eastAsia="Arial" w:hAnsi="Arial" w:cs="Arial"/>
          <w:sz w:val="18"/>
        </w:rPr>
        <w:t>elphia area location, which upon opening we intend to designate as our new corporate headquarters location. Accordingly, during the three months ended June 30, 2021, we recognized an impairment of $3.5 million related to our current corporate headquarter l</w:t>
      </w:r>
      <w:r>
        <w:rPr>
          <w:rFonts w:ascii="Arial" w:eastAsia="Arial" w:hAnsi="Arial" w:cs="Arial"/>
          <w:sz w:val="18"/>
        </w:rPr>
        <w:t>eases, reducing the carrying value of certain lease assets and the related property and equipment to its estimated fair value. The right-of-use asset fair value was estimated using an income approach based on forecasted future cash flows expected to be der</w:t>
      </w:r>
      <w:r>
        <w:rPr>
          <w:rFonts w:ascii="Arial" w:eastAsia="Arial" w:hAnsi="Arial" w:cs="Arial"/>
          <w:sz w:val="18"/>
        </w:rPr>
        <w:t>ived from the property based on current sublease market rent, which could differ from actual results and require us to revise our initial estimates. Following this impairment, which was recorded within other operating expenses in our condensed consolidated</w:t>
      </w:r>
      <w:r>
        <w:rPr>
          <w:rFonts w:ascii="Arial" w:eastAsia="Arial" w:hAnsi="Arial" w:cs="Arial"/>
          <w:sz w:val="18"/>
        </w:rPr>
        <w:t xml:space="preserve"> statement of operations, the aggregate carrying value of the right-of-use assets and leasehold improvements related to the two corporate headquarter leases that we plan to sublease was </w:t>
      </w:r>
      <w:r>
        <w:rPr>
          <w:rFonts w:ascii="Arial" w:eastAsia="Arial" w:hAnsi="Arial" w:cs="Arial"/>
          <w:sz w:val="18"/>
          <w:shd w:val="clear" w:color="auto" w:fill="FFFFFF"/>
        </w:rPr>
        <w:t>$28.4 million</w:t>
      </w:r>
      <w:r>
        <w:rPr>
          <w:rFonts w:ascii="Arial" w:eastAsia="Arial" w:hAnsi="Arial" w:cs="Arial"/>
          <w:sz w:val="18"/>
        </w:rPr>
        <w:t xml:space="preserve"> as of June 30, 2021.</w:t>
      </w:r>
    </w:p>
    <w:p w14:paraId="64384813" w14:textId="77777777" w:rsidR="001614AC" w:rsidRDefault="001614AC">
      <w:pPr>
        <w:spacing w:before="100" w:line="288" w:lineRule="auto"/>
        <w:ind w:firstLine="450"/>
        <w:rPr>
          <w:rFonts w:ascii="Arial" w:eastAsia="Arial" w:hAnsi="Arial" w:cs="Arial"/>
          <w:b/>
          <w:color w:val="64615D"/>
          <w:sz w:val="16"/>
        </w:rPr>
        <w:sectPr w:rsidR="001614AC">
          <w:headerReference w:type="default" r:id="rId32"/>
          <w:type w:val="continuous"/>
          <w:pgSz w:w="12240" w:h="15840"/>
          <w:pgMar w:top="1260" w:right="1080" w:bottom="1080" w:left="1080" w:header="270" w:footer="270" w:gutter="0"/>
          <w:cols w:space="708"/>
        </w:sectPr>
      </w:pPr>
    </w:p>
    <w:p w14:paraId="5E31F078" w14:textId="77777777" w:rsidR="001614AC" w:rsidRDefault="004468F9">
      <w:pPr>
        <w:keepNext/>
        <w:tabs>
          <w:tab w:val="left" w:pos="360"/>
        </w:tabs>
        <w:spacing w:before="200" w:after="160" w:line="288" w:lineRule="auto"/>
        <w:ind w:left="360" w:hanging="360"/>
        <w:outlineLvl w:val="3"/>
        <w:rPr>
          <w:rFonts w:ascii="Arial" w:eastAsia="Arial" w:hAnsi="Arial" w:cs="Arial"/>
          <w:b/>
          <w:color w:val="4D6B80"/>
          <w:sz w:val="30"/>
        </w:rPr>
      </w:pPr>
      <w:bookmarkStart w:id="21" w:name="Section22"/>
      <w:bookmarkEnd w:id="21"/>
      <w:r>
        <w:rPr>
          <w:rFonts w:ascii="Arial" w:eastAsia="Arial" w:hAnsi="Arial" w:cs="Arial"/>
          <w:b/>
          <w:color w:val="4D6B80"/>
          <w:sz w:val="30"/>
        </w:rPr>
        <w:t xml:space="preserve">10. Income Taxes </w:t>
      </w:r>
    </w:p>
    <w:p w14:paraId="3CE31731" w14:textId="77777777" w:rsidR="001614AC" w:rsidRDefault="004468F9">
      <w:pPr>
        <w:keepNext/>
        <w:spacing w:before="100" w:after="100" w:line="288" w:lineRule="auto"/>
        <w:ind w:firstLine="450"/>
        <w:rPr>
          <w:rFonts w:ascii="Arial" w:eastAsia="Arial" w:hAnsi="Arial" w:cs="Arial"/>
          <w:b/>
          <w:color w:val="4D6B80"/>
          <w:sz w:val="18"/>
        </w:rPr>
      </w:pPr>
      <w:r>
        <w:rPr>
          <w:rFonts w:ascii="Arial" w:eastAsia="Arial" w:hAnsi="Arial" w:cs="Arial"/>
          <w:sz w:val="18"/>
        </w:rPr>
        <w:t>As of June 30, 2021 and December 31, 2020</w:t>
      </w:r>
      <w:r>
        <w:rPr>
          <w:rFonts w:ascii="Arial" w:eastAsia="Arial" w:hAnsi="Arial" w:cs="Arial"/>
          <w:sz w:val="18"/>
        </w:rPr>
        <w:t xml:space="preserve">, our current income tax liability was $18.1 million and $17.5 million, respectively, and is included as a component of other liabilities in our condensed consolidated balance sheets. </w:t>
      </w:r>
    </w:p>
    <w:p w14:paraId="6EFD8658" w14:textId="77777777" w:rsidR="001614AC" w:rsidRDefault="004468F9">
      <w:pPr>
        <w:spacing w:before="100" w:after="100" w:line="288" w:lineRule="auto"/>
        <w:ind w:firstLine="450"/>
        <w:rPr>
          <w:rFonts w:ascii="Arial" w:eastAsia="Arial" w:hAnsi="Arial" w:cs="Arial"/>
          <w:b/>
          <w:color w:val="4D6B80"/>
          <w:sz w:val="18"/>
        </w:rPr>
      </w:pPr>
      <w:r>
        <w:rPr>
          <w:rFonts w:ascii="Arial" w:eastAsia="Arial" w:hAnsi="Arial" w:cs="Arial"/>
          <w:sz w:val="18"/>
        </w:rPr>
        <w:t xml:space="preserve">Certain entities within our consolidated group have generated deferred </w:t>
      </w:r>
      <w:r>
        <w:rPr>
          <w:rFonts w:ascii="Arial" w:eastAsia="Arial" w:hAnsi="Arial" w:cs="Arial"/>
          <w:sz w:val="18"/>
        </w:rPr>
        <w:t>tax assets relating primarily to state and local NOL carryforwards, which, if unutilized, will expire during various future tax periods. We are required to establish a valuation allowance against our deferred tax assets when it is more likely than not that</w:t>
      </w:r>
      <w:r>
        <w:rPr>
          <w:rFonts w:ascii="Arial" w:eastAsia="Arial" w:hAnsi="Arial" w:cs="Arial"/>
          <w:sz w:val="18"/>
        </w:rPr>
        <w:t xml:space="preserve"> all or some portion of our deferred tax assets will not be realized. At each balance sheet date, we assess our need for a valuation allowance and this assessment is based on all available evidence, both positive and negative. This requires management to e</w:t>
      </w:r>
      <w:r>
        <w:rPr>
          <w:rFonts w:ascii="Arial" w:eastAsia="Arial" w:hAnsi="Arial" w:cs="Arial"/>
          <w:sz w:val="18"/>
        </w:rPr>
        <w:t>xercise judgment and make assumptions regarding whether our deferred tax assets will be realized in future periods. We have determined that certain entities within Radian Group may continue to generate taxable losses on a separate company basis in the near</w:t>
      </w:r>
      <w:r>
        <w:rPr>
          <w:rFonts w:ascii="Arial" w:eastAsia="Arial" w:hAnsi="Arial" w:cs="Arial"/>
          <w:sz w:val="18"/>
        </w:rPr>
        <w:t xml:space="preserve"> term and may not be able to fully utilize certain of their state and local NOLs on their state and local tax returns. Therefore, with respect to deferred tax assets relating to these state and local NOLs and other state timing adjustments, we retained a v</w:t>
      </w:r>
      <w:r>
        <w:rPr>
          <w:rFonts w:ascii="Arial" w:eastAsia="Arial" w:hAnsi="Arial" w:cs="Arial"/>
          <w:sz w:val="18"/>
        </w:rPr>
        <w:t>aluation allowance</w:t>
      </w:r>
      <w:r>
        <w:rPr>
          <w:rFonts w:ascii="Arial" w:eastAsia="Arial" w:hAnsi="Arial" w:cs="Arial"/>
          <w:sz w:val="18"/>
          <w:shd w:val="clear" w:color="auto" w:fill="FFFFFF"/>
        </w:rPr>
        <w:t xml:space="preserve"> of</w:t>
      </w:r>
      <w:r>
        <w:rPr>
          <w:rFonts w:ascii="Arial" w:eastAsia="Arial" w:hAnsi="Arial" w:cs="Arial"/>
          <w:sz w:val="18"/>
        </w:rPr>
        <w:t xml:space="preserve"> $80.7 million </w:t>
      </w:r>
      <w:r>
        <w:rPr>
          <w:rFonts w:ascii="Arial" w:eastAsia="Arial" w:hAnsi="Arial" w:cs="Arial"/>
          <w:sz w:val="18"/>
          <w:shd w:val="clear" w:color="auto" w:fill="FFFFFF"/>
        </w:rPr>
        <w:t xml:space="preserve">at </w:t>
      </w:r>
      <w:r>
        <w:rPr>
          <w:rFonts w:ascii="Arial" w:eastAsia="Arial" w:hAnsi="Arial" w:cs="Arial"/>
          <w:sz w:val="18"/>
        </w:rPr>
        <w:t>June 30, 2021.</w:t>
      </w:r>
    </w:p>
    <w:p w14:paraId="0F17CC1E" w14:textId="77777777" w:rsidR="001614AC" w:rsidRDefault="004468F9">
      <w:pPr>
        <w:spacing w:before="100" w:after="100" w:line="288" w:lineRule="auto"/>
        <w:ind w:firstLine="450"/>
        <w:rPr>
          <w:rFonts w:ascii="Arial" w:eastAsia="Arial" w:hAnsi="Arial" w:cs="Arial"/>
          <w:b/>
          <w:color w:val="4D6B80"/>
          <w:sz w:val="18"/>
          <w:shd w:val="clear" w:color="auto" w:fill="B6B6B6"/>
        </w:rPr>
      </w:pPr>
      <w:r>
        <w:rPr>
          <w:rFonts w:ascii="Arial" w:eastAsia="Arial" w:hAnsi="Arial" w:cs="Arial"/>
          <w:sz w:val="18"/>
        </w:rPr>
        <w:t xml:space="preserve">As a mortgage guaranty insurer, we are eligible for a tax deduction, subject to certain limitations, under Internal Revenue Code Section 832(e) for amounts required by state law or regulation to be set </w:t>
      </w:r>
      <w:r>
        <w:rPr>
          <w:rFonts w:ascii="Arial" w:eastAsia="Arial" w:hAnsi="Arial" w:cs="Arial"/>
          <w:sz w:val="18"/>
        </w:rPr>
        <w:t>aside in statutory contingency reserves. The deduction is allowed only to the extent that, in conjunction with quarterly federal tax payment due dates, we purchase non-interest bearing U.S. Mortgage Guaranty Tax and Loss Bonds issued by the U.S. Department</w:t>
      </w:r>
      <w:r>
        <w:rPr>
          <w:rFonts w:ascii="Arial" w:eastAsia="Arial" w:hAnsi="Arial" w:cs="Arial"/>
          <w:sz w:val="18"/>
        </w:rPr>
        <w:t xml:space="preserve"> of the Treasury in an amount equal to the tax benefit derived from deducting any portion of our statutory contingency reserves. As of June 30, 2021 and December 31, 2020, we held $275.6 million and $210.9 million of these bonds, respectively, which are in</w:t>
      </w:r>
      <w:r>
        <w:rPr>
          <w:rFonts w:ascii="Arial" w:eastAsia="Arial" w:hAnsi="Arial" w:cs="Arial"/>
          <w:sz w:val="18"/>
        </w:rPr>
        <w:t xml:space="preserve">cluded as prepaid federal income taxes within other assets in our condensed consolidated balance sheets. The corresponding deduction of our statutory contingency reserves resulted in the recognition of a net deferred tax liability. See Note 16 of Notes to </w:t>
      </w:r>
      <w:r>
        <w:rPr>
          <w:rFonts w:ascii="Arial" w:eastAsia="Arial" w:hAnsi="Arial" w:cs="Arial"/>
          <w:sz w:val="18"/>
        </w:rPr>
        <w:t>Consolidated Financial Statements in our 2020 Form 10-K for additional information about our U.S. Mortgage Guaranty Tax and Loss Bonds.</w:t>
      </w:r>
    </w:p>
    <w:p w14:paraId="1EFE4EFA" w14:textId="77777777" w:rsidR="001614AC" w:rsidRDefault="004468F9">
      <w:pPr>
        <w:spacing w:before="100" w:line="288" w:lineRule="auto"/>
        <w:ind w:firstLine="450"/>
        <w:rPr>
          <w:rFonts w:ascii="Arial" w:eastAsia="Arial" w:hAnsi="Arial" w:cs="Arial"/>
          <w:b/>
          <w:color w:val="4D6B80"/>
          <w:sz w:val="18"/>
          <w:shd w:val="clear" w:color="auto" w:fill="B6B6B6"/>
        </w:rPr>
      </w:pPr>
      <w:r>
        <w:rPr>
          <w:rFonts w:ascii="Arial" w:eastAsia="Arial" w:hAnsi="Arial" w:cs="Arial"/>
          <w:sz w:val="18"/>
        </w:rPr>
        <w:t>For additional information on our income taxes, including our accounting policies, see Notes 2 and 10 of Notes to Consol</w:t>
      </w:r>
      <w:r>
        <w:rPr>
          <w:rFonts w:ascii="Arial" w:eastAsia="Arial" w:hAnsi="Arial" w:cs="Arial"/>
          <w:sz w:val="18"/>
        </w:rPr>
        <w:t>idated Financial Statements in our 2020 Form 10-K.</w:t>
      </w:r>
    </w:p>
    <w:p w14:paraId="1D288984" w14:textId="77777777" w:rsidR="001614AC" w:rsidRDefault="001614AC">
      <w:pPr>
        <w:spacing w:before="100" w:line="288" w:lineRule="auto"/>
        <w:ind w:firstLine="450"/>
        <w:rPr>
          <w:rFonts w:ascii="Arial" w:eastAsia="Arial" w:hAnsi="Arial" w:cs="Arial"/>
          <w:b/>
          <w:color w:val="4D6B80"/>
          <w:sz w:val="30"/>
        </w:rPr>
        <w:sectPr w:rsidR="001614AC">
          <w:headerReference w:type="default" r:id="rId33"/>
          <w:type w:val="continuous"/>
          <w:pgSz w:w="12240" w:h="15840"/>
          <w:pgMar w:top="1260" w:right="1080" w:bottom="1080" w:left="1080" w:header="270" w:footer="270" w:gutter="0"/>
          <w:cols w:space="708"/>
        </w:sectPr>
      </w:pPr>
    </w:p>
    <w:p w14:paraId="37304560" w14:textId="77777777" w:rsidR="001614AC" w:rsidRDefault="004468F9">
      <w:pPr>
        <w:keepNext/>
        <w:tabs>
          <w:tab w:val="left" w:pos="540"/>
        </w:tabs>
        <w:spacing w:before="200" w:after="160" w:line="288" w:lineRule="auto"/>
        <w:ind w:left="360" w:hanging="360"/>
        <w:outlineLvl w:val="3"/>
        <w:rPr>
          <w:rFonts w:ascii="Arial" w:eastAsia="Arial" w:hAnsi="Arial" w:cs="Arial"/>
          <w:b/>
          <w:color w:val="4D6B80"/>
          <w:sz w:val="30"/>
        </w:rPr>
      </w:pPr>
      <w:bookmarkStart w:id="22" w:name="Section23"/>
      <w:bookmarkEnd w:id="22"/>
      <w:r>
        <w:rPr>
          <w:rFonts w:ascii="Arial" w:eastAsia="Arial" w:hAnsi="Arial" w:cs="Arial"/>
          <w:b/>
          <w:color w:val="4D6B80"/>
          <w:sz w:val="30"/>
        </w:rPr>
        <w:lastRenderedPageBreak/>
        <w:t xml:space="preserve">11. Losses and </w:t>
      </w:r>
      <w:r>
        <w:rPr>
          <w:rFonts w:ascii="Arial" w:eastAsia="Arial" w:hAnsi="Arial" w:cs="Arial"/>
          <w:b/>
          <w:color w:val="4D6B80"/>
          <w:sz w:val="30"/>
        </w:rPr>
        <w:t>LAE</w:t>
      </w:r>
    </w:p>
    <w:p w14:paraId="51E24519" w14:textId="77777777" w:rsidR="001614AC" w:rsidRDefault="004468F9">
      <w:pPr>
        <w:keepNext/>
        <w:spacing w:before="100" w:after="100" w:line="288" w:lineRule="auto"/>
        <w:ind w:firstLine="495"/>
        <w:rPr>
          <w:rFonts w:ascii="Arial" w:eastAsia="Arial" w:hAnsi="Arial" w:cs="Arial"/>
          <w:b/>
          <w:color w:val="4D6B80"/>
          <w:sz w:val="18"/>
        </w:rPr>
      </w:pPr>
      <w:r>
        <w:rPr>
          <w:rFonts w:ascii="Arial" w:eastAsia="Arial" w:hAnsi="Arial" w:cs="Arial"/>
          <w:sz w:val="18"/>
        </w:rPr>
        <w:t>Our reserve for losses and LAE, at the end of each period indicated, consisted of the following.</w:t>
      </w:r>
    </w:p>
    <w:tbl>
      <w:tblPr>
        <w:tblW w:w="102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08"/>
        <w:gridCol w:w="107"/>
        <w:gridCol w:w="163"/>
        <w:gridCol w:w="1265"/>
        <w:gridCol w:w="102"/>
        <w:gridCol w:w="107"/>
        <w:gridCol w:w="163"/>
        <w:gridCol w:w="1265"/>
        <w:gridCol w:w="102"/>
      </w:tblGrid>
      <w:tr w:rsidR="001614AC" w14:paraId="38CB1B22" w14:textId="77777777">
        <w:trPr>
          <w:cantSplit/>
        </w:trPr>
        <w:tc>
          <w:tcPr>
            <w:tcW w:w="10080" w:type="dxa"/>
            <w:gridSpan w:val="9"/>
            <w:tcBorders>
              <w:top w:val="nil"/>
              <w:left w:val="nil"/>
              <w:bottom w:val="single" w:sz="12" w:space="0" w:color="99AAB6"/>
              <w:right w:val="nil"/>
            </w:tcBorders>
            <w:tcMar>
              <w:top w:w="0" w:type="dxa"/>
              <w:left w:w="53" w:type="dxa"/>
              <w:bottom w:w="0" w:type="dxa"/>
              <w:right w:w="53" w:type="dxa"/>
            </w:tcMar>
            <w:vAlign w:val="bottom"/>
          </w:tcPr>
          <w:p w14:paraId="7081A606" w14:textId="77777777" w:rsidR="001614AC" w:rsidRDefault="004468F9">
            <w:pPr>
              <w:keepNext/>
              <w:spacing w:before="75" w:after="30" w:line="288" w:lineRule="auto"/>
            </w:pPr>
            <w:r>
              <w:rPr>
                <w:rFonts w:ascii="Arial" w:eastAsia="Arial" w:hAnsi="Arial" w:cs="Arial"/>
                <w:b/>
                <w:color w:val="000000"/>
                <w:sz w:val="20"/>
              </w:rPr>
              <w:t>Reserve for losses and LAE</w:t>
            </w:r>
          </w:p>
        </w:tc>
      </w:tr>
      <w:tr w:rsidR="001614AC" w14:paraId="2BA057A7" w14:textId="77777777">
        <w:trPr>
          <w:cantSplit/>
          <w:trHeight w:hRule="exact" w:val="135"/>
        </w:trPr>
        <w:tc>
          <w:tcPr>
            <w:tcW w:w="6870" w:type="dxa"/>
            <w:tcBorders>
              <w:top w:val="nil"/>
              <w:left w:val="nil"/>
              <w:bottom w:val="nil"/>
              <w:right w:val="nil"/>
            </w:tcBorders>
            <w:tcMar>
              <w:top w:w="0" w:type="dxa"/>
              <w:left w:w="0" w:type="dxa"/>
              <w:bottom w:w="0" w:type="dxa"/>
              <w:right w:w="0" w:type="dxa"/>
            </w:tcMar>
            <w:vAlign w:val="bottom"/>
          </w:tcPr>
          <w:p w14:paraId="62DCB101" w14:textId="77777777" w:rsidR="001614AC" w:rsidRDefault="001614AC">
            <w:pPr>
              <w:keepNext/>
            </w:pPr>
          </w:p>
        </w:tc>
        <w:tc>
          <w:tcPr>
            <w:tcW w:w="105" w:type="dxa"/>
            <w:tcBorders>
              <w:top w:val="single" w:sz="12" w:space="0" w:color="99AAB6"/>
              <w:left w:val="nil"/>
              <w:bottom w:val="nil"/>
              <w:right w:val="nil"/>
            </w:tcBorders>
            <w:tcMar>
              <w:top w:w="0" w:type="dxa"/>
              <w:left w:w="0" w:type="dxa"/>
              <w:bottom w:w="0" w:type="dxa"/>
              <w:right w:w="0" w:type="dxa"/>
            </w:tcMar>
            <w:vAlign w:val="bottom"/>
          </w:tcPr>
          <w:p w14:paraId="477F6268" w14:textId="77777777" w:rsidR="001614AC" w:rsidRDefault="001614AC">
            <w:pPr>
              <w:keepNext/>
            </w:pPr>
          </w:p>
        </w:tc>
        <w:tc>
          <w:tcPr>
            <w:tcW w:w="1500" w:type="dxa"/>
            <w:gridSpan w:val="3"/>
            <w:tcBorders>
              <w:top w:val="single" w:sz="12" w:space="0" w:color="99AAB6"/>
              <w:left w:val="nil"/>
              <w:bottom w:val="nil"/>
              <w:right w:val="nil"/>
            </w:tcBorders>
            <w:tcMar>
              <w:top w:w="0" w:type="dxa"/>
              <w:left w:w="0" w:type="dxa"/>
              <w:bottom w:w="0" w:type="dxa"/>
              <w:right w:w="0" w:type="dxa"/>
            </w:tcMar>
            <w:vAlign w:val="bottom"/>
          </w:tcPr>
          <w:p w14:paraId="7CEF10F6" w14:textId="77777777" w:rsidR="001614AC" w:rsidRDefault="001614AC">
            <w:pPr>
              <w:keepNext/>
            </w:pPr>
          </w:p>
        </w:tc>
        <w:tc>
          <w:tcPr>
            <w:tcW w:w="105" w:type="dxa"/>
            <w:tcBorders>
              <w:top w:val="single" w:sz="12" w:space="0" w:color="99AAB6"/>
              <w:left w:val="nil"/>
              <w:bottom w:val="nil"/>
              <w:right w:val="nil"/>
            </w:tcBorders>
            <w:tcMar>
              <w:top w:w="0" w:type="dxa"/>
              <w:left w:w="0" w:type="dxa"/>
              <w:bottom w:w="0" w:type="dxa"/>
              <w:right w:w="0" w:type="dxa"/>
            </w:tcMar>
            <w:vAlign w:val="bottom"/>
          </w:tcPr>
          <w:p w14:paraId="7A6A9DC2" w14:textId="77777777" w:rsidR="001614AC" w:rsidRDefault="001614AC">
            <w:pPr>
              <w:keepNext/>
            </w:pPr>
          </w:p>
        </w:tc>
        <w:tc>
          <w:tcPr>
            <w:tcW w:w="1500" w:type="dxa"/>
            <w:gridSpan w:val="3"/>
            <w:tcBorders>
              <w:top w:val="single" w:sz="12" w:space="0" w:color="99AAB6"/>
              <w:left w:val="nil"/>
              <w:bottom w:val="nil"/>
              <w:right w:val="nil"/>
            </w:tcBorders>
            <w:tcMar>
              <w:top w:w="0" w:type="dxa"/>
              <w:left w:w="0" w:type="dxa"/>
              <w:bottom w:w="0" w:type="dxa"/>
              <w:right w:w="0" w:type="dxa"/>
            </w:tcMar>
            <w:vAlign w:val="bottom"/>
          </w:tcPr>
          <w:p w14:paraId="673306FF" w14:textId="77777777" w:rsidR="001614AC" w:rsidRDefault="001614AC">
            <w:pPr>
              <w:keepNext/>
            </w:pPr>
          </w:p>
        </w:tc>
      </w:tr>
      <w:tr w:rsidR="001614AC" w14:paraId="59DD55ED" w14:textId="77777777">
        <w:trPr>
          <w:cantSplit/>
        </w:trPr>
        <w:tc>
          <w:tcPr>
            <w:tcW w:w="6870" w:type="dxa"/>
            <w:tcBorders>
              <w:top w:val="nil"/>
              <w:left w:val="nil"/>
              <w:bottom w:val="single" w:sz="8" w:space="0" w:color="C7C9C7"/>
              <w:right w:val="nil"/>
            </w:tcBorders>
            <w:tcMar>
              <w:top w:w="0" w:type="dxa"/>
              <w:left w:w="53" w:type="dxa"/>
              <w:bottom w:w="0" w:type="dxa"/>
              <w:right w:w="53" w:type="dxa"/>
            </w:tcMar>
            <w:vAlign w:val="bottom"/>
          </w:tcPr>
          <w:p w14:paraId="414F748A" w14:textId="77777777" w:rsidR="001614AC" w:rsidRDefault="004468F9">
            <w:pPr>
              <w:keepNext/>
              <w:spacing w:before="75" w:after="30" w:line="288" w:lineRule="auto"/>
            </w:pPr>
            <w:r>
              <w:rPr>
                <w:rFonts w:ascii="Arial" w:eastAsia="Arial" w:hAnsi="Arial" w:cs="Arial"/>
                <w:color w:val="8B8886"/>
                <w:sz w:val="16"/>
              </w:rPr>
              <w:t>(In thousands)</w:t>
            </w:r>
          </w:p>
        </w:tc>
        <w:tc>
          <w:tcPr>
            <w:tcW w:w="105" w:type="dxa"/>
            <w:tcBorders>
              <w:top w:val="nil"/>
              <w:left w:val="nil"/>
              <w:bottom w:val="single" w:sz="8" w:space="0" w:color="C7C9C7"/>
              <w:right w:val="nil"/>
            </w:tcBorders>
            <w:tcMar>
              <w:top w:w="0" w:type="dxa"/>
              <w:left w:w="0" w:type="dxa"/>
              <w:bottom w:w="0" w:type="dxa"/>
              <w:right w:w="0" w:type="dxa"/>
            </w:tcMar>
            <w:vAlign w:val="bottom"/>
          </w:tcPr>
          <w:p w14:paraId="2036A7EE" w14:textId="77777777" w:rsidR="001614AC" w:rsidRDefault="001614AC">
            <w:pPr>
              <w:keepNext/>
            </w:pPr>
          </w:p>
        </w:tc>
        <w:tc>
          <w:tcPr>
            <w:tcW w:w="1500" w:type="dxa"/>
            <w:gridSpan w:val="3"/>
            <w:tcBorders>
              <w:top w:val="nil"/>
              <w:left w:val="nil"/>
              <w:bottom w:val="single" w:sz="8" w:space="0" w:color="C7C9C7"/>
              <w:right w:val="nil"/>
            </w:tcBorders>
            <w:shd w:val="clear" w:color="auto" w:fill="E6F8F8"/>
            <w:tcMar>
              <w:top w:w="0" w:type="dxa"/>
              <w:left w:w="53" w:type="dxa"/>
              <w:bottom w:w="0" w:type="dxa"/>
              <w:right w:w="53" w:type="dxa"/>
            </w:tcMar>
            <w:vAlign w:val="bottom"/>
          </w:tcPr>
          <w:p w14:paraId="6BD5081C" w14:textId="77777777" w:rsidR="001614AC" w:rsidRDefault="004468F9">
            <w:pPr>
              <w:keepNext/>
              <w:spacing w:before="75" w:after="30" w:line="288" w:lineRule="auto"/>
              <w:jc w:val="center"/>
            </w:pPr>
            <w:r>
              <w:rPr>
                <w:rFonts w:ascii="Arial" w:eastAsia="Arial" w:hAnsi="Arial" w:cs="Arial"/>
                <w:b/>
                <w:color w:val="00BAB3"/>
                <w:sz w:val="18"/>
              </w:rPr>
              <w:t>June 30,</w:t>
            </w:r>
            <w:r>
              <w:br/>
            </w:r>
            <w:r>
              <w:rPr>
                <w:rFonts w:ascii="Arial" w:eastAsia="Arial" w:hAnsi="Arial" w:cs="Arial"/>
                <w:b/>
                <w:color w:val="00BAB3"/>
                <w:sz w:val="18"/>
              </w:rPr>
              <w:t>2021</w:t>
            </w:r>
          </w:p>
        </w:tc>
        <w:tc>
          <w:tcPr>
            <w:tcW w:w="105" w:type="dxa"/>
            <w:tcBorders>
              <w:top w:val="nil"/>
              <w:left w:val="nil"/>
              <w:bottom w:val="single" w:sz="8" w:space="0" w:color="C7C9C7"/>
              <w:right w:val="nil"/>
            </w:tcBorders>
            <w:tcMar>
              <w:top w:w="0" w:type="dxa"/>
              <w:left w:w="0" w:type="dxa"/>
              <w:bottom w:w="0" w:type="dxa"/>
              <w:right w:w="0" w:type="dxa"/>
            </w:tcMar>
            <w:vAlign w:val="bottom"/>
          </w:tcPr>
          <w:p w14:paraId="66A51248" w14:textId="77777777" w:rsidR="001614AC" w:rsidRDefault="001614AC">
            <w:pPr>
              <w:keepNext/>
            </w:pPr>
          </w:p>
        </w:tc>
        <w:tc>
          <w:tcPr>
            <w:tcW w:w="1500" w:type="dxa"/>
            <w:gridSpan w:val="3"/>
            <w:tcBorders>
              <w:top w:val="nil"/>
              <w:left w:val="nil"/>
              <w:bottom w:val="single" w:sz="8" w:space="0" w:color="C7C9C7"/>
              <w:right w:val="nil"/>
            </w:tcBorders>
            <w:shd w:val="clear" w:color="auto" w:fill="F4F4F4"/>
            <w:tcMar>
              <w:top w:w="0" w:type="dxa"/>
              <w:left w:w="53" w:type="dxa"/>
              <w:bottom w:w="0" w:type="dxa"/>
              <w:right w:w="53" w:type="dxa"/>
            </w:tcMar>
            <w:vAlign w:val="bottom"/>
          </w:tcPr>
          <w:p w14:paraId="65BB3496" w14:textId="77777777" w:rsidR="001614AC" w:rsidRDefault="004468F9">
            <w:pPr>
              <w:keepNext/>
              <w:spacing w:before="75" w:after="30" w:line="288" w:lineRule="auto"/>
              <w:jc w:val="center"/>
            </w:pPr>
            <w:r>
              <w:rPr>
                <w:rFonts w:ascii="Arial" w:eastAsia="Arial" w:hAnsi="Arial" w:cs="Arial"/>
                <w:b/>
                <w:color w:val="00BAB3"/>
                <w:sz w:val="18"/>
              </w:rPr>
              <w:t>December 31,</w:t>
            </w:r>
            <w:r>
              <w:br/>
            </w:r>
            <w:r>
              <w:rPr>
                <w:rFonts w:ascii="Arial" w:eastAsia="Arial" w:hAnsi="Arial" w:cs="Arial"/>
                <w:b/>
                <w:color w:val="00BAB3"/>
                <w:sz w:val="18"/>
              </w:rPr>
              <w:t>2020</w:t>
            </w:r>
          </w:p>
        </w:tc>
      </w:tr>
      <w:tr w:rsidR="001614AC" w14:paraId="7756EFF0" w14:textId="77777777">
        <w:trPr>
          <w:cantSplit/>
        </w:trPr>
        <w:tc>
          <w:tcPr>
            <w:tcW w:w="6870" w:type="dxa"/>
            <w:tcBorders>
              <w:top w:val="single" w:sz="8" w:space="0" w:color="C7C9C7"/>
              <w:left w:val="nil"/>
              <w:bottom w:val="single" w:sz="8" w:space="0" w:color="E9E9E9"/>
              <w:right w:val="nil"/>
            </w:tcBorders>
            <w:tcMar>
              <w:top w:w="0" w:type="dxa"/>
              <w:left w:w="53" w:type="dxa"/>
              <w:bottom w:w="0" w:type="dxa"/>
              <w:right w:w="53" w:type="dxa"/>
            </w:tcMar>
            <w:vAlign w:val="bottom"/>
          </w:tcPr>
          <w:p w14:paraId="1B365378" w14:textId="77777777" w:rsidR="001614AC" w:rsidRDefault="004468F9">
            <w:pPr>
              <w:keepNext/>
              <w:spacing w:before="55" w:after="30" w:line="288" w:lineRule="auto"/>
              <w:rPr>
                <w:rFonts w:ascii="Arial" w:eastAsia="Arial" w:hAnsi="Arial" w:cs="Arial"/>
                <w:sz w:val="18"/>
              </w:rPr>
            </w:pPr>
            <w:r>
              <w:rPr>
                <w:rFonts w:ascii="Arial" w:eastAsia="Arial" w:hAnsi="Arial" w:cs="Arial"/>
                <w:sz w:val="18"/>
              </w:rPr>
              <w:t xml:space="preserve">Mortgage insurance loss reserves </w:t>
            </w:r>
            <w:r>
              <w:rPr>
                <w:rFonts w:ascii="Arial" w:eastAsia="Arial" w:hAnsi="Arial" w:cs="Arial"/>
                <w:sz w:val="18"/>
                <w:vertAlign w:val="superscript"/>
              </w:rPr>
              <w:t xml:space="preserve">(1) </w:t>
            </w:r>
          </w:p>
        </w:tc>
        <w:tc>
          <w:tcPr>
            <w:tcW w:w="105" w:type="dxa"/>
            <w:tcBorders>
              <w:top w:val="single" w:sz="8" w:space="0" w:color="C7C9C7"/>
              <w:left w:val="nil"/>
              <w:bottom w:val="nil"/>
              <w:right w:val="nil"/>
            </w:tcBorders>
            <w:tcMar>
              <w:top w:w="0" w:type="dxa"/>
              <w:left w:w="0" w:type="dxa"/>
              <w:bottom w:w="0" w:type="dxa"/>
              <w:right w:w="0" w:type="dxa"/>
            </w:tcMar>
            <w:vAlign w:val="bottom"/>
          </w:tcPr>
          <w:p w14:paraId="0E2CEB6D" w14:textId="77777777" w:rsidR="001614AC" w:rsidRDefault="001614AC">
            <w:pPr>
              <w:keepNext/>
            </w:pPr>
          </w:p>
        </w:tc>
        <w:tc>
          <w:tcPr>
            <w:tcW w:w="160" w:type="dxa"/>
            <w:tcBorders>
              <w:top w:val="single" w:sz="8" w:space="0" w:color="C7C9C7"/>
              <w:left w:val="nil"/>
              <w:bottom w:val="single" w:sz="8" w:space="0" w:color="E9E9E9"/>
              <w:right w:val="nil"/>
            </w:tcBorders>
            <w:tcMar>
              <w:top w:w="0" w:type="dxa"/>
              <w:left w:w="53" w:type="dxa"/>
              <w:bottom w:w="0" w:type="dxa"/>
              <w:right w:w="0" w:type="dxa"/>
            </w:tcMar>
            <w:vAlign w:val="bottom"/>
          </w:tcPr>
          <w:p w14:paraId="6C507D5A" w14:textId="77777777" w:rsidR="001614AC" w:rsidRDefault="004468F9">
            <w:pPr>
              <w:keepNext/>
              <w:spacing w:before="55" w:after="30" w:line="288" w:lineRule="auto"/>
            </w:pPr>
            <w:r>
              <w:rPr>
                <w:rFonts w:ascii="Arial" w:eastAsia="Arial" w:hAnsi="Arial" w:cs="Arial"/>
                <w:color w:val="000000"/>
                <w:sz w:val="18"/>
              </w:rPr>
              <w:t>$</w:t>
            </w:r>
          </w:p>
        </w:tc>
        <w:tc>
          <w:tcPr>
            <w:tcW w:w="1240" w:type="dxa"/>
            <w:tcBorders>
              <w:top w:val="single" w:sz="8" w:space="0" w:color="C7C9C7"/>
              <w:left w:val="nil"/>
              <w:bottom w:val="single" w:sz="8" w:space="0" w:color="E9E9E9"/>
              <w:right w:val="nil"/>
            </w:tcBorders>
            <w:tcMar>
              <w:top w:w="0" w:type="dxa"/>
              <w:left w:w="0" w:type="dxa"/>
              <w:bottom w:w="0" w:type="dxa"/>
              <w:right w:w="0" w:type="dxa"/>
            </w:tcMar>
            <w:vAlign w:val="bottom"/>
          </w:tcPr>
          <w:p w14:paraId="66E5CDD8" w14:textId="77777777" w:rsidR="001614AC" w:rsidRDefault="004468F9">
            <w:pPr>
              <w:keepNext/>
              <w:spacing w:before="55" w:after="30" w:line="288" w:lineRule="auto"/>
              <w:jc w:val="right"/>
            </w:pPr>
            <w:r>
              <w:rPr>
                <w:rFonts w:ascii="Arial" w:eastAsia="Arial" w:hAnsi="Arial" w:cs="Arial"/>
                <w:color w:val="000000"/>
                <w:sz w:val="18"/>
              </w:rPr>
              <w:t>880,763 </w:t>
            </w:r>
          </w:p>
        </w:tc>
        <w:tc>
          <w:tcPr>
            <w:tcW w:w="100" w:type="dxa"/>
            <w:tcBorders>
              <w:top w:val="single" w:sz="8" w:space="0" w:color="C7C9C7"/>
              <w:left w:val="nil"/>
              <w:bottom w:val="single" w:sz="8" w:space="0" w:color="E9E9E9"/>
              <w:right w:val="nil"/>
            </w:tcBorders>
            <w:tcMar>
              <w:top w:w="0" w:type="dxa"/>
              <w:left w:w="0" w:type="dxa"/>
              <w:bottom w:w="0" w:type="dxa"/>
              <w:right w:w="15" w:type="dxa"/>
            </w:tcMar>
            <w:vAlign w:val="bottom"/>
          </w:tcPr>
          <w:p w14:paraId="1916C3E5" w14:textId="77777777" w:rsidR="001614AC" w:rsidRDefault="001614AC">
            <w:pPr>
              <w:keepNext/>
              <w:spacing w:before="55" w:after="30" w:line="288" w:lineRule="auto"/>
              <w:jc w:val="right"/>
            </w:pPr>
          </w:p>
        </w:tc>
        <w:tc>
          <w:tcPr>
            <w:tcW w:w="105" w:type="dxa"/>
            <w:tcBorders>
              <w:top w:val="single" w:sz="8" w:space="0" w:color="C7C9C7"/>
              <w:left w:val="nil"/>
              <w:bottom w:val="nil"/>
              <w:right w:val="nil"/>
            </w:tcBorders>
            <w:tcMar>
              <w:top w:w="0" w:type="dxa"/>
              <w:left w:w="0" w:type="dxa"/>
              <w:bottom w:w="0" w:type="dxa"/>
              <w:right w:w="0" w:type="dxa"/>
            </w:tcMar>
            <w:vAlign w:val="bottom"/>
          </w:tcPr>
          <w:p w14:paraId="1965D54D" w14:textId="77777777" w:rsidR="001614AC" w:rsidRDefault="001614AC">
            <w:pPr>
              <w:keepNext/>
            </w:pPr>
          </w:p>
        </w:tc>
        <w:tc>
          <w:tcPr>
            <w:tcW w:w="160" w:type="dxa"/>
            <w:tcBorders>
              <w:top w:val="single" w:sz="8" w:space="0" w:color="C7C9C7"/>
              <w:left w:val="nil"/>
              <w:bottom w:val="single" w:sz="8" w:space="0" w:color="E9E9E9"/>
              <w:right w:val="nil"/>
            </w:tcBorders>
            <w:tcMar>
              <w:top w:w="0" w:type="dxa"/>
              <w:left w:w="53" w:type="dxa"/>
              <w:bottom w:w="0" w:type="dxa"/>
              <w:right w:w="0" w:type="dxa"/>
            </w:tcMar>
            <w:vAlign w:val="bottom"/>
          </w:tcPr>
          <w:p w14:paraId="72B4ABC8" w14:textId="77777777" w:rsidR="001614AC" w:rsidRDefault="004468F9">
            <w:pPr>
              <w:keepNext/>
              <w:spacing w:before="55" w:after="30" w:line="288" w:lineRule="auto"/>
            </w:pPr>
            <w:r>
              <w:rPr>
                <w:rFonts w:ascii="Arial" w:eastAsia="Arial" w:hAnsi="Arial" w:cs="Arial"/>
                <w:color w:val="000000"/>
                <w:sz w:val="18"/>
              </w:rPr>
              <w:t>$</w:t>
            </w:r>
          </w:p>
        </w:tc>
        <w:tc>
          <w:tcPr>
            <w:tcW w:w="1240" w:type="dxa"/>
            <w:tcBorders>
              <w:top w:val="single" w:sz="8" w:space="0" w:color="C7C9C7"/>
              <w:left w:val="nil"/>
              <w:bottom w:val="single" w:sz="8" w:space="0" w:color="E9E9E9"/>
              <w:right w:val="nil"/>
            </w:tcBorders>
            <w:tcMar>
              <w:top w:w="0" w:type="dxa"/>
              <w:left w:w="0" w:type="dxa"/>
              <w:bottom w:w="0" w:type="dxa"/>
              <w:right w:w="0" w:type="dxa"/>
            </w:tcMar>
            <w:vAlign w:val="bottom"/>
          </w:tcPr>
          <w:p w14:paraId="182F1C6F" w14:textId="77777777" w:rsidR="001614AC" w:rsidRDefault="004468F9">
            <w:pPr>
              <w:keepNext/>
              <w:spacing w:before="55" w:after="30" w:line="288" w:lineRule="auto"/>
              <w:jc w:val="right"/>
            </w:pPr>
            <w:r>
              <w:rPr>
                <w:rFonts w:ascii="Arial" w:eastAsia="Arial" w:hAnsi="Arial" w:cs="Arial"/>
                <w:color w:val="000000"/>
                <w:sz w:val="18"/>
              </w:rPr>
              <w:t>844,107 </w:t>
            </w:r>
          </w:p>
        </w:tc>
        <w:tc>
          <w:tcPr>
            <w:tcW w:w="100" w:type="dxa"/>
            <w:tcBorders>
              <w:top w:val="single" w:sz="8" w:space="0" w:color="C7C9C7"/>
              <w:left w:val="nil"/>
              <w:bottom w:val="single" w:sz="8" w:space="0" w:color="E9E9E9"/>
              <w:right w:val="nil"/>
            </w:tcBorders>
            <w:tcMar>
              <w:top w:w="0" w:type="dxa"/>
              <w:left w:w="0" w:type="dxa"/>
              <w:bottom w:w="0" w:type="dxa"/>
              <w:right w:w="15" w:type="dxa"/>
            </w:tcMar>
            <w:vAlign w:val="bottom"/>
          </w:tcPr>
          <w:p w14:paraId="62627CB4" w14:textId="77777777" w:rsidR="001614AC" w:rsidRDefault="001614AC">
            <w:pPr>
              <w:keepNext/>
              <w:spacing w:before="55" w:after="30" w:line="288" w:lineRule="auto"/>
              <w:jc w:val="right"/>
            </w:pPr>
          </w:p>
        </w:tc>
      </w:tr>
      <w:tr w:rsidR="001614AC" w14:paraId="3C8DBD79" w14:textId="77777777">
        <w:trPr>
          <w:cantSplit/>
        </w:trPr>
        <w:tc>
          <w:tcPr>
            <w:tcW w:w="6870" w:type="dxa"/>
            <w:tcBorders>
              <w:top w:val="single" w:sz="8" w:space="0" w:color="E9E9E9"/>
              <w:left w:val="nil"/>
              <w:bottom w:val="nil"/>
              <w:right w:val="nil"/>
            </w:tcBorders>
            <w:tcMar>
              <w:top w:w="0" w:type="dxa"/>
              <w:left w:w="53" w:type="dxa"/>
              <w:bottom w:w="0" w:type="dxa"/>
              <w:right w:w="53" w:type="dxa"/>
            </w:tcMar>
            <w:vAlign w:val="bottom"/>
          </w:tcPr>
          <w:p w14:paraId="5D3FAF44" w14:textId="77777777" w:rsidR="001614AC" w:rsidRDefault="004468F9">
            <w:pPr>
              <w:keepNext/>
              <w:spacing w:before="55" w:after="30" w:line="288" w:lineRule="auto"/>
            </w:pPr>
            <w:r>
              <w:rPr>
                <w:rFonts w:ascii="Arial" w:eastAsia="Arial" w:hAnsi="Arial" w:cs="Arial"/>
                <w:color w:val="000000"/>
                <w:sz w:val="18"/>
              </w:rPr>
              <w:t>Title insurance loss reserves</w:t>
            </w:r>
          </w:p>
        </w:tc>
        <w:tc>
          <w:tcPr>
            <w:tcW w:w="105" w:type="dxa"/>
            <w:tcBorders>
              <w:top w:val="nil"/>
              <w:left w:val="nil"/>
              <w:bottom w:val="nil"/>
              <w:right w:val="nil"/>
            </w:tcBorders>
            <w:tcMar>
              <w:top w:w="0" w:type="dxa"/>
              <w:left w:w="0" w:type="dxa"/>
              <w:bottom w:w="0" w:type="dxa"/>
              <w:right w:w="0" w:type="dxa"/>
            </w:tcMar>
            <w:vAlign w:val="bottom"/>
          </w:tcPr>
          <w:p w14:paraId="6F339EE3" w14:textId="77777777" w:rsidR="001614AC" w:rsidRDefault="001614AC">
            <w:pPr>
              <w:keepNext/>
            </w:pPr>
          </w:p>
        </w:tc>
        <w:tc>
          <w:tcPr>
            <w:tcW w:w="1400" w:type="dxa"/>
            <w:gridSpan w:val="2"/>
            <w:tcBorders>
              <w:top w:val="single" w:sz="8" w:space="0" w:color="E9E9E9"/>
              <w:left w:val="nil"/>
              <w:bottom w:val="single" w:sz="8" w:space="0" w:color="C7C9C7"/>
              <w:right w:val="nil"/>
            </w:tcBorders>
            <w:tcMar>
              <w:top w:w="0" w:type="dxa"/>
              <w:left w:w="53" w:type="dxa"/>
              <w:bottom w:w="0" w:type="dxa"/>
              <w:right w:w="0" w:type="dxa"/>
            </w:tcMar>
            <w:vAlign w:val="bottom"/>
          </w:tcPr>
          <w:p w14:paraId="2A636CD7" w14:textId="77777777" w:rsidR="001614AC" w:rsidRDefault="004468F9">
            <w:pPr>
              <w:keepNext/>
              <w:spacing w:before="55" w:after="30" w:line="288" w:lineRule="auto"/>
              <w:jc w:val="right"/>
            </w:pPr>
            <w:r>
              <w:rPr>
                <w:rFonts w:ascii="Arial" w:eastAsia="Arial" w:hAnsi="Arial" w:cs="Arial"/>
                <w:color w:val="000000"/>
                <w:sz w:val="18"/>
              </w:rPr>
              <w:t>4,735 </w:t>
            </w:r>
          </w:p>
        </w:tc>
        <w:tc>
          <w:tcPr>
            <w:tcW w:w="100" w:type="dxa"/>
            <w:tcBorders>
              <w:top w:val="single" w:sz="8" w:space="0" w:color="E9E9E9"/>
              <w:left w:val="nil"/>
              <w:bottom w:val="single" w:sz="8" w:space="0" w:color="C7C9C7"/>
              <w:right w:val="nil"/>
            </w:tcBorders>
            <w:tcMar>
              <w:top w:w="0" w:type="dxa"/>
              <w:left w:w="0" w:type="dxa"/>
              <w:bottom w:w="0" w:type="dxa"/>
              <w:right w:w="15" w:type="dxa"/>
            </w:tcMar>
            <w:vAlign w:val="bottom"/>
          </w:tcPr>
          <w:p w14:paraId="4353500B" w14:textId="77777777" w:rsidR="001614AC" w:rsidRDefault="001614AC">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6E328AF6" w14:textId="77777777" w:rsidR="001614AC" w:rsidRDefault="001614AC">
            <w:pPr>
              <w:keepNext/>
            </w:pPr>
          </w:p>
        </w:tc>
        <w:tc>
          <w:tcPr>
            <w:tcW w:w="1400" w:type="dxa"/>
            <w:gridSpan w:val="2"/>
            <w:tcBorders>
              <w:top w:val="single" w:sz="8" w:space="0" w:color="E9E9E9"/>
              <w:left w:val="nil"/>
              <w:bottom w:val="single" w:sz="8" w:space="0" w:color="C7C9C7"/>
              <w:right w:val="nil"/>
            </w:tcBorders>
            <w:tcMar>
              <w:top w:w="0" w:type="dxa"/>
              <w:left w:w="53" w:type="dxa"/>
              <w:bottom w:w="0" w:type="dxa"/>
              <w:right w:w="0" w:type="dxa"/>
            </w:tcMar>
            <w:vAlign w:val="bottom"/>
          </w:tcPr>
          <w:p w14:paraId="2409FED2" w14:textId="77777777" w:rsidR="001614AC" w:rsidRDefault="004468F9">
            <w:pPr>
              <w:keepNext/>
              <w:spacing w:before="55" w:after="30" w:line="288" w:lineRule="auto"/>
              <w:jc w:val="right"/>
            </w:pPr>
            <w:r>
              <w:rPr>
                <w:rFonts w:ascii="Arial" w:eastAsia="Arial" w:hAnsi="Arial" w:cs="Arial"/>
                <w:color w:val="000000"/>
                <w:sz w:val="18"/>
              </w:rPr>
              <w:t>4,306 </w:t>
            </w:r>
          </w:p>
        </w:tc>
        <w:tc>
          <w:tcPr>
            <w:tcW w:w="100" w:type="dxa"/>
            <w:tcBorders>
              <w:top w:val="single" w:sz="8" w:space="0" w:color="E9E9E9"/>
              <w:left w:val="nil"/>
              <w:bottom w:val="single" w:sz="8" w:space="0" w:color="C7C9C7"/>
              <w:right w:val="nil"/>
            </w:tcBorders>
            <w:tcMar>
              <w:top w:w="0" w:type="dxa"/>
              <w:left w:w="0" w:type="dxa"/>
              <w:bottom w:w="0" w:type="dxa"/>
              <w:right w:w="15" w:type="dxa"/>
            </w:tcMar>
            <w:vAlign w:val="bottom"/>
          </w:tcPr>
          <w:p w14:paraId="2E819715" w14:textId="77777777" w:rsidR="001614AC" w:rsidRDefault="001614AC">
            <w:pPr>
              <w:keepNext/>
              <w:spacing w:before="55" w:after="30" w:line="288" w:lineRule="auto"/>
              <w:jc w:val="right"/>
            </w:pPr>
          </w:p>
        </w:tc>
      </w:tr>
      <w:tr w:rsidR="001614AC" w14:paraId="15D240AE" w14:textId="77777777">
        <w:trPr>
          <w:cantSplit/>
        </w:trPr>
        <w:tc>
          <w:tcPr>
            <w:tcW w:w="6870" w:type="dxa"/>
            <w:tcBorders>
              <w:top w:val="nil"/>
              <w:left w:val="nil"/>
              <w:bottom w:val="nil"/>
              <w:right w:val="nil"/>
            </w:tcBorders>
            <w:shd w:val="clear" w:color="auto" w:fill="F4F4F4"/>
            <w:tcMar>
              <w:top w:w="0" w:type="dxa"/>
              <w:left w:w="53" w:type="dxa"/>
              <w:bottom w:w="0" w:type="dxa"/>
              <w:right w:w="53" w:type="dxa"/>
            </w:tcMar>
            <w:vAlign w:val="bottom"/>
          </w:tcPr>
          <w:p w14:paraId="24AA9151" w14:textId="77777777" w:rsidR="001614AC" w:rsidRDefault="004468F9">
            <w:pPr>
              <w:spacing w:before="75" w:after="30" w:line="288" w:lineRule="auto"/>
            </w:pPr>
            <w:r>
              <w:rPr>
                <w:rFonts w:ascii="Arial" w:eastAsia="Arial" w:hAnsi="Arial" w:cs="Arial"/>
                <w:color w:val="000000"/>
                <w:sz w:val="18"/>
              </w:rPr>
              <w:t>Total reserve for losses and LAE</w:t>
            </w:r>
          </w:p>
        </w:tc>
        <w:tc>
          <w:tcPr>
            <w:tcW w:w="105" w:type="dxa"/>
            <w:tcBorders>
              <w:top w:val="nil"/>
              <w:left w:val="nil"/>
              <w:bottom w:val="nil"/>
              <w:right w:val="nil"/>
            </w:tcBorders>
            <w:shd w:val="clear" w:color="auto" w:fill="F4F4F4"/>
            <w:tcMar>
              <w:top w:w="0" w:type="dxa"/>
              <w:left w:w="0" w:type="dxa"/>
              <w:bottom w:w="0" w:type="dxa"/>
              <w:right w:w="0" w:type="dxa"/>
            </w:tcMar>
            <w:vAlign w:val="bottom"/>
          </w:tcPr>
          <w:p w14:paraId="3E959968" w14:textId="77777777" w:rsidR="001614AC" w:rsidRDefault="001614AC"/>
        </w:tc>
        <w:tc>
          <w:tcPr>
            <w:tcW w:w="160" w:type="dxa"/>
            <w:tcBorders>
              <w:top w:val="single" w:sz="8" w:space="0" w:color="C7C9C7"/>
              <w:left w:val="nil"/>
              <w:bottom w:val="double" w:sz="8" w:space="0" w:color="C7C9C7"/>
              <w:right w:val="nil"/>
            </w:tcBorders>
            <w:shd w:val="clear" w:color="auto" w:fill="F4F4F4"/>
            <w:tcMar>
              <w:top w:w="0" w:type="dxa"/>
              <w:left w:w="53" w:type="dxa"/>
              <w:bottom w:w="0" w:type="dxa"/>
              <w:right w:w="0" w:type="dxa"/>
            </w:tcMar>
            <w:vAlign w:val="bottom"/>
          </w:tcPr>
          <w:p w14:paraId="0C2B017A" w14:textId="77777777" w:rsidR="001614AC" w:rsidRDefault="004468F9">
            <w:pPr>
              <w:spacing w:before="55" w:after="30" w:line="288" w:lineRule="auto"/>
            </w:pPr>
            <w:r>
              <w:rPr>
                <w:rFonts w:ascii="Arial" w:eastAsia="Arial" w:hAnsi="Arial" w:cs="Arial"/>
                <w:color w:val="000000"/>
                <w:sz w:val="18"/>
              </w:rPr>
              <w:t>$</w:t>
            </w:r>
          </w:p>
        </w:tc>
        <w:tc>
          <w:tcPr>
            <w:tcW w:w="1240" w:type="dxa"/>
            <w:tcBorders>
              <w:top w:val="single" w:sz="8" w:space="0" w:color="C7C9C7"/>
              <w:left w:val="nil"/>
              <w:bottom w:val="double" w:sz="8" w:space="0" w:color="C7C9C7"/>
              <w:right w:val="nil"/>
            </w:tcBorders>
            <w:shd w:val="clear" w:color="auto" w:fill="F4F4F4"/>
            <w:tcMar>
              <w:top w:w="0" w:type="dxa"/>
              <w:left w:w="0" w:type="dxa"/>
              <w:bottom w:w="0" w:type="dxa"/>
              <w:right w:w="0" w:type="dxa"/>
            </w:tcMar>
            <w:vAlign w:val="bottom"/>
          </w:tcPr>
          <w:p w14:paraId="68E45EDD" w14:textId="77777777" w:rsidR="001614AC" w:rsidRDefault="004468F9">
            <w:pPr>
              <w:spacing w:before="55" w:after="30" w:line="288" w:lineRule="auto"/>
              <w:jc w:val="right"/>
            </w:pPr>
            <w:r>
              <w:rPr>
                <w:rFonts w:ascii="Arial" w:eastAsia="Arial" w:hAnsi="Arial" w:cs="Arial"/>
                <w:color w:val="000000"/>
                <w:sz w:val="18"/>
              </w:rPr>
              <w:t>885,498 </w:t>
            </w:r>
          </w:p>
        </w:tc>
        <w:tc>
          <w:tcPr>
            <w:tcW w:w="100" w:type="dxa"/>
            <w:tcBorders>
              <w:top w:val="single" w:sz="8" w:space="0" w:color="C7C9C7"/>
              <w:left w:val="nil"/>
              <w:bottom w:val="double" w:sz="8" w:space="0" w:color="C7C9C7"/>
              <w:right w:val="nil"/>
            </w:tcBorders>
            <w:shd w:val="clear" w:color="auto" w:fill="F4F4F4"/>
            <w:tcMar>
              <w:top w:w="0" w:type="dxa"/>
              <w:left w:w="0" w:type="dxa"/>
              <w:bottom w:w="0" w:type="dxa"/>
              <w:right w:w="15" w:type="dxa"/>
            </w:tcMar>
            <w:vAlign w:val="bottom"/>
          </w:tcPr>
          <w:p w14:paraId="1C18314F" w14:textId="77777777" w:rsidR="001614AC" w:rsidRDefault="001614AC">
            <w:pPr>
              <w:spacing w:before="55" w:after="30" w:line="288" w:lineRule="auto"/>
              <w:jc w:val="right"/>
            </w:pPr>
          </w:p>
        </w:tc>
        <w:tc>
          <w:tcPr>
            <w:tcW w:w="105" w:type="dxa"/>
            <w:tcBorders>
              <w:top w:val="nil"/>
              <w:left w:val="nil"/>
              <w:bottom w:val="nil"/>
              <w:right w:val="nil"/>
            </w:tcBorders>
            <w:shd w:val="clear" w:color="auto" w:fill="F4F4F4"/>
            <w:tcMar>
              <w:top w:w="0" w:type="dxa"/>
              <w:left w:w="0" w:type="dxa"/>
              <w:bottom w:w="0" w:type="dxa"/>
              <w:right w:w="0" w:type="dxa"/>
            </w:tcMar>
            <w:vAlign w:val="bottom"/>
          </w:tcPr>
          <w:p w14:paraId="67286230" w14:textId="77777777" w:rsidR="001614AC" w:rsidRDefault="001614AC"/>
        </w:tc>
        <w:tc>
          <w:tcPr>
            <w:tcW w:w="160" w:type="dxa"/>
            <w:tcBorders>
              <w:top w:val="single" w:sz="8" w:space="0" w:color="C7C9C7"/>
              <w:left w:val="nil"/>
              <w:bottom w:val="double" w:sz="8" w:space="0" w:color="C7C9C7"/>
              <w:right w:val="nil"/>
            </w:tcBorders>
            <w:shd w:val="clear" w:color="auto" w:fill="F4F4F4"/>
            <w:tcMar>
              <w:top w:w="0" w:type="dxa"/>
              <w:left w:w="53" w:type="dxa"/>
              <w:bottom w:w="0" w:type="dxa"/>
              <w:right w:w="0" w:type="dxa"/>
            </w:tcMar>
            <w:vAlign w:val="bottom"/>
          </w:tcPr>
          <w:p w14:paraId="134BB803" w14:textId="77777777" w:rsidR="001614AC" w:rsidRDefault="004468F9">
            <w:pPr>
              <w:spacing w:before="55" w:after="30" w:line="288" w:lineRule="auto"/>
            </w:pPr>
            <w:r>
              <w:rPr>
                <w:rFonts w:ascii="Arial" w:eastAsia="Arial" w:hAnsi="Arial" w:cs="Arial"/>
                <w:color w:val="000000"/>
                <w:sz w:val="18"/>
              </w:rPr>
              <w:t>$</w:t>
            </w:r>
          </w:p>
        </w:tc>
        <w:tc>
          <w:tcPr>
            <w:tcW w:w="1240" w:type="dxa"/>
            <w:tcBorders>
              <w:top w:val="single" w:sz="8" w:space="0" w:color="C7C9C7"/>
              <w:left w:val="nil"/>
              <w:bottom w:val="double" w:sz="8" w:space="0" w:color="C7C9C7"/>
              <w:right w:val="nil"/>
            </w:tcBorders>
            <w:shd w:val="clear" w:color="auto" w:fill="F4F4F4"/>
            <w:tcMar>
              <w:top w:w="0" w:type="dxa"/>
              <w:left w:w="0" w:type="dxa"/>
              <w:bottom w:w="0" w:type="dxa"/>
              <w:right w:w="0" w:type="dxa"/>
            </w:tcMar>
            <w:vAlign w:val="bottom"/>
          </w:tcPr>
          <w:p w14:paraId="5ADF0622" w14:textId="77777777" w:rsidR="001614AC" w:rsidRDefault="004468F9">
            <w:pPr>
              <w:spacing w:before="55" w:after="30" w:line="288" w:lineRule="auto"/>
              <w:jc w:val="right"/>
            </w:pPr>
            <w:r>
              <w:rPr>
                <w:rFonts w:ascii="Arial" w:eastAsia="Arial" w:hAnsi="Arial" w:cs="Arial"/>
                <w:color w:val="000000"/>
                <w:sz w:val="18"/>
              </w:rPr>
              <w:t>848,413 </w:t>
            </w:r>
          </w:p>
        </w:tc>
        <w:tc>
          <w:tcPr>
            <w:tcW w:w="100" w:type="dxa"/>
            <w:tcBorders>
              <w:top w:val="single" w:sz="8" w:space="0" w:color="C7C9C7"/>
              <w:left w:val="nil"/>
              <w:bottom w:val="double" w:sz="8" w:space="0" w:color="C7C9C7"/>
              <w:right w:val="nil"/>
            </w:tcBorders>
            <w:shd w:val="clear" w:color="auto" w:fill="F4F4F4"/>
            <w:tcMar>
              <w:top w:w="0" w:type="dxa"/>
              <w:left w:w="0" w:type="dxa"/>
              <w:bottom w:w="0" w:type="dxa"/>
              <w:right w:w="15" w:type="dxa"/>
            </w:tcMar>
            <w:vAlign w:val="bottom"/>
          </w:tcPr>
          <w:p w14:paraId="38FB2549" w14:textId="77777777" w:rsidR="001614AC" w:rsidRDefault="001614AC">
            <w:pPr>
              <w:spacing w:before="55" w:after="30" w:line="288" w:lineRule="auto"/>
              <w:jc w:val="right"/>
            </w:pPr>
          </w:p>
        </w:tc>
      </w:tr>
    </w:tbl>
    <w:p w14:paraId="3E0820E9" w14:textId="77777777" w:rsidR="001614AC" w:rsidRDefault="004468F9" w:rsidP="004468F9">
      <w:pPr>
        <w:keepNext/>
        <w:numPr>
          <w:ilvl w:val="0"/>
          <w:numId w:val="23"/>
        </w:numPr>
        <w:spacing w:line="288" w:lineRule="auto"/>
        <w:ind w:left="360"/>
        <w:rPr>
          <w:rFonts w:ascii="Arial" w:eastAsia="Arial" w:hAnsi="Arial" w:cs="Arial"/>
          <w:b/>
          <w:color w:val="64615D"/>
          <w:sz w:val="16"/>
        </w:rPr>
      </w:pPr>
      <w:r>
        <w:rPr>
          <w:rFonts w:ascii="Arial" w:eastAsia="Arial" w:hAnsi="Arial" w:cs="Arial"/>
          <w:color w:val="64615D"/>
          <w:sz w:val="16"/>
        </w:rPr>
        <w:t>Primarily comprises first lien primary case reserves of $840.8 million and $799.5 million at June 30, 2021 and December 31, 2020, respectively.</w:t>
      </w:r>
    </w:p>
    <w:p w14:paraId="58E37258" w14:textId="77777777" w:rsidR="001614AC" w:rsidRDefault="004468F9">
      <w:pPr>
        <w:keepNext/>
        <w:spacing w:before="200" w:after="100" w:line="288" w:lineRule="auto"/>
        <w:ind w:firstLine="450"/>
        <w:rPr>
          <w:rFonts w:ascii="Arial" w:eastAsia="Arial" w:hAnsi="Arial" w:cs="Arial"/>
          <w:b/>
          <w:color w:val="64615D"/>
          <w:sz w:val="18"/>
        </w:rPr>
      </w:pPr>
      <w:r>
        <w:rPr>
          <w:rFonts w:ascii="Arial" w:eastAsia="Arial" w:hAnsi="Arial" w:cs="Arial"/>
          <w:sz w:val="18"/>
        </w:rPr>
        <w:t xml:space="preserve">For the periods indicated, the following table presents information relating </w:t>
      </w:r>
      <w:r>
        <w:rPr>
          <w:rFonts w:ascii="Arial" w:eastAsia="Arial" w:hAnsi="Arial" w:cs="Arial"/>
          <w:sz w:val="18"/>
        </w:rPr>
        <w:t>to our mortgage insurance reserve for losses, including our IBNR reserve and LAE, but excluding our second-lien mortgage loan premium deficiency reserve.</w:t>
      </w:r>
    </w:p>
    <w:tbl>
      <w:tblPr>
        <w:tblW w:w="102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08"/>
        <w:gridCol w:w="107"/>
        <w:gridCol w:w="163"/>
        <w:gridCol w:w="1265"/>
        <w:gridCol w:w="102"/>
        <w:gridCol w:w="107"/>
        <w:gridCol w:w="163"/>
        <w:gridCol w:w="1265"/>
        <w:gridCol w:w="102"/>
      </w:tblGrid>
      <w:tr w:rsidR="001614AC" w14:paraId="16F48402" w14:textId="77777777">
        <w:trPr>
          <w:cantSplit/>
        </w:trPr>
        <w:tc>
          <w:tcPr>
            <w:tcW w:w="10080" w:type="dxa"/>
            <w:gridSpan w:val="9"/>
            <w:tcBorders>
              <w:top w:val="nil"/>
              <w:left w:val="nil"/>
              <w:bottom w:val="single" w:sz="12" w:space="0" w:color="99AAB6"/>
              <w:right w:val="nil"/>
            </w:tcBorders>
            <w:tcMar>
              <w:top w:w="0" w:type="dxa"/>
              <w:left w:w="53" w:type="dxa"/>
              <w:bottom w:w="0" w:type="dxa"/>
              <w:right w:w="53" w:type="dxa"/>
            </w:tcMar>
            <w:vAlign w:val="bottom"/>
          </w:tcPr>
          <w:p w14:paraId="28A682CC" w14:textId="77777777" w:rsidR="001614AC" w:rsidRDefault="004468F9">
            <w:pPr>
              <w:keepNext/>
              <w:spacing w:before="75" w:after="30" w:line="288" w:lineRule="auto"/>
              <w:rPr>
                <w:rFonts w:ascii="Arial" w:eastAsia="Arial" w:hAnsi="Arial" w:cs="Arial"/>
                <w:b/>
                <w:sz w:val="20"/>
              </w:rPr>
            </w:pPr>
            <w:r>
              <w:rPr>
                <w:rFonts w:ascii="Arial" w:eastAsia="Arial" w:hAnsi="Arial" w:cs="Arial"/>
                <w:b/>
                <w:sz w:val="20"/>
              </w:rPr>
              <w:t>Rollforward of mortgage insurance reserve for losses</w:t>
            </w:r>
          </w:p>
        </w:tc>
      </w:tr>
      <w:tr w:rsidR="001614AC" w14:paraId="4013A702" w14:textId="77777777">
        <w:trPr>
          <w:cantSplit/>
          <w:trHeight w:hRule="exact" w:val="135"/>
        </w:trPr>
        <w:tc>
          <w:tcPr>
            <w:tcW w:w="6870" w:type="dxa"/>
            <w:tcBorders>
              <w:top w:val="nil"/>
              <w:left w:val="nil"/>
              <w:bottom w:val="nil"/>
              <w:right w:val="nil"/>
            </w:tcBorders>
            <w:tcMar>
              <w:top w:w="0" w:type="dxa"/>
              <w:left w:w="0" w:type="dxa"/>
              <w:bottom w:w="0" w:type="dxa"/>
              <w:right w:w="0" w:type="dxa"/>
            </w:tcMar>
            <w:vAlign w:val="bottom"/>
          </w:tcPr>
          <w:p w14:paraId="3D790789" w14:textId="77777777" w:rsidR="001614AC" w:rsidRDefault="001614AC">
            <w:pPr>
              <w:keepNext/>
            </w:pPr>
          </w:p>
        </w:tc>
        <w:tc>
          <w:tcPr>
            <w:tcW w:w="105" w:type="dxa"/>
            <w:tcBorders>
              <w:top w:val="single" w:sz="12" w:space="0" w:color="99AAB6"/>
              <w:left w:val="nil"/>
              <w:bottom w:val="nil"/>
              <w:right w:val="nil"/>
            </w:tcBorders>
            <w:tcMar>
              <w:top w:w="0" w:type="dxa"/>
              <w:left w:w="0" w:type="dxa"/>
              <w:bottom w:w="0" w:type="dxa"/>
              <w:right w:w="0" w:type="dxa"/>
            </w:tcMar>
            <w:vAlign w:val="bottom"/>
          </w:tcPr>
          <w:p w14:paraId="6722DF32" w14:textId="77777777" w:rsidR="001614AC" w:rsidRDefault="001614AC">
            <w:pPr>
              <w:keepNext/>
            </w:pPr>
          </w:p>
        </w:tc>
        <w:tc>
          <w:tcPr>
            <w:tcW w:w="1500" w:type="dxa"/>
            <w:gridSpan w:val="3"/>
            <w:tcBorders>
              <w:top w:val="single" w:sz="12" w:space="0" w:color="99AAB6"/>
              <w:left w:val="nil"/>
              <w:bottom w:val="nil"/>
              <w:right w:val="nil"/>
            </w:tcBorders>
            <w:tcMar>
              <w:top w:w="0" w:type="dxa"/>
              <w:left w:w="0" w:type="dxa"/>
              <w:bottom w:w="0" w:type="dxa"/>
              <w:right w:w="0" w:type="dxa"/>
            </w:tcMar>
            <w:vAlign w:val="bottom"/>
          </w:tcPr>
          <w:p w14:paraId="3FD9657E" w14:textId="77777777" w:rsidR="001614AC" w:rsidRDefault="001614AC">
            <w:pPr>
              <w:keepNext/>
            </w:pPr>
          </w:p>
        </w:tc>
        <w:tc>
          <w:tcPr>
            <w:tcW w:w="105" w:type="dxa"/>
            <w:tcBorders>
              <w:top w:val="single" w:sz="12" w:space="0" w:color="99AAB6"/>
              <w:left w:val="nil"/>
              <w:bottom w:val="nil"/>
              <w:right w:val="nil"/>
            </w:tcBorders>
            <w:tcMar>
              <w:top w:w="0" w:type="dxa"/>
              <w:left w:w="0" w:type="dxa"/>
              <w:bottom w:w="0" w:type="dxa"/>
              <w:right w:w="0" w:type="dxa"/>
            </w:tcMar>
            <w:vAlign w:val="bottom"/>
          </w:tcPr>
          <w:p w14:paraId="121774EF" w14:textId="77777777" w:rsidR="001614AC" w:rsidRDefault="001614AC">
            <w:pPr>
              <w:keepNext/>
            </w:pPr>
          </w:p>
        </w:tc>
        <w:tc>
          <w:tcPr>
            <w:tcW w:w="1500" w:type="dxa"/>
            <w:gridSpan w:val="3"/>
            <w:tcBorders>
              <w:top w:val="single" w:sz="12" w:space="0" w:color="99AAB6"/>
              <w:left w:val="nil"/>
              <w:bottom w:val="nil"/>
              <w:right w:val="nil"/>
            </w:tcBorders>
            <w:tcMar>
              <w:top w:w="0" w:type="dxa"/>
              <w:left w:w="0" w:type="dxa"/>
              <w:bottom w:w="0" w:type="dxa"/>
              <w:right w:w="0" w:type="dxa"/>
            </w:tcMar>
            <w:vAlign w:val="bottom"/>
          </w:tcPr>
          <w:p w14:paraId="28EDA65B" w14:textId="77777777" w:rsidR="001614AC" w:rsidRDefault="001614AC">
            <w:pPr>
              <w:keepNext/>
            </w:pPr>
          </w:p>
        </w:tc>
      </w:tr>
      <w:tr w:rsidR="001614AC" w14:paraId="0FAC83C1" w14:textId="77777777">
        <w:trPr>
          <w:cantSplit/>
        </w:trPr>
        <w:tc>
          <w:tcPr>
            <w:tcW w:w="6870" w:type="dxa"/>
            <w:tcBorders>
              <w:top w:val="nil"/>
              <w:left w:val="nil"/>
              <w:bottom w:val="single" w:sz="8" w:space="0" w:color="FFFFFF"/>
              <w:right w:val="nil"/>
            </w:tcBorders>
            <w:tcMar>
              <w:top w:w="0" w:type="dxa"/>
              <w:left w:w="0" w:type="dxa"/>
              <w:bottom w:w="0" w:type="dxa"/>
              <w:right w:w="0" w:type="dxa"/>
            </w:tcMar>
            <w:vAlign w:val="bottom"/>
          </w:tcPr>
          <w:p w14:paraId="4CFAC92C" w14:textId="77777777" w:rsidR="001614AC" w:rsidRDefault="001614AC">
            <w:pPr>
              <w:keepNext/>
            </w:pPr>
          </w:p>
        </w:tc>
        <w:tc>
          <w:tcPr>
            <w:tcW w:w="105" w:type="dxa"/>
            <w:tcBorders>
              <w:top w:val="nil"/>
              <w:left w:val="nil"/>
              <w:bottom w:val="single" w:sz="8" w:space="0" w:color="FFFFFF"/>
              <w:right w:val="nil"/>
            </w:tcBorders>
            <w:tcMar>
              <w:top w:w="0" w:type="dxa"/>
              <w:left w:w="0" w:type="dxa"/>
              <w:bottom w:w="0" w:type="dxa"/>
              <w:right w:w="0" w:type="dxa"/>
            </w:tcMar>
            <w:vAlign w:val="bottom"/>
          </w:tcPr>
          <w:p w14:paraId="4C0487D5" w14:textId="77777777" w:rsidR="001614AC" w:rsidRDefault="001614AC">
            <w:pPr>
              <w:keepNext/>
            </w:pPr>
          </w:p>
        </w:tc>
        <w:tc>
          <w:tcPr>
            <w:tcW w:w="3105" w:type="dxa"/>
            <w:gridSpan w:val="7"/>
            <w:tcBorders>
              <w:top w:val="nil"/>
              <w:left w:val="nil"/>
              <w:bottom w:val="nil"/>
              <w:right w:val="nil"/>
            </w:tcBorders>
            <w:tcMar>
              <w:top w:w="0" w:type="dxa"/>
              <w:left w:w="53" w:type="dxa"/>
              <w:bottom w:w="0" w:type="dxa"/>
              <w:right w:w="53" w:type="dxa"/>
            </w:tcMar>
            <w:vAlign w:val="bottom"/>
          </w:tcPr>
          <w:p w14:paraId="64DBD0F7" w14:textId="77777777" w:rsidR="001614AC" w:rsidRDefault="004468F9">
            <w:pPr>
              <w:keepNext/>
              <w:spacing w:before="75" w:line="288" w:lineRule="auto"/>
              <w:jc w:val="center"/>
            </w:pPr>
            <w:r>
              <w:rPr>
                <w:rFonts w:ascii="Arial" w:eastAsia="Arial" w:hAnsi="Arial" w:cs="Arial"/>
                <w:b/>
                <w:color w:val="00BAB3"/>
                <w:sz w:val="18"/>
              </w:rPr>
              <w:t>Six Months Ended</w:t>
            </w:r>
          </w:p>
          <w:p w14:paraId="5FEC84B9" w14:textId="77777777" w:rsidR="001614AC" w:rsidRDefault="004468F9">
            <w:pPr>
              <w:spacing w:after="30" w:line="288" w:lineRule="auto"/>
              <w:jc w:val="center"/>
            </w:pPr>
            <w:r>
              <w:rPr>
                <w:rFonts w:ascii="Arial" w:eastAsia="Arial" w:hAnsi="Arial" w:cs="Arial"/>
                <w:b/>
                <w:color w:val="00BAB3"/>
                <w:sz w:val="18"/>
              </w:rPr>
              <w:t>June 30,</w:t>
            </w:r>
          </w:p>
        </w:tc>
      </w:tr>
      <w:tr w:rsidR="001614AC" w14:paraId="7310F19E" w14:textId="77777777">
        <w:trPr>
          <w:cantSplit/>
        </w:trPr>
        <w:tc>
          <w:tcPr>
            <w:tcW w:w="6870" w:type="dxa"/>
            <w:tcBorders>
              <w:top w:val="single" w:sz="8" w:space="0" w:color="FFFFFF"/>
              <w:left w:val="nil"/>
              <w:bottom w:val="single" w:sz="8" w:space="0" w:color="C7C9C7"/>
              <w:right w:val="nil"/>
            </w:tcBorders>
            <w:tcMar>
              <w:top w:w="0" w:type="dxa"/>
              <w:left w:w="53" w:type="dxa"/>
              <w:bottom w:w="0" w:type="dxa"/>
              <w:right w:w="53" w:type="dxa"/>
            </w:tcMar>
            <w:vAlign w:val="bottom"/>
          </w:tcPr>
          <w:p w14:paraId="68472EB8" w14:textId="77777777" w:rsidR="001614AC" w:rsidRDefault="004468F9">
            <w:pPr>
              <w:keepNext/>
              <w:spacing w:before="55" w:after="30" w:line="288" w:lineRule="auto"/>
            </w:pPr>
            <w:r>
              <w:rPr>
                <w:rFonts w:ascii="Arial" w:eastAsia="Arial" w:hAnsi="Arial" w:cs="Arial"/>
                <w:color w:val="8B8886"/>
                <w:sz w:val="16"/>
              </w:rPr>
              <w:t xml:space="preserve">(In </w:t>
            </w:r>
            <w:r>
              <w:rPr>
                <w:rFonts w:ascii="Arial" w:eastAsia="Arial" w:hAnsi="Arial" w:cs="Arial"/>
                <w:color w:val="8B8886"/>
                <w:sz w:val="16"/>
              </w:rPr>
              <w:t>thousands)</w:t>
            </w:r>
          </w:p>
        </w:tc>
        <w:tc>
          <w:tcPr>
            <w:tcW w:w="105" w:type="dxa"/>
            <w:tcBorders>
              <w:top w:val="single" w:sz="8" w:space="0" w:color="FFFFFF"/>
              <w:left w:val="nil"/>
              <w:bottom w:val="single" w:sz="8" w:space="0" w:color="C7C9C7"/>
              <w:right w:val="nil"/>
            </w:tcBorders>
            <w:tcMar>
              <w:top w:w="0" w:type="dxa"/>
              <w:left w:w="0" w:type="dxa"/>
              <w:bottom w:w="0" w:type="dxa"/>
              <w:right w:w="0" w:type="dxa"/>
            </w:tcMar>
            <w:vAlign w:val="bottom"/>
          </w:tcPr>
          <w:p w14:paraId="0DD83E1C" w14:textId="77777777" w:rsidR="001614AC" w:rsidRDefault="001614AC">
            <w:pPr>
              <w:keepNext/>
            </w:pPr>
          </w:p>
        </w:tc>
        <w:tc>
          <w:tcPr>
            <w:tcW w:w="1500" w:type="dxa"/>
            <w:gridSpan w:val="3"/>
            <w:tcBorders>
              <w:top w:val="single" w:sz="8" w:space="0" w:color="FFFFFF"/>
              <w:left w:val="nil"/>
              <w:bottom w:val="single" w:sz="8" w:space="0" w:color="C7C9C7"/>
              <w:right w:val="nil"/>
            </w:tcBorders>
            <w:shd w:val="clear" w:color="auto" w:fill="E6F8F8"/>
            <w:tcMar>
              <w:top w:w="0" w:type="dxa"/>
              <w:left w:w="53" w:type="dxa"/>
              <w:bottom w:w="0" w:type="dxa"/>
              <w:right w:w="53" w:type="dxa"/>
            </w:tcMar>
            <w:vAlign w:val="bottom"/>
          </w:tcPr>
          <w:p w14:paraId="3BD375EA" w14:textId="77777777" w:rsidR="001614AC" w:rsidRDefault="004468F9">
            <w:pPr>
              <w:keepNext/>
              <w:spacing w:before="55" w:after="30" w:line="288" w:lineRule="auto"/>
              <w:jc w:val="center"/>
            </w:pPr>
            <w:r>
              <w:rPr>
                <w:rFonts w:ascii="Arial" w:eastAsia="Arial" w:hAnsi="Arial" w:cs="Arial"/>
                <w:b/>
                <w:color w:val="00BAB3"/>
                <w:sz w:val="18"/>
              </w:rPr>
              <w:t>2021</w:t>
            </w:r>
          </w:p>
        </w:tc>
        <w:tc>
          <w:tcPr>
            <w:tcW w:w="105" w:type="dxa"/>
            <w:tcBorders>
              <w:top w:val="single" w:sz="8" w:space="0" w:color="FFFFFF"/>
              <w:left w:val="nil"/>
              <w:bottom w:val="single" w:sz="8" w:space="0" w:color="C7C9C7"/>
              <w:right w:val="nil"/>
            </w:tcBorders>
            <w:tcMar>
              <w:top w:w="0" w:type="dxa"/>
              <w:left w:w="0" w:type="dxa"/>
              <w:bottom w:w="0" w:type="dxa"/>
              <w:right w:w="0" w:type="dxa"/>
            </w:tcMar>
            <w:vAlign w:val="bottom"/>
          </w:tcPr>
          <w:p w14:paraId="3A5F5F42" w14:textId="77777777" w:rsidR="001614AC" w:rsidRDefault="001614AC">
            <w:pPr>
              <w:keepNext/>
            </w:pPr>
          </w:p>
        </w:tc>
        <w:tc>
          <w:tcPr>
            <w:tcW w:w="1500" w:type="dxa"/>
            <w:gridSpan w:val="3"/>
            <w:tcBorders>
              <w:top w:val="single" w:sz="8" w:space="0" w:color="FFFFFF"/>
              <w:left w:val="nil"/>
              <w:bottom w:val="single" w:sz="8" w:space="0" w:color="C7C9C7"/>
              <w:right w:val="nil"/>
            </w:tcBorders>
            <w:shd w:val="clear" w:color="auto" w:fill="F4F4F4"/>
            <w:tcMar>
              <w:top w:w="0" w:type="dxa"/>
              <w:left w:w="53" w:type="dxa"/>
              <w:bottom w:w="0" w:type="dxa"/>
              <w:right w:w="53" w:type="dxa"/>
            </w:tcMar>
            <w:vAlign w:val="bottom"/>
          </w:tcPr>
          <w:p w14:paraId="77D64B3A" w14:textId="77777777" w:rsidR="001614AC" w:rsidRDefault="004468F9">
            <w:pPr>
              <w:keepNext/>
              <w:spacing w:before="55" w:after="30" w:line="288" w:lineRule="auto"/>
              <w:jc w:val="center"/>
            </w:pPr>
            <w:r>
              <w:rPr>
                <w:rFonts w:ascii="Arial" w:eastAsia="Arial" w:hAnsi="Arial" w:cs="Arial"/>
                <w:b/>
                <w:color w:val="00BAB3"/>
                <w:sz w:val="18"/>
              </w:rPr>
              <w:t>2020</w:t>
            </w:r>
          </w:p>
        </w:tc>
      </w:tr>
      <w:tr w:rsidR="001614AC" w14:paraId="25BB4B01" w14:textId="77777777">
        <w:trPr>
          <w:cantSplit/>
        </w:trPr>
        <w:tc>
          <w:tcPr>
            <w:tcW w:w="6870" w:type="dxa"/>
            <w:tcBorders>
              <w:top w:val="single" w:sz="8" w:space="0" w:color="C7C9C7"/>
              <w:left w:val="nil"/>
              <w:bottom w:val="single" w:sz="8" w:space="0" w:color="E9E9E9"/>
              <w:right w:val="nil"/>
            </w:tcBorders>
            <w:tcMar>
              <w:top w:w="0" w:type="dxa"/>
              <w:left w:w="53" w:type="dxa"/>
              <w:bottom w:w="0" w:type="dxa"/>
              <w:right w:w="53" w:type="dxa"/>
            </w:tcMar>
            <w:vAlign w:val="bottom"/>
          </w:tcPr>
          <w:p w14:paraId="6C123CD9" w14:textId="77777777" w:rsidR="001614AC" w:rsidRDefault="004468F9">
            <w:pPr>
              <w:keepNext/>
              <w:spacing w:before="55" w:after="30" w:line="288" w:lineRule="auto"/>
            </w:pPr>
            <w:r>
              <w:rPr>
                <w:rFonts w:ascii="Arial" w:eastAsia="Arial" w:hAnsi="Arial" w:cs="Arial"/>
                <w:color w:val="000000"/>
                <w:sz w:val="18"/>
              </w:rPr>
              <w:t>Balance at beginning of period</w:t>
            </w:r>
          </w:p>
        </w:tc>
        <w:tc>
          <w:tcPr>
            <w:tcW w:w="105" w:type="dxa"/>
            <w:tcBorders>
              <w:top w:val="single" w:sz="8" w:space="0" w:color="C7C9C7"/>
              <w:left w:val="nil"/>
              <w:bottom w:val="nil"/>
              <w:right w:val="nil"/>
            </w:tcBorders>
            <w:tcMar>
              <w:top w:w="0" w:type="dxa"/>
              <w:left w:w="0" w:type="dxa"/>
              <w:bottom w:w="0" w:type="dxa"/>
              <w:right w:w="0" w:type="dxa"/>
            </w:tcMar>
            <w:vAlign w:val="bottom"/>
          </w:tcPr>
          <w:p w14:paraId="12B533D1" w14:textId="77777777" w:rsidR="001614AC" w:rsidRDefault="001614AC">
            <w:pPr>
              <w:keepNext/>
            </w:pPr>
          </w:p>
        </w:tc>
        <w:tc>
          <w:tcPr>
            <w:tcW w:w="160" w:type="dxa"/>
            <w:tcBorders>
              <w:top w:val="single" w:sz="8" w:space="0" w:color="C7C9C7"/>
              <w:left w:val="nil"/>
              <w:bottom w:val="single" w:sz="8" w:space="0" w:color="E9E9E9"/>
              <w:right w:val="nil"/>
            </w:tcBorders>
            <w:tcMar>
              <w:top w:w="0" w:type="dxa"/>
              <w:left w:w="53" w:type="dxa"/>
              <w:bottom w:w="0" w:type="dxa"/>
              <w:right w:w="0" w:type="dxa"/>
            </w:tcMar>
            <w:vAlign w:val="bottom"/>
          </w:tcPr>
          <w:p w14:paraId="4C918A74" w14:textId="77777777" w:rsidR="001614AC" w:rsidRDefault="004468F9">
            <w:pPr>
              <w:keepNext/>
              <w:spacing w:before="55" w:after="30" w:line="288" w:lineRule="auto"/>
            </w:pPr>
            <w:r>
              <w:rPr>
                <w:rFonts w:ascii="Arial" w:eastAsia="Arial" w:hAnsi="Arial" w:cs="Arial"/>
                <w:color w:val="000000"/>
                <w:sz w:val="18"/>
              </w:rPr>
              <w:t>$</w:t>
            </w:r>
          </w:p>
        </w:tc>
        <w:tc>
          <w:tcPr>
            <w:tcW w:w="1240" w:type="dxa"/>
            <w:tcBorders>
              <w:top w:val="single" w:sz="8" w:space="0" w:color="C7C9C7"/>
              <w:left w:val="nil"/>
              <w:bottom w:val="single" w:sz="8" w:space="0" w:color="E9E9E9"/>
              <w:right w:val="nil"/>
            </w:tcBorders>
            <w:tcMar>
              <w:top w:w="0" w:type="dxa"/>
              <w:left w:w="0" w:type="dxa"/>
              <w:bottom w:w="0" w:type="dxa"/>
              <w:right w:w="0" w:type="dxa"/>
            </w:tcMar>
            <w:vAlign w:val="bottom"/>
          </w:tcPr>
          <w:p w14:paraId="06796075" w14:textId="77777777" w:rsidR="001614AC" w:rsidRDefault="004468F9">
            <w:pPr>
              <w:keepNext/>
              <w:spacing w:before="55" w:after="30" w:line="288" w:lineRule="auto"/>
              <w:jc w:val="right"/>
            </w:pPr>
            <w:r>
              <w:rPr>
                <w:rFonts w:ascii="Arial" w:eastAsia="Arial" w:hAnsi="Arial" w:cs="Arial"/>
                <w:color w:val="000000"/>
                <w:sz w:val="18"/>
              </w:rPr>
              <w:t>844,107 </w:t>
            </w:r>
          </w:p>
        </w:tc>
        <w:tc>
          <w:tcPr>
            <w:tcW w:w="100" w:type="dxa"/>
            <w:tcBorders>
              <w:top w:val="single" w:sz="8" w:space="0" w:color="C7C9C7"/>
              <w:left w:val="nil"/>
              <w:bottom w:val="single" w:sz="8" w:space="0" w:color="E9E9E9"/>
              <w:right w:val="nil"/>
            </w:tcBorders>
            <w:tcMar>
              <w:top w:w="0" w:type="dxa"/>
              <w:left w:w="0" w:type="dxa"/>
              <w:bottom w:w="0" w:type="dxa"/>
              <w:right w:w="15" w:type="dxa"/>
            </w:tcMar>
            <w:vAlign w:val="bottom"/>
          </w:tcPr>
          <w:p w14:paraId="79761396" w14:textId="77777777" w:rsidR="001614AC" w:rsidRDefault="001614AC">
            <w:pPr>
              <w:keepNext/>
              <w:spacing w:before="55" w:after="30" w:line="288" w:lineRule="auto"/>
              <w:jc w:val="right"/>
            </w:pPr>
          </w:p>
        </w:tc>
        <w:tc>
          <w:tcPr>
            <w:tcW w:w="105" w:type="dxa"/>
            <w:tcBorders>
              <w:top w:val="single" w:sz="8" w:space="0" w:color="C7C9C7"/>
              <w:left w:val="nil"/>
              <w:bottom w:val="nil"/>
              <w:right w:val="nil"/>
            </w:tcBorders>
            <w:tcMar>
              <w:top w:w="0" w:type="dxa"/>
              <w:left w:w="0" w:type="dxa"/>
              <w:bottom w:w="0" w:type="dxa"/>
              <w:right w:w="0" w:type="dxa"/>
            </w:tcMar>
            <w:vAlign w:val="bottom"/>
          </w:tcPr>
          <w:p w14:paraId="41DA4C57" w14:textId="77777777" w:rsidR="001614AC" w:rsidRDefault="001614AC">
            <w:pPr>
              <w:keepNext/>
            </w:pPr>
          </w:p>
        </w:tc>
        <w:tc>
          <w:tcPr>
            <w:tcW w:w="160" w:type="dxa"/>
            <w:tcBorders>
              <w:top w:val="single" w:sz="8" w:space="0" w:color="C7C9C7"/>
              <w:left w:val="nil"/>
              <w:bottom w:val="single" w:sz="8" w:space="0" w:color="E9E9E9"/>
              <w:right w:val="nil"/>
            </w:tcBorders>
            <w:tcMar>
              <w:top w:w="0" w:type="dxa"/>
              <w:left w:w="53" w:type="dxa"/>
              <w:bottom w:w="0" w:type="dxa"/>
              <w:right w:w="0" w:type="dxa"/>
            </w:tcMar>
            <w:vAlign w:val="bottom"/>
          </w:tcPr>
          <w:p w14:paraId="6EAF8057" w14:textId="77777777" w:rsidR="001614AC" w:rsidRDefault="004468F9">
            <w:pPr>
              <w:keepNext/>
              <w:spacing w:before="55" w:after="30" w:line="288" w:lineRule="auto"/>
            </w:pPr>
            <w:r>
              <w:rPr>
                <w:rFonts w:ascii="Arial" w:eastAsia="Arial" w:hAnsi="Arial" w:cs="Arial"/>
                <w:color w:val="000000"/>
                <w:sz w:val="18"/>
              </w:rPr>
              <w:t>$</w:t>
            </w:r>
          </w:p>
        </w:tc>
        <w:tc>
          <w:tcPr>
            <w:tcW w:w="1240" w:type="dxa"/>
            <w:tcBorders>
              <w:top w:val="single" w:sz="8" w:space="0" w:color="C7C9C7"/>
              <w:left w:val="nil"/>
              <w:bottom w:val="single" w:sz="8" w:space="0" w:color="E9E9E9"/>
              <w:right w:val="nil"/>
            </w:tcBorders>
            <w:tcMar>
              <w:top w:w="0" w:type="dxa"/>
              <w:left w:w="0" w:type="dxa"/>
              <w:bottom w:w="0" w:type="dxa"/>
              <w:right w:w="0" w:type="dxa"/>
            </w:tcMar>
            <w:vAlign w:val="bottom"/>
          </w:tcPr>
          <w:p w14:paraId="5DDB8888" w14:textId="77777777" w:rsidR="001614AC" w:rsidRDefault="004468F9">
            <w:pPr>
              <w:keepNext/>
              <w:spacing w:before="55" w:after="30" w:line="288" w:lineRule="auto"/>
              <w:jc w:val="right"/>
            </w:pPr>
            <w:r>
              <w:rPr>
                <w:rFonts w:ascii="Arial" w:eastAsia="Arial" w:hAnsi="Arial" w:cs="Arial"/>
                <w:color w:val="000000"/>
                <w:sz w:val="18"/>
              </w:rPr>
              <w:t>401,273 </w:t>
            </w:r>
          </w:p>
        </w:tc>
        <w:tc>
          <w:tcPr>
            <w:tcW w:w="100" w:type="dxa"/>
            <w:tcBorders>
              <w:top w:val="single" w:sz="8" w:space="0" w:color="C7C9C7"/>
              <w:left w:val="nil"/>
              <w:bottom w:val="single" w:sz="8" w:space="0" w:color="E9E9E9"/>
              <w:right w:val="nil"/>
            </w:tcBorders>
            <w:tcMar>
              <w:top w:w="0" w:type="dxa"/>
              <w:left w:w="0" w:type="dxa"/>
              <w:bottom w:w="0" w:type="dxa"/>
              <w:right w:w="15" w:type="dxa"/>
            </w:tcMar>
            <w:vAlign w:val="bottom"/>
          </w:tcPr>
          <w:p w14:paraId="4A11BE38" w14:textId="77777777" w:rsidR="001614AC" w:rsidRDefault="001614AC">
            <w:pPr>
              <w:keepNext/>
              <w:spacing w:before="55" w:after="30" w:line="288" w:lineRule="auto"/>
              <w:jc w:val="right"/>
            </w:pPr>
          </w:p>
        </w:tc>
      </w:tr>
      <w:tr w:rsidR="001614AC" w14:paraId="3F4D9DFE" w14:textId="77777777">
        <w:trPr>
          <w:cantSplit/>
        </w:trPr>
        <w:tc>
          <w:tcPr>
            <w:tcW w:w="6870" w:type="dxa"/>
            <w:tcBorders>
              <w:top w:val="single" w:sz="8" w:space="0" w:color="E9E9E9"/>
              <w:left w:val="nil"/>
              <w:bottom w:val="nil"/>
              <w:right w:val="nil"/>
            </w:tcBorders>
            <w:tcMar>
              <w:top w:w="0" w:type="dxa"/>
              <w:left w:w="53" w:type="dxa"/>
              <w:bottom w:w="0" w:type="dxa"/>
              <w:right w:w="53" w:type="dxa"/>
            </w:tcMar>
            <w:vAlign w:val="bottom"/>
          </w:tcPr>
          <w:p w14:paraId="1D3924FB" w14:textId="77777777" w:rsidR="001614AC" w:rsidRDefault="004468F9">
            <w:pPr>
              <w:keepNext/>
              <w:spacing w:before="55" w:after="30" w:line="288" w:lineRule="auto"/>
              <w:rPr>
                <w:rFonts w:ascii="Arial" w:eastAsia="Arial" w:hAnsi="Arial" w:cs="Arial"/>
                <w:sz w:val="18"/>
              </w:rPr>
            </w:pPr>
            <w:r>
              <w:rPr>
                <w:rFonts w:ascii="Arial" w:eastAsia="Arial" w:hAnsi="Arial" w:cs="Arial"/>
                <w:sz w:val="18"/>
              </w:rPr>
              <w:t xml:space="preserve">Less: Reinsurance recoverables </w:t>
            </w:r>
            <w:r>
              <w:rPr>
                <w:rFonts w:ascii="Arial" w:eastAsia="Arial" w:hAnsi="Arial" w:cs="Arial"/>
                <w:sz w:val="18"/>
                <w:vertAlign w:val="superscript"/>
              </w:rPr>
              <w:t xml:space="preserve">(1) </w:t>
            </w:r>
          </w:p>
        </w:tc>
        <w:tc>
          <w:tcPr>
            <w:tcW w:w="105" w:type="dxa"/>
            <w:tcBorders>
              <w:top w:val="nil"/>
              <w:left w:val="nil"/>
              <w:bottom w:val="nil"/>
              <w:right w:val="nil"/>
            </w:tcBorders>
            <w:tcMar>
              <w:top w:w="0" w:type="dxa"/>
              <w:left w:w="0" w:type="dxa"/>
              <w:bottom w:w="0" w:type="dxa"/>
              <w:right w:w="0" w:type="dxa"/>
            </w:tcMar>
            <w:vAlign w:val="bottom"/>
          </w:tcPr>
          <w:p w14:paraId="344C6CD4" w14:textId="77777777" w:rsidR="001614AC" w:rsidRDefault="001614AC">
            <w:pPr>
              <w:keepNext/>
            </w:pPr>
          </w:p>
        </w:tc>
        <w:tc>
          <w:tcPr>
            <w:tcW w:w="1400" w:type="dxa"/>
            <w:gridSpan w:val="2"/>
            <w:tcBorders>
              <w:top w:val="single" w:sz="8" w:space="0" w:color="E9E9E9"/>
              <w:left w:val="nil"/>
              <w:bottom w:val="single" w:sz="8" w:space="0" w:color="C7C9C7"/>
              <w:right w:val="nil"/>
            </w:tcBorders>
            <w:tcMar>
              <w:top w:w="0" w:type="dxa"/>
              <w:left w:w="53" w:type="dxa"/>
              <w:bottom w:w="0" w:type="dxa"/>
              <w:right w:w="0" w:type="dxa"/>
            </w:tcMar>
            <w:vAlign w:val="bottom"/>
          </w:tcPr>
          <w:p w14:paraId="72F7CAF8" w14:textId="77777777" w:rsidR="001614AC" w:rsidRDefault="004468F9">
            <w:pPr>
              <w:keepNext/>
              <w:spacing w:before="55" w:after="30" w:line="288" w:lineRule="auto"/>
              <w:jc w:val="right"/>
            </w:pPr>
            <w:r>
              <w:rPr>
                <w:rFonts w:ascii="Arial" w:eastAsia="Arial" w:hAnsi="Arial" w:cs="Arial"/>
                <w:color w:val="000000"/>
                <w:sz w:val="18"/>
              </w:rPr>
              <w:t>71,769 </w:t>
            </w:r>
          </w:p>
        </w:tc>
        <w:tc>
          <w:tcPr>
            <w:tcW w:w="100" w:type="dxa"/>
            <w:tcBorders>
              <w:top w:val="single" w:sz="8" w:space="0" w:color="E9E9E9"/>
              <w:left w:val="nil"/>
              <w:bottom w:val="single" w:sz="8" w:space="0" w:color="C7C9C7"/>
              <w:right w:val="nil"/>
            </w:tcBorders>
            <w:tcMar>
              <w:top w:w="0" w:type="dxa"/>
              <w:left w:w="0" w:type="dxa"/>
              <w:bottom w:w="0" w:type="dxa"/>
              <w:right w:w="15" w:type="dxa"/>
            </w:tcMar>
            <w:vAlign w:val="bottom"/>
          </w:tcPr>
          <w:p w14:paraId="273270A6" w14:textId="77777777" w:rsidR="001614AC" w:rsidRDefault="001614AC">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55186127" w14:textId="77777777" w:rsidR="001614AC" w:rsidRDefault="001614AC">
            <w:pPr>
              <w:keepNext/>
            </w:pPr>
          </w:p>
        </w:tc>
        <w:tc>
          <w:tcPr>
            <w:tcW w:w="1400" w:type="dxa"/>
            <w:gridSpan w:val="2"/>
            <w:tcBorders>
              <w:top w:val="single" w:sz="8" w:space="0" w:color="E9E9E9"/>
              <w:left w:val="nil"/>
              <w:bottom w:val="single" w:sz="8" w:space="0" w:color="C7C9C7"/>
              <w:right w:val="nil"/>
            </w:tcBorders>
            <w:tcMar>
              <w:top w:w="0" w:type="dxa"/>
              <w:left w:w="53" w:type="dxa"/>
              <w:bottom w:w="0" w:type="dxa"/>
              <w:right w:w="0" w:type="dxa"/>
            </w:tcMar>
            <w:vAlign w:val="bottom"/>
          </w:tcPr>
          <w:p w14:paraId="2353EEA2" w14:textId="77777777" w:rsidR="001614AC" w:rsidRDefault="004468F9">
            <w:pPr>
              <w:keepNext/>
              <w:spacing w:before="55" w:after="30" w:line="288" w:lineRule="auto"/>
              <w:jc w:val="right"/>
            </w:pPr>
            <w:r>
              <w:rPr>
                <w:rFonts w:ascii="Arial" w:eastAsia="Arial" w:hAnsi="Arial" w:cs="Arial"/>
                <w:color w:val="000000"/>
                <w:sz w:val="18"/>
              </w:rPr>
              <w:t>14,594 </w:t>
            </w:r>
          </w:p>
        </w:tc>
        <w:tc>
          <w:tcPr>
            <w:tcW w:w="100" w:type="dxa"/>
            <w:tcBorders>
              <w:top w:val="single" w:sz="8" w:space="0" w:color="E9E9E9"/>
              <w:left w:val="nil"/>
              <w:bottom w:val="single" w:sz="8" w:space="0" w:color="C7C9C7"/>
              <w:right w:val="nil"/>
            </w:tcBorders>
            <w:tcMar>
              <w:top w:w="0" w:type="dxa"/>
              <w:left w:w="0" w:type="dxa"/>
              <w:bottom w:w="0" w:type="dxa"/>
              <w:right w:w="15" w:type="dxa"/>
            </w:tcMar>
            <w:vAlign w:val="bottom"/>
          </w:tcPr>
          <w:p w14:paraId="65F6920B" w14:textId="77777777" w:rsidR="001614AC" w:rsidRDefault="001614AC">
            <w:pPr>
              <w:keepNext/>
              <w:spacing w:before="55" w:after="30" w:line="288" w:lineRule="auto"/>
              <w:jc w:val="right"/>
            </w:pPr>
          </w:p>
        </w:tc>
      </w:tr>
      <w:tr w:rsidR="001614AC" w14:paraId="191E92A2" w14:textId="77777777">
        <w:trPr>
          <w:cantSplit/>
        </w:trPr>
        <w:tc>
          <w:tcPr>
            <w:tcW w:w="6870" w:type="dxa"/>
            <w:tcBorders>
              <w:top w:val="nil"/>
              <w:left w:val="nil"/>
              <w:bottom w:val="nil"/>
              <w:right w:val="nil"/>
            </w:tcBorders>
            <w:shd w:val="clear" w:color="auto" w:fill="F4F4F4"/>
            <w:tcMar>
              <w:top w:w="0" w:type="dxa"/>
              <w:left w:w="53" w:type="dxa"/>
              <w:bottom w:w="0" w:type="dxa"/>
              <w:right w:w="53" w:type="dxa"/>
            </w:tcMar>
            <w:vAlign w:val="bottom"/>
          </w:tcPr>
          <w:p w14:paraId="1FB2E5A1" w14:textId="77777777" w:rsidR="001614AC" w:rsidRDefault="004468F9">
            <w:pPr>
              <w:keepNext/>
              <w:spacing w:before="75" w:after="30" w:line="288" w:lineRule="auto"/>
            </w:pPr>
            <w:r>
              <w:rPr>
                <w:rFonts w:ascii="Arial" w:eastAsia="Arial" w:hAnsi="Arial" w:cs="Arial"/>
                <w:color w:val="000000"/>
                <w:sz w:val="18"/>
              </w:rPr>
              <w:t>Balance at beginning of period, net of reinsurance recoverables</w:t>
            </w:r>
          </w:p>
        </w:tc>
        <w:tc>
          <w:tcPr>
            <w:tcW w:w="105" w:type="dxa"/>
            <w:tcBorders>
              <w:top w:val="nil"/>
              <w:left w:val="nil"/>
              <w:bottom w:val="nil"/>
              <w:right w:val="nil"/>
            </w:tcBorders>
            <w:shd w:val="clear" w:color="auto" w:fill="F4F4F4"/>
            <w:tcMar>
              <w:top w:w="0" w:type="dxa"/>
              <w:left w:w="0" w:type="dxa"/>
              <w:bottom w:w="0" w:type="dxa"/>
              <w:right w:w="0" w:type="dxa"/>
            </w:tcMar>
            <w:vAlign w:val="bottom"/>
          </w:tcPr>
          <w:p w14:paraId="2D20087D" w14:textId="77777777" w:rsidR="001614AC" w:rsidRDefault="001614AC">
            <w:pPr>
              <w:keepNext/>
            </w:pPr>
          </w:p>
        </w:tc>
        <w:tc>
          <w:tcPr>
            <w:tcW w:w="1400" w:type="dxa"/>
            <w:gridSpan w:val="2"/>
            <w:tcBorders>
              <w:top w:val="single" w:sz="8" w:space="0" w:color="C7C9C7"/>
              <w:left w:val="nil"/>
              <w:bottom w:val="single" w:sz="8" w:space="0" w:color="C7C9C7"/>
              <w:right w:val="nil"/>
            </w:tcBorders>
            <w:shd w:val="clear" w:color="auto" w:fill="F4F4F4"/>
            <w:tcMar>
              <w:top w:w="0" w:type="dxa"/>
              <w:left w:w="53" w:type="dxa"/>
              <w:bottom w:w="0" w:type="dxa"/>
              <w:right w:w="0" w:type="dxa"/>
            </w:tcMar>
            <w:vAlign w:val="bottom"/>
          </w:tcPr>
          <w:p w14:paraId="40F26353" w14:textId="77777777" w:rsidR="001614AC" w:rsidRDefault="004468F9">
            <w:pPr>
              <w:keepNext/>
              <w:spacing w:before="55" w:after="30" w:line="288" w:lineRule="auto"/>
              <w:jc w:val="right"/>
            </w:pPr>
            <w:r>
              <w:rPr>
                <w:rFonts w:ascii="Arial" w:eastAsia="Arial" w:hAnsi="Arial" w:cs="Arial"/>
                <w:color w:val="000000"/>
                <w:sz w:val="18"/>
              </w:rPr>
              <w:t>772,338 </w:t>
            </w:r>
          </w:p>
        </w:tc>
        <w:tc>
          <w:tcPr>
            <w:tcW w:w="100" w:type="dxa"/>
            <w:tcBorders>
              <w:top w:val="single" w:sz="8" w:space="0" w:color="C7C9C7"/>
              <w:left w:val="nil"/>
              <w:bottom w:val="single" w:sz="8" w:space="0" w:color="C7C9C7"/>
              <w:right w:val="nil"/>
            </w:tcBorders>
            <w:shd w:val="clear" w:color="auto" w:fill="F4F4F4"/>
            <w:tcMar>
              <w:top w:w="0" w:type="dxa"/>
              <w:left w:w="0" w:type="dxa"/>
              <w:bottom w:w="0" w:type="dxa"/>
              <w:right w:w="15" w:type="dxa"/>
            </w:tcMar>
            <w:vAlign w:val="bottom"/>
          </w:tcPr>
          <w:p w14:paraId="2DD93EAC" w14:textId="77777777" w:rsidR="001614AC" w:rsidRDefault="001614AC">
            <w:pPr>
              <w:keepNext/>
              <w:spacing w:before="55" w:after="30" w:line="288" w:lineRule="auto"/>
              <w:jc w:val="right"/>
            </w:pPr>
          </w:p>
        </w:tc>
        <w:tc>
          <w:tcPr>
            <w:tcW w:w="105" w:type="dxa"/>
            <w:tcBorders>
              <w:top w:val="nil"/>
              <w:left w:val="nil"/>
              <w:bottom w:val="nil"/>
              <w:right w:val="nil"/>
            </w:tcBorders>
            <w:shd w:val="clear" w:color="auto" w:fill="F4F4F4"/>
            <w:tcMar>
              <w:top w:w="0" w:type="dxa"/>
              <w:left w:w="0" w:type="dxa"/>
              <w:bottom w:w="0" w:type="dxa"/>
              <w:right w:w="0" w:type="dxa"/>
            </w:tcMar>
            <w:vAlign w:val="bottom"/>
          </w:tcPr>
          <w:p w14:paraId="024605F5" w14:textId="77777777" w:rsidR="001614AC" w:rsidRDefault="001614AC">
            <w:pPr>
              <w:keepNext/>
            </w:pPr>
          </w:p>
        </w:tc>
        <w:tc>
          <w:tcPr>
            <w:tcW w:w="1400" w:type="dxa"/>
            <w:gridSpan w:val="2"/>
            <w:tcBorders>
              <w:top w:val="single" w:sz="8" w:space="0" w:color="C7C9C7"/>
              <w:left w:val="nil"/>
              <w:bottom w:val="single" w:sz="8" w:space="0" w:color="C7C9C7"/>
              <w:right w:val="nil"/>
            </w:tcBorders>
            <w:shd w:val="clear" w:color="auto" w:fill="F4F4F4"/>
            <w:tcMar>
              <w:top w:w="0" w:type="dxa"/>
              <w:left w:w="53" w:type="dxa"/>
              <w:bottom w:w="0" w:type="dxa"/>
              <w:right w:w="0" w:type="dxa"/>
            </w:tcMar>
            <w:vAlign w:val="bottom"/>
          </w:tcPr>
          <w:p w14:paraId="535F47B1" w14:textId="77777777" w:rsidR="001614AC" w:rsidRDefault="004468F9">
            <w:pPr>
              <w:keepNext/>
              <w:spacing w:before="55" w:after="30" w:line="288" w:lineRule="auto"/>
              <w:jc w:val="right"/>
            </w:pPr>
            <w:r>
              <w:rPr>
                <w:rFonts w:ascii="Arial" w:eastAsia="Arial" w:hAnsi="Arial" w:cs="Arial"/>
                <w:color w:val="000000"/>
                <w:sz w:val="18"/>
              </w:rPr>
              <w:t>386,679 </w:t>
            </w:r>
          </w:p>
        </w:tc>
        <w:tc>
          <w:tcPr>
            <w:tcW w:w="100" w:type="dxa"/>
            <w:tcBorders>
              <w:top w:val="single" w:sz="8" w:space="0" w:color="C7C9C7"/>
              <w:left w:val="nil"/>
              <w:bottom w:val="single" w:sz="8" w:space="0" w:color="C7C9C7"/>
              <w:right w:val="nil"/>
            </w:tcBorders>
            <w:shd w:val="clear" w:color="auto" w:fill="F4F4F4"/>
            <w:tcMar>
              <w:top w:w="0" w:type="dxa"/>
              <w:left w:w="0" w:type="dxa"/>
              <w:bottom w:w="0" w:type="dxa"/>
              <w:right w:w="15" w:type="dxa"/>
            </w:tcMar>
            <w:vAlign w:val="bottom"/>
          </w:tcPr>
          <w:p w14:paraId="094E3A48" w14:textId="77777777" w:rsidR="001614AC" w:rsidRDefault="001614AC">
            <w:pPr>
              <w:keepNext/>
              <w:spacing w:before="55" w:after="30" w:line="288" w:lineRule="auto"/>
              <w:jc w:val="right"/>
            </w:pPr>
          </w:p>
        </w:tc>
      </w:tr>
      <w:tr w:rsidR="001614AC" w14:paraId="66EAB564" w14:textId="77777777">
        <w:trPr>
          <w:cantSplit/>
        </w:trPr>
        <w:tc>
          <w:tcPr>
            <w:tcW w:w="6870" w:type="dxa"/>
            <w:tcBorders>
              <w:top w:val="nil"/>
              <w:left w:val="nil"/>
              <w:bottom w:val="single" w:sz="8" w:space="0" w:color="E9E9E9"/>
              <w:right w:val="nil"/>
            </w:tcBorders>
            <w:tcMar>
              <w:top w:w="0" w:type="dxa"/>
              <w:left w:w="53" w:type="dxa"/>
              <w:bottom w:w="0" w:type="dxa"/>
              <w:right w:w="53" w:type="dxa"/>
            </w:tcMar>
            <w:vAlign w:val="bottom"/>
          </w:tcPr>
          <w:p w14:paraId="44EC065A" w14:textId="77777777" w:rsidR="001614AC" w:rsidRDefault="004468F9">
            <w:pPr>
              <w:keepNext/>
              <w:spacing w:before="75" w:after="30" w:line="288" w:lineRule="auto"/>
            </w:pPr>
            <w:r>
              <w:rPr>
                <w:rFonts w:ascii="Arial" w:eastAsia="Arial" w:hAnsi="Arial" w:cs="Arial"/>
                <w:color w:val="000000"/>
                <w:sz w:val="18"/>
              </w:rPr>
              <w:t>Add: Losses and LAE incurred in respect of default notices reported and unreported in:</w:t>
            </w:r>
          </w:p>
        </w:tc>
        <w:tc>
          <w:tcPr>
            <w:tcW w:w="105" w:type="dxa"/>
            <w:tcBorders>
              <w:top w:val="nil"/>
              <w:left w:val="nil"/>
              <w:bottom w:val="nil"/>
              <w:right w:val="nil"/>
            </w:tcBorders>
            <w:tcMar>
              <w:top w:w="0" w:type="dxa"/>
              <w:left w:w="0" w:type="dxa"/>
              <w:bottom w:w="0" w:type="dxa"/>
              <w:right w:w="0" w:type="dxa"/>
            </w:tcMar>
            <w:vAlign w:val="bottom"/>
          </w:tcPr>
          <w:p w14:paraId="2DBC78B2" w14:textId="77777777" w:rsidR="001614AC" w:rsidRDefault="001614AC">
            <w:pPr>
              <w:keepNext/>
            </w:pPr>
          </w:p>
        </w:tc>
        <w:tc>
          <w:tcPr>
            <w:tcW w:w="1500" w:type="dxa"/>
            <w:gridSpan w:val="3"/>
            <w:tcBorders>
              <w:top w:val="single" w:sz="8" w:space="0" w:color="C7C9C7"/>
              <w:left w:val="nil"/>
              <w:bottom w:val="single" w:sz="8" w:space="0" w:color="E9E9E9"/>
              <w:right w:val="nil"/>
            </w:tcBorders>
            <w:tcMar>
              <w:top w:w="0" w:type="dxa"/>
              <w:left w:w="0" w:type="dxa"/>
              <w:bottom w:w="0" w:type="dxa"/>
              <w:right w:w="0" w:type="dxa"/>
            </w:tcMar>
            <w:vAlign w:val="bottom"/>
          </w:tcPr>
          <w:p w14:paraId="326F21E0" w14:textId="77777777" w:rsidR="001614AC" w:rsidRDefault="001614AC">
            <w:pPr>
              <w:keepNext/>
            </w:pPr>
          </w:p>
        </w:tc>
        <w:tc>
          <w:tcPr>
            <w:tcW w:w="105" w:type="dxa"/>
            <w:tcBorders>
              <w:top w:val="nil"/>
              <w:left w:val="nil"/>
              <w:bottom w:val="nil"/>
              <w:right w:val="nil"/>
            </w:tcBorders>
            <w:tcMar>
              <w:top w:w="0" w:type="dxa"/>
              <w:left w:w="0" w:type="dxa"/>
              <w:bottom w:w="0" w:type="dxa"/>
              <w:right w:w="0" w:type="dxa"/>
            </w:tcMar>
            <w:vAlign w:val="bottom"/>
          </w:tcPr>
          <w:p w14:paraId="6C7366B7" w14:textId="77777777" w:rsidR="001614AC" w:rsidRDefault="001614AC">
            <w:pPr>
              <w:keepNext/>
            </w:pPr>
          </w:p>
        </w:tc>
        <w:tc>
          <w:tcPr>
            <w:tcW w:w="1500" w:type="dxa"/>
            <w:gridSpan w:val="3"/>
            <w:tcBorders>
              <w:top w:val="single" w:sz="8" w:space="0" w:color="C7C9C7"/>
              <w:left w:val="nil"/>
              <w:bottom w:val="single" w:sz="8" w:space="0" w:color="E9E9E9"/>
              <w:right w:val="nil"/>
            </w:tcBorders>
            <w:tcMar>
              <w:top w:w="0" w:type="dxa"/>
              <w:left w:w="0" w:type="dxa"/>
              <w:bottom w:w="0" w:type="dxa"/>
              <w:right w:w="0" w:type="dxa"/>
            </w:tcMar>
            <w:vAlign w:val="bottom"/>
          </w:tcPr>
          <w:p w14:paraId="22385A3E" w14:textId="77777777" w:rsidR="001614AC" w:rsidRDefault="001614AC">
            <w:pPr>
              <w:keepNext/>
            </w:pPr>
          </w:p>
        </w:tc>
      </w:tr>
      <w:tr w:rsidR="001614AC" w14:paraId="12D3C999" w14:textId="77777777">
        <w:trPr>
          <w:cantSplit/>
        </w:trPr>
        <w:tc>
          <w:tcPr>
            <w:tcW w:w="6870" w:type="dxa"/>
            <w:tcBorders>
              <w:top w:val="single" w:sz="8" w:space="0" w:color="E9E9E9"/>
              <w:left w:val="nil"/>
              <w:bottom w:val="single" w:sz="8" w:space="0" w:color="E9E9E9"/>
              <w:right w:val="nil"/>
            </w:tcBorders>
            <w:tcMar>
              <w:top w:w="0" w:type="dxa"/>
              <w:left w:w="53" w:type="dxa"/>
              <w:bottom w:w="0" w:type="dxa"/>
              <w:right w:w="53" w:type="dxa"/>
            </w:tcMar>
            <w:vAlign w:val="bottom"/>
          </w:tcPr>
          <w:p w14:paraId="553DB85C" w14:textId="77777777" w:rsidR="001614AC" w:rsidRDefault="004468F9">
            <w:pPr>
              <w:keepNext/>
              <w:spacing w:before="55" w:after="30" w:line="288" w:lineRule="auto"/>
              <w:ind w:left="240"/>
              <w:rPr>
                <w:rFonts w:ascii="Arial" w:eastAsia="Arial" w:hAnsi="Arial" w:cs="Arial"/>
                <w:sz w:val="18"/>
              </w:rPr>
            </w:pPr>
            <w:r>
              <w:rPr>
                <w:rFonts w:ascii="Arial" w:eastAsia="Arial" w:hAnsi="Arial" w:cs="Arial"/>
                <w:sz w:val="18"/>
              </w:rPr>
              <w:t>Current year</w:t>
            </w:r>
            <w:r>
              <w:rPr>
                <w:rFonts w:ascii="Arial" w:eastAsia="Arial" w:hAnsi="Arial" w:cs="Arial"/>
                <w:sz w:val="18"/>
                <w:vertAlign w:val="superscript"/>
              </w:rPr>
              <w:t xml:space="preserve"> (2) </w:t>
            </w:r>
          </w:p>
        </w:tc>
        <w:tc>
          <w:tcPr>
            <w:tcW w:w="105" w:type="dxa"/>
            <w:tcBorders>
              <w:top w:val="nil"/>
              <w:left w:val="nil"/>
              <w:bottom w:val="nil"/>
              <w:right w:val="nil"/>
            </w:tcBorders>
            <w:tcMar>
              <w:top w:w="0" w:type="dxa"/>
              <w:left w:w="0" w:type="dxa"/>
              <w:bottom w:w="0" w:type="dxa"/>
              <w:right w:w="0" w:type="dxa"/>
            </w:tcMar>
            <w:vAlign w:val="bottom"/>
          </w:tcPr>
          <w:p w14:paraId="3BD68501" w14:textId="77777777" w:rsidR="001614AC" w:rsidRDefault="001614AC">
            <w:pPr>
              <w:keepNext/>
            </w:pPr>
          </w:p>
        </w:tc>
        <w:tc>
          <w:tcPr>
            <w:tcW w:w="1400"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2FB93A33" w14:textId="77777777" w:rsidR="001614AC" w:rsidRDefault="004468F9">
            <w:pPr>
              <w:keepNext/>
              <w:spacing w:before="55" w:after="30" w:line="288" w:lineRule="auto"/>
              <w:jc w:val="right"/>
            </w:pPr>
            <w:r>
              <w:rPr>
                <w:rFonts w:ascii="Arial" w:eastAsia="Arial" w:hAnsi="Arial" w:cs="Arial"/>
                <w:color w:val="000000"/>
                <w:sz w:val="18"/>
              </w:rPr>
              <w:t>85,807 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6FFA9143" w14:textId="77777777" w:rsidR="001614AC" w:rsidRDefault="001614AC">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7AA3B644" w14:textId="77777777" w:rsidR="001614AC" w:rsidRDefault="001614AC">
            <w:pPr>
              <w:keepNext/>
            </w:pPr>
          </w:p>
        </w:tc>
        <w:tc>
          <w:tcPr>
            <w:tcW w:w="1400"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75944383" w14:textId="77777777" w:rsidR="001614AC" w:rsidRDefault="004468F9">
            <w:pPr>
              <w:keepNext/>
              <w:spacing w:before="55" w:after="30" w:line="288" w:lineRule="auto"/>
              <w:jc w:val="right"/>
            </w:pPr>
            <w:r>
              <w:rPr>
                <w:rFonts w:ascii="Arial" w:eastAsia="Arial" w:hAnsi="Arial" w:cs="Arial"/>
                <w:color w:val="000000"/>
                <w:sz w:val="18"/>
              </w:rPr>
              <w:t>356,555 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53EEFFAF" w14:textId="77777777" w:rsidR="001614AC" w:rsidRDefault="001614AC">
            <w:pPr>
              <w:keepNext/>
              <w:spacing w:before="55" w:after="30" w:line="288" w:lineRule="auto"/>
              <w:jc w:val="right"/>
            </w:pPr>
          </w:p>
        </w:tc>
      </w:tr>
      <w:tr w:rsidR="001614AC" w14:paraId="04D9B956" w14:textId="77777777">
        <w:trPr>
          <w:cantSplit/>
        </w:trPr>
        <w:tc>
          <w:tcPr>
            <w:tcW w:w="6870" w:type="dxa"/>
            <w:tcBorders>
              <w:top w:val="single" w:sz="8" w:space="0" w:color="E9E9E9"/>
              <w:left w:val="nil"/>
              <w:bottom w:val="nil"/>
              <w:right w:val="nil"/>
            </w:tcBorders>
            <w:tcMar>
              <w:top w:w="0" w:type="dxa"/>
              <w:left w:w="53" w:type="dxa"/>
              <w:bottom w:w="0" w:type="dxa"/>
              <w:right w:w="53" w:type="dxa"/>
            </w:tcMar>
            <w:vAlign w:val="bottom"/>
          </w:tcPr>
          <w:p w14:paraId="61E9B112" w14:textId="77777777" w:rsidR="001614AC" w:rsidRDefault="004468F9">
            <w:pPr>
              <w:keepNext/>
              <w:spacing w:before="55" w:after="30" w:line="288" w:lineRule="auto"/>
              <w:ind w:left="240"/>
            </w:pPr>
            <w:r>
              <w:rPr>
                <w:rFonts w:ascii="Arial" w:eastAsia="Arial" w:hAnsi="Arial" w:cs="Arial"/>
                <w:color w:val="000000"/>
                <w:sz w:val="18"/>
              </w:rPr>
              <w:t xml:space="preserve">Prior years </w:t>
            </w:r>
          </w:p>
        </w:tc>
        <w:tc>
          <w:tcPr>
            <w:tcW w:w="105" w:type="dxa"/>
            <w:tcBorders>
              <w:top w:val="nil"/>
              <w:left w:val="nil"/>
              <w:bottom w:val="nil"/>
              <w:right w:val="nil"/>
            </w:tcBorders>
            <w:tcMar>
              <w:top w:w="0" w:type="dxa"/>
              <w:left w:w="0" w:type="dxa"/>
              <w:bottom w:w="0" w:type="dxa"/>
              <w:right w:w="0" w:type="dxa"/>
            </w:tcMar>
            <w:vAlign w:val="bottom"/>
          </w:tcPr>
          <w:p w14:paraId="5D3AEC1C" w14:textId="77777777" w:rsidR="001614AC" w:rsidRDefault="001614AC">
            <w:pPr>
              <w:keepNext/>
            </w:pPr>
          </w:p>
        </w:tc>
        <w:tc>
          <w:tcPr>
            <w:tcW w:w="1400" w:type="dxa"/>
            <w:gridSpan w:val="2"/>
            <w:tcBorders>
              <w:top w:val="single" w:sz="8" w:space="0" w:color="E9E9E9"/>
              <w:left w:val="nil"/>
              <w:bottom w:val="single" w:sz="8" w:space="0" w:color="C7C9C7"/>
              <w:right w:val="nil"/>
            </w:tcBorders>
            <w:tcMar>
              <w:top w:w="0" w:type="dxa"/>
              <w:left w:w="53" w:type="dxa"/>
              <w:bottom w:w="0" w:type="dxa"/>
              <w:right w:w="0" w:type="dxa"/>
            </w:tcMar>
            <w:vAlign w:val="bottom"/>
          </w:tcPr>
          <w:p w14:paraId="3880CF94" w14:textId="77777777" w:rsidR="001614AC" w:rsidRDefault="004468F9">
            <w:pPr>
              <w:keepNext/>
              <w:spacing w:before="55" w:after="30" w:line="288" w:lineRule="auto"/>
              <w:jc w:val="right"/>
            </w:pPr>
            <w:r>
              <w:rPr>
                <w:rFonts w:ascii="Arial" w:eastAsia="Arial" w:hAnsi="Arial" w:cs="Arial"/>
                <w:color w:val="000000"/>
                <w:sz w:val="18"/>
              </w:rPr>
              <w:t>(36,695)</w:t>
            </w:r>
          </w:p>
        </w:tc>
        <w:tc>
          <w:tcPr>
            <w:tcW w:w="100" w:type="dxa"/>
            <w:tcBorders>
              <w:top w:val="single" w:sz="8" w:space="0" w:color="E9E9E9"/>
              <w:left w:val="nil"/>
              <w:bottom w:val="single" w:sz="8" w:space="0" w:color="C7C9C7"/>
              <w:right w:val="nil"/>
            </w:tcBorders>
            <w:tcMar>
              <w:top w:w="0" w:type="dxa"/>
              <w:left w:w="0" w:type="dxa"/>
              <w:bottom w:w="0" w:type="dxa"/>
              <w:right w:w="15" w:type="dxa"/>
            </w:tcMar>
            <w:vAlign w:val="bottom"/>
          </w:tcPr>
          <w:p w14:paraId="40A83FB3" w14:textId="77777777" w:rsidR="001614AC" w:rsidRDefault="001614AC">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11A09530" w14:textId="77777777" w:rsidR="001614AC" w:rsidRDefault="001614AC">
            <w:pPr>
              <w:keepNext/>
            </w:pPr>
          </w:p>
        </w:tc>
        <w:tc>
          <w:tcPr>
            <w:tcW w:w="1400" w:type="dxa"/>
            <w:gridSpan w:val="2"/>
            <w:tcBorders>
              <w:top w:val="single" w:sz="8" w:space="0" w:color="E9E9E9"/>
              <w:left w:val="nil"/>
              <w:bottom w:val="single" w:sz="8" w:space="0" w:color="C7C9C7"/>
              <w:right w:val="nil"/>
            </w:tcBorders>
            <w:tcMar>
              <w:top w:w="0" w:type="dxa"/>
              <w:left w:w="53" w:type="dxa"/>
              <w:bottom w:w="0" w:type="dxa"/>
              <w:right w:w="0" w:type="dxa"/>
            </w:tcMar>
            <w:vAlign w:val="bottom"/>
          </w:tcPr>
          <w:p w14:paraId="58882023" w14:textId="77777777" w:rsidR="001614AC" w:rsidRDefault="004468F9">
            <w:pPr>
              <w:keepNext/>
              <w:spacing w:before="55" w:after="30" w:line="288" w:lineRule="auto"/>
              <w:jc w:val="right"/>
            </w:pPr>
            <w:r>
              <w:rPr>
                <w:rFonts w:ascii="Arial" w:eastAsia="Arial" w:hAnsi="Arial" w:cs="Arial"/>
                <w:color w:val="000000"/>
                <w:sz w:val="18"/>
              </w:rPr>
              <w:t>(17,223)</w:t>
            </w:r>
          </w:p>
        </w:tc>
        <w:tc>
          <w:tcPr>
            <w:tcW w:w="100" w:type="dxa"/>
            <w:tcBorders>
              <w:top w:val="single" w:sz="8" w:space="0" w:color="E9E9E9"/>
              <w:left w:val="nil"/>
              <w:bottom w:val="single" w:sz="8" w:space="0" w:color="C7C9C7"/>
              <w:right w:val="nil"/>
            </w:tcBorders>
            <w:tcMar>
              <w:top w:w="0" w:type="dxa"/>
              <w:left w:w="0" w:type="dxa"/>
              <w:bottom w:w="0" w:type="dxa"/>
              <w:right w:w="15" w:type="dxa"/>
            </w:tcMar>
            <w:vAlign w:val="bottom"/>
          </w:tcPr>
          <w:p w14:paraId="7945C66A" w14:textId="77777777" w:rsidR="001614AC" w:rsidRDefault="001614AC">
            <w:pPr>
              <w:keepNext/>
              <w:spacing w:before="55" w:after="30" w:line="288" w:lineRule="auto"/>
              <w:jc w:val="right"/>
            </w:pPr>
          </w:p>
        </w:tc>
      </w:tr>
      <w:tr w:rsidR="001614AC" w14:paraId="763E32E2" w14:textId="77777777">
        <w:trPr>
          <w:cantSplit/>
        </w:trPr>
        <w:tc>
          <w:tcPr>
            <w:tcW w:w="6870" w:type="dxa"/>
            <w:tcBorders>
              <w:top w:val="nil"/>
              <w:left w:val="nil"/>
              <w:bottom w:val="nil"/>
              <w:right w:val="nil"/>
            </w:tcBorders>
            <w:shd w:val="clear" w:color="auto" w:fill="F4F4F4"/>
            <w:tcMar>
              <w:top w:w="0" w:type="dxa"/>
              <w:left w:w="53" w:type="dxa"/>
              <w:bottom w:w="0" w:type="dxa"/>
              <w:right w:w="53" w:type="dxa"/>
            </w:tcMar>
            <w:vAlign w:val="bottom"/>
          </w:tcPr>
          <w:p w14:paraId="2FA7D037" w14:textId="77777777" w:rsidR="001614AC" w:rsidRDefault="004468F9">
            <w:pPr>
              <w:keepNext/>
              <w:spacing w:before="75" w:after="30" w:line="288" w:lineRule="auto"/>
              <w:ind w:left="240"/>
            </w:pPr>
            <w:r>
              <w:rPr>
                <w:rFonts w:ascii="Arial" w:eastAsia="Arial" w:hAnsi="Arial" w:cs="Arial"/>
                <w:color w:val="000000"/>
                <w:sz w:val="18"/>
              </w:rPr>
              <w:t xml:space="preserve">Total </w:t>
            </w:r>
            <w:r>
              <w:rPr>
                <w:rFonts w:ascii="Arial" w:eastAsia="Arial" w:hAnsi="Arial" w:cs="Arial"/>
                <w:color w:val="000000"/>
                <w:sz w:val="18"/>
              </w:rPr>
              <w:t>incurred</w:t>
            </w:r>
          </w:p>
        </w:tc>
        <w:tc>
          <w:tcPr>
            <w:tcW w:w="105" w:type="dxa"/>
            <w:tcBorders>
              <w:top w:val="nil"/>
              <w:left w:val="nil"/>
              <w:bottom w:val="nil"/>
              <w:right w:val="nil"/>
            </w:tcBorders>
            <w:shd w:val="clear" w:color="auto" w:fill="F4F4F4"/>
            <w:tcMar>
              <w:top w:w="0" w:type="dxa"/>
              <w:left w:w="0" w:type="dxa"/>
              <w:bottom w:w="0" w:type="dxa"/>
              <w:right w:w="0" w:type="dxa"/>
            </w:tcMar>
            <w:vAlign w:val="bottom"/>
          </w:tcPr>
          <w:p w14:paraId="53EB9BC1" w14:textId="77777777" w:rsidR="001614AC" w:rsidRDefault="001614AC">
            <w:pPr>
              <w:keepNext/>
            </w:pPr>
          </w:p>
        </w:tc>
        <w:tc>
          <w:tcPr>
            <w:tcW w:w="1400" w:type="dxa"/>
            <w:gridSpan w:val="2"/>
            <w:tcBorders>
              <w:top w:val="single" w:sz="8" w:space="0" w:color="C7C9C7"/>
              <w:left w:val="nil"/>
              <w:bottom w:val="single" w:sz="8" w:space="0" w:color="C7C9C7"/>
              <w:right w:val="nil"/>
            </w:tcBorders>
            <w:shd w:val="clear" w:color="auto" w:fill="F4F4F4"/>
            <w:tcMar>
              <w:top w:w="0" w:type="dxa"/>
              <w:left w:w="53" w:type="dxa"/>
              <w:bottom w:w="0" w:type="dxa"/>
              <w:right w:w="0" w:type="dxa"/>
            </w:tcMar>
            <w:vAlign w:val="bottom"/>
          </w:tcPr>
          <w:p w14:paraId="10C329C9" w14:textId="77777777" w:rsidR="001614AC" w:rsidRDefault="004468F9">
            <w:pPr>
              <w:keepNext/>
              <w:spacing w:before="55" w:after="30" w:line="288" w:lineRule="auto"/>
              <w:jc w:val="right"/>
            </w:pPr>
            <w:r>
              <w:rPr>
                <w:rFonts w:ascii="Arial" w:eastAsia="Arial" w:hAnsi="Arial" w:cs="Arial"/>
                <w:color w:val="000000"/>
                <w:sz w:val="18"/>
              </w:rPr>
              <w:t>49,112 </w:t>
            </w:r>
          </w:p>
        </w:tc>
        <w:tc>
          <w:tcPr>
            <w:tcW w:w="100" w:type="dxa"/>
            <w:tcBorders>
              <w:top w:val="single" w:sz="8" w:space="0" w:color="C7C9C7"/>
              <w:left w:val="nil"/>
              <w:bottom w:val="single" w:sz="8" w:space="0" w:color="C7C9C7"/>
              <w:right w:val="nil"/>
            </w:tcBorders>
            <w:shd w:val="clear" w:color="auto" w:fill="F4F4F4"/>
            <w:tcMar>
              <w:top w:w="0" w:type="dxa"/>
              <w:left w:w="0" w:type="dxa"/>
              <w:bottom w:w="0" w:type="dxa"/>
              <w:right w:w="15" w:type="dxa"/>
            </w:tcMar>
            <w:vAlign w:val="bottom"/>
          </w:tcPr>
          <w:p w14:paraId="2A26C25D" w14:textId="77777777" w:rsidR="001614AC" w:rsidRDefault="001614AC">
            <w:pPr>
              <w:keepNext/>
              <w:spacing w:before="55" w:after="30" w:line="288" w:lineRule="auto"/>
              <w:jc w:val="right"/>
            </w:pPr>
          </w:p>
        </w:tc>
        <w:tc>
          <w:tcPr>
            <w:tcW w:w="105" w:type="dxa"/>
            <w:tcBorders>
              <w:top w:val="nil"/>
              <w:left w:val="nil"/>
              <w:bottom w:val="nil"/>
              <w:right w:val="nil"/>
            </w:tcBorders>
            <w:shd w:val="clear" w:color="auto" w:fill="F4F4F4"/>
            <w:tcMar>
              <w:top w:w="0" w:type="dxa"/>
              <w:left w:w="0" w:type="dxa"/>
              <w:bottom w:w="0" w:type="dxa"/>
              <w:right w:w="0" w:type="dxa"/>
            </w:tcMar>
            <w:vAlign w:val="bottom"/>
          </w:tcPr>
          <w:p w14:paraId="2BFB220F" w14:textId="77777777" w:rsidR="001614AC" w:rsidRDefault="001614AC">
            <w:pPr>
              <w:keepNext/>
            </w:pPr>
          </w:p>
        </w:tc>
        <w:tc>
          <w:tcPr>
            <w:tcW w:w="1400" w:type="dxa"/>
            <w:gridSpan w:val="2"/>
            <w:tcBorders>
              <w:top w:val="single" w:sz="8" w:space="0" w:color="C7C9C7"/>
              <w:left w:val="nil"/>
              <w:bottom w:val="single" w:sz="8" w:space="0" w:color="C7C9C7"/>
              <w:right w:val="nil"/>
            </w:tcBorders>
            <w:shd w:val="clear" w:color="auto" w:fill="F4F4F4"/>
            <w:tcMar>
              <w:top w:w="0" w:type="dxa"/>
              <w:left w:w="53" w:type="dxa"/>
              <w:bottom w:w="0" w:type="dxa"/>
              <w:right w:w="0" w:type="dxa"/>
            </w:tcMar>
            <w:vAlign w:val="bottom"/>
          </w:tcPr>
          <w:p w14:paraId="5C565CBC" w14:textId="77777777" w:rsidR="001614AC" w:rsidRDefault="004468F9">
            <w:pPr>
              <w:keepNext/>
              <w:spacing w:before="55" w:after="30" w:line="288" w:lineRule="auto"/>
              <w:jc w:val="right"/>
            </w:pPr>
            <w:r>
              <w:rPr>
                <w:rFonts w:ascii="Arial" w:eastAsia="Arial" w:hAnsi="Arial" w:cs="Arial"/>
                <w:color w:val="000000"/>
                <w:sz w:val="18"/>
              </w:rPr>
              <w:t>339,332 </w:t>
            </w:r>
          </w:p>
        </w:tc>
        <w:tc>
          <w:tcPr>
            <w:tcW w:w="100" w:type="dxa"/>
            <w:tcBorders>
              <w:top w:val="single" w:sz="8" w:space="0" w:color="C7C9C7"/>
              <w:left w:val="nil"/>
              <w:bottom w:val="single" w:sz="8" w:space="0" w:color="C7C9C7"/>
              <w:right w:val="nil"/>
            </w:tcBorders>
            <w:shd w:val="clear" w:color="auto" w:fill="F4F4F4"/>
            <w:tcMar>
              <w:top w:w="0" w:type="dxa"/>
              <w:left w:w="0" w:type="dxa"/>
              <w:bottom w:w="0" w:type="dxa"/>
              <w:right w:w="15" w:type="dxa"/>
            </w:tcMar>
            <w:vAlign w:val="bottom"/>
          </w:tcPr>
          <w:p w14:paraId="7830767B" w14:textId="77777777" w:rsidR="001614AC" w:rsidRDefault="001614AC">
            <w:pPr>
              <w:keepNext/>
              <w:spacing w:before="55" w:after="30" w:line="288" w:lineRule="auto"/>
              <w:jc w:val="right"/>
            </w:pPr>
          </w:p>
        </w:tc>
      </w:tr>
      <w:tr w:rsidR="001614AC" w14:paraId="3A5D2FF8" w14:textId="77777777">
        <w:trPr>
          <w:cantSplit/>
        </w:trPr>
        <w:tc>
          <w:tcPr>
            <w:tcW w:w="6870" w:type="dxa"/>
            <w:tcBorders>
              <w:top w:val="nil"/>
              <w:left w:val="nil"/>
              <w:bottom w:val="single" w:sz="8" w:space="0" w:color="E9E9E9"/>
              <w:right w:val="nil"/>
            </w:tcBorders>
            <w:tcMar>
              <w:top w:w="0" w:type="dxa"/>
              <w:left w:w="53" w:type="dxa"/>
              <w:bottom w:w="0" w:type="dxa"/>
              <w:right w:w="53" w:type="dxa"/>
            </w:tcMar>
            <w:vAlign w:val="bottom"/>
          </w:tcPr>
          <w:p w14:paraId="4B32FF03" w14:textId="77777777" w:rsidR="001614AC" w:rsidRDefault="004468F9">
            <w:pPr>
              <w:keepNext/>
              <w:spacing w:before="75" w:after="30" w:line="288" w:lineRule="auto"/>
            </w:pPr>
            <w:r>
              <w:rPr>
                <w:rFonts w:ascii="Arial" w:eastAsia="Arial" w:hAnsi="Arial" w:cs="Arial"/>
                <w:color w:val="000000"/>
                <w:sz w:val="18"/>
              </w:rPr>
              <w:t>Deduct: Paid claims and LAE related to:</w:t>
            </w:r>
          </w:p>
        </w:tc>
        <w:tc>
          <w:tcPr>
            <w:tcW w:w="105" w:type="dxa"/>
            <w:tcBorders>
              <w:top w:val="nil"/>
              <w:left w:val="nil"/>
              <w:bottom w:val="nil"/>
              <w:right w:val="nil"/>
            </w:tcBorders>
            <w:tcMar>
              <w:top w:w="0" w:type="dxa"/>
              <w:left w:w="0" w:type="dxa"/>
              <w:bottom w:w="0" w:type="dxa"/>
              <w:right w:w="0" w:type="dxa"/>
            </w:tcMar>
            <w:vAlign w:val="bottom"/>
          </w:tcPr>
          <w:p w14:paraId="7E6DFA1E" w14:textId="77777777" w:rsidR="001614AC" w:rsidRDefault="001614AC">
            <w:pPr>
              <w:keepNext/>
            </w:pPr>
          </w:p>
        </w:tc>
        <w:tc>
          <w:tcPr>
            <w:tcW w:w="1500" w:type="dxa"/>
            <w:gridSpan w:val="3"/>
            <w:tcBorders>
              <w:top w:val="single" w:sz="8" w:space="0" w:color="C7C9C7"/>
              <w:left w:val="nil"/>
              <w:bottom w:val="single" w:sz="8" w:space="0" w:color="E9E9E9"/>
              <w:right w:val="nil"/>
            </w:tcBorders>
            <w:tcMar>
              <w:top w:w="0" w:type="dxa"/>
              <w:left w:w="0" w:type="dxa"/>
              <w:bottom w:w="0" w:type="dxa"/>
              <w:right w:w="0" w:type="dxa"/>
            </w:tcMar>
            <w:vAlign w:val="bottom"/>
          </w:tcPr>
          <w:p w14:paraId="5C213D8B" w14:textId="77777777" w:rsidR="001614AC" w:rsidRDefault="001614AC">
            <w:pPr>
              <w:keepNext/>
            </w:pPr>
          </w:p>
        </w:tc>
        <w:tc>
          <w:tcPr>
            <w:tcW w:w="105" w:type="dxa"/>
            <w:tcBorders>
              <w:top w:val="nil"/>
              <w:left w:val="nil"/>
              <w:bottom w:val="nil"/>
              <w:right w:val="nil"/>
            </w:tcBorders>
            <w:tcMar>
              <w:top w:w="0" w:type="dxa"/>
              <w:left w:w="0" w:type="dxa"/>
              <w:bottom w:w="0" w:type="dxa"/>
              <w:right w:w="0" w:type="dxa"/>
            </w:tcMar>
            <w:vAlign w:val="bottom"/>
          </w:tcPr>
          <w:p w14:paraId="0242E606" w14:textId="77777777" w:rsidR="001614AC" w:rsidRDefault="001614AC">
            <w:pPr>
              <w:keepNext/>
            </w:pPr>
          </w:p>
        </w:tc>
        <w:tc>
          <w:tcPr>
            <w:tcW w:w="1500" w:type="dxa"/>
            <w:gridSpan w:val="3"/>
            <w:tcBorders>
              <w:top w:val="single" w:sz="8" w:space="0" w:color="C7C9C7"/>
              <w:left w:val="nil"/>
              <w:bottom w:val="single" w:sz="8" w:space="0" w:color="E9E9E9"/>
              <w:right w:val="nil"/>
            </w:tcBorders>
            <w:tcMar>
              <w:top w:w="0" w:type="dxa"/>
              <w:left w:w="0" w:type="dxa"/>
              <w:bottom w:w="0" w:type="dxa"/>
              <w:right w:w="0" w:type="dxa"/>
            </w:tcMar>
            <w:vAlign w:val="bottom"/>
          </w:tcPr>
          <w:p w14:paraId="5B7F3691" w14:textId="77777777" w:rsidR="001614AC" w:rsidRDefault="001614AC">
            <w:pPr>
              <w:keepNext/>
            </w:pPr>
          </w:p>
        </w:tc>
      </w:tr>
      <w:tr w:rsidR="001614AC" w14:paraId="18A0C3B6" w14:textId="77777777">
        <w:trPr>
          <w:cantSplit/>
        </w:trPr>
        <w:tc>
          <w:tcPr>
            <w:tcW w:w="6870" w:type="dxa"/>
            <w:tcBorders>
              <w:top w:val="single" w:sz="8" w:space="0" w:color="E9E9E9"/>
              <w:left w:val="nil"/>
              <w:bottom w:val="single" w:sz="8" w:space="0" w:color="E9E9E9"/>
              <w:right w:val="nil"/>
            </w:tcBorders>
            <w:tcMar>
              <w:top w:w="0" w:type="dxa"/>
              <w:left w:w="53" w:type="dxa"/>
              <w:bottom w:w="0" w:type="dxa"/>
              <w:right w:w="53" w:type="dxa"/>
            </w:tcMar>
            <w:vAlign w:val="bottom"/>
          </w:tcPr>
          <w:p w14:paraId="24061F07" w14:textId="77777777" w:rsidR="001614AC" w:rsidRDefault="004468F9">
            <w:pPr>
              <w:keepNext/>
              <w:spacing w:before="55" w:after="30" w:line="288" w:lineRule="auto"/>
              <w:ind w:left="240"/>
              <w:rPr>
                <w:rFonts w:ascii="Arial" w:eastAsia="Arial" w:hAnsi="Arial" w:cs="Arial"/>
                <w:sz w:val="18"/>
              </w:rPr>
            </w:pPr>
            <w:r>
              <w:rPr>
                <w:rFonts w:ascii="Arial" w:eastAsia="Arial" w:hAnsi="Arial" w:cs="Arial"/>
                <w:sz w:val="18"/>
              </w:rPr>
              <w:t>Current year</w:t>
            </w:r>
            <w:r>
              <w:rPr>
                <w:rFonts w:ascii="Arial" w:eastAsia="Arial" w:hAnsi="Arial" w:cs="Arial"/>
                <w:sz w:val="18"/>
                <w:vertAlign w:val="superscript"/>
              </w:rPr>
              <w:t xml:space="preserve"> (2) </w:t>
            </w:r>
          </w:p>
        </w:tc>
        <w:tc>
          <w:tcPr>
            <w:tcW w:w="105" w:type="dxa"/>
            <w:tcBorders>
              <w:top w:val="nil"/>
              <w:left w:val="nil"/>
              <w:bottom w:val="nil"/>
              <w:right w:val="nil"/>
            </w:tcBorders>
            <w:tcMar>
              <w:top w:w="0" w:type="dxa"/>
              <w:left w:w="0" w:type="dxa"/>
              <w:bottom w:w="0" w:type="dxa"/>
              <w:right w:w="0" w:type="dxa"/>
            </w:tcMar>
            <w:vAlign w:val="bottom"/>
          </w:tcPr>
          <w:p w14:paraId="19E11288" w14:textId="77777777" w:rsidR="001614AC" w:rsidRDefault="001614AC">
            <w:pPr>
              <w:keepNext/>
            </w:pPr>
          </w:p>
        </w:tc>
        <w:tc>
          <w:tcPr>
            <w:tcW w:w="1400"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6A90ADB7" w14:textId="77777777" w:rsidR="001614AC" w:rsidRDefault="004468F9">
            <w:pPr>
              <w:keepNext/>
              <w:spacing w:before="55" w:after="30" w:line="288" w:lineRule="auto"/>
              <w:jc w:val="right"/>
            </w:pPr>
            <w:r>
              <w:rPr>
                <w:rFonts w:ascii="Arial" w:eastAsia="Arial" w:hAnsi="Arial" w:cs="Arial"/>
                <w:color w:val="000000"/>
                <w:sz w:val="18"/>
              </w:rPr>
              <w:t>246 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4B653C2B" w14:textId="77777777" w:rsidR="001614AC" w:rsidRDefault="001614AC">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05C20CAD" w14:textId="77777777" w:rsidR="001614AC" w:rsidRDefault="001614AC">
            <w:pPr>
              <w:keepNext/>
            </w:pPr>
          </w:p>
        </w:tc>
        <w:tc>
          <w:tcPr>
            <w:tcW w:w="1400"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006CEE2B" w14:textId="77777777" w:rsidR="001614AC" w:rsidRDefault="004468F9">
            <w:pPr>
              <w:keepNext/>
              <w:spacing w:before="55" w:after="30" w:line="288" w:lineRule="auto"/>
              <w:jc w:val="right"/>
            </w:pPr>
            <w:r>
              <w:rPr>
                <w:rFonts w:ascii="Arial" w:eastAsia="Arial" w:hAnsi="Arial" w:cs="Arial"/>
                <w:color w:val="000000"/>
                <w:sz w:val="18"/>
              </w:rPr>
              <w:t>1,594 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6DF98644" w14:textId="77777777" w:rsidR="001614AC" w:rsidRDefault="001614AC">
            <w:pPr>
              <w:keepNext/>
              <w:spacing w:before="55" w:after="30" w:line="288" w:lineRule="auto"/>
              <w:jc w:val="right"/>
            </w:pPr>
          </w:p>
        </w:tc>
      </w:tr>
      <w:tr w:rsidR="001614AC" w14:paraId="6047B93E" w14:textId="77777777">
        <w:trPr>
          <w:cantSplit/>
        </w:trPr>
        <w:tc>
          <w:tcPr>
            <w:tcW w:w="6870" w:type="dxa"/>
            <w:tcBorders>
              <w:top w:val="single" w:sz="8" w:space="0" w:color="E9E9E9"/>
              <w:left w:val="nil"/>
              <w:bottom w:val="nil"/>
              <w:right w:val="nil"/>
            </w:tcBorders>
            <w:tcMar>
              <w:top w:w="0" w:type="dxa"/>
              <w:left w:w="53" w:type="dxa"/>
              <w:bottom w:w="0" w:type="dxa"/>
              <w:right w:w="53" w:type="dxa"/>
            </w:tcMar>
            <w:vAlign w:val="bottom"/>
          </w:tcPr>
          <w:p w14:paraId="6A80D66F" w14:textId="77777777" w:rsidR="001614AC" w:rsidRDefault="004468F9">
            <w:pPr>
              <w:keepNext/>
              <w:spacing w:before="55" w:after="30" w:line="288" w:lineRule="auto"/>
              <w:ind w:left="240"/>
            </w:pPr>
            <w:r>
              <w:rPr>
                <w:rFonts w:ascii="Arial" w:eastAsia="Arial" w:hAnsi="Arial" w:cs="Arial"/>
                <w:color w:val="000000"/>
                <w:sz w:val="18"/>
              </w:rPr>
              <w:t>Prior years</w:t>
            </w:r>
          </w:p>
        </w:tc>
        <w:tc>
          <w:tcPr>
            <w:tcW w:w="105" w:type="dxa"/>
            <w:tcBorders>
              <w:top w:val="nil"/>
              <w:left w:val="nil"/>
              <w:bottom w:val="nil"/>
              <w:right w:val="nil"/>
            </w:tcBorders>
            <w:tcMar>
              <w:top w:w="0" w:type="dxa"/>
              <w:left w:w="0" w:type="dxa"/>
              <w:bottom w:w="0" w:type="dxa"/>
              <w:right w:w="0" w:type="dxa"/>
            </w:tcMar>
            <w:vAlign w:val="bottom"/>
          </w:tcPr>
          <w:p w14:paraId="6BAF5ECD" w14:textId="77777777" w:rsidR="001614AC" w:rsidRDefault="001614AC">
            <w:pPr>
              <w:keepNext/>
            </w:pPr>
          </w:p>
        </w:tc>
        <w:tc>
          <w:tcPr>
            <w:tcW w:w="1400" w:type="dxa"/>
            <w:gridSpan w:val="2"/>
            <w:tcBorders>
              <w:top w:val="single" w:sz="8" w:space="0" w:color="E9E9E9"/>
              <w:left w:val="nil"/>
              <w:bottom w:val="single" w:sz="8" w:space="0" w:color="C7C9C7"/>
              <w:right w:val="nil"/>
            </w:tcBorders>
            <w:tcMar>
              <w:top w:w="0" w:type="dxa"/>
              <w:left w:w="53" w:type="dxa"/>
              <w:bottom w:w="0" w:type="dxa"/>
              <w:right w:w="0" w:type="dxa"/>
            </w:tcMar>
            <w:vAlign w:val="bottom"/>
          </w:tcPr>
          <w:p w14:paraId="41D4CFB1" w14:textId="77777777" w:rsidR="001614AC" w:rsidRDefault="004468F9">
            <w:pPr>
              <w:keepNext/>
              <w:spacing w:before="55" w:after="30" w:line="288" w:lineRule="auto"/>
              <w:jc w:val="right"/>
            </w:pPr>
            <w:r>
              <w:rPr>
                <w:rFonts w:ascii="Arial" w:eastAsia="Arial" w:hAnsi="Arial" w:cs="Arial"/>
                <w:color w:val="000000"/>
                <w:sz w:val="18"/>
              </w:rPr>
              <w:t>14,447 </w:t>
            </w:r>
          </w:p>
        </w:tc>
        <w:tc>
          <w:tcPr>
            <w:tcW w:w="100" w:type="dxa"/>
            <w:tcBorders>
              <w:top w:val="single" w:sz="8" w:space="0" w:color="E9E9E9"/>
              <w:left w:val="nil"/>
              <w:bottom w:val="single" w:sz="8" w:space="0" w:color="C7C9C7"/>
              <w:right w:val="nil"/>
            </w:tcBorders>
            <w:tcMar>
              <w:top w:w="0" w:type="dxa"/>
              <w:left w:w="0" w:type="dxa"/>
              <w:bottom w:w="0" w:type="dxa"/>
              <w:right w:w="15" w:type="dxa"/>
            </w:tcMar>
            <w:vAlign w:val="bottom"/>
          </w:tcPr>
          <w:p w14:paraId="1C307E76" w14:textId="77777777" w:rsidR="001614AC" w:rsidRDefault="001614AC">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0B704173" w14:textId="77777777" w:rsidR="001614AC" w:rsidRDefault="001614AC">
            <w:pPr>
              <w:keepNext/>
            </w:pPr>
          </w:p>
        </w:tc>
        <w:tc>
          <w:tcPr>
            <w:tcW w:w="1400" w:type="dxa"/>
            <w:gridSpan w:val="2"/>
            <w:tcBorders>
              <w:top w:val="single" w:sz="8" w:space="0" w:color="E9E9E9"/>
              <w:left w:val="nil"/>
              <w:bottom w:val="single" w:sz="8" w:space="0" w:color="C7C9C7"/>
              <w:right w:val="nil"/>
            </w:tcBorders>
            <w:tcMar>
              <w:top w:w="0" w:type="dxa"/>
              <w:left w:w="53" w:type="dxa"/>
              <w:bottom w:w="0" w:type="dxa"/>
              <w:right w:w="0" w:type="dxa"/>
            </w:tcMar>
            <w:vAlign w:val="bottom"/>
          </w:tcPr>
          <w:p w14:paraId="6C8B7E50" w14:textId="77777777" w:rsidR="001614AC" w:rsidRDefault="004468F9">
            <w:pPr>
              <w:keepNext/>
              <w:spacing w:before="55" w:after="30" w:line="288" w:lineRule="auto"/>
              <w:jc w:val="right"/>
            </w:pPr>
            <w:r>
              <w:rPr>
                <w:rFonts w:ascii="Arial" w:eastAsia="Arial" w:hAnsi="Arial" w:cs="Arial"/>
                <w:color w:val="000000"/>
                <w:sz w:val="18"/>
              </w:rPr>
              <w:t>44,580 </w:t>
            </w:r>
          </w:p>
        </w:tc>
        <w:tc>
          <w:tcPr>
            <w:tcW w:w="100" w:type="dxa"/>
            <w:tcBorders>
              <w:top w:val="single" w:sz="8" w:space="0" w:color="E9E9E9"/>
              <w:left w:val="nil"/>
              <w:bottom w:val="single" w:sz="8" w:space="0" w:color="C7C9C7"/>
              <w:right w:val="nil"/>
            </w:tcBorders>
            <w:tcMar>
              <w:top w:w="0" w:type="dxa"/>
              <w:left w:w="0" w:type="dxa"/>
              <w:bottom w:w="0" w:type="dxa"/>
              <w:right w:w="15" w:type="dxa"/>
            </w:tcMar>
            <w:vAlign w:val="bottom"/>
          </w:tcPr>
          <w:p w14:paraId="3E79C357" w14:textId="77777777" w:rsidR="001614AC" w:rsidRDefault="001614AC">
            <w:pPr>
              <w:keepNext/>
              <w:spacing w:before="55" w:after="30" w:line="288" w:lineRule="auto"/>
              <w:jc w:val="right"/>
            </w:pPr>
          </w:p>
        </w:tc>
      </w:tr>
      <w:tr w:rsidR="001614AC" w14:paraId="1A4AD95B" w14:textId="77777777">
        <w:trPr>
          <w:cantSplit/>
        </w:trPr>
        <w:tc>
          <w:tcPr>
            <w:tcW w:w="6870" w:type="dxa"/>
            <w:tcBorders>
              <w:top w:val="nil"/>
              <w:left w:val="nil"/>
              <w:bottom w:val="single" w:sz="8" w:space="0" w:color="FFFFFF"/>
              <w:right w:val="nil"/>
            </w:tcBorders>
            <w:shd w:val="clear" w:color="auto" w:fill="F4F4F4"/>
            <w:tcMar>
              <w:top w:w="0" w:type="dxa"/>
              <w:left w:w="53" w:type="dxa"/>
              <w:bottom w:w="0" w:type="dxa"/>
              <w:right w:w="53" w:type="dxa"/>
            </w:tcMar>
            <w:vAlign w:val="bottom"/>
          </w:tcPr>
          <w:p w14:paraId="3A9A7B28" w14:textId="77777777" w:rsidR="001614AC" w:rsidRDefault="004468F9">
            <w:pPr>
              <w:keepNext/>
              <w:spacing w:before="75" w:after="30" w:line="288" w:lineRule="auto"/>
              <w:ind w:left="240"/>
            </w:pPr>
            <w:r>
              <w:rPr>
                <w:rFonts w:ascii="Arial" w:eastAsia="Arial" w:hAnsi="Arial" w:cs="Arial"/>
                <w:color w:val="000000"/>
                <w:sz w:val="18"/>
              </w:rPr>
              <w:t xml:space="preserve">Total </w:t>
            </w:r>
            <w:r>
              <w:rPr>
                <w:rFonts w:ascii="Arial" w:eastAsia="Arial" w:hAnsi="Arial" w:cs="Arial"/>
                <w:color w:val="000000"/>
                <w:sz w:val="18"/>
              </w:rPr>
              <w:t>paid</w:t>
            </w:r>
          </w:p>
        </w:tc>
        <w:tc>
          <w:tcPr>
            <w:tcW w:w="105" w:type="dxa"/>
            <w:tcBorders>
              <w:top w:val="nil"/>
              <w:left w:val="nil"/>
              <w:bottom w:val="single" w:sz="8" w:space="0" w:color="FFFFFF"/>
              <w:right w:val="nil"/>
            </w:tcBorders>
            <w:shd w:val="clear" w:color="auto" w:fill="F4F4F4"/>
            <w:tcMar>
              <w:top w:w="0" w:type="dxa"/>
              <w:left w:w="0" w:type="dxa"/>
              <w:bottom w:w="0" w:type="dxa"/>
              <w:right w:w="0" w:type="dxa"/>
            </w:tcMar>
            <w:vAlign w:val="bottom"/>
          </w:tcPr>
          <w:p w14:paraId="53737C21" w14:textId="77777777" w:rsidR="001614AC" w:rsidRDefault="001614AC">
            <w:pPr>
              <w:keepNext/>
            </w:pPr>
          </w:p>
        </w:tc>
        <w:tc>
          <w:tcPr>
            <w:tcW w:w="1400" w:type="dxa"/>
            <w:gridSpan w:val="2"/>
            <w:tcBorders>
              <w:top w:val="single" w:sz="8" w:space="0" w:color="C7C9C7"/>
              <w:left w:val="nil"/>
              <w:bottom w:val="single" w:sz="8" w:space="0" w:color="C7C9C7"/>
              <w:right w:val="nil"/>
            </w:tcBorders>
            <w:shd w:val="clear" w:color="auto" w:fill="F4F4F4"/>
            <w:tcMar>
              <w:top w:w="0" w:type="dxa"/>
              <w:left w:w="53" w:type="dxa"/>
              <w:bottom w:w="0" w:type="dxa"/>
              <w:right w:w="0" w:type="dxa"/>
            </w:tcMar>
            <w:vAlign w:val="bottom"/>
          </w:tcPr>
          <w:p w14:paraId="106DEC96" w14:textId="77777777" w:rsidR="001614AC" w:rsidRDefault="004468F9">
            <w:pPr>
              <w:keepNext/>
              <w:spacing w:before="55" w:after="30" w:line="288" w:lineRule="auto"/>
              <w:jc w:val="right"/>
            </w:pPr>
            <w:r>
              <w:rPr>
                <w:rFonts w:ascii="Arial" w:eastAsia="Arial" w:hAnsi="Arial" w:cs="Arial"/>
                <w:color w:val="000000"/>
                <w:sz w:val="18"/>
              </w:rPr>
              <w:t>14,693 </w:t>
            </w:r>
          </w:p>
        </w:tc>
        <w:tc>
          <w:tcPr>
            <w:tcW w:w="100" w:type="dxa"/>
            <w:tcBorders>
              <w:top w:val="single" w:sz="8" w:space="0" w:color="C7C9C7"/>
              <w:left w:val="nil"/>
              <w:bottom w:val="single" w:sz="8" w:space="0" w:color="C7C9C7"/>
              <w:right w:val="nil"/>
            </w:tcBorders>
            <w:shd w:val="clear" w:color="auto" w:fill="F4F4F4"/>
            <w:tcMar>
              <w:top w:w="0" w:type="dxa"/>
              <w:left w:w="0" w:type="dxa"/>
              <w:bottom w:w="0" w:type="dxa"/>
              <w:right w:w="15" w:type="dxa"/>
            </w:tcMar>
            <w:vAlign w:val="bottom"/>
          </w:tcPr>
          <w:p w14:paraId="6419EDDD" w14:textId="77777777" w:rsidR="001614AC" w:rsidRDefault="001614AC">
            <w:pPr>
              <w:keepNext/>
              <w:spacing w:before="55" w:after="30" w:line="288" w:lineRule="auto"/>
              <w:jc w:val="right"/>
            </w:pPr>
          </w:p>
        </w:tc>
        <w:tc>
          <w:tcPr>
            <w:tcW w:w="105" w:type="dxa"/>
            <w:tcBorders>
              <w:top w:val="nil"/>
              <w:left w:val="nil"/>
              <w:bottom w:val="single" w:sz="8" w:space="0" w:color="FFFFFF"/>
              <w:right w:val="nil"/>
            </w:tcBorders>
            <w:shd w:val="clear" w:color="auto" w:fill="F4F4F4"/>
            <w:tcMar>
              <w:top w:w="0" w:type="dxa"/>
              <w:left w:w="0" w:type="dxa"/>
              <w:bottom w:w="0" w:type="dxa"/>
              <w:right w:w="0" w:type="dxa"/>
            </w:tcMar>
            <w:vAlign w:val="bottom"/>
          </w:tcPr>
          <w:p w14:paraId="51C71A0A" w14:textId="77777777" w:rsidR="001614AC" w:rsidRDefault="001614AC">
            <w:pPr>
              <w:keepNext/>
            </w:pPr>
          </w:p>
        </w:tc>
        <w:tc>
          <w:tcPr>
            <w:tcW w:w="1400" w:type="dxa"/>
            <w:gridSpan w:val="2"/>
            <w:tcBorders>
              <w:top w:val="single" w:sz="8" w:space="0" w:color="C7C9C7"/>
              <w:left w:val="nil"/>
              <w:bottom w:val="single" w:sz="8" w:space="0" w:color="C7C9C7"/>
              <w:right w:val="nil"/>
            </w:tcBorders>
            <w:shd w:val="clear" w:color="auto" w:fill="F4F4F4"/>
            <w:tcMar>
              <w:top w:w="0" w:type="dxa"/>
              <w:left w:w="53" w:type="dxa"/>
              <w:bottom w:w="0" w:type="dxa"/>
              <w:right w:w="0" w:type="dxa"/>
            </w:tcMar>
            <w:vAlign w:val="bottom"/>
          </w:tcPr>
          <w:p w14:paraId="5E3EDAE8" w14:textId="77777777" w:rsidR="001614AC" w:rsidRDefault="004468F9">
            <w:pPr>
              <w:keepNext/>
              <w:spacing w:before="55" w:after="30" w:line="288" w:lineRule="auto"/>
              <w:jc w:val="right"/>
            </w:pPr>
            <w:r>
              <w:rPr>
                <w:rFonts w:ascii="Arial" w:eastAsia="Arial" w:hAnsi="Arial" w:cs="Arial"/>
                <w:color w:val="000000"/>
                <w:sz w:val="18"/>
              </w:rPr>
              <w:t>46,174 </w:t>
            </w:r>
          </w:p>
        </w:tc>
        <w:tc>
          <w:tcPr>
            <w:tcW w:w="100" w:type="dxa"/>
            <w:tcBorders>
              <w:top w:val="single" w:sz="8" w:space="0" w:color="C7C9C7"/>
              <w:left w:val="nil"/>
              <w:bottom w:val="single" w:sz="8" w:space="0" w:color="C7C9C7"/>
              <w:right w:val="nil"/>
            </w:tcBorders>
            <w:shd w:val="clear" w:color="auto" w:fill="F4F4F4"/>
            <w:tcMar>
              <w:top w:w="0" w:type="dxa"/>
              <w:left w:w="0" w:type="dxa"/>
              <w:bottom w:w="0" w:type="dxa"/>
              <w:right w:w="15" w:type="dxa"/>
            </w:tcMar>
            <w:vAlign w:val="bottom"/>
          </w:tcPr>
          <w:p w14:paraId="2C60D7FD" w14:textId="77777777" w:rsidR="001614AC" w:rsidRDefault="001614AC">
            <w:pPr>
              <w:keepNext/>
              <w:spacing w:before="55" w:after="30" w:line="288" w:lineRule="auto"/>
              <w:jc w:val="right"/>
            </w:pPr>
          </w:p>
        </w:tc>
      </w:tr>
      <w:tr w:rsidR="001614AC" w14:paraId="3823362A" w14:textId="77777777">
        <w:trPr>
          <w:cantSplit/>
        </w:trPr>
        <w:tc>
          <w:tcPr>
            <w:tcW w:w="6870" w:type="dxa"/>
            <w:tcBorders>
              <w:top w:val="single" w:sz="8" w:space="0" w:color="FFFFFF"/>
              <w:left w:val="nil"/>
              <w:bottom w:val="nil"/>
              <w:right w:val="nil"/>
            </w:tcBorders>
            <w:shd w:val="clear" w:color="auto" w:fill="F4F4F4"/>
            <w:tcMar>
              <w:top w:w="0" w:type="dxa"/>
              <w:left w:w="53" w:type="dxa"/>
              <w:bottom w:w="0" w:type="dxa"/>
              <w:right w:w="53" w:type="dxa"/>
            </w:tcMar>
            <w:vAlign w:val="bottom"/>
          </w:tcPr>
          <w:p w14:paraId="448146BC" w14:textId="77777777" w:rsidR="001614AC" w:rsidRDefault="004468F9">
            <w:pPr>
              <w:keepNext/>
              <w:spacing w:before="55" w:after="30" w:line="288" w:lineRule="auto"/>
            </w:pPr>
            <w:r>
              <w:rPr>
                <w:rFonts w:ascii="Arial" w:eastAsia="Arial" w:hAnsi="Arial" w:cs="Arial"/>
                <w:color w:val="000000"/>
                <w:sz w:val="18"/>
              </w:rPr>
              <w:t>Balance at end of period, net of reinsurance recoverables</w:t>
            </w:r>
          </w:p>
        </w:tc>
        <w:tc>
          <w:tcPr>
            <w:tcW w:w="105" w:type="dxa"/>
            <w:tcBorders>
              <w:top w:val="single" w:sz="8" w:space="0" w:color="FFFFFF"/>
              <w:left w:val="nil"/>
              <w:bottom w:val="nil"/>
              <w:right w:val="nil"/>
            </w:tcBorders>
            <w:shd w:val="clear" w:color="auto" w:fill="F4F4F4"/>
            <w:tcMar>
              <w:top w:w="0" w:type="dxa"/>
              <w:left w:w="0" w:type="dxa"/>
              <w:bottom w:w="0" w:type="dxa"/>
              <w:right w:w="0" w:type="dxa"/>
            </w:tcMar>
            <w:vAlign w:val="bottom"/>
          </w:tcPr>
          <w:p w14:paraId="2E83697F" w14:textId="77777777" w:rsidR="001614AC" w:rsidRDefault="001614AC">
            <w:pPr>
              <w:keepNext/>
            </w:pPr>
          </w:p>
        </w:tc>
        <w:tc>
          <w:tcPr>
            <w:tcW w:w="1400" w:type="dxa"/>
            <w:gridSpan w:val="2"/>
            <w:tcBorders>
              <w:top w:val="single" w:sz="8" w:space="0" w:color="C7C9C7"/>
              <w:left w:val="nil"/>
              <w:bottom w:val="nil"/>
              <w:right w:val="nil"/>
            </w:tcBorders>
            <w:shd w:val="clear" w:color="auto" w:fill="F4F4F4"/>
            <w:tcMar>
              <w:top w:w="0" w:type="dxa"/>
              <w:left w:w="53" w:type="dxa"/>
              <w:bottom w:w="0" w:type="dxa"/>
              <w:right w:w="0" w:type="dxa"/>
            </w:tcMar>
            <w:vAlign w:val="bottom"/>
          </w:tcPr>
          <w:p w14:paraId="027306C1" w14:textId="77777777" w:rsidR="001614AC" w:rsidRDefault="004468F9">
            <w:pPr>
              <w:keepNext/>
              <w:spacing w:before="55" w:after="30" w:line="288" w:lineRule="auto"/>
              <w:jc w:val="right"/>
            </w:pPr>
            <w:r>
              <w:rPr>
                <w:rFonts w:ascii="Arial" w:eastAsia="Arial" w:hAnsi="Arial" w:cs="Arial"/>
                <w:color w:val="000000"/>
                <w:sz w:val="18"/>
              </w:rPr>
              <w:t>806,757 </w:t>
            </w:r>
          </w:p>
        </w:tc>
        <w:tc>
          <w:tcPr>
            <w:tcW w:w="100" w:type="dxa"/>
            <w:tcBorders>
              <w:top w:val="single" w:sz="8" w:space="0" w:color="C7C9C7"/>
              <w:left w:val="nil"/>
              <w:bottom w:val="nil"/>
              <w:right w:val="nil"/>
            </w:tcBorders>
            <w:shd w:val="clear" w:color="auto" w:fill="F4F4F4"/>
            <w:tcMar>
              <w:top w:w="0" w:type="dxa"/>
              <w:left w:w="0" w:type="dxa"/>
              <w:bottom w:w="0" w:type="dxa"/>
              <w:right w:w="15" w:type="dxa"/>
            </w:tcMar>
            <w:vAlign w:val="bottom"/>
          </w:tcPr>
          <w:p w14:paraId="11D6D6E2" w14:textId="77777777" w:rsidR="001614AC" w:rsidRDefault="001614AC">
            <w:pPr>
              <w:keepNext/>
              <w:spacing w:before="55" w:after="30" w:line="288" w:lineRule="auto"/>
              <w:jc w:val="right"/>
            </w:pPr>
          </w:p>
        </w:tc>
        <w:tc>
          <w:tcPr>
            <w:tcW w:w="105" w:type="dxa"/>
            <w:tcBorders>
              <w:top w:val="single" w:sz="8" w:space="0" w:color="FFFFFF"/>
              <w:left w:val="nil"/>
              <w:bottom w:val="nil"/>
              <w:right w:val="nil"/>
            </w:tcBorders>
            <w:shd w:val="clear" w:color="auto" w:fill="F4F4F4"/>
            <w:tcMar>
              <w:top w:w="0" w:type="dxa"/>
              <w:left w:w="0" w:type="dxa"/>
              <w:bottom w:w="0" w:type="dxa"/>
              <w:right w:w="0" w:type="dxa"/>
            </w:tcMar>
            <w:vAlign w:val="bottom"/>
          </w:tcPr>
          <w:p w14:paraId="79FE5B7D" w14:textId="77777777" w:rsidR="001614AC" w:rsidRDefault="001614AC">
            <w:pPr>
              <w:keepNext/>
            </w:pPr>
          </w:p>
        </w:tc>
        <w:tc>
          <w:tcPr>
            <w:tcW w:w="1400" w:type="dxa"/>
            <w:gridSpan w:val="2"/>
            <w:tcBorders>
              <w:top w:val="single" w:sz="8" w:space="0" w:color="C7C9C7"/>
              <w:left w:val="nil"/>
              <w:bottom w:val="nil"/>
              <w:right w:val="nil"/>
            </w:tcBorders>
            <w:shd w:val="clear" w:color="auto" w:fill="F4F4F4"/>
            <w:tcMar>
              <w:top w:w="0" w:type="dxa"/>
              <w:left w:w="53" w:type="dxa"/>
              <w:bottom w:w="0" w:type="dxa"/>
              <w:right w:w="0" w:type="dxa"/>
            </w:tcMar>
            <w:vAlign w:val="bottom"/>
          </w:tcPr>
          <w:p w14:paraId="2E08D4E1" w14:textId="77777777" w:rsidR="001614AC" w:rsidRDefault="004468F9">
            <w:pPr>
              <w:keepNext/>
              <w:spacing w:before="55" w:after="30" w:line="288" w:lineRule="auto"/>
              <w:jc w:val="right"/>
            </w:pPr>
            <w:r>
              <w:rPr>
                <w:rFonts w:ascii="Arial" w:eastAsia="Arial" w:hAnsi="Arial" w:cs="Arial"/>
                <w:color w:val="000000"/>
                <w:sz w:val="18"/>
              </w:rPr>
              <w:t>679,837 </w:t>
            </w:r>
          </w:p>
        </w:tc>
        <w:tc>
          <w:tcPr>
            <w:tcW w:w="100" w:type="dxa"/>
            <w:tcBorders>
              <w:top w:val="single" w:sz="8" w:space="0" w:color="C7C9C7"/>
              <w:left w:val="nil"/>
              <w:bottom w:val="nil"/>
              <w:right w:val="nil"/>
            </w:tcBorders>
            <w:shd w:val="clear" w:color="auto" w:fill="F4F4F4"/>
            <w:tcMar>
              <w:top w:w="0" w:type="dxa"/>
              <w:left w:w="0" w:type="dxa"/>
              <w:bottom w:w="0" w:type="dxa"/>
              <w:right w:w="15" w:type="dxa"/>
            </w:tcMar>
            <w:vAlign w:val="bottom"/>
          </w:tcPr>
          <w:p w14:paraId="23DB88FE" w14:textId="77777777" w:rsidR="001614AC" w:rsidRDefault="001614AC">
            <w:pPr>
              <w:keepNext/>
              <w:spacing w:before="55" w:after="30" w:line="288" w:lineRule="auto"/>
              <w:jc w:val="right"/>
            </w:pPr>
          </w:p>
        </w:tc>
      </w:tr>
      <w:tr w:rsidR="001614AC" w14:paraId="19440E13" w14:textId="77777777">
        <w:trPr>
          <w:cantSplit/>
        </w:trPr>
        <w:tc>
          <w:tcPr>
            <w:tcW w:w="6870" w:type="dxa"/>
            <w:tcBorders>
              <w:top w:val="nil"/>
              <w:left w:val="nil"/>
              <w:bottom w:val="nil"/>
              <w:right w:val="nil"/>
            </w:tcBorders>
            <w:tcMar>
              <w:top w:w="0" w:type="dxa"/>
              <w:left w:w="53" w:type="dxa"/>
              <w:bottom w:w="0" w:type="dxa"/>
              <w:right w:w="53" w:type="dxa"/>
            </w:tcMar>
            <w:vAlign w:val="bottom"/>
          </w:tcPr>
          <w:p w14:paraId="39E1C472" w14:textId="77777777" w:rsidR="001614AC" w:rsidRDefault="004468F9">
            <w:pPr>
              <w:keepNext/>
              <w:spacing w:before="75" w:after="30" w:line="288" w:lineRule="auto"/>
              <w:rPr>
                <w:rFonts w:ascii="Arial" w:eastAsia="Arial" w:hAnsi="Arial" w:cs="Arial"/>
                <w:sz w:val="18"/>
              </w:rPr>
            </w:pPr>
            <w:r>
              <w:rPr>
                <w:rFonts w:ascii="Arial" w:eastAsia="Arial" w:hAnsi="Arial" w:cs="Arial"/>
                <w:sz w:val="18"/>
              </w:rPr>
              <w:t xml:space="preserve">Add: Reinsurance recoverables </w:t>
            </w:r>
            <w:r>
              <w:rPr>
                <w:rFonts w:ascii="Arial" w:eastAsia="Arial" w:hAnsi="Arial" w:cs="Arial"/>
                <w:sz w:val="18"/>
                <w:vertAlign w:val="superscript"/>
              </w:rPr>
              <w:t xml:space="preserve">(1) </w:t>
            </w:r>
          </w:p>
        </w:tc>
        <w:tc>
          <w:tcPr>
            <w:tcW w:w="105" w:type="dxa"/>
            <w:tcBorders>
              <w:top w:val="nil"/>
              <w:left w:val="nil"/>
              <w:bottom w:val="nil"/>
              <w:right w:val="nil"/>
            </w:tcBorders>
            <w:tcMar>
              <w:top w:w="0" w:type="dxa"/>
              <w:left w:w="0" w:type="dxa"/>
              <w:bottom w:w="0" w:type="dxa"/>
              <w:right w:w="0" w:type="dxa"/>
            </w:tcMar>
            <w:vAlign w:val="bottom"/>
          </w:tcPr>
          <w:p w14:paraId="253A256E" w14:textId="77777777" w:rsidR="001614AC" w:rsidRDefault="001614AC">
            <w:pPr>
              <w:keepNext/>
            </w:pPr>
          </w:p>
        </w:tc>
        <w:tc>
          <w:tcPr>
            <w:tcW w:w="1400" w:type="dxa"/>
            <w:gridSpan w:val="2"/>
            <w:tcBorders>
              <w:top w:val="nil"/>
              <w:left w:val="nil"/>
              <w:bottom w:val="single" w:sz="8" w:space="0" w:color="C7C9C7"/>
              <w:right w:val="nil"/>
            </w:tcBorders>
            <w:tcMar>
              <w:top w:w="0" w:type="dxa"/>
              <w:left w:w="53" w:type="dxa"/>
              <w:bottom w:w="0" w:type="dxa"/>
              <w:right w:w="0" w:type="dxa"/>
            </w:tcMar>
            <w:vAlign w:val="bottom"/>
          </w:tcPr>
          <w:p w14:paraId="42BAA289" w14:textId="77777777" w:rsidR="001614AC" w:rsidRDefault="004468F9">
            <w:pPr>
              <w:keepNext/>
              <w:spacing w:before="75" w:after="30" w:line="288" w:lineRule="auto"/>
              <w:jc w:val="right"/>
            </w:pPr>
            <w:r>
              <w:rPr>
                <w:rFonts w:ascii="Arial" w:eastAsia="Arial" w:hAnsi="Arial" w:cs="Arial"/>
                <w:color w:val="000000"/>
                <w:sz w:val="18"/>
              </w:rPr>
              <w:t>74,006 </w:t>
            </w:r>
          </w:p>
        </w:tc>
        <w:tc>
          <w:tcPr>
            <w:tcW w:w="100" w:type="dxa"/>
            <w:tcBorders>
              <w:top w:val="nil"/>
              <w:left w:val="nil"/>
              <w:bottom w:val="single" w:sz="8" w:space="0" w:color="C7C9C7"/>
              <w:right w:val="nil"/>
            </w:tcBorders>
            <w:tcMar>
              <w:top w:w="0" w:type="dxa"/>
              <w:left w:w="0" w:type="dxa"/>
              <w:bottom w:w="0" w:type="dxa"/>
              <w:right w:w="15" w:type="dxa"/>
            </w:tcMar>
            <w:vAlign w:val="bottom"/>
          </w:tcPr>
          <w:p w14:paraId="0CFA36BE" w14:textId="77777777" w:rsidR="001614AC" w:rsidRDefault="001614AC">
            <w:pPr>
              <w:keepNext/>
              <w:spacing w:before="7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7612C9BF" w14:textId="77777777" w:rsidR="001614AC" w:rsidRDefault="001614AC">
            <w:pPr>
              <w:keepNext/>
            </w:pPr>
          </w:p>
        </w:tc>
        <w:tc>
          <w:tcPr>
            <w:tcW w:w="1400" w:type="dxa"/>
            <w:gridSpan w:val="2"/>
            <w:tcBorders>
              <w:top w:val="nil"/>
              <w:left w:val="nil"/>
              <w:bottom w:val="single" w:sz="8" w:space="0" w:color="C7C9C7"/>
              <w:right w:val="nil"/>
            </w:tcBorders>
            <w:tcMar>
              <w:top w:w="0" w:type="dxa"/>
              <w:left w:w="53" w:type="dxa"/>
              <w:bottom w:w="0" w:type="dxa"/>
              <w:right w:w="0" w:type="dxa"/>
            </w:tcMar>
            <w:vAlign w:val="bottom"/>
          </w:tcPr>
          <w:p w14:paraId="49D2A377" w14:textId="77777777" w:rsidR="001614AC" w:rsidRDefault="004468F9">
            <w:pPr>
              <w:keepNext/>
              <w:spacing w:before="75" w:after="30" w:line="288" w:lineRule="auto"/>
              <w:jc w:val="right"/>
            </w:pPr>
            <w:r>
              <w:rPr>
                <w:rFonts w:ascii="Arial" w:eastAsia="Arial" w:hAnsi="Arial" w:cs="Arial"/>
                <w:color w:val="000000"/>
                <w:sz w:val="18"/>
              </w:rPr>
              <w:t>55,154 </w:t>
            </w:r>
          </w:p>
        </w:tc>
        <w:tc>
          <w:tcPr>
            <w:tcW w:w="100" w:type="dxa"/>
            <w:tcBorders>
              <w:top w:val="nil"/>
              <w:left w:val="nil"/>
              <w:bottom w:val="single" w:sz="8" w:space="0" w:color="C7C9C7"/>
              <w:right w:val="nil"/>
            </w:tcBorders>
            <w:tcMar>
              <w:top w:w="0" w:type="dxa"/>
              <w:left w:w="0" w:type="dxa"/>
              <w:bottom w:w="0" w:type="dxa"/>
              <w:right w:w="15" w:type="dxa"/>
            </w:tcMar>
            <w:vAlign w:val="bottom"/>
          </w:tcPr>
          <w:p w14:paraId="30D5E878" w14:textId="77777777" w:rsidR="001614AC" w:rsidRDefault="001614AC">
            <w:pPr>
              <w:keepNext/>
              <w:spacing w:before="75" w:after="30" w:line="288" w:lineRule="auto"/>
              <w:jc w:val="right"/>
            </w:pPr>
          </w:p>
        </w:tc>
      </w:tr>
      <w:tr w:rsidR="001614AC" w14:paraId="504D742E" w14:textId="77777777">
        <w:trPr>
          <w:cantSplit/>
        </w:trPr>
        <w:tc>
          <w:tcPr>
            <w:tcW w:w="6870" w:type="dxa"/>
            <w:tcBorders>
              <w:top w:val="nil"/>
              <w:left w:val="nil"/>
              <w:bottom w:val="nil"/>
              <w:right w:val="nil"/>
            </w:tcBorders>
            <w:shd w:val="clear" w:color="auto" w:fill="F4F4F4"/>
            <w:tcMar>
              <w:top w:w="0" w:type="dxa"/>
              <w:left w:w="53" w:type="dxa"/>
              <w:bottom w:w="0" w:type="dxa"/>
              <w:right w:w="53" w:type="dxa"/>
            </w:tcMar>
            <w:vAlign w:val="bottom"/>
          </w:tcPr>
          <w:p w14:paraId="62DCB782" w14:textId="77777777" w:rsidR="001614AC" w:rsidRDefault="004468F9">
            <w:pPr>
              <w:spacing w:before="75" w:after="30" w:line="288" w:lineRule="auto"/>
            </w:pPr>
            <w:r>
              <w:rPr>
                <w:rFonts w:ascii="Arial" w:eastAsia="Arial" w:hAnsi="Arial" w:cs="Arial"/>
                <w:color w:val="000000"/>
                <w:sz w:val="18"/>
              </w:rPr>
              <w:t>Balance at end of period</w:t>
            </w:r>
          </w:p>
        </w:tc>
        <w:tc>
          <w:tcPr>
            <w:tcW w:w="105" w:type="dxa"/>
            <w:tcBorders>
              <w:top w:val="nil"/>
              <w:left w:val="nil"/>
              <w:bottom w:val="nil"/>
              <w:right w:val="nil"/>
            </w:tcBorders>
            <w:shd w:val="clear" w:color="auto" w:fill="F4F4F4"/>
            <w:tcMar>
              <w:top w:w="0" w:type="dxa"/>
              <w:left w:w="0" w:type="dxa"/>
              <w:bottom w:w="0" w:type="dxa"/>
              <w:right w:w="0" w:type="dxa"/>
            </w:tcMar>
            <w:vAlign w:val="bottom"/>
          </w:tcPr>
          <w:p w14:paraId="4878D071" w14:textId="77777777" w:rsidR="001614AC" w:rsidRDefault="001614AC"/>
        </w:tc>
        <w:tc>
          <w:tcPr>
            <w:tcW w:w="160" w:type="dxa"/>
            <w:tcBorders>
              <w:top w:val="single" w:sz="8" w:space="0" w:color="C7C9C7"/>
              <w:left w:val="nil"/>
              <w:bottom w:val="double" w:sz="8" w:space="0" w:color="C7C9C7"/>
              <w:right w:val="nil"/>
            </w:tcBorders>
            <w:shd w:val="clear" w:color="auto" w:fill="F4F4F4"/>
            <w:tcMar>
              <w:top w:w="0" w:type="dxa"/>
              <w:left w:w="53" w:type="dxa"/>
              <w:bottom w:w="0" w:type="dxa"/>
              <w:right w:w="0" w:type="dxa"/>
            </w:tcMar>
            <w:vAlign w:val="bottom"/>
          </w:tcPr>
          <w:p w14:paraId="5DE14D33" w14:textId="77777777" w:rsidR="001614AC" w:rsidRDefault="004468F9">
            <w:pPr>
              <w:spacing w:before="55" w:after="30" w:line="288" w:lineRule="auto"/>
            </w:pPr>
            <w:r>
              <w:rPr>
                <w:rFonts w:ascii="Arial" w:eastAsia="Arial" w:hAnsi="Arial" w:cs="Arial"/>
                <w:color w:val="000000"/>
                <w:sz w:val="18"/>
              </w:rPr>
              <w:t>$</w:t>
            </w:r>
          </w:p>
        </w:tc>
        <w:tc>
          <w:tcPr>
            <w:tcW w:w="1240" w:type="dxa"/>
            <w:tcBorders>
              <w:top w:val="single" w:sz="8" w:space="0" w:color="C7C9C7"/>
              <w:left w:val="nil"/>
              <w:bottom w:val="double" w:sz="8" w:space="0" w:color="C7C9C7"/>
              <w:right w:val="nil"/>
            </w:tcBorders>
            <w:shd w:val="clear" w:color="auto" w:fill="F4F4F4"/>
            <w:tcMar>
              <w:top w:w="0" w:type="dxa"/>
              <w:left w:w="0" w:type="dxa"/>
              <w:bottom w:w="0" w:type="dxa"/>
              <w:right w:w="0" w:type="dxa"/>
            </w:tcMar>
            <w:vAlign w:val="bottom"/>
          </w:tcPr>
          <w:p w14:paraId="275B88AD" w14:textId="77777777" w:rsidR="001614AC" w:rsidRDefault="004468F9">
            <w:pPr>
              <w:spacing w:before="55" w:after="30" w:line="288" w:lineRule="auto"/>
              <w:jc w:val="right"/>
            </w:pPr>
            <w:r>
              <w:rPr>
                <w:rFonts w:ascii="Arial" w:eastAsia="Arial" w:hAnsi="Arial" w:cs="Arial"/>
                <w:color w:val="000000"/>
                <w:sz w:val="18"/>
              </w:rPr>
              <w:t>880,763 </w:t>
            </w:r>
          </w:p>
        </w:tc>
        <w:tc>
          <w:tcPr>
            <w:tcW w:w="100" w:type="dxa"/>
            <w:tcBorders>
              <w:top w:val="single" w:sz="8" w:space="0" w:color="C7C9C7"/>
              <w:left w:val="nil"/>
              <w:bottom w:val="double" w:sz="8" w:space="0" w:color="C7C9C7"/>
              <w:right w:val="nil"/>
            </w:tcBorders>
            <w:shd w:val="clear" w:color="auto" w:fill="F4F4F4"/>
            <w:tcMar>
              <w:top w:w="0" w:type="dxa"/>
              <w:left w:w="0" w:type="dxa"/>
              <w:bottom w:w="0" w:type="dxa"/>
              <w:right w:w="15" w:type="dxa"/>
            </w:tcMar>
            <w:vAlign w:val="bottom"/>
          </w:tcPr>
          <w:p w14:paraId="7D9724F1" w14:textId="77777777" w:rsidR="001614AC" w:rsidRDefault="001614AC">
            <w:pPr>
              <w:spacing w:before="55" w:after="30" w:line="288" w:lineRule="auto"/>
              <w:jc w:val="right"/>
            </w:pPr>
          </w:p>
        </w:tc>
        <w:tc>
          <w:tcPr>
            <w:tcW w:w="105" w:type="dxa"/>
            <w:tcBorders>
              <w:top w:val="nil"/>
              <w:left w:val="nil"/>
              <w:bottom w:val="nil"/>
              <w:right w:val="nil"/>
            </w:tcBorders>
            <w:shd w:val="clear" w:color="auto" w:fill="F4F4F4"/>
            <w:tcMar>
              <w:top w:w="0" w:type="dxa"/>
              <w:left w:w="0" w:type="dxa"/>
              <w:bottom w:w="0" w:type="dxa"/>
              <w:right w:w="0" w:type="dxa"/>
            </w:tcMar>
            <w:vAlign w:val="bottom"/>
          </w:tcPr>
          <w:p w14:paraId="2A71386C" w14:textId="77777777" w:rsidR="001614AC" w:rsidRDefault="001614AC"/>
        </w:tc>
        <w:tc>
          <w:tcPr>
            <w:tcW w:w="160" w:type="dxa"/>
            <w:tcBorders>
              <w:top w:val="single" w:sz="8" w:space="0" w:color="C7C9C7"/>
              <w:left w:val="nil"/>
              <w:bottom w:val="double" w:sz="8" w:space="0" w:color="C7C9C7"/>
              <w:right w:val="nil"/>
            </w:tcBorders>
            <w:shd w:val="clear" w:color="auto" w:fill="F4F4F4"/>
            <w:tcMar>
              <w:top w:w="0" w:type="dxa"/>
              <w:left w:w="53" w:type="dxa"/>
              <w:bottom w:w="0" w:type="dxa"/>
              <w:right w:w="0" w:type="dxa"/>
            </w:tcMar>
            <w:vAlign w:val="bottom"/>
          </w:tcPr>
          <w:p w14:paraId="548E5F46" w14:textId="77777777" w:rsidR="001614AC" w:rsidRDefault="004468F9">
            <w:pPr>
              <w:spacing w:before="55" w:after="30" w:line="288" w:lineRule="auto"/>
            </w:pPr>
            <w:r>
              <w:rPr>
                <w:rFonts w:ascii="Arial" w:eastAsia="Arial" w:hAnsi="Arial" w:cs="Arial"/>
                <w:color w:val="000000"/>
                <w:sz w:val="18"/>
              </w:rPr>
              <w:t>$</w:t>
            </w:r>
          </w:p>
        </w:tc>
        <w:tc>
          <w:tcPr>
            <w:tcW w:w="1240" w:type="dxa"/>
            <w:tcBorders>
              <w:top w:val="single" w:sz="8" w:space="0" w:color="C7C9C7"/>
              <w:left w:val="nil"/>
              <w:bottom w:val="double" w:sz="8" w:space="0" w:color="C7C9C7"/>
              <w:right w:val="nil"/>
            </w:tcBorders>
            <w:shd w:val="clear" w:color="auto" w:fill="F4F4F4"/>
            <w:tcMar>
              <w:top w:w="0" w:type="dxa"/>
              <w:left w:w="0" w:type="dxa"/>
              <w:bottom w:w="0" w:type="dxa"/>
              <w:right w:w="0" w:type="dxa"/>
            </w:tcMar>
            <w:vAlign w:val="bottom"/>
          </w:tcPr>
          <w:p w14:paraId="74E9EAAD" w14:textId="77777777" w:rsidR="001614AC" w:rsidRDefault="004468F9">
            <w:pPr>
              <w:spacing w:before="55" w:after="30" w:line="288" w:lineRule="auto"/>
              <w:jc w:val="right"/>
            </w:pPr>
            <w:r>
              <w:rPr>
                <w:rFonts w:ascii="Arial" w:eastAsia="Arial" w:hAnsi="Arial" w:cs="Arial"/>
                <w:color w:val="000000"/>
                <w:sz w:val="18"/>
              </w:rPr>
              <w:t>734,991 </w:t>
            </w:r>
          </w:p>
        </w:tc>
        <w:tc>
          <w:tcPr>
            <w:tcW w:w="100" w:type="dxa"/>
            <w:tcBorders>
              <w:top w:val="single" w:sz="8" w:space="0" w:color="C7C9C7"/>
              <w:left w:val="nil"/>
              <w:bottom w:val="double" w:sz="8" w:space="0" w:color="C7C9C7"/>
              <w:right w:val="nil"/>
            </w:tcBorders>
            <w:shd w:val="clear" w:color="auto" w:fill="F4F4F4"/>
            <w:tcMar>
              <w:top w:w="0" w:type="dxa"/>
              <w:left w:w="0" w:type="dxa"/>
              <w:bottom w:w="0" w:type="dxa"/>
              <w:right w:w="15" w:type="dxa"/>
            </w:tcMar>
            <w:vAlign w:val="bottom"/>
          </w:tcPr>
          <w:p w14:paraId="4CDCDE6A" w14:textId="77777777" w:rsidR="001614AC" w:rsidRDefault="001614AC">
            <w:pPr>
              <w:spacing w:before="55" w:after="30" w:line="288" w:lineRule="auto"/>
              <w:jc w:val="right"/>
            </w:pPr>
          </w:p>
        </w:tc>
      </w:tr>
    </w:tbl>
    <w:p w14:paraId="466EE339" w14:textId="77777777" w:rsidR="001614AC" w:rsidRDefault="004468F9" w:rsidP="004468F9">
      <w:pPr>
        <w:keepNext/>
        <w:numPr>
          <w:ilvl w:val="0"/>
          <w:numId w:val="24"/>
        </w:numPr>
        <w:spacing w:line="288" w:lineRule="auto"/>
        <w:ind w:left="360"/>
        <w:rPr>
          <w:rFonts w:ascii="Arial" w:eastAsia="Arial" w:hAnsi="Arial" w:cs="Arial"/>
          <w:b/>
          <w:color w:val="64615D"/>
          <w:sz w:val="16"/>
        </w:rPr>
      </w:pPr>
      <w:r>
        <w:rPr>
          <w:rFonts w:ascii="Arial" w:eastAsia="Arial" w:hAnsi="Arial" w:cs="Arial"/>
          <w:color w:val="64615D"/>
          <w:sz w:val="16"/>
        </w:rPr>
        <w:t>Related to ceded losses recoverable, if any, on reinsurance transactions. See Note 8 for additional information.</w:t>
      </w:r>
    </w:p>
    <w:p w14:paraId="270FEBBB" w14:textId="77777777" w:rsidR="001614AC" w:rsidRDefault="004468F9" w:rsidP="004468F9">
      <w:pPr>
        <w:numPr>
          <w:ilvl w:val="0"/>
          <w:numId w:val="24"/>
        </w:numPr>
        <w:spacing w:line="288" w:lineRule="auto"/>
        <w:ind w:left="360"/>
        <w:rPr>
          <w:rFonts w:ascii="Arial" w:eastAsia="Arial" w:hAnsi="Arial" w:cs="Arial"/>
          <w:b/>
          <w:color w:val="64615D"/>
          <w:sz w:val="16"/>
        </w:rPr>
      </w:pPr>
      <w:r>
        <w:rPr>
          <w:rFonts w:ascii="Arial" w:eastAsia="Arial" w:hAnsi="Arial" w:cs="Arial"/>
          <w:color w:val="64615D"/>
          <w:sz w:val="16"/>
        </w:rPr>
        <w:t>Related to underlying defaulted loans with a most recent default notice dated in the year indicated. For exa</w:t>
      </w:r>
      <w:r>
        <w:rPr>
          <w:rFonts w:ascii="Arial" w:eastAsia="Arial" w:hAnsi="Arial" w:cs="Arial"/>
          <w:color w:val="64615D"/>
          <w:sz w:val="16"/>
        </w:rPr>
        <w:t>mple, if a loan had defaulted in a prior year, but then subsequently cured and later re-defaulted in the current year, that default would be considered a current year default.</w:t>
      </w:r>
    </w:p>
    <w:p w14:paraId="28D33F99" w14:textId="77777777" w:rsidR="001614AC" w:rsidRDefault="004468F9">
      <w:pPr>
        <w:keepNext/>
        <w:spacing w:before="180" w:after="140" w:line="288" w:lineRule="auto"/>
        <w:rPr>
          <w:rFonts w:ascii="Arial" w:eastAsia="Arial" w:hAnsi="Arial" w:cs="Arial"/>
          <w:b/>
          <w:color w:val="002B49"/>
          <w:sz w:val="26"/>
        </w:rPr>
      </w:pPr>
      <w:r>
        <w:rPr>
          <w:rFonts w:ascii="Arial" w:eastAsia="Arial" w:hAnsi="Arial" w:cs="Arial"/>
          <w:b/>
          <w:color w:val="002B49"/>
          <w:sz w:val="26"/>
        </w:rPr>
        <w:lastRenderedPageBreak/>
        <w:t>Reserve Activity</w:t>
      </w:r>
    </w:p>
    <w:p w14:paraId="4B3BA22E" w14:textId="77777777" w:rsidR="001614AC" w:rsidRDefault="004468F9">
      <w:pPr>
        <w:keepNext/>
        <w:spacing w:before="160" w:after="120" w:line="288" w:lineRule="auto"/>
        <w:rPr>
          <w:rFonts w:ascii="Arial" w:eastAsia="Arial" w:hAnsi="Arial" w:cs="Arial"/>
          <w:b/>
          <w:color w:val="4D6B80"/>
          <w:sz w:val="22"/>
        </w:rPr>
      </w:pPr>
      <w:r>
        <w:rPr>
          <w:rFonts w:ascii="Arial" w:eastAsia="Arial" w:hAnsi="Arial" w:cs="Arial"/>
          <w:b/>
          <w:color w:val="4D6B80"/>
          <w:sz w:val="22"/>
        </w:rPr>
        <w:t>Incurred Losses</w:t>
      </w:r>
    </w:p>
    <w:p w14:paraId="49C99122" w14:textId="77777777" w:rsidR="001614AC" w:rsidRDefault="004468F9">
      <w:pPr>
        <w:spacing w:before="100" w:after="100" w:line="288" w:lineRule="auto"/>
        <w:ind w:firstLine="450"/>
        <w:rPr>
          <w:b/>
          <w:color w:val="64615D"/>
          <w:sz w:val="22"/>
          <w:shd w:val="clear" w:color="auto" w:fill="FFFF00"/>
        </w:rPr>
      </w:pPr>
      <w:r>
        <w:rPr>
          <w:rFonts w:ascii="Arial" w:eastAsia="Arial" w:hAnsi="Arial" w:cs="Arial"/>
          <w:sz w:val="18"/>
        </w:rPr>
        <w:t xml:space="preserve">Case reserves established for new </w:t>
      </w:r>
      <w:r>
        <w:rPr>
          <w:rFonts w:ascii="Arial" w:eastAsia="Arial" w:hAnsi="Arial" w:cs="Arial"/>
          <w:sz w:val="18"/>
        </w:rPr>
        <w:t>default notices were the primary driver of our total incurred losses for the six months ended June 30, 2021 and 2020, and they were primarily impacted by the number of new primary default notices received in the period and our related gross Default to Clai</w:t>
      </w:r>
      <w:r>
        <w:rPr>
          <w:rFonts w:ascii="Arial" w:eastAsia="Arial" w:hAnsi="Arial" w:cs="Arial"/>
          <w:sz w:val="18"/>
        </w:rPr>
        <w:t xml:space="preserve">m Rate assumption applied to those new defaults. </w:t>
      </w:r>
    </w:p>
    <w:p w14:paraId="54D197B2" w14:textId="77777777" w:rsidR="001614AC" w:rsidRDefault="004468F9">
      <w:pPr>
        <w:spacing w:before="100" w:after="100" w:line="288" w:lineRule="auto"/>
        <w:ind w:firstLine="450"/>
        <w:rPr>
          <w:b/>
          <w:color w:val="64615D"/>
          <w:sz w:val="20"/>
          <w:shd w:val="clear" w:color="auto" w:fill="FFFF00"/>
        </w:rPr>
      </w:pPr>
      <w:r>
        <w:rPr>
          <w:rFonts w:ascii="Arial" w:eastAsia="Arial" w:hAnsi="Arial" w:cs="Arial"/>
          <w:sz w:val="18"/>
        </w:rPr>
        <w:t>For the six months ended June 30, 2021, we experienced a significant decrease in the number of new primary default notices, compared to the six months ended June 30, 2020, substantially all of which related</w:t>
      </w:r>
      <w:r>
        <w:rPr>
          <w:rFonts w:ascii="Arial" w:eastAsia="Arial" w:hAnsi="Arial" w:cs="Arial"/>
          <w:sz w:val="18"/>
        </w:rPr>
        <w:t xml:space="preserve"> to defaults subject to forbearance programs implemented in response to the COVID-19 pandemic. Our gross Default to Claim Rate assumption applied to new defaults was 8.0% as of June 30, 2021. Our provision for losses during the first six months of 2021 was</w:t>
      </w:r>
      <w:r>
        <w:rPr>
          <w:rFonts w:ascii="Arial" w:eastAsia="Arial" w:hAnsi="Arial" w:cs="Arial"/>
          <w:sz w:val="18"/>
        </w:rPr>
        <w:t xml:space="preserve"> positively impacted by favorable reserve development on prior year defaults, primarily as a result of more favorable trends in Cures than originally estimated, resulting in a reduction from 8.5% to 8.0% in the Default to Claim Rate assumption for default </w:t>
      </w:r>
      <w:r>
        <w:rPr>
          <w:rFonts w:ascii="Arial" w:eastAsia="Arial" w:hAnsi="Arial" w:cs="Arial"/>
          <w:sz w:val="18"/>
        </w:rPr>
        <w:t xml:space="preserve">notices reported between April and December 2020. See Note 1 for additional information on the elevated risks and uncertainties resulting from the COVID-19 pandemic to our business. </w:t>
      </w:r>
    </w:p>
    <w:p w14:paraId="07B57969" w14:textId="77777777" w:rsidR="001614AC" w:rsidRDefault="004468F9">
      <w:pPr>
        <w:spacing w:before="100" w:after="100" w:line="288" w:lineRule="auto"/>
        <w:ind w:firstLine="450"/>
        <w:rPr>
          <w:b/>
          <w:color w:val="64615D"/>
          <w:sz w:val="20"/>
          <w:shd w:val="clear" w:color="auto" w:fill="FFFF00"/>
        </w:rPr>
      </w:pPr>
      <w:r>
        <w:rPr>
          <w:rFonts w:ascii="Arial" w:eastAsia="Arial" w:hAnsi="Arial" w:cs="Arial"/>
          <w:sz w:val="18"/>
        </w:rPr>
        <w:t>Our gross Default to Claim Rate assumption applied to new defaults was 8.</w:t>
      </w:r>
      <w:r>
        <w:rPr>
          <w:rFonts w:ascii="Arial" w:eastAsia="Arial" w:hAnsi="Arial" w:cs="Arial"/>
          <w:sz w:val="18"/>
        </w:rPr>
        <w:t>5% as of June 30, 2020. Our provision for losses during the first six months of 2020 was positively impacted by favorable reserve development on prior year defaults. This favorable development was primarily driven by a reduction in certain Default to Claim</w:t>
      </w:r>
      <w:r>
        <w:rPr>
          <w:rFonts w:ascii="Arial" w:eastAsia="Arial" w:hAnsi="Arial" w:cs="Arial"/>
          <w:sz w:val="18"/>
        </w:rPr>
        <w:t xml:space="preserve"> Rate assumptions for these prior year defaults based on observed trends, primarily due to higher Cures than previously estimated. </w:t>
      </w:r>
    </w:p>
    <w:p w14:paraId="57FF5A47" w14:textId="77777777" w:rsidR="001614AC" w:rsidRDefault="004468F9">
      <w:pPr>
        <w:keepNext/>
        <w:spacing w:before="160" w:after="120" w:line="288" w:lineRule="auto"/>
        <w:rPr>
          <w:rFonts w:ascii="Arial" w:eastAsia="Arial" w:hAnsi="Arial" w:cs="Arial"/>
          <w:b/>
          <w:color w:val="4D6B80"/>
          <w:sz w:val="22"/>
        </w:rPr>
      </w:pPr>
      <w:r>
        <w:rPr>
          <w:rFonts w:ascii="Arial" w:eastAsia="Arial" w:hAnsi="Arial" w:cs="Arial"/>
          <w:b/>
          <w:color w:val="4D6B80"/>
          <w:sz w:val="22"/>
        </w:rPr>
        <w:t>Claims Paid</w:t>
      </w:r>
    </w:p>
    <w:p w14:paraId="7A374B47" w14:textId="77777777" w:rsidR="001614AC" w:rsidRDefault="004468F9">
      <w:pPr>
        <w:spacing w:before="100" w:after="100" w:line="288" w:lineRule="auto"/>
        <w:ind w:firstLine="450"/>
        <w:rPr>
          <w:b/>
          <w:color w:val="64615D"/>
          <w:sz w:val="18"/>
          <w:shd w:val="clear" w:color="auto" w:fill="FFFF00"/>
        </w:rPr>
      </w:pPr>
      <w:r>
        <w:rPr>
          <w:rFonts w:ascii="Arial" w:eastAsia="Arial" w:hAnsi="Arial" w:cs="Arial"/>
          <w:sz w:val="18"/>
        </w:rPr>
        <w:t>Total claims paid decreased for the six months ended June 30, 2021</w:t>
      </w:r>
      <w:r>
        <w:rPr>
          <w:rFonts w:ascii="Arial" w:eastAsia="Arial" w:hAnsi="Arial" w:cs="Arial"/>
          <w:sz w:val="18"/>
        </w:rPr>
        <w:t xml:space="preserve"> compared to the same period in 2020. Claims paid in 2021 include payments made to settle certain previously disclosed legal proceedings. See Note 13 for additional information about these legal proceedings. The decrease in claims paid is primarily attribu</w:t>
      </w:r>
      <w:r>
        <w:rPr>
          <w:rFonts w:ascii="Arial" w:eastAsia="Arial" w:hAnsi="Arial" w:cs="Arial"/>
          <w:sz w:val="18"/>
        </w:rPr>
        <w:t xml:space="preserve">table to COVID-19-related hardship forbearance plans and suspensions of foreclosure and evictions. </w:t>
      </w:r>
    </w:p>
    <w:p w14:paraId="364FDBCE" w14:textId="77777777" w:rsidR="001614AC" w:rsidRDefault="004468F9">
      <w:pPr>
        <w:spacing w:before="100" w:line="288" w:lineRule="auto"/>
        <w:ind w:firstLine="450"/>
        <w:rPr>
          <w:rFonts w:ascii="Arial" w:eastAsia="Arial" w:hAnsi="Arial" w:cs="Arial"/>
          <w:b/>
          <w:color w:val="64615D"/>
          <w:sz w:val="18"/>
        </w:rPr>
      </w:pPr>
      <w:r>
        <w:rPr>
          <w:rFonts w:ascii="Arial" w:eastAsia="Arial" w:hAnsi="Arial" w:cs="Arial"/>
          <w:sz w:val="18"/>
        </w:rPr>
        <w:t>For additional information about our Reserve for Losses and LAE, including our accounting policies, see Notes 2 and 11 of Notes to Consolidated Financial St</w:t>
      </w:r>
      <w:r>
        <w:rPr>
          <w:rFonts w:ascii="Arial" w:eastAsia="Arial" w:hAnsi="Arial" w:cs="Arial"/>
          <w:sz w:val="18"/>
        </w:rPr>
        <w:t>atements in our 2020 Form 10-K.</w:t>
      </w:r>
    </w:p>
    <w:p w14:paraId="30B02ECD" w14:textId="77777777" w:rsidR="001614AC" w:rsidRDefault="001614AC">
      <w:pPr>
        <w:spacing w:before="100" w:line="288" w:lineRule="auto"/>
        <w:ind w:firstLine="450"/>
        <w:rPr>
          <w:rFonts w:ascii="Arial" w:eastAsia="Arial" w:hAnsi="Arial" w:cs="Arial"/>
          <w:b/>
          <w:color w:val="64615D"/>
          <w:sz w:val="16"/>
        </w:rPr>
        <w:sectPr w:rsidR="001614AC">
          <w:headerReference w:type="default" r:id="rId34"/>
          <w:type w:val="continuous"/>
          <w:pgSz w:w="12240" w:h="15840"/>
          <w:pgMar w:top="1260" w:right="1080" w:bottom="1080" w:left="1080" w:header="270" w:footer="270" w:gutter="0"/>
          <w:cols w:space="708"/>
        </w:sectPr>
      </w:pPr>
    </w:p>
    <w:p w14:paraId="72003474" w14:textId="77777777" w:rsidR="001614AC" w:rsidRDefault="004468F9">
      <w:pPr>
        <w:keepNext/>
        <w:tabs>
          <w:tab w:val="left" w:pos="540"/>
        </w:tabs>
        <w:spacing w:before="200" w:after="160" w:line="288" w:lineRule="auto"/>
        <w:ind w:left="360" w:hanging="360"/>
        <w:outlineLvl w:val="3"/>
        <w:rPr>
          <w:rFonts w:ascii="Arial" w:eastAsia="Arial" w:hAnsi="Arial" w:cs="Arial"/>
          <w:b/>
          <w:color w:val="4D6B80"/>
          <w:sz w:val="30"/>
        </w:rPr>
      </w:pPr>
      <w:bookmarkStart w:id="23" w:name="Section24"/>
      <w:bookmarkEnd w:id="23"/>
      <w:r>
        <w:rPr>
          <w:rFonts w:ascii="Arial" w:eastAsia="Arial" w:hAnsi="Arial" w:cs="Arial"/>
          <w:b/>
          <w:color w:val="4D6B80"/>
          <w:sz w:val="30"/>
        </w:rPr>
        <w:t xml:space="preserve">12. Borrowings and Financing </w:t>
      </w:r>
      <w:r>
        <w:rPr>
          <w:rFonts w:ascii="Arial" w:eastAsia="Arial" w:hAnsi="Arial" w:cs="Arial"/>
          <w:b/>
          <w:color w:val="4D6B80"/>
          <w:sz w:val="30"/>
        </w:rPr>
        <w:t>Activities</w:t>
      </w:r>
    </w:p>
    <w:p w14:paraId="0CE93902" w14:textId="77777777" w:rsidR="001614AC" w:rsidRDefault="004468F9">
      <w:pPr>
        <w:keepNext/>
        <w:spacing w:before="100" w:after="100" w:line="288" w:lineRule="auto"/>
        <w:ind w:firstLine="450"/>
        <w:rPr>
          <w:b/>
          <w:color w:val="4D6B80"/>
          <w:sz w:val="22"/>
          <w:shd w:val="clear" w:color="auto" w:fill="FFFF00"/>
        </w:rPr>
      </w:pPr>
      <w:r>
        <w:rPr>
          <w:rFonts w:ascii="Arial" w:eastAsia="Arial" w:hAnsi="Arial" w:cs="Arial"/>
          <w:sz w:val="18"/>
        </w:rPr>
        <w:t>The carrying value of our debt at June 30, 2021 and December 31, 2020 was as follows.</w:t>
      </w:r>
    </w:p>
    <w:tbl>
      <w:tblPr>
        <w:tblW w:w="102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22"/>
        <w:gridCol w:w="107"/>
        <w:gridCol w:w="163"/>
        <w:gridCol w:w="1158"/>
        <w:gridCol w:w="102"/>
        <w:gridCol w:w="107"/>
        <w:gridCol w:w="163"/>
        <w:gridCol w:w="1158"/>
        <w:gridCol w:w="102"/>
      </w:tblGrid>
      <w:tr w:rsidR="001614AC" w14:paraId="38A0FF4D" w14:textId="77777777">
        <w:trPr>
          <w:cantSplit/>
        </w:trPr>
        <w:tc>
          <w:tcPr>
            <w:tcW w:w="10080" w:type="dxa"/>
            <w:gridSpan w:val="9"/>
            <w:tcBorders>
              <w:top w:val="nil"/>
              <w:left w:val="nil"/>
              <w:bottom w:val="single" w:sz="12" w:space="0" w:color="99AAB6"/>
              <w:right w:val="nil"/>
            </w:tcBorders>
            <w:tcMar>
              <w:top w:w="0" w:type="dxa"/>
              <w:left w:w="53" w:type="dxa"/>
              <w:bottom w:w="0" w:type="dxa"/>
              <w:right w:w="53" w:type="dxa"/>
            </w:tcMar>
            <w:vAlign w:val="bottom"/>
          </w:tcPr>
          <w:p w14:paraId="6A3CC6BC" w14:textId="77777777" w:rsidR="001614AC" w:rsidRDefault="004468F9">
            <w:pPr>
              <w:keepNext/>
              <w:spacing w:before="75" w:after="30" w:line="288" w:lineRule="auto"/>
              <w:rPr>
                <w:rFonts w:ascii="Arial" w:eastAsia="Arial" w:hAnsi="Arial" w:cs="Arial"/>
                <w:b/>
                <w:sz w:val="20"/>
                <w:shd w:val="clear" w:color="auto" w:fill="FFFF00"/>
              </w:rPr>
            </w:pPr>
            <w:r>
              <w:rPr>
                <w:rFonts w:ascii="Arial" w:eastAsia="Arial" w:hAnsi="Arial" w:cs="Arial"/>
                <w:b/>
                <w:sz w:val="20"/>
              </w:rPr>
              <w:t>Borrowings</w:t>
            </w:r>
          </w:p>
        </w:tc>
      </w:tr>
      <w:tr w:rsidR="001614AC" w14:paraId="572A26AD" w14:textId="77777777">
        <w:trPr>
          <w:cantSplit/>
          <w:trHeight w:hRule="exact" w:val="135"/>
        </w:trPr>
        <w:tc>
          <w:tcPr>
            <w:tcW w:w="7080" w:type="dxa"/>
            <w:tcBorders>
              <w:top w:val="nil"/>
              <w:left w:val="nil"/>
              <w:bottom w:val="nil"/>
              <w:right w:val="nil"/>
            </w:tcBorders>
            <w:tcMar>
              <w:top w:w="0" w:type="dxa"/>
              <w:left w:w="0" w:type="dxa"/>
              <w:bottom w:w="0" w:type="dxa"/>
              <w:right w:w="0" w:type="dxa"/>
            </w:tcMar>
            <w:vAlign w:val="bottom"/>
          </w:tcPr>
          <w:p w14:paraId="136F011F" w14:textId="77777777" w:rsidR="001614AC" w:rsidRDefault="001614AC">
            <w:pPr>
              <w:keepNext/>
            </w:pPr>
          </w:p>
        </w:tc>
        <w:tc>
          <w:tcPr>
            <w:tcW w:w="105" w:type="dxa"/>
            <w:tcBorders>
              <w:top w:val="single" w:sz="12" w:space="0" w:color="99AAB6"/>
              <w:left w:val="nil"/>
              <w:bottom w:val="nil"/>
              <w:right w:val="nil"/>
            </w:tcBorders>
            <w:tcMar>
              <w:top w:w="0" w:type="dxa"/>
              <w:left w:w="0" w:type="dxa"/>
              <w:bottom w:w="0" w:type="dxa"/>
              <w:right w:w="0" w:type="dxa"/>
            </w:tcMar>
            <w:vAlign w:val="bottom"/>
          </w:tcPr>
          <w:p w14:paraId="248AB511" w14:textId="77777777" w:rsidR="001614AC" w:rsidRDefault="001614AC">
            <w:pPr>
              <w:keepNext/>
            </w:pPr>
          </w:p>
        </w:tc>
        <w:tc>
          <w:tcPr>
            <w:tcW w:w="1395" w:type="dxa"/>
            <w:gridSpan w:val="3"/>
            <w:tcBorders>
              <w:top w:val="single" w:sz="12" w:space="0" w:color="99AAB6"/>
              <w:left w:val="nil"/>
              <w:bottom w:val="nil"/>
              <w:right w:val="nil"/>
            </w:tcBorders>
            <w:tcMar>
              <w:top w:w="0" w:type="dxa"/>
              <w:left w:w="0" w:type="dxa"/>
              <w:bottom w:w="0" w:type="dxa"/>
              <w:right w:w="0" w:type="dxa"/>
            </w:tcMar>
            <w:vAlign w:val="bottom"/>
          </w:tcPr>
          <w:p w14:paraId="7851067E" w14:textId="77777777" w:rsidR="001614AC" w:rsidRDefault="001614AC">
            <w:pPr>
              <w:keepNext/>
            </w:pPr>
          </w:p>
        </w:tc>
        <w:tc>
          <w:tcPr>
            <w:tcW w:w="105" w:type="dxa"/>
            <w:tcBorders>
              <w:top w:val="single" w:sz="12" w:space="0" w:color="99AAB6"/>
              <w:left w:val="nil"/>
              <w:bottom w:val="nil"/>
              <w:right w:val="nil"/>
            </w:tcBorders>
            <w:tcMar>
              <w:top w:w="0" w:type="dxa"/>
              <w:left w:w="0" w:type="dxa"/>
              <w:bottom w:w="0" w:type="dxa"/>
              <w:right w:w="0" w:type="dxa"/>
            </w:tcMar>
            <w:vAlign w:val="bottom"/>
          </w:tcPr>
          <w:p w14:paraId="57730E40" w14:textId="77777777" w:rsidR="001614AC" w:rsidRDefault="001614AC">
            <w:pPr>
              <w:keepNext/>
            </w:pPr>
          </w:p>
        </w:tc>
        <w:tc>
          <w:tcPr>
            <w:tcW w:w="1395" w:type="dxa"/>
            <w:gridSpan w:val="3"/>
            <w:tcBorders>
              <w:top w:val="single" w:sz="12" w:space="0" w:color="99AAB6"/>
              <w:left w:val="nil"/>
              <w:bottom w:val="nil"/>
              <w:right w:val="nil"/>
            </w:tcBorders>
            <w:tcMar>
              <w:top w:w="0" w:type="dxa"/>
              <w:left w:w="0" w:type="dxa"/>
              <w:bottom w:w="0" w:type="dxa"/>
              <w:right w:w="0" w:type="dxa"/>
            </w:tcMar>
            <w:vAlign w:val="bottom"/>
          </w:tcPr>
          <w:p w14:paraId="73F69E77" w14:textId="77777777" w:rsidR="001614AC" w:rsidRDefault="001614AC">
            <w:pPr>
              <w:keepNext/>
            </w:pPr>
          </w:p>
        </w:tc>
      </w:tr>
      <w:tr w:rsidR="001614AC" w14:paraId="3740A11D" w14:textId="77777777">
        <w:trPr>
          <w:cantSplit/>
        </w:trPr>
        <w:tc>
          <w:tcPr>
            <w:tcW w:w="7080" w:type="dxa"/>
            <w:tcBorders>
              <w:top w:val="nil"/>
              <w:left w:val="nil"/>
              <w:bottom w:val="single" w:sz="8" w:space="0" w:color="C7C9C7"/>
              <w:right w:val="nil"/>
            </w:tcBorders>
            <w:tcMar>
              <w:top w:w="0" w:type="dxa"/>
              <w:left w:w="53" w:type="dxa"/>
              <w:bottom w:w="0" w:type="dxa"/>
              <w:right w:w="53" w:type="dxa"/>
            </w:tcMar>
            <w:vAlign w:val="bottom"/>
          </w:tcPr>
          <w:p w14:paraId="071AA6F9" w14:textId="77777777" w:rsidR="001614AC" w:rsidRDefault="004468F9">
            <w:pPr>
              <w:keepNext/>
              <w:spacing w:before="75" w:after="30" w:line="288" w:lineRule="auto"/>
            </w:pPr>
            <w:r>
              <w:rPr>
                <w:rFonts w:ascii="Arial" w:eastAsia="Arial" w:hAnsi="Arial" w:cs="Arial"/>
                <w:color w:val="8B8886"/>
                <w:sz w:val="16"/>
              </w:rPr>
              <w:t>(In thousands) </w:t>
            </w:r>
          </w:p>
        </w:tc>
        <w:tc>
          <w:tcPr>
            <w:tcW w:w="105" w:type="dxa"/>
            <w:tcBorders>
              <w:top w:val="nil"/>
              <w:left w:val="nil"/>
              <w:bottom w:val="single" w:sz="8" w:space="0" w:color="C7C9C7"/>
              <w:right w:val="nil"/>
            </w:tcBorders>
            <w:tcMar>
              <w:top w:w="0" w:type="dxa"/>
              <w:left w:w="0" w:type="dxa"/>
              <w:bottom w:w="0" w:type="dxa"/>
              <w:right w:w="0" w:type="dxa"/>
            </w:tcMar>
            <w:vAlign w:val="bottom"/>
          </w:tcPr>
          <w:p w14:paraId="2484560E" w14:textId="77777777" w:rsidR="001614AC" w:rsidRDefault="001614AC">
            <w:pPr>
              <w:keepNext/>
            </w:pPr>
          </w:p>
        </w:tc>
        <w:tc>
          <w:tcPr>
            <w:tcW w:w="1395" w:type="dxa"/>
            <w:gridSpan w:val="3"/>
            <w:tcBorders>
              <w:top w:val="nil"/>
              <w:left w:val="nil"/>
              <w:bottom w:val="single" w:sz="8" w:space="0" w:color="C7C9C7"/>
              <w:right w:val="nil"/>
            </w:tcBorders>
            <w:shd w:val="clear" w:color="auto" w:fill="E6F8F8"/>
            <w:tcMar>
              <w:top w:w="0" w:type="dxa"/>
              <w:left w:w="53" w:type="dxa"/>
              <w:bottom w:w="0" w:type="dxa"/>
              <w:right w:w="53" w:type="dxa"/>
            </w:tcMar>
            <w:vAlign w:val="bottom"/>
          </w:tcPr>
          <w:p w14:paraId="03E62863" w14:textId="77777777" w:rsidR="001614AC" w:rsidRDefault="004468F9">
            <w:pPr>
              <w:keepNext/>
              <w:spacing w:before="75" w:after="30" w:line="288" w:lineRule="auto"/>
              <w:jc w:val="center"/>
            </w:pPr>
            <w:r>
              <w:rPr>
                <w:rFonts w:ascii="Arial" w:eastAsia="Arial" w:hAnsi="Arial" w:cs="Arial"/>
                <w:b/>
                <w:color w:val="00BAB3"/>
                <w:sz w:val="18"/>
              </w:rPr>
              <w:t>June 30,</w:t>
            </w:r>
            <w:r>
              <w:br/>
            </w:r>
            <w:r>
              <w:rPr>
                <w:rFonts w:ascii="Arial" w:eastAsia="Arial" w:hAnsi="Arial" w:cs="Arial"/>
                <w:b/>
                <w:color w:val="00BAB3"/>
                <w:sz w:val="18"/>
              </w:rPr>
              <w:t>2021</w:t>
            </w:r>
          </w:p>
        </w:tc>
        <w:tc>
          <w:tcPr>
            <w:tcW w:w="105" w:type="dxa"/>
            <w:tcBorders>
              <w:top w:val="nil"/>
              <w:left w:val="nil"/>
              <w:bottom w:val="single" w:sz="8" w:space="0" w:color="C7C9C7"/>
              <w:right w:val="nil"/>
            </w:tcBorders>
            <w:tcMar>
              <w:top w:w="0" w:type="dxa"/>
              <w:left w:w="0" w:type="dxa"/>
              <w:bottom w:w="0" w:type="dxa"/>
              <w:right w:w="0" w:type="dxa"/>
            </w:tcMar>
            <w:vAlign w:val="bottom"/>
          </w:tcPr>
          <w:p w14:paraId="2FA81484" w14:textId="77777777" w:rsidR="001614AC" w:rsidRDefault="001614AC">
            <w:pPr>
              <w:keepNext/>
            </w:pPr>
          </w:p>
        </w:tc>
        <w:tc>
          <w:tcPr>
            <w:tcW w:w="1395" w:type="dxa"/>
            <w:gridSpan w:val="3"/>
            <w:tcBorders>
              <w:top w:val="nil"/>
              <w:left w:val="nil"/>
              <w:bottom w:val="single" w:sz="8" w:space="0" w:color="C7C9C7"/>
              <w:right w:val="nil"/>
            </w:tcBorders>
            <w:shd w:val="clear" w:color="auto" w:fill="F4F4F4"/>
            <w:tcMar>
              <w:top w:w="0" w:type="dxa"/>
              <w:left w:w="53" w:type="dxa"/>
              <w:bottom w:w="0" w:type="dxa"/>
              <w:right w:w="53" w:type="dxa"/>
            </w:tcMar>
            <w:vAlign w:val="bottom"/>
          </w:tcPr>
          <w:p w14:paraId="5E27C86B" w14:textId="77777777" w:rsidR="001614AC" w:rsidRDefault="004468F9">
            <w:pPr>
              <w:keepNext/>
              <w:spacing w:before="75" w:after="30" w:line="288" w:lineRule="auto"/>
              <w:jc w:val="center"/>
            </w:pPr>
            <w:r>
              <w:rPr>
                <w:rFonts w:ascii="Arial" w:eastAsia="Arial" w:hAnsi="Arial" w:cs="Arial"/>
                <w:b/>
                <w:color w:val="00BAB3"/>
                <w:sz w:val="18"/>
              </w:rPr>
              <w:t>December 31,</w:t>
            </w:r>
            <w:r>
              <w:br/>
            </w:r>
            <w:r>
              <w:rPr>
                <w:rFonts w:ascii="Arial" w:eastAsia="Arial" w:hAnsi="Arial" w:cs="Arial"/>
                <w:b/>
                <w:color w:val="00BAB3"/>
                <w:sz w:val="18"/>
              </w:rPr>
              <w:t>2020</w:t>
            </w:r>
          </w:p>
        </w:tc>
      </w:tr>
      <w:tr w:rsidR="001614AC" w14:paraId="5B9EE233" w14:textId="77777777">
        <w:trPr>
          <w:cantSplit/>
        </w:trPr>
        <w:tc>
          <w:tcPr>
            <w:tcW w:w="7080" w:type="dxa"/>
            <w:tcBorders>
              <w:top w:val="single" w:sz="8" w:space="0" w:color="C7C9C7"/>
              <w:left w:val="nil"/>
              <w:bottom w:val="single" w:sz="8" w:space="0" w:color="E9E9E9"/>
              <w:right w:val="nil"/>
            </w:tcBorders>
            <w:tcMar>
              <w:top w:w="0" w:type="dxa"/>
              <w:left w:w="53" w:type="dxa"/>
              <w:bottom w:w="0" w:type="dxa"/>
              <w:right w:w="53" w:type="dxa"/>
            </w:tcMar>
            <w:vAlign w:val="bottom"/>
          </w:tcPr>
          <w:p w14:paraId="4571B31F" w14:textId="77777777" w:rsidR="001614AC" w:rsidRDefault="004468F9">
            <w:pPr>
              <w:keepNext/>
              <w:spacing w:before="55" w:after="30" w:line="288" w:lineRule="auto"/>
            </w:pPr>
            <w:r>
              <w:rPr>
                <w:rFonts w:ascii="Arial" w:eastAsia="Arial" w:hAnsi="Arial" w:cs="Arial"/>
                <w:color w:val="000000"/>
                <w:sz w:val="18"/>
              </w:rPr>
              <w:t>Senior notes</w:t>
            </w:r>
          </w:p>
        </w:tc>
        <w:tc>
          <w:tcPr>
            <w:tcW w:w="105" w:type="dxa"/>
            <w:tcBorders>
              <w:top w:val="single" w:sz="8" w:space="0" w:color="C7C9C7"/>
              <w:left w:val="nil"/>
              <w:bottom w:val="nil"/>
              <w:right w:val="nil"/>
            </w:tcBorders>
            <w:tcMar>
              <w:top w:w="0" w:type="dxa"/>
              <w:left w:w="0" w:type="dxa"/>
              <w:bottom w:w="0" w:type="dxa"/>
              <w:right w:w="0" w:type="dxa"/>
            </w:tcMar>
            <w:vAlign w:val="bottom"/>
          </w:tcPr>
          <w:p w14:paraId="35F18115" w14:textId="77777777" w:rsidR="001614AC" w:rsidRDefault="001614AC">
            <w:pPr>
              <w:keepNext/>
            </w:pPr>
          </w:p>
        </w:tc>
        <w:tc>
          <w:tcPr>
            <w:tcW w:w="1395" w:type="dxa"/>
            <w:gridSpan w:val="3"/>
            <w:tcBorders>
              <w:top w:val="single" w:sz="8" w:space="0" w:color="C7C9C7"/>
              <w:left w:val="nil"/>
              <w:bottom w:val="single" w:sz="8" w:space="0" w:color="E9E9E9"/>
              <w:right w:val="nil"/>
            </w:tcBorders>
            <w:tcMar>
              <w:top w:w="0" w:type="dxa"/>
              <w:left w:w="0" w:type="dxa"/>
              <w:bottom w:w="0" w:type="dxa"/>
              <w:right w:w="0" w:type="dxa"/>
            </w:tcMar>
            <w:vAlign w:val="bottom"/>
          </w:tcPr>
          <w:p w14:paraId="0CF1CDC9" w14:textId="77777777" w:rsidR="001614AC" w:rsidRDefault="001614AC">
            <w:pPr>
              <w:keepNext/>
            </w:pPr>
          </w:p>
        </w:tc>
        <w:tc>
          <w:tcPr>
            <w:tcW w:w="105" w:type="dxa"/>
            <w:tcBorders>
              <w:top w:val="single" w:sz="8" w:space="0" w:color="C7C9C7"/>
              <w:left w:val="nil"/>
              <w:bottom w:val="nil"/>
              <w:right w:val="nil"/>
            </w:tcBorders>
            <w:tcMar>
              <w:top w:w="0" w:type="dxa"/>
              <w:left w:w="0" w:type="dxa"/>
              <w:bottom w:w="0" w:type="dxa"/>
              <w:right w:w="0" w:type="dxa"/>
            </w:tcMar>
            <w:vAlign w:val="bottom"/>
          </w:tcPr>
          <w:p w14:paraId="3370529D" w14:textId="77777777" w:rsidR="001614AC" w:rsidRDefault="001614AC">
            <w:pPr>
              <w:keepNext/>
            </w:pPr>
          </w:p>
        </w:tc>
        <w:tc>
          <w:tcPr>
            <w:tcW w:w="1395" w:type="dxa"/>
            <w:gridSpan w:val="3"/>
            <w:tcBorders>
              <w:top w:val="single" w:sz="8" w:space="0" w:color="C7C9C7"/>
              <w:left w:val="nil"/>
              <w:bottom w:val="single" w:sz="8" w:space="0" w:color="E9E9E9"/>
              <w:right w:val="nil"/>
            </w:tcBorders>
            <w:tcMar>
              <w:top w:w="0" w:type="dxa"/>
              <w:left w:w="0" w:type="dxa"/>
              <w:bottom w:w="0" w:type="dxa"/>
              <w:right w:w="0" w:type="dxa"/>
            </w:tcMar>
            <w:vAlign w:val="bottom"/>
          </w:tcPr>
          <w:p w14:paraId="771E2C85" w14:textId="77777777" w:rsidR="001614AC" w:rsidRDefault="001614AC">
            <w:pPr>
              <w:keepNext/>
            </w:pPr>
          </w:p>
        </w:tc>
      </w:tr>
      <w:tr w:rsidR="001614AC" w14:paraId="32473C4B" w14:textId="77777777">
        <w:trPr>
          <w:cantSplit/>
        </w:trPr>
        <w:tc>
          <w:tcPr>
            <w:tcW w:w="7080" w:type="dxa"/>
            <w:tcBorders>
              <w:top w:val="single" w:sz="8" w:space="0" w:color="E9E9E9"/>
              <w:left w:val="nil"/>
              <w:bottom w:val="single" w:sz="8" w:space="0" w:color="E9E9E9"/>
              <w:right w:val="nil"/>
            </w:tcBorders>
            <w:tcMar>
              <w:top w:w="0" w:type="dxa"/>
              <w:left w:w="53" w:type="dxa"/>
              <w:bottom w:w="0" w:type="dxa"/>
              <w:right w:w="53" w:type="dxa"/>
            </w:tcMar>
            <w:vAlign w:val="bottom"/>
          </w:tcPr>
          <w:p w14:paraId="7958B057" w14:textId="77777777" w:rsidR="001614AC" w:rsidRDefault="004468F9">
            <w:pPr>
              <w:keepNext/>
              <w:spacing w:before="55" w:after="30" w:line="288" w:lineRule="auto"/>
              <w:ind w:left="240"/>
            </w:pPr>
            <w:r>
              <w:rPr>
                <w:rFonts w:ascii="Arial" w:eastAsia="Arial" w:hAnsi="Arial" w:cs="Arial"/>
                <w:color w:val="000000"/>
                <w:sz w:val="18"/>
              </w:rPr>
              <w:t>Senior Notes due 2024</w:t>
            </w:r>
          </w:p>
        </w:tc>
        <w:tc>
          <w:tcPr>
            <w:tcW w:w="105" w:type="dxa"/>
            <w:tcBorders>
              <w:top w:val="nil"/>
              <w:left w:val="nil"/>
              <w:bottom w:val="nil"/>
              <w:right w:val="nil"/>
            </w:tcBorders>
            <w:tcMar>
              <w:top w:w="0" w:type="dxa"/>
              <w:left w:w="0" w:type="dxa"/>
              <w:bottom w:w="0" w:type="dxa"/>
              <w:right w:w="0" w:type="dxa"/>
            </w:tcMar>
            <w:vAlign w:val="bottom"/>
          </w:tcPr>
          <w:p w14:paraId="5A71F66F" w14:textId="77777777" w:rsidR="001614AC" w:rsidRDefault="001614AC">
            <w:pPr>
              <w:keepNext/>
            </w:pPr>
          </w:p>
        </w:tc>
        <w:tc>
          <w:tcPr>
            <w:tcW w:w="160" w:type="dxa"/>
            <w:tcBorders>
              <w:top w:val="single" w:sz="8" w:space="0" w:color="E9E9E9"/>
              <w:left w:val="nil"/>
              <w:bottom w:val="single" w:sz="8" w:space="0" w:color="E9E9E9"/>
              <w:right w:val="nil"/>
            </w:tcBorders>
            <w:tcMar>
              <w:top w:w="0" w:type="dxa"/>
              <w:left w:w="53" w:type="dxa"/>
              <w:bottom w:w="0" w:type="dxa"/>
              <w:right w:w="0" w:type="dxa"/>
            </w:tcMar>
            <w:vAlign w:val="bottom"/>
          </w:tcPr>
          <w:p w14:paraId="6107F1D7" w14:textId="77777777" w:rsidR="001614AC" w:rsidRDefault="004468F9">
            <w:pPr>
              <w:keepNext/>
              <w:spacing w:before="55" w:after="30" w:line="288" w:lineRule="auto"/>
            </w:pPr>
            <w:r>
              <w:rPr>
                <w:rFonts w:ascii="Arial" w:eastAsia="Arial" w:hAnsi="Arial" w:cs="Arial"/>
                <w:color w:val="000000"/>
                <w:sz w:val="18"/>
              </w:rPr>
              <w:t>$</w:t>
            </w:r>
          </w:p>
        </w:tc>
        <w:tc>
          <w:tcPr>
            <w:tcW w:w="1135" w:type="dxa"/>
            <w:tcBorders>
              <w:top w:val="single" w:sz="8" w:space="0" w:color="E9E9E9"/>
              <w:left w:val="nil"/>
              <w:bottom w:val="single" w:sz="8" w:space="0" w:color="E9E9E9"/>
              <w:right w:val="nil"/>
            </w:tcBorders>
            <w:tcMar>
              <w:top w:w="0" w:type="dxa"/>
              <w:left w:w="0" w:type="dxa"/>
              <w:bottom w:w="0" w:type="dxa"/>
              <w:right w:w="0" w:type="dxa"/>
            </w:tcMar>
            <w:vAlign w:val="bottom"/>
          </w:tcPr>
          <w:p w14:paraId="08D5A611" w14:textId="77777777" w:rsidR="001614AC" w:rsidRDefault="004468F9">
            <w:pPr>
              <w:keepNext/>
              <w:spacing w:before="55" w:after="30" w:line="288" w:lineRule="auto"/>
              <w:jc w:val="right"/>
            </w:pPr>
            <w:r>
              <w:rPr>
                <w:rFonts w:ascii="Arial" w:eastAsia="Arial" w:hAnsi="Arial" w:cs="Arial"/>
                <w:color w:val="000000"/>
                <w:sz w:val="18"/>
              </w:rPr>
              <w:t>446,065 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07508F4E" w14:textId="77777777" w:rsidR="001614AC" w:rsidRDefault="001614AC">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38964E7F" w14:textId="77777777" w:rsidR="001614AC" w:rsidRDefault="001614AC">
            <w:pPr>
              <w:keepNext/>
            </w:pPr>
          </w:p>
        </w:tc>
        <w:tc>
          <w:tcPr>
            <w:tcW w:w="160" w:type="dxa"/>
            <w:tcBorders>
              <w:top w:val="single" w:sz="8" w:space="0" w:color="E9E9E9"/>
              <w:left w:val="nil"/>
              <w:bottom w:val="single" w:sz="8" w:space="0" w:color="E9E9E9"/>
              <w:right w:val="nil"/>
            </w:tcBorders>
            <w:tcMar>
              <w:top w:w="0" w:type="dxa"/>
              <w:left w:w="53" w:type="dxa"/>
              <w:bottom w:w="0" w:type="dxa"/>
              <w:right w:w="0" w:type="dxa"/>
            </w:tcMar>
            <w:vAlign w:val="bottom"/>
          </w:tcPr>
          <w:p w14:paraId="794E2996" w14:textId="77777777" w:rsidR="001614AC" w:rsidRDefault="004468F9">
            <w:pPr>
              <w:keepNext/>
              <w:spacing w:before="55" w:after="30" w:line="288" w:lineRule="auto"/>
            </w:pPr>
            <w:r>
              <w:rPr>
                <w:rFonts w:ascii="Arial" w:eastAsia="Arial" w:hAnsi="Arial" w:cs="Arial"/>
                <w:color w:val="000000"/>
                <w:sz w:val="18"/>
              </w:rPr>
              <w:t>$</w:t>
            </w:r>
          </w:p>
        </w:tc>
        <w:tc>
          <w:tcPr>
            <w:tcW w:w="1135" w:type="dxa"/>
            <w:tcBorders>
              <w:top w:val="single" w:sz="8" w:space="0" w:color="E9E9E9"/>
              <w:left w:val="nil"/>
              <w:bottom w:val="single" w:sz="8" w:space="0" w:color="E9E9E9"/>
              <w:right w:val="nil"/>
            </w:tcBorders>
            <w:tcMar>
              <w:top w:w="0" w:type="dxa"/>
              <w:left w:w="0" w:type="dxa"/>
              <w:bottom w:w="0" w:type="dxa"/>
              <w:right w:w="0" w:type="dxa"/>
            </w:tcMar>
            <w:vAlign w:val="bottom"/>
          </w:tcPr>
          <w:p w14:paraId="469E5C53" w14:textId="77777777" w:rsidR="001614AC" w:rsidRDefault="004468F9">
            <w:pPr>
              <w:keepNext/>
              <w:spacing w:before="55" w:after="30" w:line="288" w:lineRule="auto"/>
              <w:jc w:val="right"/>
            </w:pPr>
            <w:r>
              <w:rPr>
                <w:rFonts w:ascii="Arial" w:eastAsia="Arial" w:hAnsi="Arial" w:cs="Arial"/>
                <w:color w:val="000000"/>
                <w:sz w:val="18"/>
              </w:rPr>
              <w:t>445,512 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4448A74E" w14:textId="77777777" w:rsidR="001614AC" w:rsidRDefault="001614AC">
            <w:pPr>
              <w:keepNext/>
              <w:spacing w:before="55" w:after="30" w:line="288" w:lineRule="auto"/>
              <w:jc w:val="right"/>
            </w:pPr>
          </w:p>
        </w:tc>
      </w:tr>
      <w:tr w:rsidR="001614AC" w14:paraId="1BCF7485" w14:textId="77777777">
        <w:trPr>
          <w:cantSplit/>
        </w:trPr>
        <w:tc>
          <w:tcPr>
            <w:tcW w:w="7080" w:type="dxa"/>
            <w:tcBorders>
              <w:top w:val="single" w:sz="8" w:space="0" w:color="E9E9E9"/>
              <w:left w:val="nil"/>
              <w:bottom w:val="single" w:sz="8" w:space="0" w:color="E9E9E9"/>
              <w:right w:val="nil"/>
            </w:tcBorders>
            <w:tcMar>
              <w:top w:w="0" w:type="dxa"/>
              <w:left w:w="53" w:type="dxa"/>
              <w:bottom w:w="0" w:type="dxa"/>
              <w:right w:w="53" w:type="dxa"/>
            </w:tcMar>
            <w:vAlign w:val="bottom"/>
          </w:tcPr>
          <w:p w14:paraId="71E0E4BB" w14:textId="77777777" w:rsidR="001614AC" w:rsidRDefault="004468F9">
            <w:pPr>
              <w:keepNext/>
              <w:spacing w:before="55" w:after="30" w:line="288" w:lineRule="auto"/>
              <w:ind w:left="240"/>
            </w:pPr>
            <w:r>
              <w:rPr>
                <w:rFonts w:ascii="Arial" w:eastAsia="Arial" w:hAnsi="Arial" w:cs="Arial"/>
                <w:color w:val="000000"/>
                <w:sz w:val="18"/>
              </w:rPr>
              <w:t>Seni</w:t>
            </w:r>
            <w:r>
              <w:rPr>
                <w:rFonts w:ascii="Arial" w:eastAsia="Arial" w:hAnsi="Arial" w:cs="Arial"/>
                <w:color w:val="000000"/>
                <w:sz w:val="18"/>
              </w:rPr>
              <w:t>or Notes due 2025</w:t>
            </w:r>
          </w:p>
        </w:tc>
        <w:tc>
          <w:tcPr>
            <w:tcW w:w="105" w:type="dxa"/>
            <w:tcBorders>
              <w:top w:val="nil"/>
              <w:left w:val="nil"/>
              <w:bottom w:val="nil"/>
              <w:right w:val="nil"/>
            </w:tcBorders>
            <w:tcMar>
              <w:top w:w="0" w:type="dxa"/>
              <w:left w:w="0" w:type="dxa"/>
              <w:bottom w:w="0" w:type="dxa"/>
              <w:right w:w="0" w:type="dxa"/>
            </w:tcMar>
            <w:vAlign w:val="bottom"/>
          </w:tcPr>
          <w:p w14:paraId="5BB3D1D1" w14:textId="77777777" w:rsidR="001614AC" w:rsidRDefault="001614AC">
            <w:pPr>
              <w:keepNext/>
            </w:pPr>
          </w:p>
        </w:tc>
        <w:tc>
          <w:tcPr>
            <w:tcW w:w="129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1C8530BF" w14:textId="77777777" w:rsidR="001614AC" w:rsidRDefault="004468F9">
            <w:pPr>
              <w:keepNext/>
              <w:spacing w:before="55" w:after="30" w:line="288" w:lineRule="auto"/>
              <w:jc w:val="right"/>
            </w:pPr>
            <w:r>
              <w:rPr>
                <w:rFonts w:ascii="Arial" w:eastAsia="Arial" w:hAnsi="Arial" w:cs="Arial"/>
                <w:color w:val="000000"/>
                <w:sz w:val="18"/>
              </w:rPr>
              <w:t>517,503 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3CABBF7E" w14:textId="77777777" w:rsidR="001614AC" w:rsidRDefault="001614AC">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23DE0FC7" w14:textId="77777777" w:rsidR="001614AC" w:rsidRDefault="001614AC">
            <w:pPr>
              <w:keepNext/>
            </w:pPr>
          </w:p>
        </w:tc>
        <w:tc>
          <w:tcPr>
            <w:tcW w:w="129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19101851" w14:textId="77777777" w:rsidR="001614AC" w:rsidRDefault="004468F9">
            <w:pPr>
              <w:keepNext/>
              <w:spacing w:before="55" w:after="30" w:line="288" w:lineRule="auto"/>
              <w:jc w:val="right"/>
            </w:pPr>
            <w:r>
              <w:rPr>
                <w:rFonts w:ascii="Arial" w:eastAsia="Arial" w:hAnsi="Arial" w:cs="Arial"/>
                <w:color w:val="000000"/>
                <w:sz w:val="18"/>
              </w:rPr>
              <w:t>516,634 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198198CB" w14:textId="77777777" w:rsidR="001614AC" w:rsidRDefault="001614AC">
            <w:pPr>
              <w:keepNext/>
              <w:spacing w:before="55" w:after="30" w:line="288" w:lineRule="auto"/>
              <w:jc w:val="right"/>
            </w:pPr>
          </w:p>
        </w:tc>
      </w:tr>
      <w:tr w:rsidR="001614AC" w14:paraId="4629B9F5" w14:textId="77777777">
        <w:trPr>
          <w:cantSplit/>
        </w:trPr>
        <w:tc>
          <w:tcPr>
            <w:tcW w:w="7080" w:type="dxa"/>
            <w:tcBorders>
              <w:top w:val="single" w:sz="8" w:space="0" w:color="E9E9E9"/>
              <w:left w:val="nil"/>
              <w:bottom w:val="nil"/>
              <w:right w:val="nil"/>
            </w:tcBorders>
            <w:tcMar>
              <w:top w:w="0" w:type="dxa"/>
              <w:left w:w="53" w:type="dxa"/>
              <w:bottom w:w="0" w:type="dxa"/>
              <w:right w:w="53" w:type="dxa"/>
            </w:tcMar>
            <w:vAlign w:val="bottom"/>
          </w:tcPr>
          <w:p w14:paraId="00B5E4D1" w14:textId="77777777" w:rsidR="001614AC" w:rsidRDefault="004468F9">
            <w:pPr>
              <w:keepNext/>
              <w:spacing w:before="55" w:after="30" w:line="288" w:lineRule="auto"/>
              <w:ind w:left="240"/>
            </w:pPr>
            <w:r>
              <w:rPr>
                <w:rFonts w:ascii="Arial" w:eastAsia="Arial" w:hAnsi="Arial" w:cs="Arial"/>
                <w:color w:val="000000"/>
                <w:sz w:val="18"/>
              </w:rPr>
              <w:t>Senior Notes due 2027</w:t>
            </w:r>
          </w:p>
        </w:tc>
        <w:tc>
          <w:tcPr>
            <w:tcW w:w="105" w:type="dxa"/>
            <w:tcBorders>
              <w:top w:val="nil"/>
              <w:left w:val="nil"/>
              <w:bottom w:val="nil"/>
              <w:right w:val="nil"/>
            </w:tcBorders>
            <w:tcMar>
              <w:top w:w="0" w:type="dxa"/>
              <w:left w:w="0" w:type="dxa"/>
              <w:bottom w:w="0" w:type="dxa"/>
              <w:right w:w="0" w:type="dxa"/>
            </w:tcMar>
            <w:vAlign w:val="bottom"/>
          </w:tcPr>
          <w:p w14:paraId="5D17D8E0" w14:textId="77777777" w:rsidR="001614AC" w:rsidRDefault="001614AC">
            <w:pPr>
              <w:keepNext/>
            </w:pPr>
          </w:p>
        </w:tc>
        <w:tc>
          <w:tcPr>
            <w:tcW w:w="1295" w:type="dxa"/>
            <w:gridSpan w:val="2"/>
            <w:tcBorders>
              <w:top w:val="single" w:sz="8" w:space="0" w:color="E9E9E9"/>
              <w:left w:val="nil"/>
              <w:bottom w:val="single" w:sz="8" w:space="0" w:color="C7C9C7"/>
              <w:right w:val="nil"/>
            </w:tcBorders>
            <w:tcMar>
              <w:top w:w="0" w:type="dxa"/>
              <w:left w:w="53" w:type="dxa"/>
              <w:bottom w:w="0" w:type="dxa"/>
              <w:right w:w="0" w:type="dxa"/>
            </w:tcMar>
            <w:vAlign w:val="bottom"/>
          </w:tcPr>
          <w:p w14:paraId="76E7F6FE" w14:textId="77777777" w:rsidR="001614AC" w:rsidRDefault="004468F9">
            <w:pPr>
              <w:keepNext/>
              <w:spacing w:before="55" w:after="30" w:line="288" w:lineRule="auto"/>
              <w:jc w:val="right"/>
            </w:pPr>
            <w:r>
              <w:rPr>
                <w:rFonts w:ascii="Arial" w:eastAsia="Arial" w:hAnsi="Arial" w:cs="Arial"/>
                <w:color w:val="000000"/>
                <w:sz w:val="18"/>
              </w:rPr>
              <w:t>443,977 </w:t>
            </w:r>
          </w:p>
        </w:tc>
        <w:tc>
          <w:tcPr>
            <w:tcW w:w="100" w:type="dxa"/>
            <w:tcBorders>
              <w:top w:val="single" w:sz="8" w:space="0" w:color="E9E9E9"/>
              <w:left w:val="nil"/>
              <w:bottom w:val="single" w:sz="8" w:space="0" w:color="C7C9C7"/>
              <w:right w:val="nil"/>
            </w:tcBorders>
            <w:tcMar>
              <w:top w:w="0" w:type="dxa"/>
              <w:left w:w="0" w:type="dxa"/>
              <w:bottom w:w="0" w:type="dxa"/>
              <w:right w:w="15" w:type="dxa"/>
            </w:tcMar>
            <w:vAlign w:val="bottom"/>
          </w:tcPr>
          <w:p w14:paraId="3BFB6FFA" w14:textId="77777777" w:rsidR="001614AC" w:rsidRDefault="001614AC">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38038D7B" w14:textId="77777777" w:rsidR="001614AC" w:rsidRDefault="001614AC">
            <w:pPr>
              <w:keepNext/>
            </w:pPr>
          </w:p>
        </w:tc>
        <w:tc>
          <w:tcPr>
            <w:tcW w:w="1295" w:type="dxa"/>
            <w:gridSpan w:val="2"/>
            <w:tcBorders>
              <w:top w:val="single" w:sz="8" w:space="0" w:color="E9E9E9"/>
              <w:left w:val="nil"/>
              <w:bottom w:val="single" w:sz="8" w:space="0" w:color="C7C9C7"/>
              <w:right w:val="nil"/>
            </w:tcBorders>
            <w:tcMar>
              <w:top w:w="0" w:type="dxa"/>
              <w:left w:w="53" w:type="dxa"/>
              <w:bottom w:w="0" w:type="dxa"/>
              <w:right w:w="0" w:type="dxa"/>
            </w:tcMar>
            <w:vAlign w:val="bottom"/>
          </w:tcPr>
          <w:p w14:paraId="7B578258" w14:textId="77777777" w:rsidR="001614AC" w:rsidRDefault="004468F9">
            <w:pPr>
              <w:keepNext/>
              <w:spacing w:before="55" w:after="30" w:line="288" w:lineRule="auto"/>
              <w:jc w:val="right"/>
            </w:pPr>
            <w:r>
              <w:rPr>
                <w:rFonts w:ascii="Arial" w:eastAsia="Arial" w:hAnsi="Arial" w:cs="Arial"/>
                <w:color w:val="000000"/>
                <w:sz w:val="18"/>
              </w:rPr>
              <w:t>443,528 </w:t>
            </w:r>
          </w:p>
        </w:tc>
        <w:tc>
          <w:tcPr>
            <w:tcW w:w="100" w:type="dxa"/>
            <w:tcBorders>
              <w:top w:val="single" w:sz="8" w:space="0" w:color="E9E9E9"/>
              <w:left w:val="nil"/>
              <w:bottom w:val="single" w:sz="8" w:space="0" w:color="C7C9C7"/>
              <w:right w:val="nil"/>
            </w:tcBorders>
            <w:tcMar>
              <w:top w:w="0" w:type="dxa"/>
              <w:left w:w="0" w:type="dxa"/>
              <w:bottom w:w="0" w:type="dxa"/>
              <w:right w:w="15" w:type="dxa"/>
            </w:tcMar>
            <w:vAlign w:val="bottom"/>
          </w:tcPr>
          <w:p w14:paraId="673061ED" w14:textId="77777777" w:rsidR="001614AC" w:rsidRDefault="001614AC">
            <w:pPr>
              <w:keepNext/>
              <w:spacing w:before="55" w:after="30" w:line="288" w:lineRule="auto"/>
              <w:jc w:val="right"/>
            </w:pPr>
          </w:p>
        </w:tc>
      </w:tr>
      <w:tr w:rsidR="001614AC" w14:paraId="5DB5DACC" w14:textId="77777777">
        <w:trPr>
          <w:cantSplit/>
        </w:trPr>
        <w:tc>
          <w:tcPr>
            <w:tcW w:w="7080" w:type="dxa"/>
            <w:tcBorders>
              <w:top w:val="nil"/>
              <w:left w:val="nil"/>
              <w:bottom w:val="nil"/>
              <w:right w:val="nil"/>
            </w:tcBorders>
            <w:shd w:val="clear" w:color="auto" w:fill="F4F4F4"/>
            <w:tcMar>
              <w:top w:w="0" w:type="dxa"/>
              <w:left w:w="53" w:type="dxa"/>
              <w:bottom w:w="0" w:type="dxa"/>
              <w:right w:w="53" w:type="dxa"/>
            </w:tcMar>
            <w:vAlign w:val="bottom"/>
          </w:tcPr>
          <w:p w14:paraId="49CFC551" w14:textId="77777777" w:rsidR="001614AC" w:rsidRDefault="004468F9">
            <w:pPr>
              <w:keepNext/>
              <w:spacing w:before="75" w:after="30" w:line="288" w:lineRule="auto"/>
              <w:ind w:left="240"/>
            </w:pPr>
            <w:r>
              <w:rPr>
                <w:rFonts w:ascii="Arial" w:eastAsia="Arial" w:hAnsi="Arial" w:cs="Arial"/>
                <w:color w:val="000000"/>
                <w:sz w:val="18"/>
              </w:rPr>
              <w:t xml:space="preserve">Total </w:t>
            </w:r>
            <w:r>
              <w:rPr>
                <w:rFonts w:ascii="Arial" w:eastAsia="Arial" w:hAnsi="Arial" w:cs="Arial"/>
                <w:color w:val="000000"/>
                <w:sz w:val="18"/>
              </w:rPr>
              <w:t>senior notes</w:t>
            </w:r>
          </w:p>
        </w:tc>
        <w:tc>
          <w:tcPr>
            <w:tcW w:w="105" w:type="dxa"/>
            <w:tcBorders>
              <w:top w:val="nil"/>
              <w:left w:val="nil"/>
              <w:bottom w:val="nil"/>
              <w:right w:val="nil"/>
            </w:tcBorders>
            <w:shd w:val="clear" w:color="auto" w:fill="F4F4F4"/>
            <w:tcMar>
              <w:top w:w="0" w:type="dxa"/>
              <w:left w:w="0" w:type="dxa"/>
              <w:bottom w:w="0" w:type="dxa"/>
              <w:right w:w="0" w:type="dxa"/>
            </w:tcMar>
            <w:vAlign w:val="bottom"/>
          </w:tcPr>
          <w:p w14:paraId="42D1A20C" w14:textId="77777777" w:rsidR="001614AC" w:rsidRDefault="001614AC">
            <w:pPr>
              <w:keepNext/>
            </w:pPr>
          </w:p>
        </w:tc>
        <w:tc>
          <w:tcPr>
            <w:tcW w:w="160" w:type="dxa"/>
            <w:tcBorders>
              <w:top w:val="single" w:sz="8" w:space="0" w:color="C7C9C7"/>
              <w:left w:val="nil"/>
              <w:bottom w:val="double" w:sz="8" w:space="0" w:color="C7C9C7"/>
              <w:right w:val="nil"/>
            </w:tcBorders>
            <w:shd w:val="clear" w:color="auto" w:fill="F4F4F4"/>
            <w:tcMar>
              <w:top w:w="0" w:type="dxa"/>
              <w:left w:w="53" w:type="dxa"/>
              <w:bottom w:w="0" w:type="dxa"/>
              <w:right w:w="0" w:type="dxa"/>
            </w:tcMar>
            <w:vAlign w:val="bottom"/>
          </w:tcPr>
          <w:p w14:paraId="7F42763B" w14:textId="77777777" w:rsidR="001614AC" w:rsidRDefault="004468F9">
            <w:pPr>
              <w:keepNext/>
              <w:spacing w:before="55" w:after="30" w:line="288" w:lineRule="auto"/>
            </w:pPr>
            <w:r>
              <w:rPr>
                <w:rFonts w:ascii="Arial" w:eastAsia="Arial" w:hAnsi="Arial" w:cs="Arial"/>
                <w:color w:val="000000"/>
                <w:sz w:val="18"/>
              </w:rPr>
              <w:t>$</w:t>
            </w:r>
          </w:p>
        </w:tc>
        <w:tc>
          <w:tcPr>
            <w:tcW w:w="1135" w:type="dxa"/>
            <w:tcBorders>
              <w:top w:val="single" w:sz="8" w:space="0" w:color="C7C9C7"/>
              <w:left w:val="nil"/>
              <w:bottom w:val="double" w:sz="8" w:space="0" w:color="C7C9C7"/>
              <w:right w:val="nil"/>
            </w:tcBorders>
            <w:shd w:val="clear" w:color="auto" w:fill="F4F4F4"/>
            <w:tcMar>
              <w:top w:w="0" w:type="dxa"/>
              <w:left w:w="0" w:type="dxa"/>
              <w:bottom w:w="0" w:type="dxa"/>
              <w:right w:w="0" w:type="dxa"/>
            </w:tcMar>
            <w:vAlign w:val="bottom"/>
          </w:tcPr>
          <w:p w14:paraId="33BEA767" w14:textId="77777777" w:rsidR="001614AC" w:rsidRDefault="004468F9">
            <w:pPr>
              <w:keepNext/>
              <w:spacing w:before="55" w:after="30" w:line="288" w:lineRule="auto"/>
              <w:jc w:val="right"/>
            </w:pPr>
            <w:r>
              <w:rPr>
                <w:rFonts w:ascii="Arial" w:eastAsia="Arial" w:hAnsi="Arial" w:cs="Arial"/>
                <w:color w:val="000000"/>
                <w:sz w:val="18"/>
              </w:rPr>
              <w:t>1,407,545 </w:t>
            </w:r>
          </w:p>
        </w:tc>
        <w:tc>
          <w:tcPr>
            <w:tcW w:w="100" w:type="dxa"/>
            <w:tcBorders>
              <w:top w:val="single" w:sz="8" w:space="0" w:color="C7C9C7"/>
              <w:left w:val="nil"/>
              <w:bottom w:val="double" w:sz="8" w:space="0" w:color="C7C9C7"/>
              <w:right w:val="nil"/>
            </w:tcBorders>
            <w:shd w:val="clear" w:color="auto" w:fill="F4F4F4"/>
            <w:tcMar>
              <w:top w:w="0" w:type="dxa"/>
              <w:left w:w="0" w:type="dxa"/>
              <w:bottom w:w="0" w:type="dxa"/>
              <w:right w:w="15" w:type="dxa"/>
            </w:tcMar>
            <w:vAlign w:val="bottom"/>
          </w:tcPr>
          <w:p w14:paraId="3428D889" w14:textId="77777777" w:rsidR="001614AC" w:rsidRDefault="001614AC">
            <w:pPr>
              <w:keepNext/>
              <w:spacing w:before="55" w:after="30" w:line="288" w:lineRule="auto"/>
              <w:jc w:val="right"/>
            </w:pPr>
          </w:p>
        </w:tc>
        <w:tc>
          <w:tcPr>
            <w:tcW w:w="105" w:type="dxa"/>
            <w:tcBorders>
              <w:top w:val="nil"/>
              <w:left w:val="nil"/>
              <w:bottom w:val="nil"/>
              <w:right w:val="nil"/>
            </w:tcBorders>
            <w:shd w:val="clear" w:color="auto" w:fill="F4F4F4"/>
            <w:tcMar>
              <w:top w:w="0" w:type="dxa"/>
              <w:left w:w="0" w:type="dxa"/>
              <w:bottom w:w="0" w:type="dxa"/>
              <w:right w:w="0" w:type="dxa"/>
            </w:tcMar>
            <w:vAlign w:val="bottom"/>
          </w:tcPr>
          <w:p w14:paraId="1E07C980" w14:textId="77777777" w:rsidR="001614AC" w:rsidRDefault="001614AC">
            <w:pPr>
              <w:keepNext/>
            </w:pPr>
          </w:p>
        </w:tc>
        <w:tc>
          <w:tcPr>
            <w:tcW w:w="160" w:type="dxa"/>
            <w:tcBorders>
              <w:top w:val="single" w:sz="8" w:space="0" w:color="C7C9C7"/>
              <w:left w:val="nil"/>
              <w:bottom w:val="double" w:sz="8" w:space="0" w:color="C7C9C7"/>
              <w:right w:val="nil"/>
            </w:tcBorders>
            <w:shd w:val="clear" w:color="auto" w:fill="F4F4F4"/>
            <w:tcMar>
              <w:top w:w="0" w:type="dxa"/>
              <w:left w:w="53" w:type="dxa"/>
              <w:bottom w:w="0" w:type="dxa"/>
              <w:right w:w="0" w:type="dxa"/>
            </w:tcMar>
            <w:vAlign w:val="bottom"/>
          </w:tcPr>
          <w:p w14:paraId="2BCA0326" w14:textId="77777777" w:rsidR="001614AC" w:rsidRDefault="004468F9">
            <w:pPr>
              <w:keepNext/>
              <w:spacing w:before="55" w:after="30" w:line="288" w:lineRule="auto"/>
            </w:pPr>
            <w:r>
              <w:rPr>
                <w:rFonts w:ascii="Arial" w:eastAsia="Arial" w:hAnsi="Arial" w:cs="Arial"/>
                <w:color w:val="000000"/>
                <w:sz w:val="18"/>
              </w:rPr>
              <w:t>$</w:t>
            </w:r>
          </w:p>
        </w:tc>
        <w:tc>
          <w:tcPr>
            <w:tcW w:w="1135" w:type="dxa"/>
            <w:tcBorders>
              <w:top w:val="single" w:sz="8" w:space="0" w:color="C7C9C7"/>
              <w:left w:val="nil"/>
              <w:bottom w:val="double" w:sz="8" w:space="0" w:color="C7C9C7"/>
              <w:right w:val="nil"/>
            </w:tcBorders>
            <w:shd w:val="clear" w:color="auto" w:fill="F4F4F4"/>
            <w:tcMar>
              <w:top w:w="0" w:type="dxa"/>
              <w:left w:w="0" w:type="dxa"/>
              <w:bottom w:w="0" w:type="dxa"/>
              <w:right w:w="0" w:type="dxa"/>
            </w:tcMar>
            <w:vAlign w:val="bottom"/>
          </w:tcPr>
          <w:p w14:paraId="7FE7A5DD" w14:textId="77777777" w:rsidR="001614AC" w:rsidRDefault="004468F9">
            <w:pPr>
              <w:keepNext/>
              <w:spacing w:before="55" w:after="30" w:line="288" w:lineRule="auto"/>
              <w:jc w:val="right"/>
            </w:pPr>
            <w:r>
              <w:rPr>
                <w:rFonts w:ascii="Arial" w:eastAsia="Arial" w:hAnsi="Arial" w:cs="Arial"/>
                <w:color w:val="000000"/>
                <w:sz w:val="18"/>
              </w:rPr>
              <w:t>1,405,674 </w:t>
            </w:r>
          </w:p>
        </w:tc>
        <w:tc>
          <w:tcPr>
            <w:tcW w:w="100" w:type="dxa"/>
            <w:tcBorders>
              <w:top w:val="single" w:sz="8" w:space="0" w:color="C7C9C7"/>
              <w:left w:val="nil"/>
              <w:bottom w:val="double" w:sz="8" w:space="0" w:color="C7C9C7"/>
              <w:right w:val="nil"/>
            </w:tcBorders>
            <w:shd w:val="clear" w:color="auto" w:fill="F4F4F4"/>
            <w:tcMar>
              <w:top w:w="0" w:type="dxa"/>
              <w:left w:w="0" w:type="dxa"/>
              <w:bottom w:w="0" w:type="dxa"/>
              <w:right w:w="15" w:type="dxa"/>
            </w:tcMar>
            <w:vAlign w:val="bottom"/>
          </w:tcPr>
          <w:p w14:paraId="74D3000D" w14:textId="77777777" w:rsidR="001614AC" w:rsidRDefault="001614AC">
            <w:pPr>
              <w:keepNext/>
              <w:spacing w:before="55" w:after="30" w:line="288" w:lineRule="auto"/>
              <w:jc w:val="right"/>
            </w:pPr>
          </w:p>
        </w:tc>
      </w:tr>
      <w:tr w:rsidR="001614AC" w14:paraId="316BA24E" w14:textId="77777777">
        <w:trPr>
          <w:cantSplit/>
        </w:trPr>
        <w:tc>
          <w:tcPr>
            <w:tcW w:w="7080" w:type="dxa"/>
            <w:tcBorders>
              <w:top w:val="nil"/>
              <w:left w:val="nil"/>
              <w:bottom w:val="single" w:sz="8" w:space="0" w:color="E9E9E9"/>
              <w:right w:val="nil"/>
            </w:tcBorders>
            <w:tcMar>
              <w:top w:w="0" w:type="dxa"/>
              <w:left w:w="53" w:type="dxa"/>
              <w:bottom w:w="0" w:type="dxa"/>
              <w:right w:w="53" w:type="dxa"/>
            </w:tcMar>
            <w:vAlign w:val="bottom"/>
          </w:tcPr>
          <w:p w14:paraId="2497A97D" w14:textId="77777777" w:rsidR="001614AC" w:rsidRDefault="004468F9">
            <w:pPr>
              <w:keepNext/>
              <w:spacing w:before="75" w:after="30" w:line="288" w:lineRule="auto"/>
            </w:pPr>
            <w:r>
              <w:rPr>
                <w:rFonts w:ascii="Arial" w:eastAsia="Arial" w:hAnsi="Arial" w:cs="Arial"/>
                <w:color w:val="000000"/>
                <w:sz w:val="18"/>
              </w:rPr>
              <w:t>FHLB advances</w:t>
            </w:r>
          </w:p>
        </w:tc>
        <w:tc>
          <w:tcPr>
            <w:tcW w:w="105" w:type="dxa"/>
            <w:tcBorders>
              <w:top w:val="nil"/>
              <w:left w:val="nil"/>
              <w:bottom w:val="nil"/>
              <w:right w:val="nil"/>
            </w:tcBorders>
            <w:tcMar>
              <w:top w:w="0" w:type="dxa"/>
              <w:left w:w="0" w:type="dxa"/>
              <w:bottom w:w="0" w:type="dxa"/>
              <w:right w:w="0" w:type="dxa"/>
            </w:tcMar>
            <w:vAlign w:val="bottom"/>
          </w:tcPr>
          <w:p w14:paraId="694DF108" w14:textId="77777777" w:rsidR="001614AC" w:rsidRDefault="001614AC">
            <w:pPr>
              <w:keepNext/>
            </w:pPr>
          </w:p>
        </w:tc>
        <w:tc>
          <w:tcPr>
            <w:tcW w:w="1395" w:type="dxa"/>
            <w:gridSpan w:val="3"/>
            <w:tcBorders>
              <w:top w:val="double" w:sz="8" w:space="0" w:color="C7C9C7"/>
              <w:left w:val="nil"/>
              <w:bottom w:val="single" w:sz="8" w:space="0" w:color="E9E9E9"/>
              <w:right w:val="nil"/>
            </w:tcBorders>
            <w:tcMar>
              <w:top w:w="0" w:type="dxa"/>
              <w:left w:w="0" w:type="dxa"/>
              <w:bottom w:w="0" w:type="dxa"/>
              <w:right w:w="0" w:type="dxa"/>
            </w:tcMar>
            <w:vAlign w:val="bottom"/>
          </w:tcPr>
          <w:p w14:paraId="6E24AAD4" w14:textId="77777777" w:rsidR="001614AC" w:rsidRDefault="001614AC">
            <w:pPr>
              <w:keepNext/>
            </w:pPr>
          </w:p>
        </w:tc>
        <w:tc>
          <w:tcPr>
            <w:tcW w:w="105" w:type="dxa"/>
            <w:tcBorders>
              <w:top w:val="nil"/>
              <w:left w:val="nil"/>
              <w:bottom w:val="nil"/>
              <w:right w:val="nil"/>
            </w:tcBorders>
            <w:tcMar>
              <w:top w:w="0" w:type="dxa"/>
              <w:left w:w="0" w:type="dxa"/>
              <w:bottom w:w="0" w:type="dxa"/>
              <w:right w:w="0" w:type="dxa"/>
            </w:tcMar>
            <w:vAlign w:val="bottom"/>
          </w:tcPr>
          <w:p w14:paraId="0FBA6893" w14:textId="77777777" w:rsidR="001614AC" w:rsidRDefault="001614AC">
            <w:pPr>
              <w:keepNext/>
            </w:pPr>
          </w:p>
        </w:tc>
        <w:tc>
          <w:tcPr>
            <w:tcW w:w="1395" w:type="dxa"/>
            <w:gridSpan w:val="3"/>
            <w:tcBorders>
              <w:top w:val="double" w:sz="8" w:space="0" w:color="C7C9C7"/>
              <w:left w:val="nil"/>
              <w:bottom w:val="single" w:sz="8" w:space="0" w:color="E9E9E9"/>
              <w:right w:val="nil"/>
            </w:tcBorders>
            <w:tcMar>
              <w:top w:w="0" w:type="dxa"/>
              <w:left w:w="0" w:type="dxa"/>
              <w:bottom w:w="0" w:type="dxa"/>
              <w:right w:w="0" w:type="dxa"/>
            </w:tcMar>
            <w:vAlign w:val="bottom"/>
          </w:tcPr>
          <w:p w14:paraId="7D4A960E" w14:textId="77777777" w:rsidR="001614AC" w:rsidRDefault="001614AC">
            <w:pPr>
              <w:keepNext/>
            </w:pPr>
          </w:p>
        </w:tc>
      </w:tr>
      <w:tr w:rsidR="001614AC" w14:paraId="46834B1E" w14:textId="77777777">
        <w:trPr>
          <w:cantSplit/>
        </w:trPr>
        <w:tc>
          <w:tcPr>
            <w:tcW w:w="7080" w:type="dxa"/>
            <w:tcBorders>
              <w:top w:val="single" w:sz="8" w:space="0" w:color="E9E9E9"/>
              <w:left w:val="nil"/>
              <w:bottom w:val="single" w:sz="8" w:space="0" w:color="E9E9E9"/>
              <w:right w:val="nil"/>
            </w:tcBorders>
            <w:tcMar>
              <w:top w:w="0" w:type="dxa"/>
              <w:left w:w="53" w:type="dxa"/>
              <w:bottom w:w="0" w:type="dxa"/>
              <w:right w:w="53" w:type="dxa"/>
            </w:tcMar>
            <w:vAlign w:val="bottom"/>
          </w:tcPr>
          <w:p w14:paraId="093E50B3" w14:textId="77777777" w:rsidR="001614AC" w:rsidRDefault="004468F9">
            <w:pPr>
              <w:keepNext/>
              <w:spacing w:before="55" w:after="30" w:line="288" w:lineRule="auto"/>
              <w:ind w:left="240"/>
            </w:pPr>
            <w:r>
              <w:rPr>
                <w:rFonts w:ascii="Arial" w:eastAsia="Arial" w:hAnsi="Arial" w:cs="Arial"/>
                <w:color w:val="000000"/>
                <w:sz w:val="18"/>
              </w:rPr>
              <w:t>FHLB advances due 2021</w:t>
            </w:r>
          </w:p>
        </w:tc>
        <w:tc>
          <w:tcPr>
            <w:tcW w:w="105" w:type="dxa"/>
            <w:tcBorders>
              <w:top w:val="nil"/>
              <w:left w:val="nil"/>
              <w:bottom w:val="nil"/>
              <w:right w:val="nil"/>
            </w:tcBorders>
            <w:tcMar>
              <w:top w:w="0" w:type="dxa"/>
              <w:left w:w="0" w:type="dxa"/>
              <w:bottom w:w="0" w:type="dxa"/>
              <w:right w:w="0" w:type="dxa"/>
            </w:tcMar>
            <w:vAlign w:val="bottom"/>
          </w:tcPr>
          <w:p w14:paraId="36AA85A5" w14:textId="77777777" w:rsidR="001614AC" w:rsidRDefault="001614AC">
            <w:pPr>
              <w:keepNext/>
            </w:pPr>
          </w:p>
        </w:tc>
        <w:tc>
          <w:tcPr>
            <w:tcW w:w="160" w:type="dxa"/>
            <w:tcBorders>
              <w:top w:val="single" w:sz="8" w:space="0" w:color="E9E9E9"/>
              <w:left w:val="nil"/>
              <w:bottom w:val="single" w:sz="8" w:space="0" w:color="E9E9E9"/>
              <w:right w:val="nil"/>
            </w:tcBorders>
            <w:tcMar>
              <w:top w:w="0" w:type="dxa"/>
              <w:left w:w="53" w:type="dxa"/>
              <w:bottom w:w="0" w:type="dxa"/>
              <w:right w:w="0" w:type="dxa"/>
            </w:tcMar>
            <w:vAlign w:val="bottom"/>
          </w:tcPr>
          <w:p w14:paraId="46D5E1A2" w14:textId="77777777" w:rsidR="001614AC" w:rsidRDefault="004468F9">
            <w:pPr>
              <w:keepNext/>
              <w:spacing w:before="55" w:after="30" w:line="288" w:lineRule="auto"/>
            </w:pPr>
            <w:r>
              <w:rPr>
                <w:rFonts w:ascii="Arial" w:eastAsia="Arial" w:hAnsi="Arial" w:cs="Arial"/>
                <w:color w:val="000000"/>
                <w:sz w:val="18"/>
              </w:rPr>
              <w:t>$</w:t>
            </w:r>
          </w:p>
        </w:tc>
        <w:tc>
          <w:tcPr>
            <w:tcW w:w="1135" w:type="dxa"/>
            <w:tcBorders>
              <w:top w:val="single" w:sz="8" w:space="0" w:color="E9E9E9"/>
              <w:left w:val="nil"/>
              <w:bottom w:val="single" w:sz="8" w:space="0" w:color="E9E9E9"/>
              <w:right w:val="nil"/>
            </w:tcBorders>
            <w:tcMar>
              <w:top w:w="0" w:type="dxa"/>
              <w:left w:w="0" w:type="dxa"/>
              <w:bottom w:w="0" w:type="dxa"/>
              <w:right w:w="0" w:type="dxa"/>
            </w:tcMar>
            <w:vAlign w:val="bottom"/>
          </w:tcPr>
          <w:p w14:paraId="163DE3C3" w14:textId="77777777" w:rsidR="001614AC" w:rsidRDefault="004468F9">
            <w:pPr>
              <w:keepNext/>
              <w:spacing w:before="55" w:after="30" w:line="288" w:lineRule="auto"/>
              <w:jc w:val="right"/>
            </w:pPr>
            <w:r>
              <w:rPr>
                <w:rFonts w:ascii="Arial" w:eastAsia="Arial" w:hAnsi="Arial" w:cs="Arial"/>
                <w:color w:val="000000"/>
                <w:sz w:val="18"/>
              </w:rPr>
              <w:t>13,000 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5F57767F" w14:textId="77777777" w:rsidR="001614AC" w:rsidRDefault="001614AC">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3969CAFE" w14:textId="77777777" w:rsidR="001614AC" w:rsidRDefault="001614AC">
            <w:pPr>
              <w:keepNext/>
            </w:pPr>
          </w:p>
        </w:tc>
        <w:tc>
          <w:tcPr>
            <w:tcW w:w="160" w:type="dxa"/>
            <w:tcBorders>
              <w:top w:val="single" w:sz="8" w:space="0" w:color="E9E9E9"/>
              <w:left w:val="nil"/>
              <w:bottom w:val="single" w:sz="8" w:space="0" w:color="E9E9E9"/>
              <w:right w:val="nil"/>
            </w:tcBorders>
            <w:tcMar>
              <w:top w:w="0" w:type="dxa"/>
              <w:left w:w="53" w:type="dxa"/>
              <w:bottom w:w="0" w:type="dxa"/>
              <w:right w:w="0" w:type="dxa"/>
            </w:tcMar>
            <w:vAlign w:val="bottom"/>
          </w:tcPr>
          <w:p w14:paraId="2A9D387C" w14:textId="77777777" w:rsidR="001614AC" w:rsidRDefault="004468F9">
            <w:pPr>
              <w:keepNext/>
              <w:spacing w:before="55" w:after="30" w:line="288" w:lineRule="auto"/>
            </w:pPr>
            <w:r>
              <w:rPr>
                <w:rFonts w:ascii="Arial" w:eastAsia="Arial" w:hAnsi="Arial" w:cs="Arial"/>
                <w:color w:val="000000"/>
                <w:sz w:val="18"/>
              </w:rPr>
              <w:t>$</w:t>
            </w:r>
          </w:p>
        </w:tc>
        <w:tc>
          <w:tcPr>
            <w:tcW w:w="1135" w:type="dxa"/>
            <w:tcBorders>
              <w:top w:val="single" w:sz="8" w:space="0" w:color="E9E9E9"/>
              <w:left w:val="nil"/>
              <w:bottom w:val="single" w:sz="8" w:space="0" w:color="E9E9E9"/>
              <w:right w:val="nil"/>
            </w:tcBorders>
            <w:tcMar>
              <w:top w:w="0" w:type="dxa"/>
              <w:left w:w="0" w:type="dxa"/>
              <w:bottom w:w="0" w:type="dxa"/>
              <w:right w:w="0" w:type="dxa"/>
            </w:tcMar>
            <w:vAlign w:val="bottom"/>
          </w:tcPr>
          <w:p w14:paraId="6C8CA817" w14:textId="77777777" w:rsidR="001614AC" w:rsidRDefault="004468F9">
            <w:pPr>
              <w:keepNext/>
              <w:spacing w:before="55" w:after="30" w:line="288" w:lineRule="auto"/>
              <w:jc w:val="right"/>
            </w:pPr>
            <w:r>
              <w:rPr>
                <w:rFonts w:ascii="Arial" w:eastAsia="Arial" w:hAnsi="Arial" w:cs="Arial"/>
                <w:color w:val="000000"/>
                <w:sz w:val="18"/>
              </w:rPr>
              <w:t>67,500 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6B19594A" w14:textId="77777777" w:rsidR="001614AC" w:rsidRDefault="001614AC">
            <w:pPr>
              <w:keepNext/>
              <w:spacing w:before="55" w:after="30" w:line="288" w:lineRule="auto"/>
              <w:jc w:val="right"/>
            </w:pPr>
          </w:p>
        </w:tc>
      </w:tr>
      <w:tr w:rsidR="001614AC" w14:paraId="52EF0423" w14:textId="77777777">
        <w:trPr>
          <w:cantSplit/>
        </w:trPr>
        <w:tc>
          <w:tcPr>
            <w:tcW w:w="7080" w:type="dxa"/>
            <w:tcBorders>
              <w:top w:val="single" w:sz="8" w:space="0" w:color="E9E9E9"/>
              <w:left w:val="nil"/>
              <w:bottom w:val="single" w:sz="8" w:space="0" w:color="E9E9E9"/>
              <w:right w:val="nil"/>
            </w:tcBorders>
            <w:tcMar>
              <w:top w:w="0" w:type="dxa"/>
              <w:left w:w="53" w:type="dxa"/>
              <w:bottom w:w="0" w:type="dxa"/>
              <w:right w:w="53" w:type="dxa"/>
            </w:tcMar>
            <w:vAlign w:val="bottom"/>
          </w:tcPr>
          <w:p w14:paraId="35E592A5" w14:textId="77777777" w:rsidR="001614AC" w:rsidRDefault="004468F9">
            <w:pPr>
              <w:keepNext/>
              <w:spacing w:before="55" w:after="30" w:line="288" w:lineRule="auto"/>
              <w:ind w:left="240"/>
            </w:pPr>
            <w:r>
              <w:rPr>
                <w:rFonts w:ascii="Arial" w:eastAsia="Arial" w:hAnsi="Arial" w:cs="Arial"/>
                <w:color w:val="000000"/>
                <w:sz w:val="18"/>
              </w:rPr>
              <w:t>FHLB</w:t>
            </w:r>
            <w:r>
              <w:rPr>
                <w:rFonts w:ascii="Arial" w:eastAsia="Arial" w:hAnsi="Arial" w:cs="Arial"/>
                <w:color w:val="000000"/>
                <w:sz w:val="18"/>
              </w:rPr>
              <w:t xml:space="preserve"> advances due 2022</w:t>
            </w:r>
          </w:p>
        </w:tc>
        <w:tc>
          <w:tcPr>
            <w:tcW w:w="105" w:type="dxa"/>
            <w:tcBorders>
              <w:top w:val="nil"/>
              <w:left w:val="nil"/>
              <w:bottom w:val="nil"/>
              <w:right w:val="nil"/>
            </w:tcBorders>
            <w:tcMar>
              <w:top w:w="0" w:type="dxa"/>
              <w:left w:w="0" w:type="dxa"/>
              <w:bottom w:w="0" w:type="dxa"/>
              <w:right w:w="0" w:type="dxa"/>
            </w:tcMar>
            <w:vAlign w:val="bottom"/>
          </w:tcPr>
          <w:p w14:paraId="43378820" w14:textId="77777777" w:rsidR="001614AC" w:rsidRDefault="001614AC">
            <w:pPr>
              <w:keepNext/>
            </w:pPr>
          </w:p>
        </w:tc>
        <w:tc>
          <w:tcPr>
            <w:tcW w:w="129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446E18B4" w14:textId="77777777" w:rsidR="001614AC" w:rsidRDefault="004468F9">
            <w:pPr>
              <w:keepNext/>
              <w:spacing w:before="55" w:after="30" w:line="288" w:lineRule="auto"/>
              <w:jc w:val="right"/>
            </w:pPr>
            <w:r>
              <w:rPr>
                <w:rFonts w:ascii="Arial" w:eastAsia="Arial" w:hAnsi="Arial" w:cs="Arial"/>
                <w:color w:val="000000"/>
                <w:sz w:val="18"/>
              </w:rPr>
              <w:t>61,050 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4EB68C81" w14:textId="77777777" w:rsidR="001614AC" w:rsidRDefault="001614AC">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4C3905E8" w14:textId="77777777" w:rsidR="001614AC" w:rsidRDefault="001614AC">
            <w:pPr>
              <w:keepNext/>
            </w:pPr>
          </w:p>
        </w:tc>
        <w:tc>
          <w:tcPr>
            <w:tcW w:w="129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42A47557" w14:textId="77777777" w:rsidR="001614AC" w:rsidRDefault="004468F9">
            <w:pPr>
              <w:keepNext/>
              <w:spacing w:before="55" w:after="30" w:line="288" w:lineRule="auto"/>
              <w:jc w:val="right"/>
            </w:pPr>
            <w:r>
              <w:rPr>
                <w:rFonts w:ascii="Arial" w:eastAsia="Arial" w:hAnsi="Arial" w:cs="Arial"/>
                <w:color w:val="000000"/>
                <w:sz w:val="18"/>
              </w:rPr>
              <w:t>61,050 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3A365F33" w14:textId="77777777" w:rsidR="001614AC" w:rsidRDefault="001614AC">
            <w:pPr>
              <w:keepNext/>
              <w:spacing w:before="55" w:after="30" w:line="288" w:lineRule="auto"/>
              <w:jc w:val="right"/>
            </w:pPr>
          </w:p>
        </w:tc>
      </w:tr>
      <w:tr w:rsidR="001614AC" w14:paraId="20A2E6CE" w14:textId="77777777">
        <w:trPr>
          <w:cantSplit/>
        </w:trPr>
        <w:tc>
          <w:tcPr>
            <w:tcW w:w="7080" w:type="dxa"/>
            <w:tcBorders>
              <w:top w:val="single" w:sz="8" w:space="0" w:color="E9E9E9"/>
              <w:left w:val="nil"/>
              <w:bottom w:val="single" w:sz="8" w:space="0" w:color="E9E9E9"/>
              <w:right w:val="nil"/>
            </w:tcBorders>
            <w:tcMar>
              <w:top w:w="0" w:type="dxa"/>
              <w:left w:w="53" w:type="dxa"/>
              <w:bottom w:w="0" w:type="dxa"/>
              <w:right w:w="53" w:type="dxa"/>
            </w:tcMar>
            <w:vAlign w:val="bottom"/>
          </w:tcPr>
          <w:p w14:paraId="367EA009" w14:textId="77777777" w:rsidR="001614AC" w:rsidRDefault="004468F9">
            <w:pPr>
              <w:keepNext/>
              <w:spacing w:before="55" w:after="30" w:line="288" w:lineRule="auto"/>
              <w:ind w:left="240"/>
            </w:pPr>
            <w:r>
              <w:rPr>
                <w:rFonts w:ascii="Arial" w:eastAsia="Arial" w:hAnsi="Arial" w:cs="Arial"/>
                <w:color w:val="000000"/>
                <w:sz w:val="18"/>
              </w:rPr>
              <w:t>FHLB advances due 2023</w:t>
            </w:r>
          </w:p>
        </w:tc>
        <w:tc>
          <w:tcPr>
            <w:tcW w:w="105" w:type="dxa"/>
            <w:tcBorders>
              <w:top w:val="nil"/>
              <w:left w:val="nil"/>
              <w:bottom w:val="nil"/>
              <w:right w:val="nil"/>
            </w:tcBorders>
            <w:tcMar>
              <w:top w:w="0" w:type="dxa"/>
              <w:left w:w="0" w:type="dxa"/>
              <w:bottom w:w="0" w:type="dxa"/>
              <w:right w:w="0" w:type="dxa"/>
            </w:tcMar>
            <w:vAlign w:val="bottom"/>
          </w:tcPr>
          <w:p w14:paraId="32CE53A2" w14:textId="77777777" w:rsidR="001614AC" w:rsidRDefault="001614AC">
            <w:pPr>
              <w:keepNext/>
            </w:pPr>
          </w:p>
        </w:tc>
        <w:tc>
          <w:tcPr>
            <w:tcW w:w="129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306B49F1" w14:textId="77777777" w:rsidR="001614AC" w:rsidRDefault="004468F9">
            <w:pPr>
              <w:keepNext/>
              <w:spacing w:before="55" w:after="30" w:line="288" w:lineRule="auto"/>
              <w:jc w:val="right"/>
            </w:pPr>
            <w:r>
              <w:rPr>
                <w:rFonts w:ascii="Arial" w:eastAsia="Arial" w:hAnsi="Arial" w:cs="Arial"/>
                <w:color w:val="000000"/>
                <w:sz w:val="18"/>
              </w:rPr>
              <w:t>52,995 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1F005F18" w14:textId="77777777" w:rsidR="001614AC" w:rsidRDefault="001614AC">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6C4CEC90" w14:textId="77777777" w:rsidR="001614AC" w:rsidRDefault="001614AC">
            <w:pPr>
              <w:keepNext/>
            </w:pPr>
          </w:p>
        </w:tc>
        <w:tc>
          <w:tcPr>
            <w:tcW w:w="129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5E1C5023" w14:textId="77777777" w:rsidR="001614AC" w:rsidRDefault="004468F9">
            <w:pPr>
              <w:keepNext/>
              <w:spacing w:before="55" w:after="30" w:line="288" w:lineRule="auto"/>
              <w:jc w:val="right"/>
            </w:pPr>
            <w:r>
              <w:rPr>
                <w:rFonts w:ascii="Arial" w:eastAsia="Arial" w:hAnsi="Arial" w:cs="Arial"/>
                <w:color w:val="000000"/>
                <w:sz w:val="18"/>
              </w:rPr>
              <w:t>27,995 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7F3B4A6B" w14:textId="77777777" w:rsidR="001614AC" w:rsidRDefault="001614AC">
            <w:pPr>
              <w:keepNext/>
              <w:spacing w:before="55" w:after="30" w:line="288" w:lineRule="auto"/>
              <w:jc w:val="right"/>
            </w:pPr>
          </w:p>
        </w:tc>
      </w:tr>
      <w:tr w:rsidR="001614AC" w14:paraId="2184AA1D" w14:textId="77777777">
        <w:trPr>
          <w:cantSplit/>
        </w:trPr>
        <w:tc>
          <w:tcPr>
            <w:tcW w:w="7080" w:type="dxa"/>
            <w:tcBorders>
              <w:top w:val="single" w:sz="8" w:space="0" w:color="E9E9E9"/>
              <w:left w:val="nil"/>
              <w:bottom w:val="single" w:sz="8" w:space="0" w:color="E9E9E9"/>
              <w:right w:val="nil"/>
            </w:tcBorders>
            <w:tcMar>
              <w:top w:w="0" w:type="dxa"/>
              <w:left w:w="53" w:type="dxa"/>
              <w:bottom w:w="0" w:type="dxa"/>
              <w:right w:w="53" w:type="dxa"/>
            </w:tcMar>
            <w:vAlign w:val="bottom"/>
          </w:tcPr>
          <w:p w14:paraId="247D3119" w14:textId="77777777" w:rsidR="001614AC" w:rsidRDefault="004468F9">
            <w:pPr>
              <w:keepNext/>
              <w:spacing w:before="55" w:after="30" w:line="288" w:lineRule="auto"/>
              <w:ind w:left="240"/>
            </w:pPr>
            <w:r>
              <w:rPr>
                <w:rFonts w:ascii="Arial" w:eastAsia="Arial" w:hAnsi="Arial" w:cs="Arial"/>
                <w:color w:val="000000"/>
                <w:sz w:val="18"/>
              </w:rPr>
              <w:t>FHLB advances due 2024</w:t>
            </w:r>
          </w:p>
        </w:tc>
        <w:tc>
          <w:tcPr>
            <w:tcW w:w="105" w:type="dxa"/>
            <w:tcBorders>
              <w:top w:val="nil"/>
              <w:left w:val="nil"/>
              <w:bottom w:val="nil"/>
              <w:right w:val="nil"/>
            </w:tcBorders>
            <w:tcMar>
              <w:top w:w="0" w:type="dxa"/>
              <w:left w:w="0" w:type="dxa"/>
              <w:bottom w:w="0" w:type="dxa"/>
              <w:right w:w="0" w:type="dxa"/>
            </w:tcMar>
            <w:vAlign w:val="bottom"/>
          </w:tcPr>
          <w:p w14:paraId="71D151C3" w14:textId="77777777" w:rsidR="001614AC" w:rsidRDefault="001614AC">
            <w:pPr>
              <w:keepNext/>
            </w:pPr>
          </w:p>
        </w:tc>
        <w:tc>
          <w:tcPr>
            <w:tcW w:w="129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063AA333" w14:textId="77777777" w:rsidR="001614AC" w:rsidRDefault="004468F9">
            <w:pPr>
              <w:keepNext/>
              <w:spacing w:before="55" w:after="30" w:line="288" w:lineRule="auto"/>
              <w:jc w:val="right"/>
            </w:pPr>
            <w:r>
              <w:rPr>
                <w:rFonts w:ascii="Arial" w:eastAsia="Arial" w:hAnsi="Arial" w:cs="Arial"/>
                <w:color w:val="000000"/>
                <w:sz w:val="18"/>
              </w:rPr>
              <w:t>13,954 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12938AA9" w14:textId="77777777" w:rsidR="001614AC" w:rsidRDefault="001614AC">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413B3289" w14:textId="77777777" w:rsidR="001614AC" w:rsidRDefault="001614AC">
            <w:pPr>
              <w:keepNext/>
            </w:pPr>
          </w:p>
        </w:tc>
        <w:tc>
          <w:tcPr>
            <w:tcW w:w="129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170E9401" w14:textId="77777777" w:rsidR="001614AC" w:rsidRDefault="004468F9">
            <w:pPr>
              <w:keepNext/>
              <w:spacing w:before="55" w:after="30" w:line="288" w:lineRule="auto"/>
              <w:jc w:val="right"/>
            </w:pPr>
            <w:r>
              <w:rPr>
                <w:rFonts w:ascii="Arial" w:eastAsia="Arial" w:hAnsi="Arial" w:cs="Arial"/>
                <w:color w:val="000000"/>
                <w:sz w:val="18"/>
              </w:rPr>
              <w:t>9,954 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2550A2DC" w14:textId="77777777" w:rsidR="001614AC" w:rsidRDefault="001614AC">
            <w:pPr>
              <w:keepNext/>
              <w:spacing w:before="55" w:after="30" w:line="288" w:lineRule="auto"/>
              <w:jc w:val="right"/>
            </w:pPr>
          </w:p>
        </w:tc>
      </w:tr>
      <w:tr w:rsidR="001614AC" w14:paraId="65E33F4E" w14:textId="77777777">
        <w:trPr>
          <w:cantSplit/>
        </w:trPr>
        <w:tc>
          <w:tcPr>
            <w:tcW w:w="7080" w:type="dxa"/>
            <w:tcBorders>
              <w:top w:val="single" w:sz="8" w:space="0" w:color="E9E9E9"/>
              <w:left w:val="nil"/>
              <w:bottom w:val="single" w:sz="8" w:space="0" w:color="E9E9E9"/>
              <w:right w:val="nil"/>
            </w:tcBorders>
            <w:tcMar>
              <w:top w:w="0" w:type="dxa"/>
              <w:left w:w="53" w:type="dxa"/>
              <w:bottom w:w="0" w:type="dxa"/>
              <w:right w:w="53" w:type="dxa"/>
            </w:tcMar>
            <w:vAlign w:val="bottom"/>
          </w:tcPr>
          <w:p w14:paraId="797EEC5B" w14:textId="77777777" w:rsidR="001614AC" w:rsidRDefault="004468F9">
            <w:pPr>
              <w:keepNext/>
              <w:spacing w:before="55" w:after="30" w:line="288" w:lineRule="auto"/>
              <w:ind w:left="240"/>
            </w:pPr>
            <w:r>
              <w:rPr>
                <w:rFonts w:ascii="Arial" w:eastAsia="Arial" w:hAnsi="Arial" w:cs="Arial"/>
                <w:color w:val="000000"/>
                <w:sz w:val="18"/>
              </w:rPr>
              <w:t>FHLB advances due 2025</w:t>
            </w:r>
          </w:p>
        </w:tc>
        <w:tc>
          <w:tcPr>
            <w:tcW w:w="105" w:type="dxa"/>
            <w:tcBorders>
              <w:top w:val="nil"/>
              <w:left w:val="nil"/>
              <w:bottom w:val="nil"/>
              <w:right w:val="nil"/>
            </w:tcBorders>
            <w:tcMar>
              <w:top w:w="0" w:type="dxa"/>
              <w:left w:w="0" w:type="dxa"/>
              <w:bottom w:w="0" w:type="dxa"/>
              <w:right w:w="0" w:type="dxa"/>
            </w:tcMar>
            <w:vAlign w:val="bottom"/>
          </w:tcPr>
          <w:p w14:paraId="153E4663" w14:textId="77777777" w:rsidR="001614AC" w:rsidRDefault="001614AC">
            <w:pPr>
              <w:keepNext/>
            </w:pPr>
          </w:p>
        </w:tc>
        <w:tc>
          <w:tcPr>
            <w:tcW w:w="129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111F0A07" w14:textId="77777777" w:rsidR="001614AC" w:rsidRDefault="004468F9">
            <w:pPr>
              <w:keepNext/>
              <w:spacing w:before="55" w:after="30" w:line="288" w:lineRule="auto"/>
              <w:jc w:val="right"/>
            </w:pPr>
            <w:r>
              <w:rPr>
                <w:rFonts w:ascii="Arial" w:eastAsia="Arial" w:hAnsi="Arial" w:cs="Arial"/>
                <w:color w:val="000000"/>
                <w:sz w:val="18"/>
              </w:rPr>
              <w:t>9,984 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6ED05BA6" w14:textId="77777777" w:rsidR="001614AC" w:rsidRDefault="001614AC">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4A58D67B" w14:textId="77777777" w:rsidR="001614AC" w:rsidRDefault="001614AC">
            <w:pPr>
              <w:keepNext/>
            </w:pPr>
          </w:p>
        </w:tc>
        <w:tc>
          <w:tcPr>
            <w:tcW w:w="129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4D290B2B" w14:textId="77777777" w:rsidR="001614AC" w:rsidRDefault="004468F9">
            <w:pPr>
              <w:keepNext/>
              <w:spacing w:before="55" w:after="30" w:line="288" w:lineRule="auto"/>
              <w:jc w:val="right"/>
            </w:pPr>
            <w:r>
              <w:rPr>
                <w:rFonts w:ascii="Arial" w:eastAsia="Arial" w:hAnsi="Arial" w:cs="Arial"/>
                <w:color w:val="000000"/>
                <w:sz w:val="18"/>
              </w:rPr>
              <w:t>9,984 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3A9E4C55" w14:textId="77777777" w:rsidR="001614AC" w:rsidRDefault="001614AC">
            <w:pPr>
              <w:keepNext/>
              <w:spacing w:before="55" w:after="30" w:line="288" w:lineRule="auto"/>
              <w:jc w:val="right"/>
            </w:pPr>
          </w:p>
        </w:tc>
      </w:tr>
      <w:tr w:rsidR="001614AC" w14:paraId="1EF40875" w14:textId="77777777">
        <w:trPr>
          <w:cantSplit/>
        </w:trPr>
        <w:tc>
          <w:tcPr>
            <w:tcW w:w="7080" w:type="dxa"/>
            <w:tcBorders>
              <w:top w:val="single" w:sz="8" w:space="0" w:color="E9E9E9"/>
              <w:left w:val="nil"/>
              <w:bottom w:val="nil"/>
              <w:right w:val="nil"/>
            </w:tcBorders>
            <w:tcMar>
              <w:top w:w="0" w:type="dxa"/>
              <w:left w:w="53" w:type="dxa"/>
              <w:bottom w:w="0" w:type="dxa"/>
              <w:right w:w="53" w:type="dxa"/>
            </w:tcMar>
            <w:vAlign w:val="bottom"/>
          </w:tcPr>
          <w:p w14:paraId="5A0078CA" w14:textId="77777777" w:rsidR="001614AC" w:rsidRDefault="004468F9">
            <w:pPr>
              <w:keepNext/>
              <w:spacing w:before="55" w:after="30" w:line="288" w:lineRule="auto"/>
              <w:ind w:left="240"/>
            </w:pPr>
            <w:r>
              <w:rPr>
                <w:rFonts w:ascii="Arial" w:eastAsia="Arial" w:hAnsi="Arial" w:cs="Arial"/>
                <w:color w:val="000000"/>
                <w:sz w:val="18"/>
              </w:rPr>
              <w:t>FHLB advances due 2027</w:t>
            </w:r>
          </w:p>
        </w:tc>
        <w:tc>
          <w:tcPr>
            <w:tcW w:w="105" w:type="dxa"/>
            <w:tcBorders>
              <w:top w:val="nil"/>
              <w:left w:val="nil"/>
              <w:bottom w:val="nil"/>
              <w:right w:val="nil"/>
            </w:tcBorders>
            <w:tcMar>
              <w:top w:w="0" w:type="dxa"/>
              <w:left w:w="0" w:type="dxa"/>
              <w:bottom w:w="0" w:type="dxa"/>
              <w:right w:w="0" w:type="dxa"/>
            </w:tcMar>
            <w:vAlign w:val="bottom"/>
          </w:tcPr>
          <w:p w14:paraId="5F26B4F9" w14:textId="77777777" w:rsidR="001614AC" w:rsidRDefault="001614AC">
            <w:pPr>
              <w:keepNext/>
            </w:pPr>
          </w:p>
        </w:tc>
        <w:tc>
          <w:tcPr>
            <w:tcW w:w="1295" w:type="dxa"/>
            <w:gridSpan w:val="2"/>
            <w:tcBorders>
              <w:top w:val="single" w:sz="8" w:space="0" w:color="E9E9E9"/>
              <w:left w:val="nil"/>
              <w:bottom w:val="single" w:sz="8" w:space="0" w:color="C7C9C7"/>
              <w:right w:val="nil"/>
            </w:tcBorders>
            <w:tcMar>
              <w:top w:w="0" w:type="dxa"/>
              <w:left w:w="53" w:type="dxa"/>
              <w:bottom w:w="0" w:type="dxa"/>
              <w:right w:w="0" w:type="dxa"/>
            </w:tcMar>
            <w:vAlign w:val="bottom"/>
          </w:tcPr>
          <w:p w14:paraId="6AF99B42" w14:textId="77777777" w:rsidR="001614AC" w:rsidRDefault="004468F9">
            <w:pPr>
              <w:keepNext/>
              <w:spacing w:before="55" w:after="30" w:line="288" w:lineRule="auto"/>
              <w:jc w:val="right"/>
            </w:pPr>
            <w:r>
              <w:rPr>
                <w:rFonts w:ascii="Arial" w:eastAsia="Arial" w:hAnsi="Arial" w:cs="Arial"/>
                <w:color w:val="000000"/>
                <w:sz w:val="18"/>
              </w:rPr>
              <w:t>3,000 </w:t>
            </w:r>
          </w:p>
        </w:tc>
        <w:tc>
          <w:tcPr>
            <w:tcW w:w="100" w:type="dxa"/>
            <w:tcBorders>
              <w:top w:val="single" w:sz="8" w:space="0" w:color="E9E9E9"/>
              <w:left w:val="nil"/>
              <w:bottom w:val="single" w:sz="8" w:space="0" w:color="C7C9C7"/>
              <w:right w:val="nil"/>
            </w:tcBorders>
            <w:tcMar>
              <w:top w:w="0" w:type="dxa"/>
              <w:left w:w="0" w:type="dxa"/>
              <w:bottom w:w="0" w:type="dxa"/>
              <w:right w:w="15" w:type="dxa"/>
            </w:tcMar>
            <w:vAlign w:val="bottom"/>
          </w:tcPr>
          <w:p w14:paraId="04C614E9" w14:textId="77777777" w:rsidR="001614AC" w:rsidRDefault="001614AC">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3E1CF1B5" w14:textId="77777777" w:rsidR="001614AC" w:rsidRDefault="001614AC">
            <w:pPr>
              <w:keepNext/>
            </w:pPr>
          </w:p>
        </w:tc>
        <w:tc>
          <w:tcPr>
            <w:tcW w:w="1295" w:type="dxa"/>
            <w:gridSpan w:val="2"/>
            <w:tcBorders>
              <w:top w:val="single" w:sz="8" w:space="0" w:color="E9E9E9"/>
              <w:left w:val="nil"/>
              <w:bottom w:val="single" w:sz="8" w:space="0" w:color="C7C9C7"/>
              <w:right w:val="nil"/>
            </w:tcBorders>
            <w:tcMar>
              <w:top w:w="0" w:type="dxa"/>
              <w:left w:w="53" w:type="dxa"/>
              <w:bottom w:w="0" w:type="dxa"/>
              <w:right w:w="0" w:type="dxa"/>
            </w:tcMar>
            <w:vAlign w:val="bottom"/>
          </w:tcPr>
          <w:p w14:paraId="77717608" w14:textId="77777777" w:rsidR="001614AC" w:rsidRDefault="004468F9">
            <w:pPr>
              <w:keepNext/>
              <w:spacing w:before="55" w:after="30" w:line="288" w:lineRule="auto"/>
              <w:jc w:val="right"/>
            </w:pPr>
            <w:r>
              <w:rPr>
                <w:rFonts w:ascii="Arial" w:eastAsia="Arial" w:hAnsi="Arial" w:cs="Arial"/>
                <w:color w:val="000000"/>
                <w:sz w:val="18"/>
              </w:rPr>
              <w:t>— </w:t>
            </w:r>
          </w:p>
        </w:tc>
        <w:tc>
          <w:tcPr>
            <w:tcW w:w="100" w:type="dxa"/>
            <w:tcBorders>
              <w:top w:val="single" w:sz="8" w:space="0" w:color="E9E9E9"/>
              <w:left w:val="nil"/>
              <w:bottom w:val="single" w:sz="8" w:space="0" w:color="C7C9C7"/>
              <w:right w:val="nil"/>
            </w:tcBorders>
            <w:tcMar>
              <w:top w:w="0" w:type="dxa"/>
              <w:left w:w="0" w:type="dxa"/>
              <w:bottom w:w="0" w:type="dxa"/>
              <w:right w:w="15" w:type="dxa"/>
            </w:tcMar>
            <w:vAlign w:val="bottom"/>
          </w:tcPr>
          <w:p w14:paraId="56CA0378" w14:textId="77777777" w:rsidR="001614AC" w:rsidRDefault="001614AC">
            <w:pPr>
              <w:keepNext/>
              <w:spacing w:before="55" w:after="30" w:line="288" w:lineRule="auto"/>
              <w:jc w:val="right"/>
            </w:pPr>
          </w:p>
        </w:tc>
      </w:tr>
      <w:tr w:rsidR="001614AC" w14:paraId="74957D97" w14:textId="77777777">
        <w:trPr>
          <w:cantSplit/>
        </w:trPr>
        <w:tc>
          <w:tcPr>
            <w:tcW w:w="7080" w:type="dxa"/>
            <w:tcBorders>
              <w:top w:val="nil"/>
              <w:left w:val="nil"/>
              <w:bottom w:val="nil"/>
              <w:right w:val="nil"/>
            </w:tcBorders>
            <w:shd w:val="clear" w:color="auto" w:fill="F4F4F4"/>
            <w:tcMar>
              <w:top w:w="0" w:type="dxa"/>
              <w:left w:w="53" w:type="dxa"/>
              <w:bottom w:w="0" w:type="dxa"/>
              <w:right w:w="53" w:type="dxa"/>
            </w:tcMar>
            <w:vAlign w:val="bottom"/>
          </w:tcPr>
          <w:p w14:paraId="12F53FA2" w14:textId="77777777" w:rsidR="001614AC" w:rsidRDefault="004468F9">
            <w:pPr>
              <w:spacing w:before="75" w:after="30" w:line="288" w:lineRule="auto"/>
              <w:ind w:left="240"/>
            </w:pPr>
            <w:r>
              <w:rPr>
                <w:rFonts w:ascii="Arial" w:eastAsia="Arial" w:hAnsi="Arial" w:cs="Arial"/>
                <w:color w:val="000000"/>
                <w:sz w:val="18"/>
              </w:rPr>
              <w:t xml:space="preserve">Total </w:t>
            </w:r>
            <w:r>
              <w:rPr>
                <w:rFonts w:ascii="Arial" w:eastAsia="Arial" w:hAnsi="Arial" w:cs="Arial"/>
                <w:color w:val="000000"/>
                <w:sz w:val="18"/>
              </w:rPr>
              <w:t>FHLB advances</w:t>
            </w:r>
          </w:p>
        </w:tc>
        <w:tc>
          <w:tcPr>
            <w:tcW w:w="105" w:type="dxa"/>
            <w:tcBorders>
              <w:top w:val="nil"/>
              <w:left w:val="nil"/>
              <w:bottom w:val="nil"/>
              <w:right w:val="nil"/>
            </w:tcBorders>
            <w:shd w:val="clear" w:color="auto" w:fill="F4F4F4"/>
            <w:tcMar>
              <w:top w:w="0" w:type="dxa"/>
              <w:left w:w="0" w:type="dxa"/>
              <w:bottom w:w="0" w:type="dxa"/>
              <w:right w:w="0" w:type="dxa"/>
            </w:tcMar>
            <w:vAlign w:val="bottom"/>
          </w:tcPr>
          <w:p w14:paraId="6596D622" w14:textId="77777777" w:rsidR="001614AC" w:rsidRDefault="001614AC"/>
        </w:tc>
        <w:tc>
          <w:tcPr>
            <w:tcW w:w="160" w:type="dxa"/>
            <w:tcBorders>
              <w:top w:val="single" w:sz="8" w:space="0" w:color="C7C9C7"/>
              <w:left w:val="nil"/>
              <w:bottom w:val="double" w:sz="8" w:space="0" w:color="C7C9C7"/>
              <w:right w:val="nil"/>
            </w:tcBorders>
            <w:shd w:val="clear" w:color="auto" w:fill="F4F4F4"/>
            <w:tcMar>
              <w:top w:w="0" w:type="dxa"/>
              <w:left w:w="53" w:type="dxa"/>
              <w:bottom w:w="0" w:type="dxa"/>
              <w:right w:w="0" w:type="dxa"/>
            </w:tcMar>
            <w:vAlign w:val="bottom"/>
          </w:tcPr>
          <w:p w14:paraId="66A1BD9A" w14:textId="77777777" w:rsidR="001614AC" w:rsidRDefault="004468F9">
            <w:pPr>
              <w:spacing w:before="55" w:after="30" w:line="288" w:lineRule="auto"/>
            </w:pPr>
            <w:r>
              <w:rPr>
                <w:rFonts w:ascii="Arial" w:eastAsia="Arial" w:hAnsi="Arial" w:cs="Arial"/>
                <w:color w:val="000000"/>
                <w:sz w:val="18"/>
              </w:rPr>
              <w:t>$</w:t>
            </w:r>
          </w:p>
        </w:tc>
        <w:tc>
          <w:tcPr>
            <w:tcW w:w="1135" w:type="dxa"/>
            <w:tcBorders>
              <w:top w:val="single" w:sz="8" w:space="0" w:color="C7C9C7"/>
              <w:left w:val="nil"/>
              <w:bottom w:val="double" w:sz="8" w:space="0" w:color="C7C9C7"/>
              <w:right w:val="nil"/>
            </w:tcBorders>
            <w:shd w:val="clear" w:color="auto" w:fill="F4F4F4"/>
            <w:tcMar>
              <w:top w:w="0" w:type="dxa"/>
              <w:left w:w="0" w:type="dxa"/>
              <w:bottom w:w="0" w:type="dxa"/>
              <w:right w:w="0" w:type="dxa"/>
            </w:tcMar>
            <w:vAlign w:val="bottom"/>
          </w:tcPr>
          <w:p w14:paraId="65F3A252" w14:textId="77777777" w:rsidR="001614AC" w:rsidRDefault="004468F9">
            <w:pPr>
              <w:spacing w:before="55" w:after="30" w:line="288" w:lineRule="auto"/>
              <w:jc w:val="right"/>
            </w:pPr>
            <w:r>
              <w:rPr>
                <w:rFonts w:ascii="Arial" w:eastAsia="Arial" w:hAnsi="Arial" w:cs="Arial"/>
                <w:color w:val="000000"/>
                <w:sz w:val="18"/>
              </w:rPr>
              <w:t>153,983 </w:t>
            </w:r>
          </w:p>
        </w:tc>
        <w:tc>
          <w:tcPr>
            <w:tcW w:w="100" w:type="dxa"/>
            <w:tcBorders>
              <w:top w:val="single" w:sz="8" w:space="0" w:color="C7C9C7"/>
              <w:left w:val="nil"/>
              <w:bottom w:val="double" w:sz="8" w:space="0" w:color="C7C9C7"/>
              <w:right w:val="nil"/>
            </w:tcBorders>
            <w:shd w:val="clear" w:color="auto" w:fill="F4F4F4"/>
            <w:tcMar>
              <w:top w:w="0" w:type="dxa"/>
              <w:left w:w="0" w:type="dxa"/>
              <w:bottom w:w="0" w:type="dxa"/>
              <w:right w:w="15" w:type="dxa"/>
            </w:tcMar>
            <w:vAlign w:val="bottom"/>
          </w:tcPr>
          <w:p w14:paraId="4EA71AC6" w14:textId="77777777" w:rsidR="001614AC" w:rsidRDefault="001614AC">
            <w:pPr>
              <w:spacing w:before="55" w:after="30" w:line="288" w:lineRule="auto"/>
              <w:jc w:val="right"/>
            </w:pPr>
          </w:p>
        </w:tc>
        <w:tc>
          <w:tcPr>
            <w:tcW w:w="105" w:type="dxa"/>
            <w:tcBorders>
              <w:top w:val="nil"/>
              <w:left w:val="nil"/>
              <w:bottom w:val="nil"/>
              <w:right w:val="nil"/>
            </w:tcBorders>
            <w:shd w:val="clear" w:color="auto" w:fill="F4F4F4"/>
            <w:tcMar>
              <w:top w:w="0" w:type="dxa"/>
              <w:left w:w="0" w:type="dxa"/>
              <w:bottom w:w="0" w:type="dxa"/>
              <w:right w:w="0" w:type="dxa"/>
            </w:tcMar>
            <w:vAlign w:val="bottom"/>
          </w:tcPr>
          <w:p w14:paraId="7BBB08D9" w14:textId="77777777" w:rsidR="001614AC" w:rsidRDefault="001614AC"/>
        </w:tc>
        <w:tc>
          <w:tcPr>
            <w:tcW w:w="160" w:type="dxa"/>
            <w:tcBorders>
              <w:top w:val="single" w:sz="8" w:space="0" w:color="C7C9C7"/>
              <w:left w:val="nil"/>
              <w:bottom w:val="double" w:sz="8" w:space="0" w:color="C7C9C7"/>
              <w:right w:val="nil"/>
            </w:tcBorders>
            <w:shd w:val="clear" w:color="auto" w:fill="F4F4F4"/>
            <w:tcMar>
              <w:top w:w="0" w:type="dxa"/>
              <w:left w:w="53" w:type="dxa"/>
              <w:bottom w:w="0" w:type="dxa"/>
              <w:right w:w="0" w:type="dxa"/>
            </w:tcMar>
            <w:vAlign w:val="bottom"/>
          </w:tcPr>
          <w:p w14:paraId="514F74C0" w14:textId="77777777" w:rsidR="001614AC" w:rsidRDefault="004468F9">
            <w:pPr>
              <w:spacing w:before="55" w:after="30" w:line="288" w:lineRule="auto"/>
            </w:pPr>
            <w:r>
              <w:rPr>
                <w:rFonts w:ascii="Arial" w:eastAsia="Arial" w:hAnsi="Arial" w:cs="Arial"/>
                <w:color w:val="000000"/>
                <w:sz w:val="18"/>
              </w:rPr>
              <w:t>$</w:t>
            </w:r>
          </w:p>
        </w:tc>
        <w:tc>
          <w:tcPr>
            <w:tcW w:w="1135" w:type="dxa"/>
            <w:tcBorders>
              <w:top w:val="single" w:sz="8" w:space="0" w:color="C7C9C7"/>
              <w:left w:val="nil"/>
              <w:bottom w:val="double" w:sz="8" w:space="0" w:color="C7C9C7"/>
              <w:right w:val="nil"/>
            </w:tcBorders>
            <w:shd w:val="clear" w:color="auto" w:fill="F4F4F4"/>
            <w:tcMar>
              <w:top w:w="0" w:type="dxa"/>
              <w:left w:w="0" w:type="dxa"/>
              <w:bottom w:w="0" w:type="dxa"/>
              <w:right w:w="0" w:type="dxa"/>
            </w:tcMar>
            <w:vAlign w:val="bottom"/>
          </w:tcPr>
          <w:p w14:paraId="703ED6C5" w14:textId="77777777" w:rsidR="001614AC" w:rsidRDefault="004468F9">
            <w:pPr>
              <w:spacing w:before="55" w:after="30" w:line="288" w:lineRule="auto"/>
              <w:jc w:val="right"/>
            </w:pPr>
            <w:r>
              <w:rPr>
                <w:rFonts w:ascii="Arial" w:eastAsia="Arial" w:hAnsi="Arial" w:cs="Arial"/>
                <w:color w:val="000000"/>
                <w:sz w:val="18"/>
              </w:rPr>
              <w:t>176,483 </w:t>
            </w:r>
          </w:p>
        </w:tc>
        <w:tc>
          <w:tcPr>
            <w:tcW w:w="100" w:type="dxa"/>
            <w:tcBorders>
              <w:top w:val="single" w:sz="8" w:space="0" w:color="C7C9C7"/>
              <w:left w:val="nil"/>
              <w:bottom w:val="double" w:sz="8" w:space="0" w:color="C7C9C7"/>
              <w:right w:val="nil"/>
            </w:tcBorders>
            <w:shd w:val="clear" w:color="auto" w:fill="F4F4F4"/>
            <w:tcMar>
              <w:top w:w="0" w:type="dxa"/>
              <w:left w:w="0" w:type="dxa"/>
              <w:bottom w:w="0" w:type="dxa"/>
              <w:right w:w="15" w:type="dxa"/>
            </w:tcMar>
            <w:vAlign w:val="bottom"/>
          </w:tcPr>
          <w:p w14:paraId="35C2286C" w14:textId="77777777" w:rsidR="001614AC" w:rsidRDefault="001614AC">
            <w:pPr>
              <w:spacing w:before="55" w:after="30" w:line="288" w:lineRule="auto"/>
              <w:jc w:val="right"/>
            </w:pPr>
          </w:p>
        </w:tc>
      </w:tr>
    </w:tbl>
    <w:p w14:paraId="25FFF933" w14:textId="77777777" w:rsidR="001614AC" w:rsidRDefault="004468F9">
      <w:pPr>
        <w:keepNext/>
        <w:spacing w:before="180" w:after="140" w:line="288" w:lineRule="auto"/>
        <w:rPr>
          <w:rFonts w:ascii="Arial" w:eastAsia="Arial" w:hAnsi="Arial" w:cs="Arial"/>
          <w:b/>
          <w:color w:val="002B49"/>
          <w:sz w:val="26"/>
          <w:shd w:val="clear" w:color="auto" w:fill="B6B6B6"/>
        </w:rPr>
      </w:pPr>
      <w:r>
        <w:rPr>
          <w:rFonts w:ascii="Arial" w:eastAsia="Arial" w:hAnsi="Arial" w:cs="Arial"/>
          <w:b/>
          <w:color w:val="002B49"/>
          <w:sz w:val="26"/>
        </w:rPr>
        <w:lastRenderedPageBreak/>
        <w:t>FHLB Advances</w:t>
      </w:r>
    </w:p>
    <w:p w14:paraId="6807F05E" w14:textId="77777777" w:rsidR="001614AC" w:rsidRDefault="004468F9">
      <w:pPr>
        <w:spacing w:before="100" w:after="100" w:line="288" w:lineRule="auto"/>
        <w:ind w:firstLine="450"/>
        <w:rPr>
          <w:b/>
          <w:color w:val="002B49"/>
          <w:sz w:val="18"/>
          <w:shd w:val="clear" w:color="auto" w:fill="FFFF00"/>
        </w:rPr>
      </w:pPr>
      <w:r>
        <w:rPr>
          <w:rFonts w:ascii="Arial" w:eastAsia="Arial" w:hAnsi="Arial" w:cs="Arial"/>
          <w:sz w:val="18"/>
        </w:rPr>
        <w:t>As of June 30, 2021, we had $154.0 million of fixed-rate advances outstanding with a weighted average interest rate of 1.03%. Interest on the FHLB advances is payable quarterly, or at maturity if the term of</w:t>
      </w:r>
      <w:r>
        <w:rPr>
          <w:rFonts w:ascii="Arial" w:eastAsia="Arial" w:hAnsi="Arial" w:cs="Arial"/>
          <w:sz w:val="18"/>
        </w:rPr>
        <w:t xml:space="preserve"> the advance is less than 90 days. Principal is due at maturity. For obligations with maturities greater than or equal to 90 days, we may prepay the debt at any time, subject to a prepayment fee calculation.</w:t>
      </w:r>
    </w:p>
    <w:p w14:paraId="139D33FF" w14:textId="77777777" w:rsidR="001614AC" w:rsidRDefault="004468F9">
      <w:pPr>
        <w:spacing w:before="100" w:after="100" w:line="288" w:lineRule="auto"/>
        <w:ind w:firstLine="450"/>
        <w:rPr>
          <w:b/>
          <w:color w:val="002B49"/>
          <w:sz w:val="22"/>
          <w:shd w:val="clear" w:color="auto" w:fill="FFFF00"/>
        </w:rPr>
      </w:pPr>
      <w:r>
        <w:rPr>
          <w:rFonts w:ascii="Arial" w:eastAsia="Arial" w:hAnsi="Arial" w:cs="Arial"/>
          <w:sz w:val="18"/>
        </w:rPr>
        <w:t>The principal balance of the FHLB advances are r</w:t>
      </w:r>
      <w:r>
        <w:rPr>
          <w:rFonts w:ascii="Arial" w:eastAsia="Arial" w:hAnsi="Arial" w:cs="Arial"/>
          <w:sz w:val="18"/>
        </w:rPr>
        <w:t>equired to be collateralized by eligible assets with a market value that must be maintained generally within a minimum range of 103% to 111% of the amount borrowed, depending on the type of assets pledged. Our fixed-maturities available for sale and tradin</w:t>
      </w:r>
      <w:r>
        <w:rPr>
          <w:rFonts w:ascii="Arial" w:eastAsia="Arial" w:hAnsi="Arial" w:cs="Arial"/>
          <w:sz w:val="18"/>
        </w:rPr>
        <w:t>g securities include securities totaling $175.5 million and $188.0 million at June 30, 2021 and December 31, 2020, respectively, which serve as collateral for our FHLB advances to satisfy this requirement. See Note 12 of Notes to Consolidated Financial Sta</w:t>
      </w:r>
      <w:r>
        <w:rPr>
          <w:rFonts w:ascii="Arial" w:eastAsia="Arial" w:hAnsi="Arial" w:cs="Arial"/>
          <w:sz w:val="18"/>
        </w:rPr>
        <w:t>tements in our 2020 Form 10-K for additional information about our FHLB advances.</w:t>
      </w:r>
    </w:p>
    <w:p w14:paraId="10E07C0E" w14:textId="77777777" w:rsidR="001614AC" w:rsidRDefault="004468F9">
      <w:pPr>
        <w:keepNext/>
        <w:spacing w:before="180" w:after="140" w:line="288" w:lineRule="auto"/>
        <w:rPr>
          <w:rFonts w:ascii="Arial" w:eastAsia="Arial" w:hAnsi="Arial" w:cs="Arial"/>
          <w:b/>
          <w:color w:val="002B49"/>
          <w:sz w:val="26"/>
          <w:shd w:val="clear" w:color="auto" w:fill="B6B6B6"/>
        </w:rPr>
      </w:pPr>
      <w:r>
        <w:rPr>
          <w:rFonts w:ascii="Arial" w:eastAsia="Arial" w:hAnsi="Arial" w:cs="Arial"/>
          <w:b/>
          <w:color w:val="002B49"/>
          <w:sz w:val="26"/>
        </w:rPr>
        <w:t>Revolving Credit Facility</w:t>
      </w:r>
    </w:p>
    <w:p w14:paraId="0F03E454" w14:textId="77777777" w:rsidR="001614AC" w:rsidRDefault="004468F9">
      <w:pPr>
        <w:spacing w:before="100" w:line="288" w:lineRule="auto"/>
        <w:ind w:firstLine="450"/>
        <w:rPr>
          <w:b/>
          <w:color w:val="002B49"/>
          <w:sz w:val="18"/>
          <w:shd w:val="clear" w:color="auto" w:fill="FFFF00"/>
        </w:rPr>
      </w:pPr>
      <w:r>
        <w:rPr>
          <w:rFonts w:ascii="Arial" w:eastAsia="Arial" w:hAnsi="Arial" w:cs="Arial"/>
          <w:sz w:val="18"/>
        </w:rPr>
        <w:t>Radian Group has in place a $267.5 million unsecured revolving credit facility with a syndicate of bank lenders, which has a maturity date of Januar</w:t>
      </w:r>
      <w:r>
        <w:rPr>
          <w:rFonts w:ascii="Arial" w:eastAsia="Arial" w:hAnsi="Arial" w:cs="Arial"/>
          <w:sz w:val="18"/>
        </w:rPr>
        <w:t>y 18, 2022. At June 30, 2021, Radian Group was in compliance with all of the credit facility covenants, and there were no amounts outstanding. For more information regarding our revolving credit facility, including certain of its terms and covenants, see N</w:t>
      </w:r>
      <w:r>
        <w:rPr>
          <w:rFonts w:ascii="Arial" w:eastAsia="Arial" w:hAnsi="Arial" w:cs="Arial"/>
          <w:sz w:val="18"/>
        </w:rPr>
        <w:t>ote 12 of Notes to Consolidated Financial Statements in our 2020 Form 10-K.</w:t>
      </w:r>
    </w:p>
    <w:p w14:paraId="235B29AF" w14:textId="77777777" w:rsidR="001614AC" w:rsidRDefault="001614AC">
      <w:pPr>
        <w:spacing w:before="100" w:line="288" w:lineRule="auto"/>
        <w:ind w:firstLine="450"/>
        <w:rPr>
          <w:rFonts w:ascii="Arial" w:eastAsia="Arial" w:hAnsi="Arial" w:cs="Arial"/>
          <w:b/>
          <w:color w:val="002B49"/>
          <w:sz w:val="26"/>
          <w:shd w:val="clear" w:color="auto" w:fill="B6B6B6"/>
        </w:rPr>
        <w:sectPr w:rsidR="001614AC">
          <w:headerReference w:type="default" r:id="rId35"/>
          <w:type w:val="continuous"/>
          <w:pgSz w:w="12240" w:h="15840"/>
          <w:pgMar w:top="1260" w:right="1080" w:bottom="1080" w:left="1080" w:header="270" w:footer="270" w:gutter="0"/>
          <w:cols w:space="708"/>
        </w:sectPr>
      </w:pPr>
    </w:p>
    <w:p w14:paraId="7B5AD6C4" w14:textId="77777777" w:rsidR="001614AC" w:rsidRDefault="004468F9">
      <w:pPr>
        <w:keepNext/>
        <w:tabs>
          <w:tab w:val="left" w:pos="540"/>
        </w:tabs>
        <w:spacing w:before="200" w:after="160" w:line="288" w:lineRule="auto"/>
        <w:ind w:left="360" w:hanging="360"/>
        <w:outlineLvl w:val="3"/>
        <w:rPr>
          <w:rFonts w:ascii="Arial" w:eastAsia="Arial" w:hAnsi="Arial" w:cs="Arial"/>
          <w:b/>
          <w:color w:val="4D6B80"/>
          <w:sz w:val="30"/>
        </w:rPr>
      </w:pPr>
      <w:bookmarkStart w:id="24" w:name="Section25"/>
      <w:bookmarkEnd w:id="24"/>
      <w:r>
        <w:rPr>
          <w:rFonts w:ascii="Arial" w:eastAsia="Arial" w:hAnsi="Arial" w:cs="Arial"/>
          <w:b/>
          <w:color w:val="4D6B80"/>
          <w:sz w:val="30"/>
        </w:rPr>
        <w:t>13. Commitments and Contingencies</w:t>
      </w:r>
    </w:p>
    <w:p w14:paraId="66EE263F" w14:textId="77777777" w:rsidR="001614AC" w:rsidRDefault="004468F9">
      <w:pPr>
        <w:keepNext/>
        <w:spacing w:before="180" w:after="140" w:line="288" w:lineRule="auto"/>
        <w:rPr>
          <w:rFonts w:ascii="Arial" w:eastAsia="Arial" w:hAnsi="Arial" w:cs="Arial"/>
          <w:b/>
          <w:color w:val="002B49"/>
          <w:sz w:val="26"/>
        </w:rPr>
      </w:pPr>
      <w:r>
        <w:rPr>
          <w:rFonts w:ascii="Arial" w:eastAsia="Arial" w:hAnsi="Arial" w:cs="Arial"/>
          <w:b/>
          <w:color w:val="002B49"/>
          <w:sz w:val="26"/>
        </w:rPr>
        <w:t>Legal Proceedings</w:t>
      </w:r>
    </w:p>
    <w:p w14:paraId="593E2144" w14:textId="77777777" w:rsidR="001614AC" w:rsidRDefault="004468F9">
      <w:pPr>
        <w:spacing w:before="100" w:after="100" w:line="288" w:lineRule="auto"/>
        <w:ind w:firstLine="450"/>
        <w:rPr>
          <w:rFonts w:ascii="Arial" w:eastAsia="Arial" w:hAnsi="Arial" w:cs="Arial"/>
          <w:b/>
          <w:color w:val="4D6B80"/>
          <w:sz w:val="18"/>
        </w:rPr>
      </w:pPr>
      <w:r>
        <w:rPr>
          <w:rFonts w:ascii="Arial" w:eastAsia="Arial" w:hAnsi="Arial" w:cs="Arial"/>
          <w:sz w:val="18"/>
        </w:rPr>
        <w:t>We are routinely involved in a number of legal actions and proceedings, including litigation and other disputes arising in the ordinary course of our business. Legal and regulatory matters such as discussed below and in our 2020 Form 10-K could result in a</w:t>
      </w:r>
      <w:r>
        <w:rPr>
          <w:rFonts w:ascii="Arial" w:eastAsia="Arial" w:hAnsi="Arial" w:cs="Arial"/>
          <w:sz w:val="18"/>
        </w:rPr>
        <w:t>dverse judgments, settlements, fines, injunctions, restitutions or other relief that could require significant expenditures or have other effects on our business. Management believes, based on current knowledge and after consultation with counsel, that the</w:t>
      </w:r>
      <w:r>
        <w:rPr>
          <w:rFonts w:ascii="Arial" w:eastAsia="Arial" w:hAnsi="Arial" w:cs="Arial"/>
          <w:sz w:val="18"/>
        </w:rPr>
        <w:t xml:space="preserve"> outcome of any currently pending or threatened actions will not have a material adverse effect on our consolidated financial condition. The outcome of litigation and other legal and regulatory matters and proceedings is inherently uncertain, and it is pos</w:t>
      </w:r>
      <w:r>
        <w:rPr>
          <w:rFonts w:ascii="Arial" w:eastAsia="Arial" w:hAnsi="Arial" w:cs="Arial"/>
          <w:sz w:val="18"/>
        </w:rPr>
        <w:t>sible that one or more of the matters currently pending or threatened could have an adverse effect on our liquidity, financial condition or results of operations for any particular period.</w:t>
      </w:r>
    </w:p>
    <w:p w14:paraId="3F8F1A80" w14:textId="77777777" w:rsidR="001614AC" w:rsidRDefault="004468F9">
      <w:pPr>
        <w:spacing w:before="100" w:after="100" w:line="288" w:lineRule="auto"/>
        <w:ind w:firstLine="450"/>
        <w:rPr>
          <w:rFonts w:ascii="Arial" w:eastAsia="Arial" w:hAnsi="Arial" w:cs="Arial"/>
          <w:b/>
          <w:color w:val="4D6B80"/>
          <w:sz w:val="18"/>
        </w:rPr>
      </w:pPr>
      <w:r>
        <w:rPr>
          <w:rFonts w:ascii="Arial" w:eastAsia="Arial" w:hAnsi="Arial" w:cs="Arial"/>
          <w:sz w:val="18"/>
        </w:rPr>
        <w:t>On August 31, 2018, Nationstar Mortgage LLC d/b/a Mr. Cooper (“Nati</w:t>
      </w:r>
      <w:r>
        <w:rPr>
          <w:rFonts w:ascii="Arial" w:eastAsia="Arial" w:hAnsi="Arial" w:cs="Arial"/>
          <w:sz w:val="18"/>
        </w:rPr>
        <w:t xml:space="preserve">onstar”) filed a complaint in the U.S. District Court for the Eastern District of Pennsylvania against Radian Guaranty related to certain insurance coverage and premium refund decisions made by Radian Guaranty. Effective June 26, 2020, Radian Guaranty and </w:t>
      </w:r>
      <w:r>
        <w:rPr>
          <w:rFonts w:ascii="Arial" w:eastAsia="Arial" w:hAnsi="Arial" w:cs="Arial"/>
          <w:sz w:val="18"/>
        </w:rPr>
        <w:t>Nationstar entered into a Confidential Settlement Agreement and Release (the “Nationstar Settlement”) to fully resolve, among other things, all claims and counterclaims in this litigation. Implementation of the Nationstar Settlement, which was subject to t</w:t>
      </w:r>
      <w:r>
        <w:rPr>
          <w:rFonts w:ascii="Arial" w:eastAsia="Arial" w:hAnsi="Arial" w:cs="Arial"/>
          <w:sz w:val="18"/>
        </w:rPr>
        <w:t>he condition precedent that the GSEs consent to the Nationstar Settlement, became effective on March 1, 2021, and the litigation was subsequently dismissed with prejudice. Pursuant to the Nationstar Settlement, among other things: (i) Radian made a cash se</w:t>
      </w:r>
      <w:r>
        <w:rPr>
          <w:rFonts w:ascii="Arial" w:eastAsia="Arial" w:hAnsi="Arial" w:cs="Arial"/>
          <w:sz w:val="18"/>
        </w:rPr>
        <w:t>ttlement payment to Nationstar on March 5, 2021 and (ii) each party agreed to release the other with respect to all known or unknown claims with respect to the certificates subject to this litigation as well as with respect to all other certificates issued</w:t>
      </w:r>
      <w:r>
        <w:rPr>
          <w:rFonts w:ascii="Arial" w:eastAsia="Arial" w:hAnsi="Arial" w:cs="Arial"/>
          <w:sz w:val="18"/>
        </w:rPr>
        <w:t xml:space="preserve"> under certain policies on loans serviced by Nationstar for which Radian decided claims prior to January 1, 2019. See Note 13 of Notes to Consolidated Financial Statements in our 2020 Form 10-K for additional background on this matter. The implementation o</w:t>
      </w:r>
      <w:r>
        <w:rPr>
          <w:rFonts w:ascii="Arial" w:eastAsia="Arial" w:hAnsi="Arial" w:cs="Arial"/>
          <w:sz w:val="18"/>
        </w:rPr>
        <w:t xml:space="preserve">f the Nationstar Settlement did not have a material impact on our mortgage insurance reserves for this proceeding. </w:t>
      </w:r>
    </w:p>
    <w:p w14:paraId="6FF87072" w14:textId="77777777" w:rsidR="001614AC" w:rsidRDefault="004468F9">
      <w:pPr>
        <w:spacing w:before="100" w:after="100" w:line="288" w:lineRule="auto"/>
        <w:ind w:firstLine="450"/>
        <w:rPr>
          <w:rFonts w:ascii="Arial" w:eastAsia="Arial" w:hAnsi="Arial" w:cs="Arial"/>
          <w:b/>
          <w:color w:val="4D6B80"/>
          <w:sz w:val="18"/>
        </w:rPr>
      </w:pPr>
      <w:r>
        <w:rPr>
          <w:rFonts w:ascii="Arial" w:eastAsia="Arial" w:hAnsi="Arial" w:cs="Arial"/>
          <w:sz w:val="18"/>
        </w:rPr>
        <w:t>We also are periodically subject to reviews and audits, as well as inquiries, information-gathering requests and investigations, by regulato</w:t>
      </w:r>
      <w:r>
        <w:rPr>
          <w:rFonts w:ascii="Arial" w:eastAsia="Arial" w:hAnsi="Arial" w:cs="Arial"/>
          <w:sz w:val="18"/>
        </w:rPr>
        <w:t xml:space="preserve">ry entities. In connection with these matters, from time to time we receive requests and subpoenas seeking information and documents related to aspects of our business. </w:t>
      </w:r>
    </w:p>
    <w:p w14:paraId="28FEBE5A" w14:textId="77777777" w:rsidR="001614AC" w:rsidRDefault="004468F9">
      <w:pPr>
        <w:spacing w:before="100" w:after="100" w:line="288" w:lineRule="auto"/>
        <w:ind w:firstLine="450"/>
        <w:rPr>
          <w:rFonts w:ascii="Arial" w:eastAsia="Arial" w:hAnsi="Arial" w:cs="Arial"/>
          <w:b/>
          <w:color w:val="4D6B80"/>
          <w:sz w:val="18"/>
        </w:rPr>
      </w:pPr>
      <w:r>
        <w:rPr>
          <w:rFonts w:ascii="Arial" w:eastAsia="Arial" w:hAnsi="Arial" w:cs="Arial"/>
          <w:sz w:val="18"/>
        </w:rPr>
        <w:t>Our Master Policies establish the timeline within which any suit or action arising fro</w:t>
      </w:r>
      <w:r>
        <w:rPr>
          <w:rFonts w:ascii="Arial" w:eastAsia="Arial" w:hAnsi="Arial" w:cs="Arial"/>
          <w:sz w:val="18"/>
        </w:rPr>
        <w:t>m any right of an insured under the policy generally must be commenced. In general, any suit or action arising from any right of an insured under the policy must be commenced within two years after such right first arose for primary insurance and within th</w:t>
      </w:r>
      <w:r>
        <w:rPr>
          <w:rFonts w:ascii="Arial" w:eastAsia="Arial" w:hAnsi="Arial" w:cs="Arial"/>
          <w:sz w:val="18"/>
        </w:rPr>
        <w:t>ree years for certain other policies, including certain Pool Mortgage Insurance policies. Although we believe that our Loss Mitigation Activities are justified under our policies, from time to time we face challenges from certain lender and servicer custom</w:t>
      </w:r>
      <w:r>
        <w:rPr>
          <w:rFonts w:ascii="Arial" w:eastAsia="Arial" w:hAnsi="Arial" w:cs="Arial"/>
          <w:sz w:val="18"/>
        </w:rPr>
        <w:t>ers regarding our Loss Mitigation Activities. These challenges could result in additional arbitration or judicial proceedings and we may need to reassume the risk on, and increase loss reserves for, the associated policies or pay additional claims.</w:t>
      </w:r>
    </w:p>
    <w:p w14:paraId="4FD93CC4" w14:textId="77777777" w:rsidR="001614AC" w:rsidRDefault="004468F9">
      <w:pPr>
        <w:spacing w:before="100" w:after="100" w:line="288" w:lineRule="auto"/>
        <w:ind w:firstLine="450"/>
        <w:rPr>
          <w:rFonts w:ascii="Arial" w:eastAsia="Arial" w:hAnsi="Arial" w:cs="Arial"/>
          <w:b/>
          <w:color w:val="4D6B80"/>
          <w:sz w:val="18"/>
        </w:rPr>
      </w:pPr>
      <w:r>
        <w:rPr>
          <w:rFonts w:ascii="Arial" w:eastAsia="Arial" w:hAnsi="Arial" w:cs="Arial"/>
          <w:sz w:val="18"/>
        </w:rPr>
        <w:t>The leg</w:t>
      </w:r>
      <w:r>
        <w:rPr>
          <w:rFonts w:ascii="Arial" w:eastAsia="Arial" w:hAnsi="Arial" w:cs="Arial"/>
          <w:sz w:val="18"/>
        </w:rPr>
        <w:t>al and regulatory matters discussed above could result in adverse judgments, settlements, fines, injunctions, restitutions or other relief that could require significant expenditures or have other effects on our business in excess of amounts we have establ</w:t>
      </w:r>
      <w:r>
        <w:rPr>
          <w:rFonts w:ascii="Arial" w:eastAsia="Arial" w:hAnsi="Arial" w:cs="Arial"/>
          <w:sz w:val="18"/>
        </w:rPr>
        <w:t>ished as reserves for such matters.</w:t>
      </w:r>
    </w:p>
    <w:p w14:paraId="5BFCFC46" w14:textId="77777777" w:rsidR="001614AC" w:rsidRDefault="004468F9">
      <w:pPr>
        <w:keepNext/>
        <w:spacing w:before="180" w:after="140" w:line="288" w:lineRule="auto"/>
        <w:rPr>
          <w:rFonts w:ascii="Arial" w:eastAsia="Arial" w:hAnsi="Arial" w:cs="Arial"/>
          <w:b/>
          <w:color w:val="002B49"/>
          <w:sz w:val="26"/>
        </w:rPr>
      </w:pPr>
      <w:r>
        <w:rPr>
          <w:rFonts w:ascii="Arial" w:eastAsia="Arial" w:hAnsi="Arial" w:cs="Arial"/>
          <w:b/>
          <w:color w:val="002B49"/>
          <w:sz w:val="26"/>
        </w:rPr>
        <w:lastRenderedPageBreak/>
        <w:t>Lease Liability</w:t>
      </w:r>
    </w:p>
    <w:p w14:paraId="1366F7CD" w14:textId="77777777" w:rsidR="001614AC" w:rsidRDefault="004468F9">
      <w:pPr>
        <w:spacing w:before="100" w:after="100" w:line="288" w:lineRule="auto"/>
        <w:ind w:firstLine="450"/>
        <w:rPr>
          <w:rFonts w:ascii="Arial" w:eastAsia="Arial" w:hAnsi="Arial" w:cs="Arial"/>
          <w:b/>
          <w:color w:val="4D6B80"/>
          <w:sz w:val="18"/>
        </w:rPr>
      </w:pPr>
      <w:r>
        <w:rPr>
          <w:rFonts w:ascii="Arial" w:eastAsia="Arial" w:hAnsi="Arial" w:cs="Arial"/>
          <w:sz w:val="18"/>
        </w:rPr>
        <w:t xml:space="preserve">Our lease liability represents the present value of future lease payments over the lease term. Our operating lease liability was $56.0 million and $53.4 million as of June 30, 2021 and December 31, 2020, </w:t>
      </w:r>
      <w:r>
        <w:rPr>
          <w:rFonts w:ascii="Arial" w:eastAsia="Arial" w:hAnsi="Arial" w:cs="Arial"/>
          <w:sz w:val="18"/>
        </w:rPr>
        <w:t>respectively, and is classified in other liabilities in our condensed consolidated balance sheets. See Note 9 for additional information on our operating lease right-of-use assets, including an impairment recognized in the second quarter of 2021 related to</w:t>
      </w:r>
      <w:r>
        <w:rPr>
          <w:rFonts w:ascii="Arial" w:eastAsia="Arial" w:hAnsi="Arial" w:cs="Arial"/>
          <w:sz w:val="18"/>
        </w:rPr>
        <w:t xml:space="preserve"> a decision to sublease the office space in our current corporate headquarters. </w:t>
      </w:r>
    </w:p>
    <w:p w14:paraId="703D3C4D" w14:textId="77777777" w:rsidR="001614AC" w:rsidRDefault="004468F9">
      <w:pPr>
        <w:spacing w:before="100" w:line="288" w:lineRule="auto"/>
        <w:ind w:firstLine="450"/>
        <w:rPr>
          <w:b/>
          <w:color w:val="4D6B80"/>
          <w:sz w:val="18"/>
        </w:rPr>
      </w:pPr>
      <w:r>
        <w:rPr>
          <w:rFonts w:ascii="Arial" w:eastAsia="Arial" w:hAnsi="Arial" w:cs="Arial"/>
          <w:sz w:val="18"/>
        </w:rPr>
        <w:t>See Note 13 of Notes to Consolidated Financial Statements in our 2020 Form 10-K for further information regarding our commitments and contingencies and our accounting policies</w:t>
      </w:r>
      <w:r>
        <w:rPr>
          <w:rFonts w:ascii="Arial" w:eastAsia="Arial" w:hAnsi="Arial" w:cs="Arial"/>
          <w:sz w:val="18"/>
        </w:rPr>
        <w:t xml:space="preserve"> for contingencies. </w:t>
      </w:r>
    </w:p>
    <w:p w14:paraId="783F4517" w14:textId="77777777" w:rsidR="001614AC" w:rsidRDefault="001614AC">
      <w:pPr>
        <w:spacing w:before="100" w:line="288" w:lineRule="auto"/>
        <w:ind w:firstLine="450"/>
        <w:rPr>
          <w:rFonts w:ascii="Arial" w:eastAsia="Arial" w:hAnsi="Arial" w:cs="Arial"/>
          <w:b/>
          <w:color w:val="4D6B80"/>
          <w:sz w:val="30"/>
        </w:rPr>
        <w:sectPr w:rsidR="001614AC">
          <w:headerReference w:type="default" r:id="rId36"/>
          <w:type w:val="continuous"/>
          <w:pgSz w:w="12240" w:h="15840"/>
          <w:pgMar w:top="1260" w:right="1080" w:bottom="1080" w:left="1080" w:header="270" w:footer="270" w:gutter="0"/>
          <w:cols w:space="708"/>
        </w:sectPr>
      </w:pPr>
    </w:p>
    <w:p w14:paraId="2E4A6B95" w14:textId="77777777" w:rsidR="001614AC" w:rsidRDefault="004468F9">
      <w:pPr>
        <w:keepNext/>
        <w:tabs>
          <w:tab w:val="left" w:pos="540"/>
        </w:tabs>
        <w:spacing w:before="200" w:after="160" w:line="288" w:lineRule="auto"/>
        <w:ind w:left="360" w:hanging="360"/>
        <w:outlineLvl w:val="3"/>
        <w:rPr>
          <w:rFonts w:ascii="Arial" w:eastAsia="Arial" w:hAnsi="Arial" w:cs="Arial"/>
          <w:b/>
          <w:color w:val="4D6B80"/>
          <w:sz w:val="30"/>
        </w:rPr>
      </w:pPr>
      <w:bookmarkStart w:id="25" w:name="Section26"/>
      <w:bookmarkEnd w:id="25"/>
      <w:r>
        <w:rPr>
          <w:rFonts w:ascii="Arial" w:eastAsia="Arial" w:hAnsi="Arial" w:cs="Arial"/>
          <w:b/>
          <w:color w:val="4D6B80"/>
          <w:sz w:val="30"/>
        </w:rPr>
        <w:t>14. Capital Stock</w:t>
      </w:r>
    </w:p>
    <w:p w14:paraId="780E0014" w14:textId="77777777" w:rsidR="001614AC" w:rsidRDefault="004468F9">
      <w:pPr>
        <w:keepNext/>
        <w:spacing w:before="180" w:after="140" w:line="288" w:lineRule="auto"/>
        <w:rPr>
          <w:rFonts w:ascii="Arial" w:eastAsia="Arial" w:hAnsi="Arial" w:cs="Arial"/>
          <w:b/>
          <w:color w:val="002B49"/>
          <w:sz w:val="26"/>
        </w:rPr>
      </w:pPr>
      <w:r>
        <w:rPr>
          <w:rFonts w:ascii="Arial" w:eastAsia="Arial" w:hAnsi="Arial" w:cs="Arial"/>
          <w:b/>
          <w:color w:val="002B49"/>
          <w:sz w:val="26"/>
        </w:rPr>
        <w:t xml:space="preserve">Share Repurchase </w:t>
      </w:r>
      <w:r>
        <w:rPr>
          <w:rFonts w:ascii="Arial" w:eastAsia="Arial" w:hAnsi="Arial" w:cs="Arial"/>
          <w:b/>
          <w:color w:val="002B49"/>
          <w:sz w:val="26"/>
        </w:rPr>
        <w:t>Activity</w:t>
      </w:r>
    </w:p>
    <w:p w14:paraId="4C25EE02" w14:textId="77777777" w:rsidR="001614AC" w:rsidRDefault="004468F9">
      <w:pPr>
        <w:spacing w:before="100" w:after="100" w:line="288" w:lineRule="auto"/>
        <w:ind w:firstLine="450"/>
        <w:rPr>
          <w:b/>
          <w:color w:val="4D6B80"/>
          <w:sz w:val="18"/>
          <w:shd w:val="clear" w:color="auto" w:fill="FFFF00"/>
        </w:rPr>
      </w:pPr>
      <w:r>
        <w:rPr>
          <w:rFonts w:ascii="Arial" w:eastAsia="Arial" w:hAnsi="Arial" w:cs="Arial"/>
          <w:sz w:val="18"/>
        </w:rPr>
        <w:t xml:space="preserve">On August 14, 2019, Radian Group’s board of directors approved a share repurchase program that authorizes the Company to spend up to $200 million, excluding commissions, to repurchase Radian Group common stock in the open market or in privately negotiated </w:t>
      </w:r>
      <w:r>
        <w:rPr>
          <w:rFonts w:ascii="Arial" w:eastAsia="Arial" w:hAnsi="Arial" w:cs="Arial"/>
          <w:sz w:val="18"/>
        </w:rPr>
        <w:t>transactions, based on market and business conditions, stock price and other factors. Radian operated this program pursuant to a trading plan under Rule 10b5-1 of the Exchange Act, which permits the Company to purchase shares, at pre-determined price targe</w:t>
      </w:r>
      <w:r>
        <w:rPr>
          <w:rFonts w:ascii="Arial" w:eastAsia="Arial" w:hAnsi="Arial" w:cs="Arial"/>
          <w:sz w:val="18"/>
        </w:rPr>
        <w:t>ts, when it may otherwise be precluded from doing so. On February 13, 2020, Radian Group’s board of directors authorized a $275 million increase in this program, bringing the total authorization to repurchase shares up to $475 million, excluding commission</w:t>
      </w:r>
      <w:r>
        <w:rPr>
          <w:rFonts w:ascii="Arial" w:eastAsia="Arial" w:hAnsi="Arial" w:cs="Arial"/>
          <w:sz w:val="18"/>
        </w:rPr>
        <w:t>s, and extended the expiration of this program from July 31, 2020 to August 31, 2021. In March 2021, the Company entered into a new 10b5-1 plan and resumed purchases under this program which had been temporarily suspended in March 2020 in response to the C</w:t>
      </w:r>
      <w:r>
        <w:rPr>
          <w:rFonts w:ascii="Arial" w:eastAsia="Arial" w:hAnsi="Arial" w:cs="Arial"/>
          <w:sz w:val="18"/>
        </w:rPr>
        <w:t xml:space="preserve">OVID-19 pandemic. During the three and six months ended June 30, 2021, the Company purchased 3,892,456 and 4,305,597 shares at an average price of $23.14 and $22.92 per share, respectively, including commissions. As of June 30, 2021, purchase authority of </w:t>
      </w:r>
      <w:r>
        <w:rPr>
          <w:rFonts w:ascii="Arial" w:eastAsia="Arial" w:hAnsi="Arial" w:cs="Arial"/>
          <w:sz w:val="18"/>
        </w:rPr>
        <w:t>up to $100.2 million remained available under this program.</w:t>
      </w:r>
    </w:p>
    <w:p w14:paraId="6628AE8C" w14:textId="77777777" w:rsidR="001614AC" w:rsidRDefault="004468F9">
      <w:pPr>
        <w:spacing w:before="100" w:after="100" w:line="288" w:lineRule="auto"/>
        <w:ind w:firstLine="450"/>
        <w:rPr>
          <w:b/>
          <w:color w:val="4D6B80"/>
          <w:sz w:val="16"/>
          <w:shd w:val="clear" w:color="auto" w:fill="FFFF00"/>
        </w:rPr>
      </w:pPr>
      <w:r>
        <w:rPr>
          <w:rFonts w:ascii="Arial" w:eastAsia="Arial" w:hAnsi="Arial" w:cs="Arial"/>
          <w:sz w:val="18"/>
        </w:rPr>
        <w:t>During July, the Company purchased 2,808,658 shares of its common stock under its share repurchase program at an average price of $21.86</w:t>
      </w:r>
      <w:r>
        <w:rPr>
          <w:rFonts w:ascii="Arial" w:eastAsia="Arial" w:hAnsi="Arial" w:cs="Arial"/>
          <w:sz w:val="18"/>
        </w:rPr>
        <w:t xml:space="preserve"> per share, including commissions. After giving consideration to these repurchases, purchase authority of up to $38.9 million remained available under this program.</w:t>
      </w:r>
    </w:p>
    <w:p w14:paraId="41BD194F" w14:textId="77777777" w:rsidR="001614AC" w:rsidRDefault="004468F9">
      <w:pPr>
        <w:keepNext/>
        <w:spacing w:before="180" w:after="140" w:line="288" w:lineRule="auto"/>
        <w:rPr>
          <w:rFonts w:ascii="Arial" w:eastAsia="Arial" w:hAnsi="Arial" w:cs="Arial"/>
          <w:b/>
          <w:color w:val="002B49"/>
          <w:sz w:val="26"/>
          <w:shd w:val="clear" w:color="auto" w:fill="FFFF00"/>
        </w:rPr>
      </w:pPr>
      <w:r>
        <w:rPr>
          <w:rFonts w:ascii="Arial" w:eastAsia="Arial" w:hAnsi="Arial" w:cs="Arial"/>
          <w:b/>
          <w:color w:val="002B49"/>
          <w:sz w:val="26"/>
        </w:rPr>
        <w:t>Other Purchases</w:t>
      </w:r>
    </w:p>
    <w:p w14:paraId="0E80CD7C" w14:textId="77777777" w:rsidR="001614AC" w:rsidRDefault="004468F9">
      <w:pPr>
        <w:spacing w:before="100" w:after="100" w:line="288" w:lineRule="auto"/>
        <w:ind w:firstLine="450"/>
        <w:rPr>
          <w:rFonts w:ascii="Arial" w:eastAsia="Arial" w:hAnsi="Arial" w:cs="Arial"/>
          <w:b/>
          <w:color w:val="4D6B80"/>
          <w:sz w:val="18"/>
        </w:rPr>
      </w:pPr>
      <w:r>
        <w:rPr>
          <w:rFonts w:ascii="Arial" w:eastAsia="Arial" w:hAnsi="Arial" w:cs="Arial"/>
          <w:sz w:val="18"/>
        </w:rPr>
        <w:t>We may purchase shares on the open market to settle stock options exercised</w:t>
      </w:r>
      <w:r>
        <w:rPr>
          <w:rFonts w:ascii="Arial" w:eastAsia="Arial" w:hAnsi="Arial" w:cs="Arial"/>
          <w:sz w:val="18"/>
        </w:rPr>
        <w:t xml:space="preserve"> by employees and purchases under the Amended and Restated Radian Group Inc. Employee Stock Purchase Plan. In addition, upon the vesting of certain restricted stock awards under our equity compensation plans, we may withhold from such vested awards shares </w:t>
      </w:r>
      <w:r>
        <w:rPr>
          <w:rFonts w:ascii="Arial" w:eastAsia="Arial" w:hAnsi="Arial" w:cs="Arial"/>
          <w:sz w:val="18"/>
        </w:rPr>
        <w:t>of our common stock to satisfy the tax liability of the award recipients.</w:t>
      </w:r>
    </w:p>
    <w:p w14:paraId="7E57C318" w14:textId="77777777" w:rsidR="001614AC" w:rsidRDefault="004468F9">
      <w:pPr>
        <w:keepNext/>
        <w:spacing w:before="180" w:after="140" w:line="288" w:lineRule="auto"/>
        <w:rPr>
          <w:rFonts w:ascii="Arial" w:eastAsia="Arial" w:hAnsi="Arial" w:cs="Arial"/>
          <w:b/>
          <w:color w:val="002B49"/>
          <w:sz w:val="26"/>
        </w:rPr>
      </w:pPr>
      <w:r>
        <w:rPr>
          <w:rFonts w:ascii="Arial" w:eastAsia="Arial" w:hAnsi="Arial" w:cs="Arial"/>
          <w:b/>
          <w:color w:val="002B49"/>
          <w:sz w:val="26"/>
        </w:rPr>
        <w:t>Dividends and Dividend Equivalents</w:t>
      </w:r>
    </w:p>
    <w:p w14:paraId="07E460A4" w14:textId="77777777" w:rsidR="001614AC" w:rsidRDefault="004468F9">
      <w:pPr>
        <w:spacing w:before="100" w:after="100" w:line="288" w:lineRule="auto"/>
        <w:ind w:firstLine="450"/>
        <w:rPr>
          <w:rFonts w:ascii="Arial" w:eastAsia="Arial" w:hAnsi="Arial" w:cs="Arial"/>
          <w:b/>
          <w:color w:val="4D6B80"/>
          <w:sz w:val="18"/>
        </w:rPr>
      </w:pPr>
      <w:r>
        <w:rPr>
          <w:rFonts w:ascii="Arial" w:eastAsia="Arial" w:hAnsi="Arial" w:cs="Arial"/>
          <w:sz w:val="18"/>
        </w:rPr>
        <w:t>During the first quarter of 2021 and each quarter of 2020, we declared quarterly cash dividends on our common stock equal to $0.125 per share. On M</w:t>
      </w:r>
      <w:r>
        <w:rPr>
          <w:rFonts w:ascii="Arial" w:eastAsia="Arial" w:hAnsi="Arial" w:cs="Arial"/>
          <w:sz w:val="18"/>
        </w:rPr>
        <w:t>ay 4, 2021, Radian Group’s board of directors authorized an increase to the Company’s quarterly dividend from $0.125 to $0.14 per share, beginning with the dividend declared in the second quarter of 2021.</w:t>
      </w:r>
    </w:p>
    <w:p w14:paraId="5F5C1CDD" w14:textId="77777777" w:rsidR="001614AC" w:rsidRDefault="004468F9">
      <w:pPr>
        <w:keepNext/>
        <w:spacing w:before="180" w:after="140" w:line="288" w:lineRule="auto"/>
        <w:rPr>
          <w:rFonts w:ascii="Arial" w:eastAsia="Arial" w:hAnsi="Arial" w:cs="Arial"/>
          <w:b/>
          <w:color w:val="002B49"/>
          <w:sz w:val="26"/>
        </w:rPr>
      </w:pPr>
      <w:r>
        <w:rPr>
          <w:rFonts w:ascii="Arial" w:eastAsia="Arial" w:hAnsi="Arial" w:cs="Arial"/>
          <w:b/>
          <w:color w:val="002B49"/>
          <w:sz w:val="26"/>
        </w:rPr>
        <w:t>Share-Based and Other Compensation Programs</w:t>
      </w:r>
    </w:p>
    <w:p w14:paraId="6BCC2758" w14:textId="77777777" w:rsidR="001614AC" w:rsidRDefault="004468F9">
      <w:pPr>
        <w:keepNext/>
        <w:spacing w:before="100" w:after="100" w:line="288" w:lineRule="auto"/>
        <w:ind w:firstLine="450"/>
        <w:rPr>
          <w:rFonts w:ascii="Arial" w:eastAsia="Arial" w:hAnsi="Arial" w:cs="Arial"/>
          <w:b/>
          <w:color w:val="4D6B80"/>
          <w:sz w:val="18"/>
        </w:rPr>
      </w:pPr>
      <w:r>
        <w:rPr>
          <w:rFonts w:ascii="Arial" w:eastAsia="Arial" w:hAnsi="Arial" w:cs="Arial"/>
          <w:sz w:val="18"/>
        </w:rPr>
        <w:t xml:space="preserve">During </w:t>
      </w:r>
      <w:r>
        <w:rPr>
          <w:rFonts w:ascii="Arial" w:eastAsia="Arial" w:hAnsi="Arial" w:cs="Arial"/>
          <w:sz w:val="18"/>
        </w:rPr>
        <w:t>the second quarter of 2021, executive and non-executive officers were granted time-vested and performance-based RSUs to be settled in common stock. The maximum payout of performance-based RSUs at the end of the three-year performance period is 200% of a gr</w:t>
      </w:r>
      <w:r>
        <w:rPr>
          <w:rFonts w:ascii="Arial" w:eastAsia="Arial" w:hAnsi="Arial" w:cs="Arial"/>
          <w:sz w:val="18"/>
        </w:rPr>
        <w:t>antee’s target number of RSUs granted. The vesting of the performance-based RSUs granted to executive and non-executive officers is based upon the cumulative growth in Radian’s book value per share, adjusted for certain defined items, over a three-year per</w:t>
      </w:r>
      <w:r>
        <w:rPr>
          <w:rFonts w:ascii="Arial" w:eastAsia="Arial" w:hAnsi="Arial" w:cs="Arial"/>
          <w:sz w:val="18"/>
        </w:rPr>
        <w:t>formance period. Performance-based RSUs granted to executive officers are subject to a one-year post vesting holding period.</w:t>
      </w:r>
    </w:p>
    <w:p w14:paraId="120E4BBD" w14:textId="77777777" w:rsidR="001614AC" w:rsidRDefault="004468F9">
      <w:pPr>
        <w:spacing w:before="100" w:after="100" w:line="288" w:lineRule="auto"/>
        <w:ind w:firstLine="450"/>
        <w:rPr>
          <w:rFonts w:ascii="Arial" w:eastAsia="Arial" w:hAnsi="Arial" w:cs="Arial"/>
          <w:b/>
          <w:color w:val="4D6B80"/>
          <w:sz w:val="18"/>
        </w:rPr>
      </w:pPr>
      <w:r>
        <w:rPr>
          <w:rFonts w:ascii="Arial" w:eastAsia="Arial" w:hAnsi="Arial" w:cs="Arial"/>
          <w:sz w:val="18"/>
        </w:rPr>
        <w:t xml:space="preserve">The time-vested RSU awards granted to executive and non-executive officers in 2021 generally vest in pro rata installments on each </w:t>
      </w:r>
      <w:r>
        <w:rPr>
          <w:rFonts w:ascii="Arial" w:eastAsia="Arial" w:hAnsi="Arial" w:cs="Arial"/>
          <w:sz w:val="18"/>
        </w:rPr>
        <w:t>of the first three anniversaries of the grant date. In addition, time-vested RSU awards were also granted to non-employee directors and generally are subject to one-year cliff vesting. See Note 17 of Notes to Consolidated Financial Statements in our 2020 F</w:t>
      </w:r>
      <w:r>
        <w:rPr>
          <w:rFonts w:ascii="Arial" w:eastAsia="Arial" w:hAnsi="Arial" w:cs="Arial"/>
          <w:sz w:val="18"/>
        </w:rPr>
        <w:t>orm 10-K for additional information regarding the Company’s share-based and other compensation programs.</w:t>
      </w:r>
    </w:p>
    <w:p w14:paraId="497C535F" w14:textId="77777777" w:rsidR="001614AC" w:rsidRDefault="004468F9">
      <w:pPr>
        <w:keepNext/>
        <w:spacing w:before="100" w:after="100" w:line="288" w:lineRule="auto"/>
        <w:ind w:firstLine="450"/>
        <w:rPr>
          <w:rFonts w:ascii="Arial" w:eastAsia="Arial" w:hAnsi="Arial" w:cs="Arial"/>
          <w:b/>
          <w:color w:val="4D6B80"/>
          <w:sz w:val="18"/>
        </w:rPr>
      </w:pPr>
      <w:r>
        <w:rPr>
          <w:rFonts w:ascii="Arial" w:eastAsia="Arial" w:hAnsi="Arial" w:cs="Arial"/>
          <w:sz w:val="18"/>
        </w:rPr>
        <w:lastRenderedPageBreak/>
        <w:t>Information with regard to RSUs to be settled in stock for periods indicated is as follows.</w:t>
      </w:r>
    </w:p>
    <w:tbl>
      <w:tblPr>
        <w:tblW w:w="10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31"/>
        <w:gridCol w:w="107"/>
        <w:gridCol w:w="1321"/>
        <w:gridCol w:w="102"/>
        <w:gridCol w:w="107"/>
        <w:gridCol w:w="163"/>
        <w:gridCol w:w="1265"/>
        <w:gridCol w:w="102"/>
        <w:gridCol w:w="107"/>
        <w:gridCol w:w="1321"/>
        <w:gridCol w:w="102"/>
        <w:gridCol w:w="107"/>
        <w:gridCol w:w="163"/>
        <w:gridCol w:w="1265"/>
        <w:gridCol w:w="102"/>
      </w:tblGrid>
      <w:tr w:rsidR="001614AC" w14:paraId="63D14394" w14:textId="77777777">
        <w:trPr>
          <w:cantSplit/>
          <w:trHeight w:hRule="exact" w:val="285"/>
        </w:trPr>
        <w:tc>
          <w:tcPr>
            <w:tcW w:w="10260" w:type="dxa"/>
            <w:gridSpan w:val="15"/>
            <w:tcBorders>
              <w:top w:val="nil"/>
              <w:left w:val="nil"/>
              <w:bottom w:val="single" w:sz="12" w:space="0" w:color="99AAB6"/>
              <w:right w:val="nil"/>
            </w:tcBorders>
            <w:tcMar>
              <w:top w:w="0" w:type="dxa"/>
              <w:left w:w="53" w:type="dxa"/>
              <w:bottom w:w="0" w:type="dxa"/>
              <w:right w:w="53" w:type="dxa"/>
            </w:tcMar>
            <w:vAlign w:val="bottom"/>
          </w:tcPr>
          <w:p w14:paraId="419748D1" w14:textId="77777777" w:rsidR="001614AC" w:rsidRDefault="004468F9">
            <w:pPr>
              <w:keepNext/>
              <w:spacing w:before="75" w:after="30" w:line="288" w:lineRule="auto"/>
              <w:rPr>
                <w:rFonts w:ascii="Arial" w:eastAsia="Arial" w:hAnsi="Arial" w:cs="Arial"/>
                <w:b/>
                <w:sz w:val="20"/>
              </w:rPr>
            </w:pPr>
            <w:r>
              <w:rPr>
                <w:rFonts w:ascii="Arial" w:eastAsia="Arial" w:hAnsi="Arial" w:cs="Arial"/>
                <w:b/>
                <w:sz w:val="20"/>
              </w:rPr>
              <w:t>Rollforward of RSUs</w:t>
            </w:r>
          </w:p>
        </w:tc>
      </w:tr>
      <w:tr w:rsidR="001614AC" w14:paraId="16BF1D32" w14:textId="77777777">
        <w:trPr>
          <w:cantSplit/>
          <w:trHeight w:hRule="exact" w:val="135"/>
        </w:trPr>
        <w:tc>
          <w:tcPr>
            <w:tcW w:w="4050" w:type="dxa"/>
            <w:tcBorders>
              <w:top w:val="nil"/>
              <w:left w:val="nil"/>
              <w:bottom w:val="nil"/>
              <w:right w:val="nil"/>
            </w:tcBorders>
            <w:tcMar>
              <w:top w:w="0" w:type="dxa"/>
              <w:left w:w="0" w:type="dxa"/>
              <w:bottom w:w="0" w:type="dxa"/>
              <w:right w:w="0" w:type="dxa"/>
            </w:tcMar>
            <w:vAlign w:val="bottom"/>
          </w:tcPr>
          <w:p w14:paraId="6E1A73CF" w14:textId="77777777" w:rsidR="001614AC" w:rsidRDefault="001614AC">
            <w:pPr>
              <w:keepNext/>
            </w:pPr>
          </w:p>
        </w:tc>
        <w:tc>
          <w:tcPr>
            <w:tcW w:w="105" w:type="dxa"/>
            <w:tcBorders>
              <w:top w:val="single" w:sz="12" w:space="0" w:color="99AAB6"/>
              <w:left w:val="nil"/>
              <w:bottom w:val="nil"/>
              <w:right w:val="nil"/>
            </w:tcBorders>
            <w:tcMar>
              <w:top w:w="0" w:type="dxa"/>
              <w:left w:w="0" w:type="dxa"/>
              <w:bottom w:w="0" w:type="dxa"/>
              <w:right w:w="0" w:type="dxa"/>
            </w:tcMar>
            <w:vAlign w:val="bottom"/>
          </w:tcPr>
          <w:p w14:paraId="07D9AD63" w14:textId="77777777" w:rsidR="001614AC" w:rsidRDefault="001614AC">
            <w:pPr>
              <w:keepNext/>
            </w:pPr>
          </w:p>
        </w:tc>
        <w:tc>
          <w:tcPr>
            <w:tcW w:w="1395" w:type="dxa"/>
            <w:gridSpan w:val="2"/>
            <w:tcBorders>
              <w:top w:val="single" w:sz="12" w:space="0" w:color="99AAB6"/>
              <w:left w:val="nil"/>
              <w:bottom w:val="nil"/>
              <w:right w:val="nil"/>
            </w:tcBorders>
            <w:tcMar>
              <w:top w:w="0" w:type="dxa"/>
              <w:left w:w="0" w:type="dxa"/>
              <w:bottom w:w="0" w:type="dxa"/>
              <w:right w:w="0" w:type="dxa"/>
            </w:tcMar>
            <w:vAlign w:val="bottom"/>
          </w:tcPr>
          <w:p w14:paraId="44DD52B5" w14:textId="77777777" w:rsidR="001614AC" w:rsidRDefault="001614AC">
            <w:pPr>
              <w:keepNext/>
            </w:pPr>
          </w:p>
        </w:tc>
        <w:tc>
          <w:tcPr>
            <w:tcW w:w="105" w:type="dxa"/>
            <w:tcBorders>
              <w:top w:val="single" w:sz="12" w:space="0" w:color="99AAB6"/>
              <w:left w:val="nil"/>
              <w:bottom w:val="nil"/>
              <w:right w:val="nil"/>
            </w:tcBorders>
            <w:tcMar>
              <w:top w:w="0" w:type="dxa"/>
              <w:left w:w="0" w:type="dxa"/>
              <w:bottom w:w="0" w:type="dxa"/>
              <w:right w:w="0" w:type="dxa"/>
            </w:tcMar>
            <w:vAlign w:val="bottom"/>
          </w:tcPr>
          <w:p w14:paraId="79BAB5E1" w14:textId="77777777" w:rsidR="001614AC" w:rsidRDefault="001614AC">
            <w:pPr>
              <w:keepNext/>
            </w:pPr>
          </w:p>
        </w:tc>
        <w:tc>
          <w:tcPr>
            <w:tcW w:w="1500" w:type="dxa"/>
            <w:gridSpan w:val="3"/>
            <w:tcBorders>
              <w:top w:val="single" w:sz="12" w:space="0" w:color="99AAB6"/>
              <w:left w:val="nil"/>
              <w:bottom w:val="nil"/>
              <w:right w:val="nil"/>
            </w:tcBorders>
            <w:tcMar>
              <w:top w:w="0" w:type="dxa"/>
              <w:left w:w="0" w:type="dxa"/>
              <w:bottom w:w="0" w:type="dxa"/>
              <w:right w:w="0" w:type="dxa"/>
            </w:tcMar>
            <w:vAlign w:val="bottom"/>
          </w:tcPr>
          <w:p w14:paraId="0AE06790" w14:textId="77777777" w:rsidR="001614AC" w:rsidRDefault="001614AC">
            <w:pPr>
              <w:keepNext/>
            </w:pPr>
          </w:p>
        </w:tc>
        <w:tc>
          <w:tcPr>
            <w:tcW w:w="105" w:type="dxa"/>
            <w:tcBorders>
              <w:top w:val="single" w:sz="12" w:space="0" w:color="99AAB6"/>
              <w:left w:val="nil"/>
              <w:bottom w:val="nil"/>
              <w:right w:val="nil"/>
            </w:tcBorders>
            <w:tcMar>
              <w:top w:w="0" w:type="dxa"/>
              <w:left w:w="0" w:type="dxa"/>
              <w:bottom w:w="0" w:type="dxa"/>
              <w:right w:w="0" w:type="dxa"/>
            </w:tcMar>
            <w:vAlign w:val="bottom"/>
          </w:tcPr>
          <w:p w14:paraId="5DF1A54D" w14:textId="77777777" w:rsidR="001614AC" w:rsidRDefault="001614AC">
            <w:pPr>
              <w:keepNext/>
            </w:pPr>
          </w:p>
        </w:tc>
        <w:tc>
          <w:tcPr>
            <w:tcW w:w="1395" w:type="dxa"/>
            <w:gridSpan w:val="2"/>
            <w:tcBorders>
              <w:top w:val="single" w:sz="12" w:space="0" w:color="99AAB6"/>
              <w:left w:val="nil"/>
              <w:bottom w:val="nil"/>
              <w:right w:val="nil"/>
            </w:tcBorders>
            <w:tcMar>
              <w:top w:w="0" w:type="dxa"/>
              <w:left w:w="0" w:type="dxa"/>
              <w:bottom w:w="0" w:type="dxa"/>
              <w:right w:w="0" w:type="dxa"/>
            </w:tcMar>
            <w:vAlign w:val="bottom"/>
          </w:tcPr>
          <w:p w14:paraId="1A5F5856" w14:textId="77777777" w:rsidR="001614AC" w:rsidRDefault="001614AC">
            <w:pPr>
              <w:keepNext/>
            </w:pPr>
          </w:p>
        </w:tc>
        <w:tc>
          <w:tcPr>
            <w:tcW w:w="105" w:type="dxa"/>
            <w:tcBorders>
              <w:top w:val="single" w:sz="12" w:space="0" w:color="99AAB6"/>
              <w:left w:val="nil"/>
              <w:bottom w:val="nil"/>
              <w:right w:val="nil"/>
            </w:tcBorders>
            <w:tcMar>
              <w:top w:w="0" w:type="dxa"/>
              <w:left w:w="0" w:type="dxa"/>
              <w:bottom w:w="0" w:type="dxa"/>
              <w:right w:w="0" w:type="dxa"/>
            </w:tcMar>
            <w:vAlign w:val="bottom"/>
          </w:tcPr>
          <w:p w14:paraId="56CC9B28" w14:textId="77777777" w:rsidR="001614AC" w:rsidRDefault="001614AC">
            <w:pPr>
              <w:keepNext/>
            </w:pPr>
          </w:p>
        </w:tc>
        <w:tc>
          <w:tcPr>
            <w:tcW w:w="1500" w:type="dxa"/>
            <w:gridSpan w:val="3"/>
            <w:tcBorders>
              <w:top w:val="single" w:sz="12" w:space="0" w:color="99AAB6"/>
              <w:left w:val="nil"/>
              <w:bottom w:val="nil"/>
              <w:right w:val="nil"/>
            </w:tcBorders>
            <w:tcMar>
              <w:top w:w="0" w:type="dxa"/>
              <w:left w:w="0" w:type="dxa"/>
              <w:bottom w:w="0" w:type="dxa"/>
              <w:right w:w="0" w:type="dxa"/>
            </w:tcMar>
            <w:vAlign w:val="bottom"/>
          </w:tcPr>
          <w:p w14:paraId="0269250D" w14:textId="77777777" w:rsidR="001614AC" w:rsidRDefault="001614AC">
            <w:pPr>
              <w:keepNext/>
            </w:pPr>
          </w:p>
        </w:tc>
      </w:tr>
      <w:tr w:rsidR="001614AC" w14:paraId="42330EDD" w14:textId="77777777">
        <w:trPr>
          <w:cantSplit/>
          <w:trHeight w:hRule="exact" w:val="285"/>
        </w:trPr>
        <w:tc>
          <w:tcPr>
            <w:tcW w:w="4050" w:type="dxa"/>
            <w:tcBorders>
              <w:top w:val="nil"/>
              <w:left w:val="nil"/>
              <w:bottom w:val="nil"/>
              <w:right w:val="nil"/>
            </w:tcBorders>
            <w:tcMar>
              <w:top w:w="0" w:type="dxa"/>
              <w:left w:w="0" w:type="dxa"/>
              <w:bottom w:w="0" w:type="dxa"/>
              <w:right w:w="0" w:type="dxa"/>
            </w:tcMar>
            <w:vAlign w:val="bottom"/>
          </w:tcPr>
          <w:p w14:paraId="3CCFC6DB" w14:textId="77777777" w:rsidR="001614AC" w:rsidRDefault="001614AC">
            <w:pPr>
              <w:keepNext/>
            </w:pPr>
          </w:p>
        </w:tc>
        <w:tc>
          <w:tcPr>
            <w:tcW w:w="105" w:type="dxa"/>
            <w:tcBorders>
              <w:top w:val="nil"/>
              <w:left w:val="nil"/>
              <w:bottom w:val="nil"/>
              <w:right w:val="nil"/>
            </w:tcBorders>
            <w:tcMar>
              <w:top w:w="0" w:type="dxa"/>
              <w:left w:w="0" w:type="dxa"/>
              <w:bottom w:w="0" w:type="dxa"/>
              <w:right w:w="0" w:type="dxa"/>
            </w:tcMar>
            <w:vAlign w:val="bottom"/>
          </w:tcPr>
          <w:p w14:paraId="0A0C992D" w14:textId="77777777" w:rsidR="001614AC" w:rsidRDefault="001614AC">
            <w:pPr>
              <w:keepNext/>
            </w:pPr>
          </w:p>
        </w:tc>
        <w:tc>
          <w:tcPr>
            <w:tcW w:w="3000" w:type="dxa"/>
            <w:gridSpan w:val="6"/>
            <w:tcBorders>
              <w:top w:val="nil"/>
              <w:left w:val="nil"/>
              <w:bottom w:val="nil"/>
              <w:right w:val="nil"/>
            </w:tcBorders>
            <w:tcMar>
              <w:top w:w="0" w:type="dxa"/>
              <w:left w:w="53" w:type="dxa"/>
              <w:bottom w:w="0" w:type="dxa"/>
              <w:right w:w="53" w:type="dxa"/>
            </w:tcMar>
            <w:vAlign w:val="bottom"/>
          </w:tcPr>
          <w:p w14:paraId="205D101E" w14:textId="77777777" w:rsidR="001614AC" w:rsidRDefault="004468F9">
            <w:pPr>
              <w:keepNext/>
              <w:spacing w:before="75" w:after="30" w:line="288" w:lineRule="auto"/>
              <w:jc w:val="center"/>
            </w:pPr>
            <w:r>
              <w:rPr>
                <w:rFonts w:ascii="Arial" w:eastAsia="Arial" w:hAnsi="Arial" w:cs="Arial"/>
                <w:b/>
                <w:color w:val="000000"/>
                <w:sz w:val="18"/>
              </w:rPr>
              <w:t xml:space="preserve">Performance-Based </w:t>
            </w:r>
          </w:p>
        </w:tc>
        <w:tc>
          <w:tcPr>
            <w:tcW w:w="105" w:type="dxa"/>
            <w:tcBorders>
              <w:top w:val="nil"/>
              <w:left w:val="nil"/>
              <w:bottom w:val="nil"/>
              <w:right w:val="nil"/>
            </w:tcBorders>
            <w:tcMar>
              <w:top w:w="0" w:type="dxa"/>
              <w:left w:w="0" w:type="dxa"/>
              <w:bottom w:w="0" w:type="dxa"/>
              <w:right w:w="0" w:type="dxa"/>
            </w:tcMar>
            <w:vAlign w:val="bottom"/>
          </w:tcPr>
          <w:p w14:paraId="2D400E4A" w14:textId="77777777" w:rsidR="001614AC" w:rsidRDefault="001614AC">
            <w:pPr>
              <w:keepNext/>
            </w:pPr>
          </w:p>
        </w:tc>
        <w:tc>
          <w:tcPr>
            <w:tcW w:w="3000" w:type="dxa"/>
            <w:gridSpan w:val="6"/>
            <w:tcBorders>
              <w:top w:val="nil"/>
              <w:left w:val="nil"/>
              <w:bottom w:val="nil"/>
              <w:right w:val="nil"/>
            </w:tcBorders>
            <w:tcMar>
              <w:top w:w="0" w:type="dxa"/>
              <w:left w:w="53" w:type="dxa"/>
              <w:bottom w:w="0" w:type="dxa"/>
              <w:right w:w="53" w:type="dxa"/>
            </w:tcMar>
            <w:vAlign w:val="bottom"/>
          </w:tcPr>
          <w:p w14:paraId="0D70F9FD" w14:textId="77777777" w:rsidR="001614AC" w:rsidRDefault="004468F9">
            <w:pPr>
              <w:keepNext/>
              <w:spacing w:before="75" w:after="30" w:line="288" w:lineRule="auto"/>
              <w:jc w:val="center"/>
            </w:pPr>
            <w:r>
              <w:rPr>
                <w:rFonts w:ascii="Arial" w:eastAsia="Arial" w:hAnsi="Arial" w:cs="Arial"/>
                <w:b/>
                <w:color w:val="000000"/>
                <w:sz w:val="18"/>
              </w:rPr>
              <w:t>Time-Vested</w:t>
            </w:r>
          </w:p>
        </w:tc>
      </w:tr>
      <w:tr w:rsidR="001614AC" w14:paraId="79C58782" w14:textId="77777777">
        <w:trPr>
          <w:cantSplit/>
          <w:trHeight w:hRule="exact" w:val="720"/>
        </w:trPr>
        <w:tc>
          <w:tcPr>
            <w:tcW w:w="4050" w:type="dxa"/>
            <w:tcBorders>
              <w:top w:val="nil"/>
              <w:left w:val="nil"/>
              <w:bottom w:val="single" w:sz="8" w:space="0" w:color="C7C9C7"/>
              <w:right w:val="nil"/>
            </w:tcBorders>
            <w:tcMar>
              <w:top w:w="0" w:type="dxa"/>
              <w:left w:w="0" w:type="dxa"/>
              <w:bottom w:w="0" w:type="dxa"/>
              <w:right w:w="0" w:type="dxa"/>
            </w:tcMar>
            <w:vAlign w:val="bottom"/>
          </w:tcPr>
          <w:p w14:paraId="3BCE17B7" w14:textId="77777777" w:rsidR="001614AC" w:rsidRDefault="001614AC">
            <w:pPr>
              <w:keepNext/>
            </w:pPr>
          </w:p>
        </w:tc>
        <w:tc>
          <w:tcPr>
            <w:tcW w:w="105" w:type="dxa"/>
            <w:tcBorders>
              <w:top w:val="nil"/>
              <w:left w:val="nil"/>
              <w:bottom w:val="single" w:sz="8" w:space="0" w:color="C7C9C7"/>
              <w:right w:val="nil"/>
            </w:tcBorders>
            <w:tcMar>
              <w:top w:w="0" w:type="dxa"/>
              <w:left w:w="0" w:type="dxa"/>
              <w:bottom w:w="0" w:type="dxa"/>
              <w:right w:w="0" w:type="dxa"/>
            </w:tcMar>
            <w:vAlign w:val="bottom"/>
          </w:tcPr>
          <w:p w14:paraId="6C70A2BE" w14:textId="77777777" w:rsidR="001614AC" w:rsidRDefault="001614AC">
            <w:pPr>
              <w:keepNext/>
            </w:pPr>
          </w:p>
        </w:tc>
        <w:tc>
          <w:tcPr>
            <w:tcW w:w="1395" w:type="dxa"/>
            <w:gridSpan w:val="2"/>
            <w:tcBorders>
              <w:top w:val="nil"/>
              <w:left w:val="nil"/>
              <w:bottom w:val="single" w:sz="8" w:space="0" w:color="C7C9C7"/>
              <w:right w:val="nil"/>
            </w:tcBorders>
            <w:shd w:val="clear" w:color="auto" w:fill="F4F4F4"/>
            <w:tcMar>
              <w:top w:w="0" w:type="dxa"/>
              <w:left w:w="53" w:type="dxa"/>
              <w:bottom w:w="0" w:type="dxa"/>
              <w:right w:w="53" w:type="dxa"/>
            </w:tcMar>
            <w:vAlign w:val="bottom"/>
          </w:tcPr>
          <w:p w14:paraId="38203601" w14:textId="77777777" w:rsidR="001614AC" w:rsidRDefault="004468F9">
            <w:pPr>
              <w:keepNext/>
              <w:spacing w:before="75" w:after="30" w:line="288" w:lineRule="auto"/>
              <w:jc w:val="center"/>
            </w:pPr>
            <w:r>
              <w:rPr>
                <w:rFonts w:ascii="Arial" w:eastAsia="Arial" w:hAnsi="Arial" w:cs="Arial"/>
                <w:b/>
                <w:color w:val="000000"/>
                <w:sz w:val="18"/>
              </w:rPr>
              <w:t>Number of Shares</w:t>
            </w:r>
          </w:p>
        </w:tc>
        <w:tc>
          <w:tcPr>
            <w:tcW w:w="105" w:type="dxa"/>
            <w:tcBorders>
              <w:top w:val="nil"/>
              <w:left w:val="nil"/>
              <w:bottom w:val="single" w:sz="8" w:space="0" w:color="C7C9C7"/>
              <w:right w:val="nil"/>
            </w:tcBorders>
            <w:tcMar>
              <w:top w:w="0" w:type="dxa"/>
              <w:left w:w="0" w:type="dxa"/>
              <w:bottom w:w="0" w:type="dxa"/>
              <w:right w:w="0" w:type="dxa"/>
            </w:tcMar>
            <w:vAlign w:val="bottom"/>
          </w:tcPr>
          <w:p w14:paraId="46C49C41" w14:textId="77777777" w:rsidR="001614AC" w:rsidRDefault="001614AC">
            <w:pPr>
              <w:keepNext/>
            </w:pPr>
          </w:p>
        </w:tc>
        <w:tc>
          <w:tcPr>
            <w:tcW w:w="1500" w:type="dxa"/>
            <w:gridSpan w:val="3"/>
            <w:tcBorders>
              <w:top w:val="nil"/>
              <w:left w:val="nil"/>
              <w:bottom w:val="single" w:sz="8" w:space="0" w:color="C7C9C7"/>
              <w:right w:val="nil"/>
            </w:tcBorders>
            <w:shd w:val="clear" w:color="auto" w:fill="F4F4F4"/>
            <w:tcMar>
              <w:top w:w="0" w:type="dxa"/>
              <w:left w:w="53" w:type="dxa"/>
              <w:bottom w:w="0" w:type="dxa"/>
              <w:right w:w="53" w:type="dxa"/>
            </w:tcMar>
            <w:vAlign w:val="bottom"/>
          </w:tcPr>
          <w:p w14:paraId="7FAB45EC" w14:textId="77777777" w:rsidR="001614AC" w:rsidRDefault="004468F9">
            <w:pPr>
              <w:keepNext/>
              <w:spacing w:before="75" w:after="30" w:line="288" w:lineRule="auto"/>
              <w:jc w:val="center"/>
            </w:pPr>
            <w:r>
              <w:rPr>
                <w:rFonts w:ascii="Arial" w:eastAsia="Arial" w:hAnsi="Arial" w:cs="Arial"/>
                <w:b/>
                <w:color w:val="000000"/>
                <w:sz w:val="18"/>
              </w:rPr>
              <w:t>Weighted-Average Grant Date Fair Value</w:t>
            </w:r>
          </w:p>
        </w:tc>
        <w:tc>
          <w:tcPr>
            <w:tcW w:w="105" w:type="dxa"/>
            <w:tcBorders>
              <w:top w:val="nil"/>
              <w:left w:val="nil"/>
              <w:bottom w:val="single" w:sz="8" w:space="0" w:color="C7C9C7"/>
              <w:right w:val="nil"/>
            </w:tcBorders>
            <w:tcMar>
              <w:top w:w="0" w:type="dxa"/>
              <w:left w:w="0" w:type="dxa"/>
              <w:bottom w:w="0" w:type="dxa"/>
              <w:right w:w="0" w:type="dxa"/>
            </w:tcMar>
            <w:vAlign w:val="bottom"/>
          </w:tcPr>
          <w:p w14:paraId="68A6668B" w14:textId="77777777" w:rsidR="001614AC" w:rsidRDefault="001614AC">
            <w:pPr>
              <w:keepNext/>
            </w:pPr>
          </w:p>
        </w:tc>
        <w:tc>
          <w:tcPr>
            <w:tcW w:w="1395" w:type="dxa"/>
            <w:gridSpan w:val="2"/>
            <w:tcBorders>
              <w:top w:val="nil"/>
              <w:left w:val="nil"/>
              <w:bottom w:val="single" w:sz="8" w:space="0" w:color="C7C9C7"/>
              <w:right w:val="nil"/>
            </w:tcBorders>
            <w:shd w:val="clear" w:color="auto" w:fill="F4F4F4"/>
            <w:tcMar>
              <w:top w:w="0" w:type="dxa"/>
              <w:left w:w="53" w:type="dxa"/>
              <w:bottom w:w="0" w:type="dxa"/>
              <w:right w:w="53" w:type="dxa"/>
            </w:tcMar>
            <w:vAlign w:val="bottom"/>
          </w:tcPr>
          <w:p w14:paraId="52B8CD6B" w14:textId="77777777" w:rsidR="001614AC" w:rsidRDefault="004468F9">
            <w:pPr>
              <w:keepNext/>
              <w:spacing w:before="75" w:after="30" w:line="288" w:lineRule="auto"/>
              <w:jc w:val="center"/>
            </w:pPr>
            <w:r>
              <w:rPr>
                <w:rFonts w:ascii="Arial" w:eastAsia="Arial" w:hAnsi="Arial" w:cs="Arial"/>
                <w:b/>
                <w:color w:val="000000"/>
                <w:sz w:val="18"/>
              </w:rPr>
              <w:t>Number of Shares</w:t>
            </w:r>
          </w:p>
        </w:tc>
        <w:tc>
          <w:tcPr>
            <w:tcW w:w="105" w:type="dxa"/>
            <w:tcBorders>
              <w:top w:val="nil"/>
              <w:left w:val="nil"/>
              <w:bottom w:val="single" w:sz="8" w:space="0" w:color="C7C9C7"/>
              <w:right w:val="nil"/>
            </w:tcBorders>
            <w:tcMar>
              <w:top w:w="0" w:type="dxa"/>
              <w:left w:w="0" w:type="dxa"/>
              <w:bottom w:w="0" w:type="dxa"/>
              <w:right w:w="0" w:type="dxa"/>
            </w:tcMar>
            <w:vAlign w:val="bottom"/>
          </w:tcPr>
          <w:p w14:paraId="16AD636E" w14:textId="77777777" w:rsidR="001614AC" w:rsidRDefault="001614AC">
            <w:pPr>
              <w:keepNext/>
            </w:pPr>
          </w:p>
        </w:tc>
        <w:tc>
          <w:tcPr>
            <w:tcW w:w="1500" w:type="dxa"/>
            <w:gridSpan w:val="3"/>
            <w:tcBorders>
              <w:top w:val="nil"/>
              <w:left w:val="nil"/>
              <w:bottom w:val="single" w:sz="8" w:space="0" w:color="C7C9C7"/>
              <w:right w:val="nil"/>
            </w:tcBorders>
            <w:shd w:val="clear" w:color="auto" w:fill="F4F4F4"/>
            <w:tcMar>
              <w:top w:w="0" w:type="dxa"/>
              <w:left w:w="53" w:type="dxa"/>
              <w:bottom w:w="0" w:type="dxa"/>
              <w:right w:w="53" w:type="dxa"/>
            </w:tcMar>
            <w:vAlign w:val="bottom"/>
          </w:tcPr>
          <w:p w14:paraId="14CC3979" w14:textId="77777777" w:rsidR="001614AC" w:rsidRDefault="004468F9">
            <w:pPr>
              <w:keepNext/>
              <w:spacing w:before="75" w:after="30" w:line="288" w:lineRule="auto"/>
              <w:jc w:val="center"/>
            </w:pPr>
            <w:r>
              <w:rPr>
                <w:rFonts w:ascii="Arial" w:eastAsia="Arial" w:hAnsi="Arial" w:cs="Arial"/>
                <w:b/>
                <w:color w:val="000000"/>
                <w:sz w:val="18"/>
              </w:rPr>
              <w:t>Weighted-Average Grant Date Fair Value</w:t>
            </w:r>
          </w:p>
        </w:tc>
      </w:tr>
      <w:tr w:rsidR="001614AC" w14:paraId="290B7048" w14:textId="77777777">
        <w:trPr>
          <w:cantSplit/>
          <w:trHeight w:hRule="exact" w:val="285"/>
        </w:trPr>
        <w:tc>
          <w:tcPr>
            <w:tcW w:w="4050" w:type="dxa"/>
            <w:tcBorders>
              <w:top w:val="single" w:sz="8" w:space="0" w:color="C7C9C7"/>
              <w:left w:val="nil"/>
              <w:bottom w:val="single" w:sz="8" w:space="0" w:color="E9E9E9"/>
              <w:right w:val="nil"/>
            </w:tcBorders>
            <w:tcMar>
              <w:top w:w="0" w:type="dxa"/>
              <w:left w:w="53" w:type="dxa"/>
              <w:bottom w:w="0" w:type="dxa"/>
              <w:right w:w="53" w:type="dxa"/>
            </w:tcMar>
            <w:vAlign w:val="bottom"/>
          </w:tcPr>
          <w:p w14:paraId="29EC7B0B" w14:textId="77777777" w:rsidR="001614AC" w:rsidRDefault="004468F9">
            <w:pPr>
              <w:keepNext/>
              <w:spacing w:before="55" w:after="30" w:line="288" w:lineRule="auto"/>
              <w:rPr>
                <w:rFonts w:ascii="Arial" w:eastAsia="Arial" w:hAnsi="Arial" w:cs="Arial"/>
                <w:sz w:val="18"/>
              </w:rPr>
            </w:pPr>
            <w:r>
              <w:rPr>
                <w:rFonts w:ascii="Arial" w:eastAsia="Arial" w:hAnsi="Arial" w:cs="Arial"/>
                <w:sz w:val="18"/>
              </w:rPr>
              <w:t xml:space="preserve">Outstanding, December 31, 2020 </w:t>
            </w:r>
            <w:r>
              <w:rPr>
                <w:rFonts w:ascii="Arial" w:eastAsia="Arial" w:hAnsi="Arial" w:cs="Arial"/>
                <w:sz w:val="18"/>
                <w:vertAlign w:val="superscript"/>
              </w:rPr>
              <w:t>(1)</w:t>
            </w:r>
          </w:p>
        </w:tc>
        <w:tc>
          <w:tcPr>
            <w:tcW w:w="105" w:type="dxa"/>
            <w:tcBorders>
              <w:top w:val="single" w:sz="8" w:space="0" w:color="C7C9C7"/>
              <w:left w:val="nil"/>
              <w:bottom w:val="nil"/>
              <w:right w:val="nil"/>
            </w:tcBorders>
            <w:tcMar>
              <w:top w:w="0" w:type="dxa"/>
              <w:left w:w="0" w:type="dxa"/>
              <w:bottom w:w="0" w:type="dxa"/>
              <w:right w:w="0" w:type="dxa"/>
            </w:tcMar>
            <w:vAlign w:val="bottom"/>
          </w:tcPr>
          <w:p w14:paraId="70390F5D" w14:textId="77777777" w:rsidR="001614AC" w:rsidRDefault="001614AC">
            <w:pPr>
              <w:keepNext/>
            </w:pPr>
          </w:p>
        </w:tc>
        <w:tc>
          <w:tcPr>
            <w:tcW w:w="1295" w:type="dxa"/>
            <w:tcBorders>
              <w:top w:val="single" w:sz="8" w:space="0" w:color="C7C9C7"/>
              <w:left w:val="nil"/>
              <w:bottom w:val="single" w:sz="8" w:space="0" w:color="E9E9E9"/>
              <w:right w:val="nil"/>
            </w:tcBorders>
            <w:tcMar>
              <w:top w:w="0" w:type="dxa"/>
              <w:left w:w="53" w:type="dxa"/>
              <w:bottom w:w="0" w:type="dxa"/>
              <w:right w:w="0" w:type="dxa"/>
            </w:tcMar>
            <w:vAlign w:val="bottom"/>
          </w:tcPr>
          <w:p w14:paraId="580F4FBB" w14:textId="77777777" w:rsidR="001614AC" w:rsidRDefault="004468F9">
            <w:pPr>
              <w:keepNext/>
              <w:spacing w:before="55" w:after="30" w:line="288" w:lineRule="auto"/>
              <w:jc w:val="right"/>
            </w:pPr>
            <w:r>
              <w:rPr>
                <w:rFonts w:ascii="Arial" w:eastAsia="Arial" w:hAnsi="Arial" w:cs="Arial"/>
                <w:color w:val="000000"/>
                <w:sz w:val="18"/>
              </w:rPr>
              <w:t>2,186,244 </w:t>
            </w:r>
          </w:p>
        </w:tc>
        <w:tc>
          <w:tcPr>
            <w:tcW w:w="100" w:type="dxa"/>
            <w:tcBorders>
              <w:top w:val="single" w:sz="8" w:space="0" w:color="C7C9C7"/>
              <w:left w:val="nil"/>
              <w:bottom w:val="single" w:sz="8" w:space="0" w:color="E9E9E9"/>
              <w:right w:val="nil"/>
            </w:tcBorders>
            <w:tcMar>
              <w:top w:w="0" w:type="dxa"/>
              <w:left w:w="0" w:type="dxa"/>
              <w:bottom w:w="0" w:type="dxa"/>
              <w:right w:w="15" w:type="dxa"/>
            </w:tcMar>
            <w:vAlign w:val="bottom"/>
          </w:tcPr>
          <w:p w14:paraId="5E7296F8" w14:textId="77777777" w:rsidR="001614AC" w:rsidRDefault="001614AC">
            <w:pPr>
              <w:keepNext/>
              <w:spacing w:before="55" w:after="30" w:line="288" w:lineRule="auto"/>
              <w:jc w:val="right"/>
            </w:pPr>
          </w:p>
        </w:tc>
        <w:tc>
          <w:tcPr>
            <w:tcW w:w="105" w:type="dxa"/>
            <w:tcBorders>
              <w:top w:val="single" w:sz="8" w:space="0" w:color="C7C9C7"/>
              <w:left w:val="nil"/>
              <w:bottom w:val="nil"/>
              <w:right w:val="nil"/>
            </w:tcBorders>
            <w:tcMar>
              <w:top w:w="0" w:type="dxa"/>
              <w:left w:w="0" w:type="dxa"/>
              <w:bottom w:w="0" w:type="dxa"/>
              <w:right w:w="0" w:type="dxa"/>
            </w:tcMar>
            <w:vAlign w:val="bottom"/>
          </w:tcPr>
          <w:p w14:paraId="6D16805B" w14:textId="77777777" w:rsidR="001614AC" w:rsidRDefault="001614AC">
            <w:pPr>
              <w:keepNext/>
            </w:pPr>
          </w:p>
        </w:tc>
        <w:tc>
          <w:tcPr>
            <w:tcW w:w="160" w:type="dxa"/>
            <w:tcBorders>
              <w:top w:val="single" w:sz="8" w:space="0" w:color="C7C9C7"/>
              <w:left w:val="nil"/>
              <w:bottom w:val="single" w:sz="8" w:space="0" w:color="E9E9E9"/>
              <w:right w:val="nil"/>
            </w:tcBorders>
            <w:tcMar>
              <w:top w:w="0" w:type="dxa"/>
              <w:left w:w="53" w:type="dxa"/>
              <w:bottom w:w="0" w:type="dxa"/>
              <w:right w:w="0" w:type="dxa"/>
            </w:tcMar>
            <w:vAlign w:val="bottom"/>
          </w:tcPr>
          <w:p w14:paraId="13472237" w14:textId="77777777" w:rsidR="001614AC" w:rsidRDefault="004468F9">
            <w:pPr>
              <w:keepNext/>
              <w:spacing w:before="55" w:after="30" w:line="288" w:lineRule="auto"/>
            </w:pPr>
            <w:r>
              <w:rPr>
                <w:rFonts w:ascii="Arial" w:eastAsia="Arial" w:hAnsi="Arial" w:cs="Arial"/>
                <w:color w:val="000000"/>
                <w:sz w:val="18"/>
              </w:rPr>
              <w:t>$</w:t>
            </w:r>
          </w:p>
        </w:tc>
        <w:tc>
          <w:tcPr>
            <w:tcW w:w="1240" w:type="dxa"/>
            <w:tcBorders>
              <w:top w:val="single" w:sz="8" w:space="0" w:color="C7C9C7"/>
              <w:left w:val="nil"/>
              <w:bottom w:val="single" w:sz="8" w:space="0" w:color="E9E9E9"/>
              <w:right w:val="nil"/>
            </w:tcBorders>
            <w:tcMar>
              <w:top w:w="0" w:type="dxa"/>
              <w:left w:w="0" w:type="dxa"/>
              <w:bottom w:w="0" w:type="dxa"/>
              <w:right w:w="0" w:type="dxa"/>
            </w:tcMar>
            <w:vAlign w:val="bottom"/>
          </w:tcPr>
          <w:p w14:paraId="2AF854E6" w14:textId="77777777" w:rsidR="001614AC" w:rsidRDefault="004468F9">
            <w:pPr>
              <w:keepNext/>
              <w:spacing w:before="55" w:after="30" w:line="288" w:lineRule="auto"/>
              <w:jc w:val="right"/>
            </w:pPr>
            <w:r>
              <w:rPr>
                <w:rFonts w:ascii="Arial" w:eastAsia="Arial" w:hAnsi="Arial" w:cs="Arial"/>
                <w:color w:val="000000"/>
                <w:sz w:val="18"/>
              </w:rPr>
              <w:t>15.71 </w:t>
            </w:r>
          </w:p>
        </w:tc>
        <w:tc>
          <w:tcPr>
            <w:tcW w:w="100" w:type="dxa"/>
            <w:tcBorders>
              <w:top w:val="single" w:sz="8" w:space="0" w:color="C7C9C7"/>
              <w:left w:val="nil"/>
              <w:bottom w:val="single" w:sz="8" w:space="0" w:color="E9E9E9"/>
              <w:right w:val="nil"/>
            </w:tcBorders>
            <w:tcMar>
              <w:top w:w="0" w:type="dxa"/>
              <w:left w:w="0" w:type="dxa"/>
              <w:bottom w:w="0" w:type="dxa"/>
              <w:right w:w="15" w:type="dxa"/>
            </w:tcMar>
            <w:vAlign w:val="bottom"/>
          </w:tcPr>
          <w:p w14:paraId="13DDC8E2" w14:textId="77777777" w:rsidR="001614AC" w:rsidRDefault="001614AC">
            <w:pPr>
              <w:keepNext/>
              <w:spacing w:before="55" w:after="30" w:line="288" w:lineRule="auto"/>
              <w:jc w:val="right"/>
            </w:pPr>
          </w:p>
        </w:tc>
        <w:tc>
          <w:tcPr>
            <w:tcW w:w="105" w:type="dxa"/>
            <w:tcBorders>
              <w:top w:val="single" w:sz="8" w:space="0" w:color="C7C9C7"/>
              <w:left w:val="nil"/>
              <w:bottom w:val="nil"/>
              <w:right w:val="nil"/>
            </w:tcBorders>
            <w:tcMar>
              <w:top w:w="0" w:type="dxa"/>
              <w:left w:w="0" w:type="dxa"/>
              <w:bottom w:w="0" w:type="dxa"/>
              <w:right w:w="0" w:type="dxa"/>
            </w:tcMar>
            <w:vAlign w:val="bottom"/>
          </w:tcPr>
          <w:p w14:paraId="3E704AF6" w14:textId="77777777" w:rsidR="001614AC" w:rsidRDefault="001614AC">
            <w:pPr>
              <w:keepNext/>
            </w:pPr>
          </w:p>
        </w:tc>
        <w:tc>
          <w:tcPr>
            <w:tcW w:w="1295" w:type="dxa"/>
            <w:tcBorders>
              <w:top w:val="single" w:sz="8" w:space="0" w:color="C7C9C7"/>
              <w:left w:val="nil"/>
              <w:bottom w:val="single" w:sz="8" w:space="0" w:color="E9E9E9"/>
              <w:right w:val="nil"/>
            </w:tcBorders>
            <w:tcMar>
              <w:top w:w="0" w:type="dxa"/>
              <w:left w:w="53" w:type="dxa"/>
              <w:bottom w:w="0" w:type="dxa"/>
              <w:right w:w="0" w:type="dxa"/>
            </w:tcMar>
            <w:vAlign w:val="bottom"/>
          </w:tcPr>
          <w:p w14:paraId="74F8966E" w14:textId="77777777" w:rsidR="001614AC" w:rsidRDefault="004468F9">
            <w:pPr>
              <w:keepNext/>
              <w:spacing w:before="55" w:after="30" w:line="288" w:lineRule="auto"/>
              <w:jc w:val="right"/>
            </w:pPr>
            <w:r>
              <w:rPr>
                <w:rFonts w:ascii="Arial" w:eastAsia="Arial" w:hAnsi="Arial" w:cs="Arial"/>
                <w:color w:val="000000"/>
                <w:sz w:val="18"/>
              </w:rPr>
              <w:t>2,118,885 </w:t>
            </w:r>
          </w:p>
        </w:tc>
        <w:tc>
          <w:tcPr>
            <w:tcW w:w="100" w:type="dxa"/>
            <w:tcBorders>
              <w:top w:val="single" w:sz="8" w:space="0" w:color="C7C9C7"/>
              <w:left w:val="nil"/>
              <w:bottom w:val="single" w:sz="8" w:space="0" w:color="E9E9E9"/>
              <w:right w:val="nil"/>
            </w:tcBorders>
            <w:tcMar>
              <w:top w:w="0" w:type="dxa"/>
              <w:left w:w="0" w:type="dxa"/>
              <w:bottom w:w="0" w:type="dxa"/>
              <w:right w:w="15" w:type="dxa"/>
            </w:tcMar>
            <w:vAlign w:val="bottom"/>
          </w:tcPr>
          <w:p w14:paraId="7FAFFCB5" w14:textId="77777777" w:rsidR="001614AC" w:rsidRDefault="001614AC">
            <w:pPr>
              <w:keepNext/>
              <w:spacing w:before="55" w:after="30" w:line="288" w:lineRule="auto"/>
              <w:jc w:val="right"/>
            </w:pPr>
          </w:p>
        </w:tc>
        <w:tc>
          <w:tcPr>
            <w:tcW w:w="105" w:type="dxa"/>
            <w:tcBorders>
              <w:top w:val="single" w:sz="8" w:space="0" w:color="C7C9C7"/>
              <w:left w:val="nil"/>
              <w:bottom w:val="nil"/>
              <w:right w:val="nil"/>
            </w:tcBorders>
            <w:tcMar>
              <w:top w:w="0" w:type="dxa"/>
              <w:left w:w="0" w:type="dxa"/>
              <w:bottom w:w="0" w:type="dxa"/>
              <w:right w:w="0" w:type="dxa"/>
            </w:tcMar>
            <w:vAlign w:val="bottom"/>
          </w:tcPr>
          <w:p w14:paraId="1D7EAA9C" w14:textId="77777777" w:rsidR="001614AC" w:rsidRDefault="001614AC">
            <w:pPr>
              <w:keepNext/>
            </w:pPr>
          </w:p>
        </w:tc>
        <w:tc>
          <w:tcPr>
            <w:tcW w:w="160" w:type="dxa"/>
            <w:tcBorders>
              <w:top w:val="single" w:sz="8" w:space="0" w:color="C7C9C7"/>
              <w:left w:val="nil"/>
              <w:bottom w:val="single" w:sz="8" w:space="0" w:color="E9E9E9"/>
              <w:right w:val="nil"/>
            </w:tcBorders>
            <w:tcMar>
              <w:top w:w="0" w:type="dxa"/>
              <w:left w:w="53" w:type="dxa"/>
              <w:bottom w:w="0" w:type="dxa"/>
              <w:right w:w="0" w:type="dxa"/>
            </w:tcMar>
            <w:vAlign w:val="bottom"/>
          </w:tcPr>
          <w:p w14:paraId="1F63EA15" w14:textId="77777777" w:rsidR="001614AC" w:rsidRDefault="004468F9">
            <w:pPr>
              <w:keepNext/>
              <w:spacing w:before="55" w:after="30" w:line="288" w:lineRule="auto"/>
            </w:pPr>
            <w:r>
              <w:rPr>
                <w:rFonts w:ascii="Arial" w:eastAsia="Arial" w:hAnsi="Arial" w:cs="Arial"/>
                <w:color w:val="000000"/>
                <w:sz w:val="18"/>
              </w:rPr>
              <w:t>$</w:t>
            </w:r>
          </w:p>
        </w:tc>
        <w:tc>
          <w:tcPr>
            <w:tcW w:w="1240" w:type="dxa"/>
            <w:tcBorders>
              <w:top w:val="single" w:sz="8" w:space="0" w:color="C7C9C7"/>
              <w:left w:val="nil"/>
              <w:bottom w:val="single" w:sz="8" w:space="0" w:color="E9E9E9"/>
              <w:right w:val="nil"/>
            </w:tcBorders>
            <w:tcMar>
              <w:top w:w="0" w:type="dxa"/>
              <w:left w:w="0" w:type="dxa"/>
              <w:bottom w:w="0" w:type="dxa"/>
              <w:right w:w="0" w:type="dxa"/>
            </w:tcMar>
            <w:vAlign w:val="bottom"/>
          </w:tcPr>
          <w:p w14:paraId="5717DF13" w14:textId="77777777" w:rsidR="001614AC" w:rsidRDefault="004468F9">
            <w:pPr>
              <w:keepNext/>
              <w:spacing w:before="55" w:after="30" w:line="288" w:lineRule="auto"/>
              <w:jc w:val="right"/>
            </w:pPr>
            <w:r>
              <w:rPr>
                <w:rFonts w:ascii="Arial" w:eastAsia="Arial" w:hAnsi="Arial" w:cs="Arial"/>
                <w:color w:val="000000"/>
                <w:sz w:val="18"/>
              </w:rPr>
              <w:t>13.16 </w:t>
            </w:r>
          </w:p>
        </w:tc>
        <w:tc>
          <w:tcPr>
            <w:tcW w:w="100" w:type="dxa"/>
            <w:tcBorders>
              <w:top w:val="single" w:sz="8" w:space="0" w:color="C7C9C7"/>
              <w:left w:val="nil"/>
              <w:bottom w:val="single" w:sz="8" w:space="0" w:color="E9E9E9"/>
              <w:right w:val="nil"/>
            </w:tcBorders>
            <w:tcMar>
              <w:top w:w="0" w:type="dxa"/>
              <w:left w:w="0" w:type="dxa"/>
              <w:bottom w:w="0" w:type="dxa"/>
              <w:right w:w="15" w:type="dxa"/>
            </w:tcMar>
            <w:vAlign w:val="bottom"/>
          </w:tcPr>
          <w:p w14:paraId="49D5C5A0" w14:textId="77777777" w:rsidR="001614AC" w:rsidRDefault="001614AC">
            <w:pPr>
              <w:keepNext/>
              <w:spacing w:before="55" w:after="30" w:line="288" w:lineRule="auto"/>
              <w:jc w:val="right"/>
            </w:pPr>
          </w:p>
        </w:tc>
      </w:tr>
      <w:tr w:rsidR="001614AC" w14:paraId="19098D45" w14:textId="77777777">
        <w:trPr>
          <w:cantSplit/>
          <w:trHeight w:hRule="exact" w:val="285"/>
        </w:trPr>
        <w:tc>
          <w:tcPr>
            <w:tcW w:w="4050" w:type="dxa"/>
            <w:tcBorders>
              <w:top w:val="single" w:sz="8" w:space="0" w:color="E9E9E9"/>
              <w:left w:val="nil"/>
              <w:bottom w:val="single" w:sz="8" w:space="0" w:color="E9E9E9"/>
              <w:right w:val="nil"/>
            </w:tcBorders>
            <w:tcMar>
              <w:top w:w="0" w:type="dxa"/>
              <w:left w:w="53" w:type="dxa"/>
              <w:bottom w:w="0" w:type="dxa"/>
              <w:right w:w="53" w:type="dxa"/>
            </w:tcMar>
            <w:vAlign w:val="bottom"/>
          </w:tcPr>
          <w:p w14:paraId="36DF35E0" w14:textId="77777777" w:rsidR="001614AC" w:rsidRDefault="004468F9">
            <w:pPr>
              <w:keepNext/>
              <w:spacing w:before="55" w:after="30" w:line="288" w:lineRule="auto"/>
              <w:rPr>
                <w:rFonts w:ascii="Arial" w:eastAsia="Arial" w:hAnsi="Arial" w:cs="Arial"/>
                <w:sz w:val="18"/>
              </w:rPr>
            </w:pPr>
            <w:r>
              <w:rPr>
                <w:rFonts w:ascii="Arial" w:eastAsia="Arial" w:hAnsi="Arial" w:cs="Arial"/>
                <w:sz w:val="18"/>
              </w:rPr>
              <w:t>Granted</w:t>
            </w:r>
            <w:r>
              <w:rPr>
                <w:rFonts w:ascii="Arial" w:eastAsia="Arial" w:hAnsi="Arial" w:cs="Arial"/>
                <w:sz w:val="18"/>
                <w:vertAlign w:val="superscript"/>
              </w:rPr>
              <w:t xml:space="preserve"> (2)</w:t>
            </w:r>
          </w:p>
        </w:tc>
        <w:tc>
          <w:tcPr>
            <w:tcW w:w="105" w:type="dxa"/>
            <w:tcBorders>
              <w:top w:val="nil"/>
              <w:left w:val="nil"/>
              <w:bottom w:val="nil"/>
              <w:right w:val="nil"/>
            </w:tcBorders>
            <w:tcMar>
              <w:top w:w="0" w:type="dxa"/>
              <w:left w:w="0" w:type="dxa"/>
              <w:bottom w:w="0" w:type="dxa"/>
              <w:right w:w="0" w:type="dxa"/>
            </w:tcMar>
            <w:vAlign w:val="bottom"/>
          </w:tcPr>
          <w:p w14:paraId="2C22A34D" w14:textId="77777777" w:rsidR="001614AC" w:rsidRDefault="001614AC">
            <w:pPr>
              <w:keepNext/>
            </w:pPr>
          </w:p>
        </w:tc>
        <w:tc>
          <w:tcPr>
            <w:tcW w:w="1295" w:type="dxa"/>
            <w:tcBorders>
              <w:top w:val="single" w:sz="8" w:space="0" w:color="E9E9E9"/>
              <w:left w:val="nil"/>
              <w:bottom w:val="single" w:sz="8" w:space="0" w:color="E9E9E9"/>
              <w:right w:val="nil"/>
            </w:tcBorders>
            <w:tcMar>
              <w:top w:w="0" w:type="dxa"/>
              <w:left w:w="53" w:type="dxa"/>
              <w:bottom w:w="0" w:type="dxa"/>
              <w:right w:w="0" w:type="dxa"/>
            </w:tcMar>
            <w:vAlign w:val="bottom"/>
          </w:tcPr>
          <w:p w14:paraId="47DF7B0B" w14:textId="77777777" w:rsidR="001614AC" w:rsidRDefault="004468F9">
            <w:pPr>
              <w:keepNext/>
              <w:spacing w:before="55" w:after="30" w:line="288" w:lineRule="auto"/>
              <w:jc w:val="right"/>
            </w:pPr>
            <w:r>
              <w:rPr>
                <w:rFonts w:ascii="Arial" w:eastAsia="Arial" w:hAnsi="Arial" w:cs="Arial"/>
                <w:color w:val="000000"/>
                <w:sz w:val="18"/>
              </w:rPr>
              <w:t>580,180 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63802611" w14:textId="77777777" w:rsidR="001614AC" w:rsidRDefault="001614AC">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4641488C" w14:textId="77777777" w:rsidR="001614AC" w:rsidRDefault="001614AC">
            <w:pPr>
              <w:keepNext/>
            </w:pPr>
          </w:p>
        </w:tc>
        <w:tc>
          <w:tcPr>
            <w:tcW w:w="160" w:type="dxa"/>
            <w:tcBorders>
              <w:top w:val="single" w:sz="8" w:space="0" w:color="E9E9E9"/>
              <w:left w:val="nil"/>
              <w:bottom w:val="single" w:sz="8" w:space="0" w:color="E9E9E9"/>
              <w:right w:val="nil"/>
            </w:tcBorders>
            <w:tcMar>
              <w:top w:w="0" w:type="dxa"/>
              <w:left w:w="53" w:type="dxa"/>
              <w:bottom w:w="0" w:type="dxa"/>
              <w:right w:w="0" w:type="dxa"/>
            </w:tcMar>
            <w:vAlign w:val="bottom"/>
          </w:tcPr>
          <w:p w14:paraId="5188EBB0" w14:textId="77777777" w:rsidR="001614AC" w:rsidRDefault="004468F9">
            <w:pPr>
              <w:keepNext/>
              <w:spacing w:before="55" w:after="30" w:line="288" w:lineRule="auto"/>
            </w:pPr>
            <w:r>
              <w:rPr>
                <w:rFonts w:ascii="Arial" w:eastAsia="Arial" w:hAnsi="Arial" w:cs="Arial"/>
                <w:color w:val="000000"/>
                <w:sz w:val="18"/>
              </w:rPr>
              <w:t>$</w:t>
            </w:r>
          </w:p>
        </w:tc>
        <w:tc>
          <w:tcPr>
            <w:tcW w:w="1240" w:type="dxa"/>
            <w:tcBorders>
              <w:top w:val="single" w:sz="8" w:space="0" w:color="E9E9E9"/>
              <w:left w:val="nil"/>
              <w:bottom w:val="single" w:sz="8" w:space="0" w:color="E9E9E9"/>
              <w:right w:val="nil"/>
            </w:tcBorders>
            <w:tcMar>
              <w:top w:w="0" w:type="dxa"/>
              <w:left w:w="0" w:type="dxa"/>
              <w:bottom w:w="0" w:type="dxa"/>
              <w:right w:w="0" w:type="dxa"/>
            </w:tcMar>
            <w:vAlign w:val="bottom"/>
          </w:tcPr>
          <w:p w14:paraId="0CC6AE0F" w14:textId="77777777" w:rsidR="001614AC" w:rsidRDefault="004468F9">
            <w:pPr>
              <w:keepNext/>
              <w:spacing w:before="55" w:after="30" w:line="288" w:lineRule="auto"/>
              <w:jc w:val="right"/>
            </w:pPr>
            <w:r>
              <w:rPr>
                <w:rFonts w:ascii="Arial" w:eastAsia="Arial" w:hAnsi="Arial" w:cs="Arial"/>
                <w:color w:val="000000"/>
                <w:sz w:val="18"/>
              </w:rPr>
              <w:t>20.40 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3D10373D" w14:textId="77777777" w:rsidR="001614AC" w:rsidRDefault="001614AC">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3223E512" w14:textId="77777777" w:rsidR="001614AC" w:rsidRDefault="001614AC">
            <w:pPr>
              <w:keepNext/>
            </w:pPr>
          </w:p>
        </w:tc>
        <w:tc>
          <w:tcPr>
            <w:tcW w:w="1295" w:type="dxa"/>
            <w:tcBorders>
              <w:top w:val="single" w:sz="8" w:space="0" w:color="E9E9E9"/>
              <w:left w:val="nil"/>
              <w:bottom w:val="single" w:sz="8" w:space="0" w:color="E9E9E9"/>
              <w:right w:val="nil"/>
            </w:tcBorders>
            <w:tcMar>
              <w:top w:w="0" w:type="dxa"/>
              <w:left w:w="53" w:type="dxa"/>
              <w:bottom w:w="0" w:type="dxa"/>
              <w:right w:w="0" w:type="dxa"/>
            </w:tcMar>
            <w:vAlign w:val="bottom"/>
          </w:tcPr>
          <w:p w14:paraId="2617A913" w14:textId="77777777" w:rsidR="001614AC" w:rsidRDefault="004468F9">
            <w:pPr>
              <w:keepNext/>
              <w:spacing w:before="55" w:after="30" w:line="288" w:lineRule="auto"/>
              <w:jc w:val="right"/>
            </w:pPr>
            <w:r>
              <w:rPr>
                <w:rFonts w:ascii="Arial" w:eastAsia="Arial" w:hAnsi="Arial" w:cs="Arial"/>
                <w:color w:val="000000"/>
                <w:sz w:val="18"/>
              </w:rPr>
              <w:t>461,339 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74BE06F4" w14:textId="77777777" w:rsidR="001614AC" w:rsidRDefault="001614AC">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391DC2AA" w14:textId="77777777" w:rsidR="001614AC" w:rsidRDefault="001614AC">
            <w:pPr>
              <w:keepNext/>
            </w:pPr>
          </w:p>
        </w:tc>
        <w:tc>
          <w:tcPr>
            <w:tcW w:w="160" w:type="dxa"/>
            <w:tcBorders>
              <w:top w:val="single" w:sz="8" w:space="0" w:color="E9E9E9"/>
              <w:left w:val="nil"/>
              <w:bottom w:val="single" w:sz="8" w:space="0" w:color="E9E9E9"/>
              <w:right w:val="nil"/>
            </w:tcBorders>
            <w:tcMar>
              <w:top w:w="0" w:type="dxa"/>
              <w:left w:w="53" w:type="dxa"/>
              <w:bottom w:w="0" w:type="dxa"/>
              <w:right w:w="0" w:type="dxa"/>
            </w:tcMar>
            <w:vAlign w:val="bottom"/>
          </w:tcPr>
          <w:p w14:paraId="45C1CFB2" w14:textId="77777777" w:rsidR="001614AC" w:rsidRDefault="004468F9">
            <w:pPr>
              <w:keepNext/>
              <w:spacing w:before="55" w:after="30" w:line="288" w:lineRule="auto"/>
            </w:pPr>
            <w:r>
              <w:rPr>
                <w:rFonts w:ascii="Arial" w:eastAsia="Arial" w:hAnsi="Arial" w:cs="Arial"/>
                <w:color w:val="000000"/>
                <w:sz w:val="18"/>
              </w:rPr>
              <w:t>$</w:t>
            </w:r>
          </w:p>
        </w:tc>
        <w:tc>
          <w:tcPr>
            <w:tcW w:w="1240" w:type="dxa"/>
            <w:tcBorders>
              <w:top w:val="single" w:sz="8" w:space="0" w:color="E9E9E9"/>
              <w:left w:val="nil"/>
              <w:bottom w:val="single" w:sz="8" w:space="0" w:color="E9E9E9"/>
              <w:right w:val="nil"/>
            </w:tcBorders>
            <w:tcMar>
              <w:top w:w="0" w:type="dxa"/>
              <w:left w:w="0" w:type="dxa"/>
              <w:bottom w:w="0" w:type="dxa"/>
              <w:right w:w="0" w:type="dxa"/>
            </w:tcMar>
            <w:vAlign w:val="bottom"/>
          </w:tcPr>
          <w:p w14:paraId="3749B4A2" w14:textId="77777777" w:rsidR="001614AC" w:rsidRDefault="004468F9">
            <w:pPr>
              <w:keepNext/>
              <w:spacing w:before="55" w:after="30" w:line="288" w:lineRule="auto"/>
              <w:jc w:val="right"/>
            </w:pPr>
            <w:r>
              <w:rPr>
                <w:rFonts w:ascii="Arial" w:eastAsia="Arial" w:hAnsi="Arial" w:cs="Arial"/>
                <w:color w:val="000000"/>
                <w:sz w:val="18"/>
              </w:rPr>
              <w:t>21.56 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21A383F2" w14:textId="77777777" w:rsidR="001614AC" w:rsidRDefault="001614AC">
            <w:pPr>
              <w:keepNext/>
              <w:spacing w:before="55" w:after="30" w:line="288" w:lineRule="auto"/>
              <w:jc w:val="right"/>
            </w:pPr>
          </w:p>
        </w:tc>
      </w:tr>
      <w:tr w:rsidR="001614AC" w14:paraId="7D6051F6" w14:textId="77777777">
        <w:trPr>
          <w:cantSplit/>
          <w:trHeight w:hRule="exact" w:val="285"/>
        </w:trPr>
        <w:tc>
          <w:tcPr>
            <w:tcW w:w="4050" w:type="dxa"/>
            <w:tcBorders>
              <w:top w:val="single" w:sz="8" w:space="0" w:color="E9E9E9"/>
              <w:left w:val="nil"/>
              <w:bottom w:val="single" w:sz="8" w:space="0" w:color="E9E9E9"/>
              <w:right w:val="nil"/>
            </w:tcBorders>
            <w:tcMar>
              <w:top w:w="0" w:type="dxa"/>
              <w:left w:w="53" w:type="dxa"/>
              <w:bottom w:w="0" w:type="dxa"/>
              <w:right w:w="53" w:type="dxa"/>
            </w:tcMar>
            <w:vAlign w:val="bottom"/>
          </w:tcPr>
          <w:p w14:paraId="1E7D45F1" w14:textId="77777777" w:rsidR="001614AC" w:rsidRDefault="004468F9">
            <w:pPr>
              <w:keepNext/>
              <w:spacing w:before="55" w:after="30" w:line="288" w:lineRule="auto"/>
              <w:rPr>
                <w:rFonts w:ascii="Arial" w:eastAsia="Arial" w:hAnsi="Arial" w:cs="Arial"/>
                <w:sz w:val="18"/>
              </w:rPr>
            </w:pPr>
            <w:r>
              <w:rPr>
                <w:rFonts w:ascii="Arial" w:eastAsia="Arial" w:hAnsi="Arial" w:cs="Arial"/>
                <w:sz w:val="18"/>
              </w:rPr>
              <w:t>Performance adjustment</w:t>
            </w:r>
            <w:r>
              <w:rPr>
                <w:rFonts w:ascii="Arial" w:eastAsia="Arial" w:hAnsi="Arial" w:cs="Arial"/>
                <w:sz w:val="18"/>
                <w:vertAlign w:val="superscript"/>
              </w:rPr>
              <w:t xml:space="preserve"> (3)</w:t>
            </w:r>
          </w:p>
        </w:tc>
        <w:tc>
          <w:tcPr>
            <w:tcW w:w="105" w:type="dxa"/>
            <w:tcBorders>
              <w:top w:val="nil"/>
              <w:left w:val="nil"/>
              <w:bottom w:val="nil"/>
              <w:right w:val="nil"/>
            </w:tcBorders>
            <w:tcMar>
              <w:top w:w="0" w:type="dxa"/>
              <w:left w:w="0" w:type="dxa"/>
              <w:bottom w:w="0" w:type="dxa"/>
              <w:right w:w="0" w:type="dxa"/>
            </w:tcMar>
            <w:vAlign w:val="bottom"/>
          </w:tcPr>
          <w:p w14:paraId="46F0F908" w14:textId="77777777" w:rsidR="001614AC" w:rsidRDefault="001614AC">
            <w:pPr>
              <w:keepNext/>
            </w:pPr>
          </w:p>
        </w:tc>
        <w:tc>
          <w:tcPr>
            <w:tcW w:w="1295" w:type="dxa"/>
            <w:tcBorders>
              <w:top w:val="single" w:sz="8" w:space="0" w:color="E9E9E9"/>
              <w:left w:val="nil"/>
              <w:bottom w:val="single" w:sz="8" w:space="0" w:color="E9E9E9"/>
              <w:right w:val="nil"/>
            </w:tcBorders>
            <w:tcMar>
              <w:top w:w="0" w:type="dxa"/>
              <w:left w:w="53" w:type="dxa"/>
              <w:bottom w:w="0" w:type="dxa"/>
              <w:right w:w="0" w:type="dxa"/>
            </w:tcMar>
            <w:vAlign w:val="bottom"/>
          </w:tcPr>
          <w:p w14:paraId="258E7084" w14:textId="77777777" w:rsidR="001614AC" w:rsidRDefault="004468F9">
            <w:pPr>
              <w:keepNext/>
              <w:spacing w:before="55" w:after="30" w:line="288" w:lineRule="auto"/>
              <w:jc w:val="right"/>
            </w:pPr>
            <w:r>
              <w:rPr>
                <w:rFonts w:ascii="Arial" w:eastAsia="Arial" w:hAnsi="Arial" w:cs="Arial"/>
                <w:color w:val="000000"/>
                <w:sz w:val="18"/>
              </w:rPr>
              <w:t>421,357 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647F2BCD" w14:textId="77777777" w:rsidR="001614AC" w:rsidRDefault="001614AC">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7DC04BFC" w14:textId="77777777" w:rsidR="001614AC" w:rsidRDefault="001614AC">
            <w:pPr>
              <w:keepNext/>
            </w:pPr>
          </w:p>
        </w:tc>
        <w:tc>
          <w:tcPr>
            <w:tcW w:w="160" w:type="dxa"/>
            <w:tcBorders>
              <w:top w:val="single" w:sz="8" w:space="0" w:color="E9E9E9"/>
              <w:left w:val="nil"/>
              <w:bottom w:val="single" w:sz="8" w:space="0" w:color="E9E9E9"/>
              <w:right w:val="nil"/>
            </w:tcBorders>
            <w:tcMar>
              <w:top w:w="0" w:type="dxa"/>
              <w:left w:w="53" w:type="dxa"/>
              <w:bottom w:w="0" w:type="dxa"/>
              <w:right w:w="0" w:type="dxa"/>
            </w:tcMar>
            <w:vAlign w:val="bottom"/>
          </w:tcPr>
          <w:p w14:paraId="552FEDB2" w14:textId="77777777" w:rsidR="001614AC" w:rsidRDefault="004468F9">
            <w:pPr>
              <w:keepNext/>
              <w:spacing w:before="55" w:after="30" w:line="288" w:lineRule="auto"/>
            </w:pPr>
            <w:r>
              <w:rPr>
                <w:rFonts w:ascii="Arial" w:eastAsia="Arial" w:hAnsi="Arial" w:cs="Arial"/>
                <w:color w:val="000000"/>
                <w:sz w:val="18"/>
              </w:rPr>
              <w:t>$</w:t>
            </w:r>
          </w:p>
        </w:tc>
        <w:tc>
          <w:tcPr>
            <w:tcW w:w="1240" w:type="dxa"/>
            <w:tcBorders>
              <w:top w:val="single" w:sz="8" w:space="0" w:color="E9E9E9"/>
              <w:left w:val="nil"/>
              <w:bottom w:val="single" w:sz="8" w:space="0" w:color="E9E9E9"/>
              <w:right w:val="nil"/>
            </w:tcBorders>
            <w:tcMar>
              <w:top w:w="0" w:type="dxa"/>
              <w:left w:w="0" w:type="dxa"/>
              <w:bottom w:w="0" w:type="dxa"/>
              <w:right w:w="0" w:type="dxa"/>
            </w:tcMar>
            <w:vAlign w:val="bottom"/>
          </w:tcPr>
          <w:p w14:paraId="2ABE95EA" w14:textId="77777777" w:rsidR="001614AC" w:rsidRDefault="004468F9">
            <w:pPr>
              <w:keepNext/>
              <w:spacing w:before="55" w:after="30" w:line="288" w:lineRule="auto"/>
              <w:jc w:val="right"/>
            </w:pPr>
            <w:r>
              <w:rPr>
                <w:rFonts w:ascii="Arial" w:eastAsia="Arial" w:hAnsi="Arial" w:cs="Arial"/>
                <w:color w:val="000000"/>
                <w:sz w:val="18"/>
              </w:rPr>
              <w:t>—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6C89FA16" w14:textId="77777777" w:rsidR="001614AC" w:rsidRDefault="001614AC">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044C1428" w14:textId="77777777" w:rsidR="001614AC" w:rsidRDefault="001614AC">
            <w:pPr>
              <w:keepNext/>
            </w:pPr>
          </w:p>
        </w:tc>
        <w:tc>
          <w:tcPr>
            <w:tcW w:w="1295" w:type="dxa"/>
            <w:tcBorders>
              <w:top w:val="single" w:sz="8" w:space="0" w:color="E9E9E9"/>
              <w:left w:val="nil"/>
              <w:bottom w:val="single" w:sz="8" w:space="0" w:color="E9E9E9"/>
              <w:right w:val="nil"/>
            </w:tcBorders>
            <w:tcMar>
              <w:top w:w="0" w:type="dxa"/>
              <w:left w:w="53" w:type="dxa"/>
              <w:bottom w:w="0" w:type="dxa"/>
              <w:right w:w="0" w:type="dxa"/>
            </w:tcMar>
            <w:vAlign w:val="bottom"/>
          </w:tcPr>
          <w:p w14:paraId="75AE073D" w14:textId="77777777" w:rsidR="001614AC" w:rsidRDefault="004468F9">
            <w:pPr>
              <w:keepNext/>
              <w:spacing w:before="55" w:after="30" w:line="288" w:lineRule="auto"/>
              <w:jc w:val="right"/>
            </w:pPr>
            <w:r>
              <w:rPr>
                <w:rFonts w:ascii="Arial" w:eastAsia="Arial" w:hAnsi="Arial" w:cs="Arial"/>
                <w:color w:val="000000"/>
                <w:sz w:val="18"/>
              </w:rPr>
              <w:t>—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30589EA8" w14:textId="77777777" w:rsidR="001614AC" w:rsidRDefault="001614AC">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52CB514C" w14:textId="77777777" w:rsidR="001614AC" w:rsidRDefault="001614AC">
            <w:pPr>
              <w:keepNext/>
            </w:pPr>
          </w:p>
        </w:tc>
        <w:tc>
          <w:tcPr>
            <w:tcW w:w="160" w:type="dxa"/>
            <w:tcBorders>
              <w:top w:val="single" w:sz="8" w:space="0" w:color="E9E9E9"/>
              <w:left w:val="nil"/>
              <w:bottom w:val="single" w:sz="8" w:space="0" w:color="E9E9E9"/>
              <w:right w:val="nil"/>
            </w:tcBorders>
            <w:tcMar>
              <w:top w:w="0" w:type="dxa"/>
              <w:left w:w="53" w:type="dxa"/>
              <w:bottom w:w="0" w:type="dxa"/>
              <w:right w:w="0" w:type="dxa"/>
            </w:tcMar>
            <w:vAlign w:val="bottom"/>
          </w:tcPr>
          <w:p w14:paraId="5CFAA846" w14:textId="77777777" w:rsidR="001614AC" w:rsidRDefault="004468F9">
            <w:pPr>
              <w:keepNext/>
              <w:spacing w:before="55" w:after="30" w:line="288" w:lineRule="auto"/>
            </w:pPr>
            <w:r>
              <w:rPr>
                <w:rFonts w:ascii="Arial" w:eastAsia="Arial" w:hAnsi="Arial" w:cs="Arial"/>
                <w:color w:val="000000"/>
                <w:sz w:val="18"/>
              </w:rPr>
              <w:t>$</w:t>
            </w:r>
          </w:p>
        </w:tc>
        <w:tc>
          <w:tcPr>
            <w:tcW w:w="1240" w:type="dxa"/>
            <w:tcBorders>
              <w:top w:val="single" w:sz="8" w:space="0" w:color="E9E9E9"/>
              <w:left w:val="nil"/>
              <w:bottom w:val="single" w:sz="8" w:space="0" w:color="E9E9E9"/>
              <w:right w:val="nil"/>
            </w:tcBorders>
            <w:tcMar>
              <w:top w:w="0" w:type="dxa"/>
              <w:left w:w="0" w:type="dxa"/>
              <w:bottom w:w="0" w:type="dxa"/>
              <w:right w:w="0" w:type="dxa"/>
            </w:tcMar>
            <w:vAlign w:val="bottom"/>
          </w:tcPr>
          <w:p w14:paraId="17167334" w14:textId="77777777" w:rsidR="001614AC" w:rsidRDefault="004468F9">
            <w:pPr>
              <w:keepNext/>
              <w:spacing w:before="55" w:after="30" w:line="288" w:lineRule="auto"/>
              <w:jc w:val="right"/>
            </w:pPr>
            <w:r>
              <w:rPr>
                <w:rFonts w:ascii="Arial" w:eastAsia="Arial" w:hAnsi="Arial" w:cs="Arial"/>
                <w:color w:val="000000"/>
                <w:sz w:val="18"/>
              </w:rPr>
              <w:t>—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534E4956" w14:textId="77777777" w:rsidR="001614AC" w:rsidRDefault="001614AC">
            <w:pPr>
              <w:keepNext/>
              <w:spacing w:before="55" w:after="30" w:line="288" w:lineRule="auto"/>
              <w:jc w:val="right"/>
            </w:pPr>
          </w:p>
        </w:tc>
      </w:tr>
      <w:tr w:rsidR="001614AC" w14:paraId="2CC2FEB1" w14:textId="77777777">
        <w:trPr>
          <w:cantSplit/>
          <w:trHeight w:hRule="exact" w:val="285"/>
        </w:trPr>
        <w:tc>
          <w:tcPr>
            <w:tcW w:w="4050" w:type="dxa"/>
            <w:tcBorders>
              <w:top w:val="single" w:sz="8" w:space="0" w:color="E9E9E9"/>
              <w:left w:val="nil"/>
              <w:bottom w:val="single" w:sz="8" w:space="0" w:color="E9E9E9"/>
              <w:right w:val="nil"/>
            </w:tcBorders>
            <w:tcMar>
              <w:top w:w="0" w:type="dxa"/>
              <w:left w:w="53" w:type="dxa"/>
              <w:bottom w:w="0" w:type="dxa"/>
              <w:right w:w="53" w:type="dxa"/>
            </w:tcMar>
            <w:vAlign w:val="bottom"/>
          </w:tcPr>
          <w:p w14:paraId="733555E2" w14:textId="77777777" w:rsidR="001614AC" w:rsidRDefault="004468F9">
            <w:pPr>
              <w:keepNext/>
              <w:spacing w:before="55" w:after="30" w:line="288" w:lineRule="auto"/>
              <w:rPr>
                <w:rFonts w:ascii="Arial" w:eastAsia="Arial" w:hAnsi="Arial" w:cs="Arial"/>
                <w:sz w:val="18"/>
              </w:rPr>
            </w:pPr>
            <w:r>
              <w:rPr>
                <w:rFonts w:ascii="Arial" w:eastAsia="Arial" w:hAnsi="Arial" w:cs="Arial"/>
                <w:sz w:val="18"/>
              </w:rPr>
              <w:t>Vested</w:t>
            </w:r>
            <w:r>
              <w:rPr>
                <w:rFonts w:ascii="Arial" w:eastAsia="Arial" w:hAnsi="Arial" w:cs="Arial"/>
                <w:sz w:val="18"/>
                <w:vertAlign w:val="superscript"/>
              </w:rPr>
              <w:t xml:space="preserve"> (4)</w:t>
            </w:r>
          </w:p>
        </w:tc>
        <w:tc>
          <w:tcPr>
            <w:tcW w:w="105" w:type="dxa"/>
            <w:tcBorders>
              <w:top w:val="nil"/>
              <w:left w:val="nil"/>
              <w:bottom w:val="nil"/>
              <w:right w:val="nil"/>
            </w:tcBorders>
            <w:tcMar>
              <w:top w:w="0" w:type="dxa"/>
              <w:left w:w="0" w:type="dxa"/>
              <w:bottom w:w="0" w:type="dxa"/>
              <w:right w:w="0" w:type="dxa"/>
            </w:tcMar>
            <w:vAlign w:val="bottom"/>
          </w:tcPr>
          <w:p w14:paraId="602CA155" w14:textId="77777777" w:rsidR="001614AC" w:rsidRDefault="001614AC">
            <w:pPr>
              <w:keepNext/>
            </w:pPr>
          </w:p>
        </w:tc>
        <w:tc>
          <w:tcPr>
            <w:tcW w:w="1295" w:type="dxa"/>
            <w:tcBorders>
              <w:top w:val="single" w:sz="8" w:space="0" w:color="E9E9E9"/>
              <w:left w:val="nil"/>
              <w:bottom w:val="single" w:sz="8" w:space="0" w:color="E9E9E9"/>
              <w:right w:val="nil"/>
            </w:tcBorders>
            <w:tcMar>
              <w:top w:w="0" w:type="dxa"/>
              <w:left w:w="53" w:type="dxa"/>
              <w:bottom w:w="0" w:type="dxa"/>
              <w:right w:w="0" w:type="dxa"/>
            </w:tcMar>
            <w:vAlign w:val="bottom"/>
          </w:tcPr>
          <w:p w14:paraId="2B3618D1" w14:textId="77777777" w:rsidR="001614AC" w:rsidRDefault="004468F9">
            <w:pPr>
              <w:keepNext/>
              <w:spacing w:before="55" w:after="30" w:line="288" w:lineRule="auto"/>
              <w:jc w:val="right"/>
            </w:pPr>
            <w:r>
              <w:rPr>
                <w:rFonts w:ascii="Arial" w:eastAsia="Arial" w:hAnsi="Arial" w:cs="Arial"/>
                <w:color w:val="000000"/>
                <w:sz w:val="18"/>
              </w:rPr>
              <w:t>(811,578)</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5562C2B8" w14:textId="77777777" w:rsidR="001614AC" w:rsidRDefault="001614AC">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48D500E8" w14:textId="77777777" w:rsidR="001614AC" w:rsidRDefault="001614AC">
            <w:pPr>
              <w:keepNext/>
            </w:pPr>
          </w:p>
        </w:tc>
        <w:tc>
          <w:tcPr>
            <w:tcW w:w="160" w:type="dxa"/>
            <w:tcBorders>
              <w:top w:val="single" w:sz="8" w:space="0" w:color="E9E9E9"/>
              <w:left w:val="nil"/>
              <w:bottom w:val="single" w:sz="8" w:space="0" w:color="E9E9E9"/>
              <w:right w:val="nil"/>
            </w:tcBorders>
            <w:tcMar>
              <w:top w:w="0" w:type="dxa"/>
              <w:left w:w="53" w:type="dxa"/>
              <w:bottom w:w="0" w:type="dxa"/>
              <w:right w:w="0" w:type="dxa"/>
            </w:tcMar>
            <w:vAlign w:val="bottom"/>
          </w:tcPr>
          <w:p w14:paraId="2E90ABFC" w14:textId="77777777" w:rsidR="001614AC" w:rsidRDefault="004468F9">
            <w:pPr>
              <w:keepNext/>
              <w:spacing w:before="55" w:after="30" w:line="288" w:lineRule="auto"/>
            </w:pPr>
            <w:r>
              <w:rPr>
                <w:rFonts w:ascii="Arial" w:eastAsia="Arial" w:hAnsi="Arial" w:cs="Arial"/>
                <w:color w:val="000000"/>
                <w:sz w:val="18"/>
              </w:rPr>
              <w:t>$</w:t>
            </w:r>
          </w:p>
        </w:tc>
        <w:tc>
          <w:tcPr>
            <w:tcW w:w="1240" w:type="dxa"/>
            <w:tcBorders>
              <w:top w:val="single" w:sz="8" w:space="0" w:color="E9E9E9"/>
              <w:left w:val="nil"/>
              <w:bottom w:val="single" w:sz="8" w:space="0" w:color="E9E9E9"/>
              <w:right w:val="nil"/>
            </w:tcBorders>
            <w:tcMar>
              <w:top w:w="0" w:type="dxa"/>
              <w:left w:w="0" w:type="dxa"/>
              <w:bottom w:w="0" w:type="dxa"/>
              <w:right w:w="0" w:type="dxa"/>
            </w:tcMar>
            <w:vAlign w:val="bottom"/>
          </w:tcPr>
          <w:p w14:paraId="7F22A501" w14:textId="77777777" w:rsidR="001614AC" w:rsidRDefault="004468F9">
            <w:pPr>
              <w:keepNext/>
              <w:spacing w:before="55" w:after="30" w:line="288" w:lineRule="auto"/>
              <w:jc w:val="right"/>
            </w:pPr>
            <w:r>
              <w:rPr>
                <w:rFonts w:ascii="Arial" w:eastAsia="Arial" w:hAnsi="Arial" w:cs="Arial"/>
                <w:color w:val="000000"/>
                <w:sz w:val="18"/>
              </w:rPr>
              <w:t>15.98 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6F211BFC" w14:textId="77777777" w:rsidR="001614AC" w:rsidRDefault="001614AC">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643B7FDE" w14:textId="77777777" w:rsidR="001614AC" w:rsidRDefault="001614AC">
            <w:pPr>
              <w:keepNext/>
            </w:pPr>
          </w:p>
        </w:tc>
        <w:tc>
          <w:tcPr>
            <w:tcW w:w="1295" w:type="dxa"/>
            <w:tcBorders>
              <w:top w:val="single" w:sz="8" w:space="0" w:color="E9E9E9"/>
              <w:left w:val="nil"/>
              <w:bottom w:val="single" w:sz="8" w:space="0" w:color="E9E9E9"/>
              <w:right w:val="nil"/>
            </w:tcBorders>
            <w:tcMar>
              <w:top w:w="0" w:type="dxa"/>
              <w:left w:w="53" w:type="dxa"/>
              <w:bottom w:w="0" w:type="dxa"/>
              <w:right w:w="0" w:type="dxa"/>
            </w:tcMar>
            <w:vAlign w:val="bottom"/>
          </w:tcPr>
          <w:p w14:paraId="59A54216" w14:textId="77777777" w:rsidR="001614AC" w:rsidRDefault="004468F9">
            <w:pPr>
              <w:keepNext/>
              <w:spacing w:before="55" w:after="30" w:line="288" w:lineRule="auto"/>
              <w:jc w:val="right"/>
            </w:pPr>
            <w:r>
              <w:rPr>
                <w:rFonts w:ascii="Arial" w:eastAsia="Arial" w:hAnsi="Arial" w:cs="Arial"/>
                <w:color w:val="000000"/>
                <w:sz w:val="18"/>
              </w:rPr>
              <w:t>(438,825)</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33E5290C" w14:textId="77777777" w:rsidR="001614AC" w:rsidRDefault="001614AC">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79649024" w14:textId="77777777" w:rsidR="001614AC" w:rsidRDefault="001614AC">
            <w:pPr>
              <w:keepNext/>
            </w:pPr>
          </w:p>
        </w:tc>
        <w:tc>
          <w:tcPr>
            <w:tcW w:w="160" w:type="dxa"/>
            <w:tcBorders>
              <w:top w:val="single" w:sz="8" w:space="0" w:color="E9E9E9"/>
              <w:left w:val="nil"/>
              <w:bottom w:val="single" w:sz="8" w:space="0" w:color="E9E9E9"/>
              <w:right w:val="nil"/>
            </w:tcBorders>
            <w:tcMar>
              <w:top w:w="0" w:type="dxa"/>
              <w:left w:w="53" w:type="dxa"/>
              <w:bottom w:w="0" w:type="dxa"/>
              <w:right w:w="0" w:type="dxa"/>
            </w:tcMar>
            <w:vAlign w:val="bottom"/>
          </w:tcPr>
          <w:p w14:paraId="21FAACAA" w14:textId="77777777" w:rsidR="001614AC" w:rsidRDefault="004468F9">
            <w:pPr>
              <w:keepNext/>
              <w:spacing w:before="55" w:after="30" w:line="288" w:lineRule="auto"/>
            </w:pPr>
            <w:r>
              <w:rPr>
                <w:rFonts w:ascii="Arial" w:eastAsia="Arial" w:hAnsi="Arial" w:cs="Arial"/>
                <w:color w:val="000000"/>
                <w:sz w:val="18"/>
              </w:rPr>
              <w:t>$</w:t>
            </w:r>
          </w:p>
        </w:tc>
        <w:tc>
          <w:tcPr>
            <w:tcW w:w="1240" w:type="dxa"/>
            <w:tcBorders>
              <w:top w:val="single" w:sz="8" w:space="0" w:color="E9E9E9"/>
              <w:left w:val="nil"/>
              <w:bottom w:val="single" w:sz="8" w:space="0" w:color="E9E9E9"/>
              <w:right w:val="nil"/>
            </w:tcBorders>
            <w:tcMar>
              <w:top w:w="0" w:type="dxa"/>
              <w:left w:w="0" w:type="dxa"/>
              <w:bottom w:w="0" w:type="dxa"/>
              <w:right w:w="0" w:type="dxa"/>
            </w:tcMar>
            <w:vAlign w:val="bottom"/>
          </w:tcPr>
          <w:p w14:paraId="28BECBB4" w14:textId="77777777" w:rsidR="001614AC" w:rsidRDefault="004468F9">
            <w:pPr>
              <w:keepNext/>
              <w:spacing w:before="55" w:after="30" w:line="288" w:lineRule="auto"/>
              <w:jc w:val="right"/>
            </w:pPr>
            <w:r>
              <w:rPr>
                <w:rFonts w:ascii="Arial" w:eastAsia="Arial" w:hAnsi="Arial" w:cs="Arial"/>
                <w:color w:val="000000"/>
                <w:sz w:val="18"/>
              </w:rPr>
              <w:t>15.82 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3A9978FB" w14:textId="77777777" w:rsidR="001614AC" w:rsidRDefault="001614AC">
            <w:pPr>
              <w:keepNext/>
              <w:spacing w:before="55" w:after="30" w:line="288" w:lineRule="auto"/>
              <w:jc w:val="right"/>
            </w:pPr>
          </w:p>
        </w:tc>
      </w:tr>
      <w:tr w:rsidR="001614AC" w14:paraId="45B79D8E" w14:textId="77777777">
        <w:trPr>
          <w:cantSplit/>
          <w:trHeight w:hRule="exact" w:val="285"/>
        </w:trPr>
        <w:tc>
          <w:tcPr>
            <w:tcW w:w="4050" w:type="dxa"/>
            <w:tcBorders>
              <w:top w:val="single" w:sz="8" w:space="0" w:color="E9E9E9"/>
              <w:left w:val="nil"/>
              <w:bottom w:val="single" w:sz="8" w:space="0" w:color="E9E9E9"/>
              <w:right w:val="nil"/>
            </w:tcBorders>
            <w:tcMar>
              <w:top w:w="0" w:type="dxa"/>
              <w:left w:w="53" w:type="dxa"/>
              <w:bottom w:w="0" w:type="dxa"/>
              <w:right w:w="53" w:type="dxa"/>
            </w:tcMar>
            <w:vAlign w:val="bottom"/>
          </w:tcPr>
          <w:p w14:paraId="4FB1870B" w14:textId="77777777" w:rsidR="001614AC" w:rsidRDefault="004468F9">
            <w:pPr>
              <w:keepNext/>
              <w:spacing w:before="55" w:after="30" w:line="288" w:lineRule="auto"/>
            </w:pPr>
            <w:r>
              <w:rPr>
                <w:rFonts w:ascii="Arial" w:eastAsia="Arial" w:hAnsi="Arial" w:cs="Arial"/>
                <w:color w:val="000000"/>
                <w:sz w:val="18"/>
              </w:rPr>
              <w:t>Forfeited</w:t>
            </w:r>
          </w:p>
        </w:tc>
        <w:tc>
          <w:tcPr>
            <w:tcW w:w="105" w:type="dxa"/>
            <w:tcBorders>
              <w:top w:val="nil"/>
              <w:left w:val="nil"/>
              <w:bottom w:val="nil"/>
              <w:right w:val="nil"/>
            </w:tcBorders>
            <w:tcMar>
              <w:top w:w="0" w:type="dxa"/>
              <w:left w:w="0" w:type="dxa"/>
              <w:bottom w:w="0" w:type="dxa"/>
              <w:right w:w="0" w:type="dxa"/>
            </w:tcMar>
            <w:vAlign w:val="bottom"/>
          </w:tcPr>
          <w:p w14:paraId="68969A6B" w14:textId="77777777" w:rsidR="001614AC" w:rsidRDefault="001614AC">
            <w:pPr>
              <w:keepNext/>
            </w:pPr>
          </w:p>
        </w:tc>
        <w:tc>
          <w:tcPr>
            <w:tcW w:w="1295" w:type="dxa"/>
            <w:tcBorders>
              <w:top w:val="single" w:sz="8" w:space="0" w:color="E9E9E9"/>
              <w:left w:val="nil"/>
              <w:bottom w:val="single" w:sz="8" w:space="0" w:color="C7C9C7"/>
              <w:right w:val="nil"/>
            </w:tcBorders>
            <w:tcMar>
              <w:top w:w="0" w:type="dxa"/>
              <w:left w:w="53" w:type="dxa"/>
              <w:bottom w:w="0" w:type="dxa"/>
              <w:right w:w="0" w:type="dxa"/>
            </w:tcMar>
            <w:vAlign w:val="bottom"/>
          </w:tcPr>
          <w:p w14:paraId="74AEEA83" w14:textId="77777777" w:rsidR="001614AC" w:rsidRDefault="004468F9">
            <w:pPr>
              <w:keepNext/>
              <w:spacing w:before="55" w:after="30" w:line="288" w:lineRule="auto"/>
              <w:jc w:val="right"/>
            </w:pPr>
            <w:r>
              <w:rPr>
                <w:rFonts w:ascii="Arial" w:eastAsia="Arial" w:hAnsi="Arial" w:cs="Arial"/>
                <w:color w:val="000000"/>
                <w:sz w:val="18"/>
              </w:rPr>
              <w:t>(14,371)</w:t>
            </w:r>
          </w:p>
        </w:tc>
        <w:tc>
          <w:tcPr>
            <w:tcW w:w="100" w:type="dxa"/>
            <w:tcBorders>
              <w:top w:val="single" w:sz="8" w:space="0" w:color="E9E9E9"/>
              <w:left w:val="nil"/>
              <w:bottom w:val="single" w:sz="8" w:space="0" w:color="C7C9C7"/>
              <w:right w:val="nil"/>
            </w:tcBorders>
            <w:tcMar>
              <w:top w:w="0" w:type="dxa"/>
              <w:left w:w="0" w:type="dxa"/>
              <w:bottom w:w="0" w:type="dxa"/>
              <w:right w:w="15" w:type="dxa"/>
            </w:tcMar>
            <w:vAlign w:val="bottom"/>
          </w:tcPr>
          <w:p w14:paraId="75679627" w14:textId="77777777" w:rsidR="001614AC" w:rsidRDefault="001614AC">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21F84C08" w14:textId="77777777" w:rsidR="001614AC" w:rsidRDefault="001614AC">
            <w:pPr>
              <w:keepNext/>
            </w:pPr>
          </w:p>
        </w:tc>
        <w:tc>
          <w:tcPr>
            <w:tcW w:w="160" w:type="dxa"/>
            <w:tcBorders>
              <w:top w:val="single" w:sz="8" w:space="0" w:color="E9E9E9"/>
              <w:left w:val="nil"/>
              <w:bottom w:val="single" w:sz="8" w:space="0" w:color="E9E9E9"/>
              <w:right w:val="nil"/>
            </w:tcBorders>
            <w:tcMar>
              <w:top w:w="0" w:type="dxa"/>
              <w:left w:w="53" w:type="dxa"/>
              <w:bottom w:w="0" w:type="dxa"/>
              <w:right w:w="0" w:type="dxa"/>
            </w:tcMar>
            <w:vAlign w:val="bottom"/>
          </w:tcPr>
          <w:p w14:paraId="4D899E1B" w14:textId="77777777" w:rsidR="001614AC" w:rsidRDefault="004468F9">
            <w:pPr>
              <w:keepNext/>
              <w:spacing w:before="55" w:after="30" w:line="288" w:lineRule="auto"/>
            </w:pPr>
            <w:r>
              <w:rPr>
                <w:rFonts w:ascii="Arial" w:eastAsia="Arial" w:hAnsi="Arial" w:cs="Arial"/>
                <w:color w:val="000000"/>
                <w:sz w:val="18"/>
              </w:rPr>
              <w:t>$</w:t>
            </w:r>
          </w:p>
        </w:tc>
        <w:tc>
          <w:tcPr>
            <w:tcW w:w="1240" w:type="dxa"/>
            <w:tcBorders>
              <w:top w:val="single" w:sz="8" w:space="0" w:color="E9E9E9"/>
              <w:left w:val="nil"/>
              <w:bottom w:val="single" w:sz="8" w:space="0" w:color="E9E9E9"/>
              <w:right w:val="nil"/>
            </w:tcBorders>
            <w:tcMar>
              <w:top w:w="0" w:type="dxa"/>
              <w:left w:w="0" w:type="dxa"/>
              <w:bottom w:w="0" w:type="dxa"/>
              <w:right w:w="0" w:type="dxa"/>
            </w:tcMar>
            <w:vAlign w:val="bottom"/>
          </w:tcPr>
          <w:p w14:paraId="33834B6D" w14:textId="77777777" w:rsidR="001614AC" w:rsidRDefault="004468F9">
            <w:pPr>
              <w:keepNext/>
              <w:spacing w:before="55" w:after="30" w:line="288" w:lineRule="auto"/>
              <w:jc w:val="right"/>
            </w:pPr>
            <w:r>
              <w:rPr>
                <w:rFonts w:ascii="Arial" w:eastAsia="Arial" w:hAnsi="Arial" w:cs="Arial"/>
                <w:color w:val="000000"/>
                <w:sz w:val="18"/>
              </w:rPr>
              <w:t>16.80 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4EF1515D" w14:textId="77777777" w:rsidR="001614AC" w:rsidRDefault="001614AC">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1ACB428A" w14:textId="77777777" w:rsidR="001614AC" w:rsidRDefault="001614AC">
            <w:pPr>
              <w:keepNext/>
            </w:pPr>
          </w:p>
        </w:tc>
        <w:tc>
          <w:tcPr>
            <w:tcW w:w="1295" w:type="dxa"/>
            <w:tcBorders>
              <w:top w:val="single" w:sz="8" w:space="0" w:color="E9E9E9"/>
              <w:left w:val="nil"/>
              <w:bottom w:val="single" w:sz="8" w:space="0" w:color="C7C9C7"/>
              <w:right w:val="nil"/>
            </w:tcBorders>
            <w:tcMar>
              <w:top w:w="0" w:type="dxa"/>
              <w:left w:w="53" w:type="dxa"/>
              <w:bottom w:w="0" w:type="dxa"/>
              <w:right w:w="0" w:type="dxa"/>
            </w:tcMar>
            <w:vAlign w:val="bottom"/>
          </w:tcPr>
          <w:p w14:paraId="02C4753D" w14:textId="77777777" w:rsidR="001614AC" w:rsidRDefault="004468F9">
            <w:pPr>
              <w:keepNext/>
              <w:spacing w:before="55" w:after="30" w:line="288" w:lineRule="auto"/>
              <w:jc w:val="right"/>
            </w:pPr>
            <w:r>
              <w:rPr>
                <w:rFonts w:ascii="Arial" w:eastAsia="Arial" w:hAnsi="Arial" w:cs="Arial"/>
                <w:color w:val="000000"/>
                <w:sz w:val="18"/>
              </w:rPr>
              <w:t>(13,829)</w:t>
            </w:r>
          </w:p>
        </w:tc>
        <w:tc>
          <w:tcPr>
            <w:tcW w:w="100" w:type="dxa"/>
            <w:tcBorders>
              <w:top w:val="single" w:sz="8" w:space="0" w:color="E9E9E9"/>
              <w:left w:val="nil"/>
              <w:bottom w:val="single" w:sz="8" w:space="0" w:color="C7C9C7"/>
              <w:right w:val="nil"/>
            </w:tcBorders>
            <w:tcMar>
              <w:top w:w="0" w:type="dxa"/>
              <w:left w:w="0" w:type="dxa"/>
              <w:bottom w:w="0" w:type="dxa"/>
              <w:right w:w="15" w:type="dxa"/>
            </w:tcMar>
            <w:vAlign w:val="bottom"/>
          </w:tcPr>
          <w:p w14:paraId="45D2551D" w14:textId="77777777" w:rsidR="001614AC" w:rsidRDefault="001614AC">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31181CF8" w14:textId="77777777" w:rsidR="001614AC" w:rsidRDefault="001614AC">
            <w:pPr>
              <w:keepNext/>
            </w:pPr>
          </w:p>
        </w:tc>
        <w:tc>
          <w:tcPr>
            <w:tcW w:w="160" w:type="dxa"/>
            <w:tcBorders>
              <w:top w:val="single" w:sz="8" w:space="0" w:color="E9E9E9"/>
              <w:left w:val="nil"/>
              <w:bottom w:val="single" w:sz="8" w:space="0" w:color="E9E9E9"/>
              <w:right w:val="nil"/>
            </w:tcBorders>
            <w:tcMar>
              <w:top w:w="0" w:type="dxa"/>
              <w:left w:w="53" w:type="dxa"/>
              <w:bottom w:w="0" w:type="dxa"/>
              <w:right w:w="0" w:type="dxa"/>
            </w:tcMar>
            <w:vAlign w:val="bottom"/>
          </w:tcPr>
          <w:p w14:paraId="051C2200" w14:textId="77777777" w:rsidR="001614AC" w:rsidRDefault="004468F9">
            <w:pPr>
              <w:keepNext/>
              <w:spacing w:before="55" w:after="30" w:line="288" w:lineRule="auto"/>
            </w:pPr>
            <w:r>
              <w:rPr>
                <w:rFonts w:ascii="Arial" w:eastAsia="Arial" w:hAnsi="Arial" w:cs="Arial"/>
                <w:color w:val="000000"/>
                <w:sz w:val="18"/>
              </w:rPr>
              <w:t>$</w:t>
            </w:r>
          </w:p>
        </w:tc>
        <w:tc>
          <w:tcPr>
            <w:tcW w:w="1240" w:type="dxa"/>
            <w:tcBorders>
              <w:top w:val="single" w:sz="8" w:space="0" w:color="E9E9E9"/>
              <w:left w:val="nil"/>
              <w:bottom w:val="single" w:sz="8" w:space="0" w:color="E9E9E9"/>
              <w:right w:val="nil"/>
            </w:tcBorders>
            <w:tcMar>
              <w:top w:w="0" w:type="dxa"/>
              <w:left w:w="0" w:type="dxa"/>
              <w:bottom w:w="0" w:type="dxa"/>
              <w:right w:w="0" w:type="dxa"/>
            </w:tcMar>
            <w:vAlign w:val="bottom"/>
          </w:tcPr>
          <w:p w14:paraId="23510D8E" w14:textId="77777777" w:rsidR="001614AC" w:rsidRDefault="004468F9">
            <w:pPr>
              <w:keepNext/>
              <w:spacing w:before="55" w:after="30" w:line="288" w:lineRule="auto"/>
              <w:jc w:val="right"/>
            </w:pPr>
            <w:r>
              <w:rPr>
                <w:rFonts w:ascii="Arial" w:eastAsia="Arial" w:hAnsi="Arial" w:cs="Arial"/>
                <w:color w:val="000000"/>
                <w:sz w:val="18"/>
              </w:rPr>
              <w:t>16.13 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7781B2DC" w14:textId="77777777" w:rsidR="001614AC" w:rsidRDefault="001614AC">
            <w:pPr>
              <w:keepNext/>
              <w:spacing w:before="55" w:after="30" w:line="288" w:lineRule="auto"/>
              <w:jc w:val="right"/>
            </w:pPr>
          </w:p>
        </w:tc>
      </w:tr>
      <w:tr w:rsidR="001614AC" w14:paraId="0346CB13" w14:textId="77777777">
        <w:trPr>
          <w:cantSplit/>
          <w:trHeight w:hRule="exact" w:val="285"/>
        </w:trPr>
        <w:tc>
          <w:tcPr>
            <w:tcW w:w="4050" w:type="dxa"/>
            <w:tcBorders>
              <w:top w:val="single" w:sz="8" w:space="0" w:color="E9E9E9"/>
              <w:left w:val="nil"/>
              <w:bottom w:val="single" w:sz="8" w:space="0" w:color="E9E9E9"/>
              <w:right w:val="nil"/>
            </w:tcBorders>
            <w:shd w:val="clear" w:color="auto" w:fill="F4F4F4"/>
            <w:tcMar>
              <w:top w:w="0" w:type="dxa"/>
              <w:left w:w="53" w:type="dxa"/>
              <w:bottom w:w="0" w:type="dxa"/>
              <w:right w:w="53" w:type="dxa"/>
            </w:tcMar>
            <w:vAlign w:val="bottom"/>
          </w:tcPr>
          <w:p w14:paraId="30241F56" w14:textId="77777777" w:rsidR="001614AC" w:rsidRDefault="004468F9">
            <w:pPr>
              <w:spacing w:before="55" w:after="30" w:line="288" w:lineRule="auto"/>
              <w:rPr>
                <w:rFonts w:ascii="Arial" w:eastAsia="Arial" w:hAnsi="Arial" w:cs="Arial"/>
                <w:sz w:val="18"/>
              </w:rPr>
            </w:pPr>
            <w:r>
              <w:rPr>
                <w:rFonts w:ascii="Arial" w:eastAsia="Arial" w:hAnsi="Arial" w:cs="Arial"/>
                <w:sz w:val="18"/>
              </w:rPr>
              <w:t>Outstanding, June 30, 2021</w:t>
            </w:r>
            <w:r>
              <w:rPr>
                <w:rFonts w:ascii="Arial" w:eastAsia="Arial" w:hAnsi="Arial" w:cs="Arial"/>
                <w:sz w:val="18"/>
                <w:vertAlign w:val="superscript"/>
              </w:rPr>
              <w:t xml:space="preserve"> (1)</w:t>
            </w:r>
          </w:p>
        </w:tc>
        <w:tc>
          <w:tcPr>
            <w:tcW w:w="105" w:type="dxa"/>
            <w:tcBorders>
              <w:top w:val="nil"/>
              <w:left w:val="nil"/>
              <w:bottom w:val="nil"/>
              <w:right w:val="nil"/>
            </w:tcBorders>
            <w:shd w:val="clear" w:color="auto" w:fill="F4F4F4"/>
            <w:tcMar>
              <w:top w:w="0" w:type="dxa"/>
              <w:left w:w="0" w:type="dxa"/>
              <w:bottom w:w="0" w:type="dxa"/>
              <w:right w:w="0" w:type="dxa"/>
            </w:tcMar>
            <w:vAlign w:val="bottom"/>
          </w:tcPr>
          <w:p w14:paraId="74D2FC68" w14:textId="77777777" w:rsidR="001614AC" w:rsidRDefault="001614AC"/>
        </w:tc>
        <w:tc>
          <w:tcPr>
            <w:tcW w:w="1295" w:type="dxa"/>
            <w:tcBorders>
              <w:top w:val="single" w:sz="8" w:space="0" w:color="C7C9C7"/>
              <w:left w:val="nil"/>
              <w:bottom w:val="double" w:sz="8" w:space="0" w:color="C7C9C7"/>
              <w:right w:val="nil"/>
            </w:tcBorders>
            <w:shd w:val="clear" w:color="auto" w:fill="F4F4F4"/>
            <w:tcMar>
              <w:top w:w="0" w:type="dxa"/>
              <w:left w:w="53" w:type="dxa"/>
              <w:bottom w:w="0" w:type="dxa"/>
              <w:right w:w="0" w:type="dxa"/>
            </w:tcMar>
            <w:vAlign w:val="bottom"/>
          </w:tcPr>
          <w:p w14:paraId="5D2A1DA3" w14:textId="77777777" w:rsidR="001614AC" w:rsidRDefault="004468F9">
            <w:pPr>
              <w:spacing w:before="55" w:after="30" w:line="288" w:lineRule="auto"/>
              <w:jc w:val="right"/>
            </w:pPr>
            <w:r>
              <w:rPr>
                <w:rFonts w:ascii="Arial" w:eastAsia="Arial" w:hAnsi="Arial" w:cs="Arial"/>
                <w:color w:val="000000"/>
                <w:sz w:val="18"/>
              </w:rPr>
              <w:t>2,361,832 </w:t>
            </w:r>
          </w:p>
        </w:tc>
        <w:tc>
          <w:tcPr>
            <w:tcW w:w="100" w:type="dxa"/>
            <w:tcBorders>
              <w:top w:val="single" w:sz="8" w:space="0" w:color="C7C9C7"/>
              <w:left w:val="nil"/>
              <w:bottom w:val="double" w:sz="8" w:space="0" w:color="C7C9C7"/>
              <w:right w:val="nil"/>
            </w:tcBorders>
            <w:shd w:val="clear" w:color="auto" w:fill="F4F4F4"/>
            <w:tcMar>
              <w:top w:w="0" w:type="dxa"/>
              <w:left w:w="0" w:type="dxa"/>
              <w:bottom w:w="0" w:type="dxa"/>
              <w:right w:w="15" w:type="dxa"/>
            </w:tcMar>
            <w:vAlign w:val="bottom"/>
          </w:tcPr>
          <w:p w14:paraId="33BFD9CC" w14:textId="77777777" w:rsidR="001614AC" w:rsidRDefault="001614AC">
            <w:pPr>
              <w:spacing w:before="55" w:after="30" w:line="288" w:lineRule="auto"/>
              <w:jc w:val="right"/>
            </w:pPr>
          </w:p>
        </w:tc>
        <w:tc>
          <w:tcPr>
            <w:tcW w:w="105" w:type="dxa"/>
            <w:tcBorders>
              <w:top w:val="nil"/>
              <w:left w:val="nil"/>
              <w:bottom w:val="nil"/>
              <w:right w:val="nil"/>
            </w:tcBorders>
            <w:shd w:val="clear" w:color="auto" w:fill="F4F4F4"/>
            <w:tcMar>
              <w:top w:w="0" w:type="dxa"/>
              <w:left w:w="0" w:type="dxa"/>
              <w:bottom w:w="0" w:type="dxa"/>
              <w:right w:w="0" w:type="dxa"/>
            </w:tcMar>
            <w:vAlign w:val="bottom"/>
          </w:tcPr>
          <w:p w14:paraId="621329F2" w14:textId="77777777" w:rsidR="001614AC" w:rsidRDefault="001614AC"/>
        </w:tc>
        <w:tc>
          <w:tcPr>
            <w:tcW w:w="160" w:type="dxa"/>
            <w:tcBorders>
              <w:top w:val="single" w:sz="8" w:space="0" w:color="E9E9E9"/>
              <w:left w:val="nil"/>
              <w:bottom w:val="single" w:sz="8" w:space="0" w:color="E9E9E9"/>
              <w:right w:val="nil"/>
            </w:tcBorders>
            <w:shd w:val="clear" w:color="auto" w:fill="F4F4F4"/>
            <w:tcMar>
              <w:top w:w="0" w:type="dxa"/>
              <w:left w:w="53" w:type="dxa"/>
              <w:bottom w:w="0" w:type="dxa"/>
              <w:right w:w="0" w:type="dxa"/>
            </w:tcMar>
            <w:vAlign w:val="bottom"/>
          </w:tcPr>
          <w:p w14:paraId="143D03A8" w14:textId="77777777" w:rsidR="001614AC" w:rsidRDefault="004468F9">
            <w:pPr>
              <w:spacing w:before="55" w:after="30" w:line="288" w:lineRule="auto"/>
            </w:pPr>
            <w:r>
              <w:rPr>
                <w:rFonts w:ascii="Arial" w:eastAsia="Arial" w:hAnsi="Arial" w:cs="Arial"/>
                <w:color w:val="000000"/>
                <w:sz w:val="18"/>
              </w:rPr>
              <w:t>$</w:t>
            </w:r>
          </w:p>
        </w:tc>
        <w:tc>
          <w:tcPr>
            <w:tcW w:w="1240" w:type="dxa"/>
            <w:tcBorders>
              <w:top w:val="single" w:sz="8" w:space="0" w:color="E9E9E9"/>
              <w:left w:val="nil"/>
              <w:bottom w:val="single" w:sz="8" w:space="0" w:color="E9E9E9"/>
              <w:right w:val="nil"/>
            </w:tcBorders>
            <w:shd w:val="clear" w:color="auto" w:fill="F4F4F4"/>
            <w:tcMar>
              <w:top w:w="0" w:type="dxa"/>
              <w:left w:w="0" w:type="dxa"/>
              <w:bottom w:w="0" w:type="dxa"/>
              <w:right w:w="0" w:type="dxa"/>
            </w:tcMar>
            <w:vAlign w:val="bottom"/>
          </w:tcPr>
          <w:p w14:paraId="03C1F63D" w14:textId="77777777" w:rsidR="001614AC" w:rsidRDefault="004468F9">
            <w:pPr>
              <w:spacing w:before="55" w:after="30" w:line="288" w:lineRule="auto"/>
              <w:jc w:val="right"/>
            </w:pPr>
            <w:r>
              <w:rPr>
                <w:rFonts w:ascii="Arial" w:eastAsia="Arial" w:hAnsi="Arial" w:cs="Arial"/>
                <w:color w:val="000000"/>
                <w:sz w:val="18"/>
              </w:rPr>
              <w:t>16.78 </w:t>
            </w:r>
          </w:p>
        </w:tc>
        <w:tc>
          <w:tcPr>
            <w:tcW w:w="100" w:type="dxa"/>
            <w:tcBorders>
              <w:top w:val="single" w:sz="8" w:space="0" w:color="E9E9E9"/>
              <w:left w:val="nil"/>
              <w:bottom w:val="single" w:sz="8" w:space="0" w:color="E9E9E9"/>
              <w:right w:val="nil"/>
            </w:tcBorders>
            <w:shd w:val="clear" w:color="auto" w:fill="F4F4F4"/>
            <w:tcMar>
              <w:top w:w="0" w:type="dxa"/>
              <w:left w:w="0" w:type="dxa"/>
              <w:bottom w:w="0" w:type="dxa"/>
              <w:right w:w="15" w:type="dxa"/>
            </w:tcMar>
            <w:vAlign w:val="bottom"/>
          </w:tcPr>
          <w:p w14:paraId="43102A19" w14:textId="77777777" w:rsidR="001614AC" w:rsidRDefault="001614AC">
            <w:pPr>
              <w:spacing w:before="55" w:after="30" w:line="288" w:lineRule="auto"/>
              <w:jc w:val="right"/>
            </w:pPr>
          </w:p>
        </w:tc>
        <w:tc>
          <w:tcPr>
            <w:tcW w:w="105" w:type="dxa"/>
            <w:tcBorders>
              <w:top w:val="nil"/>
              <w:left w:val="nil"/>
              <w:bottom w:val="nil"/>
              <w:right w:val="nil"/>
            </w:tcBorders>
            <w:shd w:val="clear" w:color="auto" w:fill="F4F4F4"/>
            <w:tcMar>
              <w:top w:w="0" w:type="dxa"/>
              <w:left w:w="0" w:type="dxa"/>
              <w:bottom w:w="0" w:type="dxa"/>
              <w:right w:w="0" w:type="dxa"/>
            </w:tcMar>
            <w:vAlign w:val="bottom"/>
          </w:tcPr>
          <w:p w14:paraId="5E2BD3CD" w14:textId="77777777" w:rsidR="001614AC" w:rsidRDefault="001614AC"/>
        </w:tc>
        <w:tc>
          <w:tcPr>
            <w:tcW w:w="1295" w:type="dxa"/>
            <w:tcBorders>
              <w:top w:val="single" w:sz="8" w:space="0" w:color="C7C9C7"/>
              <w:left w:val="nil"/>
              <w:bottom w:val="double" w:sz="8" w:space="0" w:color="C7C9C7"/>
              <w:right w:val="nil"/>
            </w:tcBorders>
            <w:shd w:val="clear" w:color="auto" w:fill="F4F4F4"/>
            <w:tcMar>
              <w:top w:w="0" w:type="dxa"/>
              <w:left w:w="53" w:type="dxa"/>
              <w:bottom w:w="0" w:type="dxa"/>
              <w:right w:w="0" w:type="dxa"/>
            </w:tcMar>
            <w:vAlign w:val="bottom"/>
          </w:tcPr>
          <w:p w14:paraId="52694DB1" w14:textId="77777777" w:rsidR="001614AC" w:rsidRDefault="004468F9">
            <w:pPr>
              <w:spacing w:before="55" w:after="30" w:line="288" w:lineRule="auto"/>
              <w:jc w:val="right"/>
            </w:pPr>
            <w:r>
              <w:rPr>
                <w:rFonts w:ascii="Arial" w:eastAsia="Arial" w:hAnsi="Arial" w:cs="Arial"/>
                <w:color w:val="000000"/>
                <w:sz w:val="18"/>
              </w:rPr>
              <w:t>2,127,570 </w:t>
            </w:r>
          </w:p>
        </w:tc>
        <w:tc>
          <w:tcPr>
            <w:tcW w:w="100" w:type="dxa"/>
            <w:tcBorders>
              <w:top w:val="single" w:sz="8" w:space="0" w:color="C7C9C7"/>
              <w:left w:val="nil"/>
              <w:bottom w:val="double" w:sz="8" w:space="0" w:color="C7C9C7"/>
              <w:right w:val="nil"/>
            </w:tcBorders>
            <w:shd w:val="clear" w:color="auto" w:fill="F4F4F4"/>
            <w:tcMar>
              <w:top w:w="0" w:type="dxa"/>
              <w:left w:w="0" w:type="dxa"/>
              <w:bottom w:w="0" w:type="dxa"/>
              <w:right w:w="15" w:type="dxa"/>
            </w:tcMar>
            <w:vAlign w:val="bottom"/>
          </w:tcPr>
          <w:p w14:paraId="2CD6608F" w14:textId="77777777" w:rsidR="001614AC" w:rsidRDefault="001614AC">
            <w:pPr>
              <w:spacing w:before="55" w:after="30" w:line="288" w:lineRule="auto"/>
              <w:jc w:val="right"/>
            </w:pPr>
          </w:p>
        </w:tc>
        <w:tc>
          <w:tcPr>
            <w:tcW w:w="105" w:type="dxa"/>
            <w:tcBorders>
              <w:top w:val="nil"/>
              <w:left w:val="nil"/>
              <w:bottom w:val="nil"/>
              <w:right w:val="nil"/>
            </w:tcBorders>
            <w:shd w:val="clear" w:color="auto" w:fill="F4F4F4"/>
            <w:tcMar>
              <w:top w:w="0" w:type="dxa"/>
              <w:left w:w="0" w:type="dxa"/>
              <w:bottom w:w="0" w:type="dxa"/>
              <w:right w:w="0" w:type="dxa"/>
            </w:tcMar>
            <w:vAlign w:val="bottom"/>
          </w:tcPr>
          <w:p w14:paraId="37431EF3" w14:textId="77777777" w:rsidR="001614AC" w:rsidRDefault="001614AC"/>
        </w:tc>
        <w:tc>
          <w:tcPr>
            <w:tcW w:w="160" w:type="dxa"/>
            <w:tcBorders>
              <w:top w:val="single" w:sz="8" w:space="0" w:color="E9E9E9"/>
              <w:left w:val="nil"/>
              <w:bottom w:val="single" w:sz="8" w:space="0" w:color="E9E9E9"/>
              <w:right w:val="nil"/>
            </w:tcBorders>
            <w:shd w:val="clear" w:color="auto" w:fill="F4F4F4"/>
            <w:tcMar>
              <w:top w:w="0" w:type="dxa"/>
              <w:left w:w="53" w:type="dxa"/>
              <w:bottom w:w="0" w:type="dxa"/>
              <w:right w:w="0" w:type="dxa"/>
            </w:tcMar>
            <w:vAlign w:val="bottom"/>
          </w:tcPr>
          <w:p w14:paraId="25071151" w14:textId="77777777" w:rsidR="001614AC" w:rsidRDefault="004468F9">
            <w:pPr>
              <w:spacing w:before="55" w:after="30" w:line="288" w:lineRule="auto"/>
            </w:pPr>
            <w:r>
              <w:rPr>
                <w:rFonts w:ascii="Arial" w:eastAsia="Arial" w:hAnsi="Arial" w:cs="Arial"/>
                <w:color w:val="000000"/>
                <w:sz w:val="18"/>
              </w:rPr>
              <w:t>$</w:t>
            </w:r>
          </w:p>
        </w:tc>
        <w:tc>
          <w:tcPr>
            <w:tcW w:w="1240" w:type="dxa"/>
            <w:tcBorders>
              <w:top w:val="single" w:sz="8" w:space="0" w:color="E9E9E9"/>
              <w:left w:val="nil"/>
              <w:bottom w:val="single" w:sz="8" w:space="0" w:color="E9E9E9"/>
              <w:right w:val="nil"/>
            </w:tcBorders>
            <w:shd w:val="clear" w:color="auto" w:fill="F4F4F4"/>
            <w:tcMar>
              <w:top w:w="0" w:type="dxa"/>
              <w:left w:w="0" w:type="dxa"/>
              <w:bottom w:w="0" w:type="dxa"/>
              <w:right w:w="0" w:type="dxa"/>
            </w:tcMar>
            <w:vAlign w:val="bottom"/>
          </w:tcPr>
          <w:p w14:paraId="1B301D61" w14:textId="77777777" w:rsidR="001614AC" w:rsidRDefault="004468F9">
            <w:pPr>
              <w:spacing w:before="55" w:after="30" w:line="288" w:lineRule="auto"/>
              <w:jc w:val="right"/>
            </w:pPr>
            <w:r>
              <w:rPr>
                <w:rFonts w:ascii="Arial" w:eastAsia="Arial" w:hAnsi="Arial" w:cs="Arial"/>
                <w:color w:val="000000"/>
                <w:sz w:val="18"/>
              </w:rPr>
              <w:t>14.41 </w:t>
            </w:r>
          </w:p>
        </w:tc>
        <w:tc>
          <w:tcPr>
            <w:tcW w:w="100" w:type="dxa"/>
            <w:tcBorders>
              <w:top w:val="single" w:sz="8" w:space="0" w:color="E9E9E9"/>
              <w:left w:val="nil"/>
              <w:bottom w:val="single" w:sz="8" w:space="0" w:color="E9E9E9"/>
              <w:right w:val="nil"/>
            </w:tcBorders>
            <w:shd w:val="clear" w:color="auto" w:fill="F4F4F4"/>
            <w:tcMar>
              <w:top w:w="0" w:type="dxa"/>
              <w:left w:w="0" w:type="dxa"/>
              <w:bottom w:w="0" w:type="dxa"/>
              <w:right w:w="15" w:type="dxa"/>
            </w:tcMar>
            <w:vAlign w:val="bottom"/>
          </w:tcPr>
          <w:p w14:paraId="1FE3DA9F" w14:textId="77777777" w:rsidR="001614AC" w:rsidRDefault="001614AC">
            <w:pPr>
              <w:spacing w:before="55" w:after="30" w:line="288" w:lineRule="auto"/>
              <w:jc w:val="right"/>
            </w:pPr>
          </w:p>
        </w:tc>
      </w:tr>
    </w:tbl>
    <w:p w14:paraId="4DE94C0D" w14:textId="77777777" w:rsidR="001614AC" w:rsidRDefault="004468F9" w:rsidP="004468F9">
      <w:pPr>
        <w:keepNext/>
        <w:numPr>
          <w:ilvl w:val="0"/>
          <w:numId w:val="25"/>
        </w:numPr>
        <w:spacing w:line="288" w:lineRule="auto"/>
        <w:ind w:left="360"/>
        <w:rPr>
          <w:rFonts w:ascii="Arial" w:eastAsia="Arial" w:hAnsi="Arial" w:cs="Arial"/>
          <w:b/>
          <w:color w:val="64615D"/>
          <w:sz w:val="16"/>
        </w:rPr>
      </w:pPr>
      <w:r>
        <w:rPr>
          <w:rFonts w:ascii="Arial" w:eastAsia="Arial" w:hAnsi="Arial" w:cs="Arial"/>
          <w:color w:val="64615D"/>
          <w:sz w:val="16"/>
        </w:rPr>
        <w:t>Outstanding RSUs represen</w:t>
      </w:r>
      <w:r>
        <w:rPr>
          <w:rFonts w:ascii="Arial" w:eastAsia="Arial" w:hAnsi="Arial" w:cs="Arial"/>
          <w:color w:val="64615D"/>
          <w:sz w:val="16"/>
        </w:rPr>
        <w:t>t shares that have not yet been issued because not all conditions necessary to earn the right to benefit from the instruments have been satisfied. The final number of RSUs distributed depends on the cumulative growth in Radian's book value over the respect</w:t>
      </w:r>
      <w:r>
        <w:rPr>
          <w:rFonts w:ascii="Arial" w:eastAsia="Arial" w:hAnsi="Arial" w:cs="Arial"/>
          <w:color w:val="64615D"/>
          <w:sz w:val="16"/>
        </w:rPr>
        <w:t>ive three-year performance period and, with the exception of certain retirement-eligible employees, continued service through the vesting date, which could result in changes in vested RSUs.</w:t>
      </w:r>
    </w:p>
    <w:p w14:paraId="0A1778C1" w14:textId="77777777" w:rsidR="001614AC" w:rsidRDefault="004468F9" w:rsidP="004468F9">
      <w:pPr>
        <w:numPr>
          <w:ilvl w:val="0"/>
          <w:numId w:val="25"/>
        </w:numPr>
        <w:spacing w:line="288" w:lineRule="auto"/>
        <w:ind w:left="360"/>
        <w:rPr>
          <w:rFonts w:ascii="Arial" w:eastAsia="Arial" w:hAnsi="Arial" w:cs="Arial"/>
          <w:b/>
          <w:color w:val="64615D"/>
          <w:sz w:val="16"/>
        </w:rPr>
      </w:pPr>
      <w:r>
        <w:rPr>
          <w:rFonts w:ascii="Arial" w:eastAsia="Arial" w:hAnsi="Arial" w:cs="Arial"/>
          <w:color w:val="64615D"/>
          <w:sz w:val="16"/>
        </w:rPr>
        <w:t>For performance-based RSUs, number represents the number of target</w:t>
      </w:r>
      <w:r>
        <w:rPr>
          <w:rFonts w:ascii="Arial" w:eastAsia="Arial" w:hAnsi="Arial" w:cs="Arial"/>
          <w:color w:val="64615D"/>
          <w:sz w:val="16"/>
        </w:rPr>
        <w:t xml:space="preserve"> shares at grant date.</w:t>
      </w:r>
    </w:p>
    <w:p w14:paraId="4180290E" w14:textId="77777777" w:rsidR="001614AC" w:rsidRDefault="004468F9" w:rsidP="004468F9">
      <w:pPr>
        <w:numPr>
          <w:ilvl w:val="0"/>
          <w:numId w:val="25"/>
        </w:numPr>
        <w:spacing w:line="288" w:lineRule="auto"/>
        <w:ind w:left="360"/>
        <w:rPr>
          <w:rFonts w:ascii="Arial" w:eastAsia="Arial" w:hAnsi="Arial" w:cs="Arial"/>
          <w:b/>
          <w:color w:val="64615D"/>
          <w:sz w:val="16"/>
        </w:rPr>
      </w:pPr>
      <w:r>
        <w:rPr>
          <w:rFonts w:ascii="Arial" w:eastAsia="Arial" w:hAnsi="Arial" w:cs="Arial"/>
          <w:color w:val="64615D"/>
          <w:sz w:val="16"/>
        </w:rPr>
        <w:t xml:space="preserve">For performance-based RSUs, represents the difference between the number of target shares at grant date and the number of shares vested at settlement, which can range from 0 to 200% of target depending on results over the applicable </w:t>
      </w:r>
      <w:r>
        <w:rPr>
          <w:rFonts w:ascii="Arial" w:eastAsia="Arial" w:hAnsi="Arial" w:cs="Arial"/>
          <w:color w:val="64615D"/>
          <w:sz w:val="16"/>
        </w:rPr>
        <w:t xml:space="preserve">performance periods. </w:t>
      </w:r>
    </w:p>
    <w:p w14:paraId="6CB3C69D" w14:textId="77777777" w:rsidR="001614AC" w:rsidRDefault="004468F9" w:rsidP="004468F9">
      <w:pPr>
        <w:numPr>
          <w:ilvl w:val="0"/>
          <w:numId w:val="25"/>
        </w:numPr>
        <w:spacing w:line="288" w:lineRule="auto"/>
        <w:ind w:left="360"/>
        <w:rPr>
          <w:rFonts w:ascii="Arial" w:eastAsia="Arial" w:hAnsi="Arial" w:cs="Arial"/>
          <w:b/>
          <w:color w:val="64615D"/>
          <w:sz w:val="16"/>
        </w:rPr>
      </w:pPr>
      <w:r>
        <w:rPr>
          <w:rFonts w:ascii="Arial" w:eastAsia="Arial" w:hAnsi="Arial" w:cs="Arial"/>
          <w:color w:val="64615D"/>
          <w:sz w:val="16"/>
        </w:rPr>
        <w:t>Represents amounts vested during the year, including the impact of performance adjustments for performance-based awards.</w:t>
      </w:r>
    </w:p>
    <w:p w14:paraId="47D76EA5" w14:textId="77777777" w:rsidR="001614AC" w:rsidRDefault="001614AC" w:rsidP="004468F9">
      <w:pPr>
        <w:numPr>
          <w:ilvl w:val="0"/>
          <w:numId w:val="25"/>
        </w:numPr>
        <w:spacing w:line="288" w:lineRule="auto"/>
        <w:ind w:left="360"/>
        <w:rPr>
          <w:rFonts w:ascii="Arial" w:eastAsia="Arial" w:hAnsi="Arial" w:cs="Arial"/>
          <w:b/>
          <w:color w:val="64615D"/>
          <w:sz w:val="16"/>
        </w:rPr>
        <w:sectPr w:rsidR="001614AC">
          <w:headerReference w:type="default" r:id="rId37"/>
          <w:type w:val="continuous"/>
          <w:pgSz w:w="12240" w:h="15840"/>
          <w:pgMar w:top="1260" w:right="1080" w:bottom="1080" w:left="1080" w:header="270" w:footer="270" w:gutter="0"/>
          <w:cols w:space="708"/>
        </w:sectPr>
      </w:pPr>
    </w:p>
    <w:p w14:paraId="2EBC824A" w14:textId="77777777" w:rsidR="001614AC" w:rsidRDefault="004468F9">
      <w:pPr>
        <w:keepNext/>
        <w:tabs>
          <w:tab w:val="left" w:pos="540"/>
        </w:tabs>
        <w:spacing w:before="200" w:after="160" w:line="288" w:lineRule="auto"/>
        <w:ind w:left="360" w:hanging="360"/>
        <w:outlineLvl w:val="3"/>
        <w:rPr>
          <w:rFonts w:ascii="Arial" w:eastAsia="Arial" w:hAnsi="Arial" w:cs="Arial"/>
          <w:b/>
          <w:color w:val="4D6B80"/>
          <w:sz w:val="30"/>
        </w:rPr>
      </w:pPr>
      <w:bookmarkStart w:id="26" w:name="Section27"/>
      <w:bookmarkEnd w:id="26"/>
      <w:r>
        <w:rPr>
          <w:rFonts w:ascii="Arial" w:eastAsia="Arial" w:hAnsi="Arial" w:cs="Arial"/>
          <w:b/>
          <w:color w:val="4D6B80"/>
          <w:sz w:val="30"/>
        </w:rPr>
        <w:lastRenderedPageBreak/>
        <w:t>15. Accumulated Other Comprehensive Income (Loss)</w:t>
      </w:r>
    </w:p>
    <w:p w14:paraId="10DF1C44" w14:textId="77777777" w:rsidR="001614AC" w:rsidRDefault="004468F9">
      <w:pPr>
        <w:keepNext/>
        <w:spacing w:before="100" w:after="100" w:line="288" w:lineRule="auto"/>
        <w:ind w:firstLine="450"/>
        <w:rPr>
          <w:rFonts w:ascii="Arial" w:eastAsia="Arial" w:hAnsi="Arial" w:cs="Arial"/>
          <w:b/>
          <w:color w:val="4D6B80"/>
          <w:sz w:val="18"/>
        </w:rPr>
      </w:pPr>
      <w:r>
        <w:rPr>
          <w:rFonts w:ascii="Arial" w:eastAsia="Arial" w:hAnsi="Arial" w:cs="Arial"/>
          <w:sz w:val="18"/>
        </w:rPr>
        <w:t>The following table shows the rollforward of accumulated</w:t>
      </w:r>
      <w:r>
        <w:rPr>
          <w:rFonts w:ascii="Arial" w:eastAsia="Arial" w:hAnsi="Arial" w:cs="Arial"/>
          <w:sz w:val="18"/>
        </w:rPr>
        <w:t xml:space="preserve"> other comprehensive income (loss) as of the periods indicated.</w:t>
      </w:r>
    </w:p>
    <w:tbl>
      <w:tblPr>
        <w:tblW w:w="102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04"/>
        <w:gridCol w:w="107"/>
        <w:gridCol w:w="163"/>
        <w:gridCol w:w="791"/>
        <w:gridCol w:w="102"/>
        <w:gridCol w:w="107"/>
        <w:gridCol w:w="163"/>
        <w:gridCol w:w="791"/>
        <w:gridCol w:w="102"/>
        <w:gridCol w:w="107"/>
        <w:gridCol w:w="163"/>
        <w:gridCol w:w="791"/>
        <w:gridCol w:w="102"/>
        <w:gridCol w:w="107"/>
        <w:gridCol w:w="163"/>
        <w:gridCol w:w="791"/>
        <w:gridCol w:w="102"/>
        <w:gridCol w:w="107"/>
        <w:gridCol w:w="163"/>
        <w:gridCol w:w="791"/>
        <w:gridCol w:w="102"/>
        <w:gridCol w:w="107"/>
        <w:gridCol w:w="163"/>
        <w:gridCol w:w="791"/>
        <w:gridCol w:w="102"/>
      </w:tblGrid>
      <w:tr w:rsidR="001614AC" w14:paraId="3188D83B" w14:textId="77777777">
        <w:trPr>
          <w:cantSplit/>
        </w:trPr>
        <w:tc>
          <w:tcPr>
            <w:tcW w:w="10080" w:type="dxa"/>
            <w:gridSpan w:val="25"/>
            <w:tcBorders>
              <w:top w:val="nil"/>
              <w:left w:val="nil"/>
              <w:bottom w:val="single" w:sz="12" w:space="0" w:color="99AAB6"/>
              <w:right w:val="nil"/>
            </w:tcBorders>
            <w:tcMar>
              <w:top w:w="0" w:type="dxa"/>
              <w:left w:w="53" w:type="dxa"/>
              <w:bottom w:w="0" w:type="dxa"/>
              <w:right w:w="53" w:type="dxa"/>
            </w:tcMar>
            <w:vAlign w:val="bottom"/>
          </w:tcPr>
          <w:p w14:paraId="5A4C05D6" w14:textId="77777777" w:rsidR="001614AC" w:rsidRDefault="004468F9">
            <w:pPr>
              <w:keepNext/>
              <w:spacing w:before="75" w:after="30" w:line="288" w:lineRule="auto"/>
              <w:rPr>
                <w:rFonts w:ascii="Arial" w:eastAsia="Arial" w:hAnsi="Arial" w:cs="Arial"/>
                <w:b/>
                <w:sz w:val="20"/>
              </w:rPr>
            </w:pPr>
            <w:r>
              <w:rPr>
                <w:rFonts w:ascii="Arial" w:eastAsia="Arial" w:hAnsi="Arial" w:cs="Arial"/>
                <w:b/>
                <w:sz w:val="20"/>
              </w:rPr>
              <w:t>Rollforward of accumulated other comprehensive income</w:t>
            </w:r>
          </w:p>
        </w:tc>
      </w:tr>
      <w:tr w:rsidR="001614AC" w14:paraId="11202534" w14:textId="77777777">
        <w:trPr>
          <w:cantSplit/>
          <w:trHeight w:hRule="exact" w:val="135"/>
        </w:trPr>
        <w:tc>
          <w:tcPr>
            <w:tcW w:w="3240" w:type="dxa"/>
            <w:tcBorders>
              <w:top w:val="nil"/>
              <w:left w:val="nil"/>
              <w:bottom w:val="nil"/>
              <w:right w:val="nil"/>
            </w:tcBorders>
            <w:tcMar>
              <w:top w:w="0" w:type="dxa"/>
              <w:left w:w="0" w:type="dxa"/>
              <w:bottom w:w="0" w:type="dxa"/>
              <w:right w:w="0" w:type="dxa"/>
            </w:tcMar>
            <w:vAlign w:val="bottom"/>
          </w:tcPr>
          <w:p w14:paraId="69DC2214" w14:textId="77777777" w:rsidR="001614AC" w:rsidRDefault="001614AC">
            <w:pPr>
              <w:keepNext/>
            </w:pPr>
          </w:p>
        </w:tc>
        <w:tc>
          <w:tcPr>
            <w:tcW w:w="105" w:type="dxa"/>
            <w:tcBorders>
              <w:top w:val="single" w:sz="12" w:space="0" w:color="99AAB6"/>
              <w:left w:val="nil"/>
              <w:bottom w:val="nil"/>
              <w:right w:val="nil"/>
            </w:tcBorders>
            <w:tcMar>
              <w:top w:w="0" w:type="dxa"/>
              <w:left w:w="0" w:type="dxa"/>
              <w:bottom w:w="0" w:type="dxa"/>
              <w:right w:w="0" w:type="dxa"/>
            </w:tcMar>
            <w:vAlign w:val="bottom"/>
          </w:tcPr>
          <w:p w14:paraId="3D144084" w14:textId="77777777" w:rsidR="001614AC" w:rsidRDefault="001614AC">
            <w:pPr>
              <w:keepNext/>
            </w:pPr>
          </w:p>
        </w:tc>
        <w:tc>
          <w:tcPr>
            <w:tcW w:w="1035" w:type="dxa"/>
            <w:gridSpan w:val="3"/>
            <w:tcBorders>
              <w:top w:val="single" w:sz="12" w:space="0" w:color="99AAB6"/>
              <w:left w:val="nil"/>
              <w:bottom w:val="nil"/>
              <w:right w:val="nil"/>
            </w:tcBorders>
            <w:tcMar>
              <w:top w:w="0" w:type="dxa"/>
              <w:left w:w="0" w:type="dxa"/>
              <w:bottom w:w="0" w:type="dxa"/>
              <w:right w:w="0" w:type="dxa"/>
            </w:tcMar>
            <w:vAlign w:val="bottom"/>
          </w:tcPr>
          <w:p w14:paraId="4CFBED55" w14:textId="77777777" w:rsidR="001614AC" w:rsidRDefault="001614AC">
            <w:pPr>
              <w:keepNext/>
            </w:pPr>
          </w:p>
        </w:tc>
        <w:tc>
          <w:tcPr>
            <w:tcW w:w="105" w:type="dxa"/>
            <w:tcBorders>
              <w:top w:val="single" w:sz="12" w:space="0" w:color="99AAB6"/>
              <w:left w:val="nil"/>
              <w:bottom w:val="nil"/>
              <w:right w:val="nil"/>
            </w:tcBorders>
            <w:tcMar>
              <w:top w:w="0" w:type="dxa"/>
              <w:left w:w="0" w:type="dxa"/>
              <w:bottom w:w="0" w:type="dxa"/>
              <w:right w:w="0" w:type="dxa"/>
            </w:tcMar>
            <w:vAlign w:val="bottom"/>
          </w:tcPr>
          <w:p w14:paraId="77CCA680" w14:textId="77777777" w:rsidR="001614AC" w:rsidRDefault="001614AC">
            <w:pPr>
              <w:keepNext/>
            </w:pPr>
          </w:p>
        </w:tc>
        <w:tc>
          <w:tcPr>
            <w:tcW w:w="1035" w:type="dxa"/>
            <w:gridSpan w:val="3"/>
            <w:tcBorders>
              <w:top w:val="single" w:sz="12" w:space="0" w:color="99AAB6"/>
              <w:left w:val="nil"/>
              <w:bottom w:val="nil"/>
              <w:right w:val="nil"/>
            </w:tcBorders>
            <w:tcMar>
              <w:top w:w="0" w:type="dxa"/>
              <w:left w:w="0" w:type="dxa"/>
              <w:bottom w:w="0" w:type="dxa"/>
              <w:right w:w="0" w:type="dxa"/>
            </w:tcMar>
            <w:vAlign w:val="bottom"/>
          </w:tcPr>
          <w:p w14:paraId="011C676D" w14:textId="77777777" w:rsidR="001614AC" w:rsidRDefault="001614AC">
            <w:pPr>
              <w:keepNext/>
            </w:pPr>
          </w:p>
        </w:tc>
        <w:tc>
          <w:tcPr>
            <w:tcW w:w="105" w:type="dxa"/>
            <w:tcBorders>
              <w:top w:val="single" w:sz="12" w:space="0" w:color="99AAB6"/>
              <w:left w:val="nil"/>
              <w:bottom w:val="nil"/>
              <w:right w:val="nil"/>
            </w:tcBorders>
            <w:tcMar>
              <w:top w:w="0" w:type="dxa"/>
              <w:left w:w="0" w:type="dxa"/>
              <w:bottom w:w="0" w:type="dxa"/>
              <w:right w:w="0" w:type="dxa"/>
            </w:tcMar>
            <w:vAlign w:val="bottom"/>
          </w:tcPr>
          <w:p w14:paraId="39B87BDE" w14:textId="77777777" w:rsidR="001614AC" w:rsidRDefault="001614AC">
            <w:pPr>
              <w:keepNext/>
            </w:pPr>
          </w:p>
        </w:tc>
        <w:tc>
          <w:tcPr>
            <w:tcW w:w="1035" w:type="dxa"/>
            <w:gridSpan w:val="3"/>
            <w:tcBorders>
              <w:top w:val="single" w:sz="12" w:space="0" w:color="99AAB6"/>
              <w:left w:val="nil"/>
              <w:bottom w:val="nil"/>
              <w:right w:val="nil"/>
            </w:tcBorders>
            <w:tcMar>
              <w:top w:w="0" w:type="dxa"/>
              <w:left w:w="0" w:type="dxa"/>
              <w:bottom w:w="0" w:type="dxa"/>
              <w:right w:w="0" w:type="dxa"/>
            </w:tcMar>
            <w:vAlign w:val="bottom"/>
          </w:tcPr>
          <w:p w14:paraId="7574C11F" w14:textId="77777777" w:rsidR="001614AC" w:rsidRDefault="001614AC">
            <w:pPr>
              <w:keepNext/>
            </w:pPr>
          </w:p>
        </w:tc>
        <w:tc>
          <w:tcPr>
            <w:tcW w:w="105" w:type="dxa"/>
            <w:tcBorders>
              <w:top w:val="single" w:sz="12" w:space="0" w:color="99AAB6"/>
              <w:left w:val="nil"/>
              <w:bottom w:val="nil"/>
              <w:right w:val="nil"/>
            </w:tcBorders>
            <w:tcMar>
              <w:top w:w="0" w:type="dxa"/>
              <w:left w:w="0" w:type="dxa"/>
              <w:bottom w:w="0" w:type="dxa"/>
              <w:right w:w="0" w:type="dxa"/>
            </w:tcMar>
            <w:vAlign w:val="bottom"/>
          </w:tcPr>
          <w:p w14:paraId="1B21C6E3" w14:textId="77777777" w:rsidR="001614AC" w:rsidRDefault="001614AC">
            <w:pPr>
              <w:keepNext/>
            </w:pPr>
          </w:p>
        </w:tc>
        <w:tc>
          <w:tcPr>
            <w:tcW w:w="1035" w:type="dxa"/>
            <w:gridSpan w:val="3"/>
            <w:tcBorders>
              <w:top w:val="single" w:sz="12" w:space="0" w:color="99AAB6"/>
              <w:left w:val="nil"/>
              <w:bottom w:val="nil"/>
              <w:right w:val="nil"/>
            </w:tcBorders>
            <w:tcMar>
              <w:top w:w="0" w:type="dxa"/>
              <w:left w:w="0" w:type="dxa"/>
              <w:bottom w:w="0" w:type="dxa"/>
              <w:right w:w="0" w:type="dxa"/>
            </w:tcMar>
            <w:vAlign w:val="bottom"/>
          </w:tcPr>
          <w:p w14:paraId="79D7B96B" w14:textId="77777777" w:rsidR="001614AC" w:rsidRDefault="001614AC">
            <w:pPr>
              <w:keepNext/>
            </w:pPr>
          </w:p>
        </w:tc>
        <w:tc>
          <w:tcPr>
            <w:tcW w:w="105" w:type="dxa"/>
            <w:tcBorders>
              <w:top w:val="single" w:sz="12" w:space="0" w:color="99AAB6"/>
              <w:left w:val="nil"/>
              <w:bottom w:val="nil"/>
              <w:right w:val="nil"/>
            </w:tcBorders>
            <w:tcMar>
              <w:top w:w="0" w:type="dxa"/>
              <w:left w:w="0" w:type="dxa"/>
              <w:bottom w:w="0" w:type="dxa"/>
              <w:right w:w="0" w:type="dxa"/>
            </w:tcMar>
            <w:vAlign w:val="bottom"/>
          </w:tcPr>
          <w:p w14:paraId="63F13E99" w14:textId="77777777" w:rsidR="001614AC" w:rsidRDefault="001614AC">
            <w:pPr>
              <w:keepNext/>
            </w:pPr>
          </w:p>
        </w:tc>
        <w:tc>
          <w:tcPr>
            <w:tcW w:w="1035" w:type="dxa"/>
            <w:gridSpan w:val="3"/>
            <w:tcBorders>
              <w:top w:val="single" w:sz="12" w:space="0" w:color="99AAB6"/>
              <w:left w:val="nil"/>
              <w:bottom w:val="nil"/>
              <w:right w:val="nil"/>
            </w:tcBorders>
            <w:tcMar>
              <w:top w:w="0" w:type="dxa"/>
              <w:left w:w="0" w:type="dxa"/>
              <w:bottom w:w="0" w:type="dxa"/>
              <w:right w:w="0" w:type="dxa"/>
            </w:tcMar>
            <w:vAlign w:val="bottom"/>
          </w:tcPr>
          <w:p w14:paraId="38FB4FD2" w14:textId="77777777" w:rsidR="001614AC" w:rsidRDefault="001614AC">
            <w:pPr>
              <w:keepNext/>
            </w:pPr>
          </w:p>
        </w:tc>
        <w:tc>
          <w:tcPr>
            <w:tcW w:w="105" w:type="dxa"/>
            <w:tcBorders>
              <w:top w:val="single" w:sz="12" w:space="0" w:color="99AAB6"/>
              <w:left w:val="nil"/>
              <w:bottom w:val="nil"/>
              <w:right w:val="nil"/>
            </w:tcBorders>
            <w:tcMar>
              <w:top w:w="0" w:type="dxa"/>
              <w:left w:w="0" w:type="dxa"/>
              <w:bottom w:w="0" w:type="dxa"/>
              <w:right w:w="0" w:type="dxa"/>
            </w:tcMar>
            <w:vAlign w:val="bottom"/>
          </w:tcPr>
          <w:p w14:paraId="1C31F5C5" w14:textId="77777777" w:rsidR="001614AC" w:rsidRDefault="001614AC">
            <w:pPr>
              <w:keepNext/>
            </w:pPr>
          </w:p>
        </w:tc>
        <w:tc>
          <w:tcPr>
            <w:tcW w:w="1035" w:type="dxa"/>
            <w:gridSpan w:val="3"/>
            <w:tcBorders>
              <w:top w:val="single" w:sz="12" w:space="0" w:color="99AAB6"/>
              <w:left w:val="nil"/>
              <w:bottom w:val="nil"/>
              <w:right w:val="nil"/>
            </w:tcBorders>
            <w:tcMar>
              <w:top w:w="0" w:type="dxa"/>
              <w:left w:w="0" w:type="dxa"/>
              <w:bottom w:w="0" w:type="dxa"/>
              <w:right w:w="0" w:type="dxa"/>
            </w:tcMar>
            <w:vAlign w:val="bottom"/>
          </w:tcPr>
          <w:p w14:paraId="43AE4F2C" w14:textId="77777777" w:rsidR="001614AC" w:rsidRDefault="001614AC">
            <w:pPr>
              <w:keepNext/>
            </w:pPr>
          </w:p>
        </w:tc>
      </w:tr>
      <w:tr w:rsidR="001614AC" w14:paraId="14C5DC02" w14:textId="77777777">
        <w:trPr>
          <w:cantSplit/>
        </w:trPr>
        <w:tc>
          <w:tcPr>
            <w:tcW w:w="3240" w:type="dxa"/>
            <w:tcBorders>
              <w:top w:val="nil"/>
              <w:left w:val="nil"/>
              <w:bottom w:val="single" w:sz="8" w:space="0" w:color="FFFFFF"/>
              <w:right w:val="nil"/>
            </w:tcBorders>
            <w:tcMar>
              <w:top w:w="0" w:type="dxa"/>
              <w:left w:w="0" w:type="dxa"/>
              <w:bottom w:w="0" w:type="dxa"/>
              <w:right w:w="0" w:type="dxa"/>
            </w:tcMar>
            <w:vAlign w:val="bottom"/>
          </w:tcPr>
          <w:p w14:paraId="193FE3AE" w14:textId="77777777" w:rsidR="001614AC" w:rsidRDefault="001614AC">
            <w:pPr>
              <w:keepNext/>
            </w:pPr>
          </w:p>
        </w:tc>
        <w:tc>
          <w:tcPr>
            <w:tcW w:w="105" w:type="dxa"/>
            <w:tcBorders>
              <w:top w:val="nil"/>
              <w:left w:val="nil"/>
              <w:bottom w:val="nil"/>
              <w:right w:val="nil"/>
            </w:tcBorders>
            <w:tcMar>
              <w:top w:w="0" w:type="dxa"/>
              <w:left w:w="0" w:type="dxa"/>
              <w:bottom w:w="0" w:type="dxa"/>
              <w:right w:w="0" w:type="dxa"/>
            </w:tcMar>
            <w:vAlign w:val="bottom"/>
          </w:tcPr>
          <w:p w14:paraId="430E4EFF" w14:textId="77777777" w:rsidR="001614AC" w:rsidRDefault="001614AC">
            <w:pPr>
              <w:keepNext/>
            </w:pPr>
          </w:p>
        </w:tc>
        <w:tc>
          <w:tcPr>
            <w:tcW w:w="3315" w:type="dxa"/>
            <w:gridSpan w:val="11"/>
            <w:tcBorders>
              <w:top w:val="nil"/>
              <w:left w:val="nil"/>
              <w:bottom w:val="single" w:sz="8" w:space="0" w:color="FFFFFF"/>
              <w:right w:val="nil"/>
            </w:tcBorders>
            <w:shd w:val="clear" w:color="auto" w:fill="E6F8F8"/>
            <w:tcMar>
              <w:top w:w="0" w:type="dxa"/>
              <w:left w:w="53" w:type="dxa"/>
              <w:bottom w:w="0" w:type="dxa"/>
              <w:right w:w="53" w:type="dxa"/>
            </w:tcMar>
            <w:vAlign w:val="bottom"/>
          </w:tcPr>
          <w:p w14:paraId="16F95CBD" w14:textId="77777777" w:rsidR="001614AC" w:rsidRDefault="004468F9">
            <w:pPr>
              <w:keepNext/>
              <w:spacing w:before="75" w:line="288" w:lineRule="auto"/>
              <w:jc w:val="center"/>
            </w:pPr>
            <w:r>
              <w:rPr>
                <w:rFonts w:ascii="Arial" w:eastAsia="Arial" w:hAnsi="Arial" w:cs="Arial"/>
                <w:b/>
                <w:color w:val="00BAB3"/>
                <w:sz w:val="18"/>
              </w:rPr>
              <w:t>Three Months Ended</w:t>
            </w:r>
          </w:p>
          <w:p w14:paraId="776778CD" w14:textId="77777777" w:rsidR="001614AC" w:rsidRDefault="004468F9">
            <w:pPr>
              <w:spacing w:after="30" w:line="288" w:lineRule="auto"/>
              <w:jc w:val="center"/>
            </w:pPr>
            <w:r>
              <w:rPr>
                <w:rFonts w:ascii="Arial" w:eastAsia="Arial" w:hAnsi="Arial" w:cs="Arial"/>
                <w:b/>
                <w:color w:val="00BAB3"/>
                <w:sz w:val="18"/>
              </w:rPr>
              <w:t>June 30, 2021</w:t>
            </w:r>
          </w:p>
        </w:tc>
        <w:tc>
          <w:tcPr>
            <w:tcW w:w="105" w:type="dxa"/>
            <w:tcBorders>
              <w:top w:val="nil"/>
              <w:left w:val="nil"/>
              <w:bottom w:val="single" w:sz="8" w:space="0" w:color="FFFFFF"/>
              <w:right w:val="nil"/>
            </w:tcBorders>
            <w:tcMar>
              <w:top w:w="0" w:type="dxa"/>
              <w:left w:w="0" w:type="dxa"/>
              <w:bottom w:w="0" w:type="dxa"/>
              <w:right w:w="0" w:type="dxa"/>
            </w:tcMar>
            <w:vAlign w:val="bottom"/>
          </w:tcPr>
          <w:p w14:paraId="57924EE0" w14:textId="77777777" w:rsidR="001614AC" w:rsidRDefault="001614AC">
            <w:pPr>
              <w:keepNext/>
            </w:pPr>
          </w:p>
        </w:tc>
        <w:tc>
          <w:tcPr>
            <w:tcW w:w="3315" w:type="dxa"/>
            <w:gridSpan w:val="11"/>
            <w:tcBorders>
              <w:top w:val="nil"/>
              <w:left w:val="nil"/>
              <w:bottom w:val="nil"/>
              <w:right w:val="nil"/>
            </w:tcBorders>
            <w:shd w:val="clear" w:color="auto" w:fill="E6F8F8"/>
            <w:tcMar>
              <w:top w:w="0" w:type="dxa"/>
              <w:left w:w="53" w:type="dxa"/>
              <w:bottom w:w="0" w:type="dxa"/>
              <w:right w:w="53" w:type="dxa"/>
            </w:tcMar>
            <w:vAlign w:val="bottom"/>
          </w:tcPr>
          <w:p w14:paraId="22E8D1B3" w14:textId="77777777" w:rsidR="001614AC" w:rsidRDefault="004468F9">
            <w:pPr>
              <w:keepNext/>
              <w:spacing w:before="75" w:line="288" w:lineRule="auto"/>
              <w:jc w:val="center"/>
            </w:pPr>
            <w:r>
              <w:rPr>
                <w:rFonts w:ascii="Arial" w:eastAsia="Arial" w:hAnsi="Arial" w:cs="Arial"/>
                <w:b/>
                <w:color w:val="00BAB3"/>
                <w:sz w:val="18"/>
              </w:rPr>
              <w:t>Six Months Ended</w:t>
            </w:r>
          </w:p>
          <w:p w14:paraId="58C19033" w14:textId="77777777" w:rsidR="001614AC" w:rsidRDefault="004468F9">
            <w:pPr>
              <w:spacing w:after="30" w:line="288" w:lineRule="auto"/>
              <w:jc w:val="center"/>
            </w:pPr>
            <w:r>
              <w:rPr>
                <w:rFonts w:ascii="Arial" w:eastAsia="Arial" w:hAnsi="Arial" w:cs="Arial"/>
                <w:b/>
                <w:color w:val="00BAB3"/>
                <w:sz w:val="18"/>
              </w:rPr>
              <w:t>June 30, 2021</w:t>
            </w:r>
          </w:p>
        </w:tc>
      </w:tr>
      <w:tr w:rsidR="001614AC" w14:paraId="773FD948" w14:textId="77777777">
        <w:trPr>
          <w:cantSplit/>
        </w:trPr>
        <w:tc>
          <w:tcPr>
            <w:tcW w:w="3240" w:type="dxa"/>
            <w:tcBorders>
              <w:top w:val="single" w:sz="8" w:space="0" w:color="FFFFFF"/>
              <w:left w:val="nil"/>
              <w:bottom w:val="single" w:sz="8" w:space="0" w:color="C7C9C7"/>
              <w:right w:val="nil"/>
            </w:tcBorders>
            <w:tcMar>
              <w:top w:w="0" w:type="dxa"/>
              <w:left w:w="53" w:type="dxa"/>
              <w:bottom w:w="0" w:type="dxa"/>
              <w:right w:w="53" w:type="dxa"/>
            </w:tcMar>
            <w:vAlign w:val="bottom"/>
          </w:tcPr>
          <w:p w14:paraId="0595E649" w14:textId="77777777" w:rsidR="001614AC" w:rsidRDefault="004468F9">
            <w:pPr>
              <w:keepNext/>
              <w:spacing w:before="55" w:after="30" w:line="288" w:lineRule="auto"/>
            </w:pPr>
            <w:r>
              <w:rPr>
                <w:rFonts w:ascii="Arial" w:eastAsia="Arial" w:hAnsi="Arial" w:cs="Arial"/>
                <w:color w:val="8B8886"/>
                <w:sz w:val="16"/>
              </w:rPr>
              <w:t>(In thousands)</w:t>
            </w:r>
          </w:p>
        </w:tc>
        <w:tc>
          <w:tcPr>
            <w:tcW w:w="105" w:type="dxa"/>
            <w:tcBorders>
              <w:top w:val="nil"/>
              <w:left w:val="nil"/>
              <w:bottom w:val="single" w:sz="8" w:space="0" w:color="C7C9C7"/>
              <w:right w:val="nil"/>
            </w:tcBorders>
            <w:tcMar>
              <w:top w:w="0" w:type="dxa"/>
              <w:left w:w="0" w:type="dxa"/>
              <w:bottom w:w="0" w:type="dxa"/>
              <w:right w:w="0" w:type="dxa"/>
            </w:tcMar>
            <w:vAlign w:val="bottom"/>
          </w:tcPr>
          <w:p w14:paraId="62B042C7" w14:textId="77777777" w:rsidR="001614AC" w:rsidRDefault="001614AC">
            <w:pPr>
              <w:keepNext/>
            </w:pPr>
          </w:p>
        </w:tc>
        <w:tc>
          <w:tcPr>
            <w:tcW w:w="1035" w:type="dxa"/>
            <w:gridSpan w:val="3"/>
            <w:tcBorders>
              <w:top w:val="nil"/>
              <w:left w:val="nil"/>
              <w:bottom w:val="single" w:sz="8" w:space="0" w:color="C7C9C7"/>
              <w:right w:val="nil"/>
            </w:tcBorders>
            <w:tcMar>
              <w:top w:w="0" w:type="dxa"/>
              <w:left w:w="53" w:type="dxa"/>
              <w:bottom w:w="0" w:type="dxa"/>
              <w:right w:w="53" w:type="dxa"/>
            </w:tcMar>
            <w:vAlign w:val="bottom"/>
          </w:tcPr>
          <w:p w14:paraId="1EFEB858" w14:textId="77777777" w:rsidR="001614AC" w:rsidRDefault="004468F9">
            <w:pPr>
              <w:keepNext/>
              <w:spacing w:before="55" w:after="30" w:line="288" w:lineRule="auto"/>
              <w:jc w:val="center"/>
            </w:pPr>
            <w:r>
              <w:rPr>
                <w:rFonts w:ascii="Arial" w:eastAsia="Arial" w:hAnsi="Arial" w:cs="Arial"/>
                <w:b/>
                <w:color w:val="000000"/>
                <w:sz w:val="18"/>
              </w:rPr>
              <w:t>Before Tax</w:t>
            </w:r>
          </w:p>
        </w:tc>
        <w:tc>
          <w:tcPr>
            <w:tcW w:w="105" w:type="dxa"/>
            <w:tcBorders>
              <w:top w:val="single" w:sz="8" w:space="0" w:color="FFFFFF"/>
              <w:left w:val="nil"/>
              <w:bottom w:val="single" w:sz="8" w:space="0" w:color="C7C9C7"/>
              <w:right w:val="nil"/>
            </w:tcBorders>
            <w:tcMar>
              <w:top w:w="0" w:type="dxa"/>
              <w:left w:w="0" w:type="dxa"/>
              <w:bottom w:w="0" w:type="dxa"/>
              <w:right w:w="0" w:type="dxa"/>
            </w:tcMar>
            <w:vAlign w:val="bottom"/>
          </w:tcPr>
          <w:p w14:paraId="2CF2B899" w14:textId="77777777" w:rsidR="001614AC" w:rsidRDefault="001614AC">
            <w:pPr>
              <w:keepNext/>
            </w:pPr>
          </w:p>
        </w:tc>
        <w:tc>
          <w:tcPr>
            <w:tcW w:w="1035" w:type="dxa"/>
            <w:gridSpan w:val="3"/>
            <w:tcBorders>
              <w:top w:val="single" w:sz="8" w:space="0" w:color="FFFFFF"/>
              <w:left w:val="nil"/>
              <w:bottom w:val="single" w:sz="8" w:space="0" w:color="C7C9C7"/>
              <w:right w:val="nil"/>
            </w:tcBorders>
            <w:tcMar>
              <w:top w:w="0" w:type="dxa"/>
              <w:left w:w="53" w:type="dxa"/>
              <w:bottom w:w="0" w:type="dxa"/>
              <w:right w:w="53" w:type="dxa"/>
            </w:tcMar>
            <w:vAlign w:val="bottom"/>
          </w:tcPr>
          <w:p w14:paraId="76A09AFF" w14:textId="77777777" w:rsidR="001614AC" w:rsidRDefault="004468F9">
            <w:pPr>
              <w:keepNext/>
              <w:spacing w:before="55" w:after="30" w:line="288" w:lineRule="auto"/>
              <w:jc w:val="center"/>
            </w:pPr>
            <w:r>
              <w:rPr>
                <w:rFonts w:ascii="Arial" w:eastAsia="Arial" w:hAnsi="Arial" w:cs="Arial"/>
                <w:b/>
                <w:color w:val="000000"/>
                <w:sz w:val="18"/>
              </w:rPr>
              <w:t>Tax Effect</w:t>
            </w:r>
          </w:p>
        </w:tc>
        <w:tc>
          <w:tcPr>
            <w:tcW w:w="105" w:type="dxa"/>
            <w:tcBorders>
              <w:top w:val="single" w:sz="8" w:space="0" w:color="FFFFFF"/>
              <w:left w:val="nil"/>
              <w:bottom w:val="single" w:sz="8" w:space="0" w:color="C7C9C7"/>
              <w:right w:val="nil"/>
            </w:tcBorders>
            <w:tcMar>
              <w:top w:w="0" w:type="dxa"/>
              <w:left w:w="0" w:type="dxa"/>
              <w:bottom w:w="0" w:type="dxa"/>
              <w:right w:w="0" w:type="dxa"/>
            </w:tcMar>
            <w:vAlign w:val="bottom"/>
          </w:tcPr>
          <w:p w14:paraId="0A672B8A" w14:textId="77777777" w:rsidR="001614AC" w:rsidRDefault="001614AC">
            <w:pPr>
              <w:keepNext/>
            </w:pPr>
          </w:p>
        </w:tc>
        <w:tc>
          <w:tcPr>
            <w:tcW w:w="1035" w:type="dxa"/>
            <w:gridSpan w:val="3"/>
            <w:tcBorders>
              <w:top w:val="single" w:sz="8" w:space="0" w:color="FFFFFF"/>
              <w:left w:val="nil"/>
              <w:bottom w:val="single" w:sz="8" w:space="0" w:color="C7C9C7"/>
              <w:right w:val="nil"/>
            </w:tcBorders>
            <w:tcMar>
              <w:top w:w="0" w:type="dxa"/>
              <w:left w:w="53" w:type="dxa"/>
              <w:bottom w:w="0" w:type="dxa"/>
              <w:right w:w="53" w:type="dxa"/>
            </w:tcMar>
            <w:vAlign w:val="bottom"/>
          </w:tcPr>
          <w:p w14:paraId="32FE0D33" w14:textId="77777777" w:rsidR="001614AC" w:rsidRDefault="004468F9">
            <w:pPr>
              <w:keepNext/>
              <w:spacing w:before="55" w:after="30" w:line="288" w:lineRule="auto"/>
              <w:jc w:val="center"/>
            </w:pPr>
            <w:r>
              <w:rPr>
                <w:rFonts w:ascii="Arial" w:eastAsia="Arial" w:hAnsi="Arial" w:cs="Arial"/>
                <w:b/>
                <w:color w:val="000000"/>
                <w:sz w:val="18"/>
              </w:rPr>
              <w:t>Net of Tax</w:t>
            </w:r>
          </w:p>
        </w:tc>
        <w:tc>
          <w:tcPr>
            <w:tcW w:w="105" w:type="dxa"/>
            <w:tcBorders>
              <w:top w:val="single" w:sz="8" w:space="0" w:color="FFFFFF"/>
              <w:left w:val="nil"/>
              <w:bottom w:val="single" w:sz="8" w:space="0" w:color="C7C9C7"/>
              <w:right w:val="nil"/>
            </w:tcBorders>
            <w:tcMar>
              <w:top w:w="0" w:type="dxa"/>
              <w:left w:w="0" w:type="dxa"/>
              <w:bottom w:w="0" w:type="dxa"/>
              <w:right w:w="0" w:type="dxa"/>
            </w:tcMar>
            <w:vAlign w:val="bottom"/>
          </w:tcPr>
          <w:p w14:paraId="574D1C9E" w14:textId="77777777" w:rsidR="001614AC" w:rsidRDefault="001614AC">
            <w:pPr>
              <w:keepNext/>
            </w:pPr>
          </w:p>
        </w:tc>
        <w:tc>
          <w:tcPr>
            <w:tcW w:w="1035" w:type="dxa"/>
            <w:gridSpan w:val="3"/>
            <w:tcBorders>
              <w:top w:val="single" w:sz="8" w:space="0" w:color="FFFFFF"/>
              <w:left w:val="nil"/>
              <w:bottom w:val="single" w:sz="8" w:space="0" w:color="C7C9C7"/>
              <w:right w:val="nil"/>
            </w:tcBorders>
            <w:tcMar>
              <w:top w:w="0" w:type="dxa"/>
              <w:left w:w="53" w:type="dxa"/>
              <w:bottom w:w="0" w:type="dxa"/>
              <w:right w:w="53" w:type="dxa"/>
            </w:tcMar>
            <w:vAlign w:val="bottom"/>
          </w:tcPr>
          <w:p w14:paraId="444FB0FD" w14:textId="77777777" w:rsidR="001614AC" w:rsidRDefault="004468F9">
            <w:pPr>
              <w:keepNext/>
              <w:spacing w:before="55" w:after="30" w:line="288" w:lineRule="auto"/>
              <w:jc w:val="center"/>
            </w:pPr>
            <w:r>
              <w:rPr>
                <w:rFonts w:ascii="Arial" w:eastAsia="Arial" w:hAnsi="Arial" w:cs="Arial"/>
                <w:b/>
                <w:color w:val="000000"/>
                <w:sz w:val="18"/>
              </w:rPr>
              <w:t>Before Tax</w:t>
            </w:r>
          </w:p>
        </w:tc>
        <w:tc>
          <w:tcPr>
            <w:tcW w:w="105" w:type="dxa"/>
            <w:tcBorders>
              <w:top w:val="single" w:sz="8" w:space="0" w:color="FFFFFF"/>
              <w:left w:val="nil"/>
              <w:bottom w:val="single" w:sz="8" w:space="0" w:color="C7C9C7"/>
              <w:right w:val="nil"/>
            </w:tcBorders>
            <w:tcMar>
              <w:top w:w="0" w:type="dxa"/>
              <w:left w:w="0" w:type="dxa"/>
              <w:bottom w:w="0" w:type="dxa"/>
              <w:right w:w="0" w:type="dxa"/>
            </w:tcMar>
            <w:vAlign w:val="bottom"/>
          </w:tcPr>
          <w:p w14:paraId="4045C0B6" w14:textId="77777777" w:rsidR="001614AC" w:rsidRDefault="001614AC">
            <w:pPr>
              <w:keepNext/>
            </w:pPr>
          </w:p>
        </w:tc>
        <w:tc>
          <w:tcPr>
            <w:tcW w:w="1035" w:type="dxa"/>
            <w:gridSpan w:val="3"/>
            <w:tcBorders>
              <w:top w:val="single" w:sz="8" w:space="0" w:color="FFFFFF"/>
              <w:left w:val="nil"/>
              <w:bottom w:val="single" w:sz="8" w:space="0" w:color="C7C9C7"/>
              <w:right w:val="nil"/>
            </w:tcBorders>
            <w:tcMar>
              <w:top w:w="0" w:type="dxa"/>
              <w:left w:w="53" w:type="dxa"/>
              <w:bottom w:w="0" w:type="dxa"/>
              <w:right w:w="53" w:type="dxa"/>
            </w:tcMar>
            <w:vAlign w:val="bottom"/>
          </w:tcPr>
          <w:p w14:paraId="4EFEE80C" w14:textId="77777777" w:rsidR="001614AC" w:rsidRDefault="004468F9">
            <w:pPr>
              <w:keepNext/>
              <w:spacing w:before="55" w:after="30" w:line="288" w:lineRule="auto"/>
              <w:jc w:val="center"/>
            </w:pPr>
            <w:r>
              <w:rPr>
                <w:rFonts w:ascii="Arial" w:eastAsia="Arial" w:hAnsi="Arial" w:cs="Arial"/>
                <w:b/>
                <w:color w:val="000000"/>
                <w:sz w:val="18"/>
              </w:rPr>
              <w:t>Tax Effect</w:t>
            </w:r>
          </w:p>
        </w:tc>
        <w:tc>
          <w:tcPr>
            <w:tcW w:w="105" w:type="dxa"/>
            <w:tcBorders>
              <w:top w:val="single" w:sz="8" w:space="0" w:color="FFFFFF"/>
              <w:left w:val="nil"/>
              <w:bottom w:val="single" w:sz="8" w:space="0" w:color="C7C9C7"/>
              <w:right w:val="nil"/>
            </w:tcBorders>
            <w:tcMar>
              <w:top w:w="0" w:type="dxa"/>
              <w:left w:w="0" w:type="dxa"/>
              <w:bottom w:w="0" w:type="dxa"/>
              <w:right w:w="0" w:type="dxa"/>
            </w:tcMar>
            <w:vAlign w:val="bottom"/>
          </w:tcPr>
          <w:p w14:paraId="2418FDB6" w14:textId="77777777" w:rsidR="001614AC" w:rsidRDefault="001614AC">
            <w:pPr>
              <w:keepNext/>
            </w:pPr>
          </w:p>
        </w:tc>
        <w:tc>
          <w:tcPr>
            <w:tcW w:w="1035" w:type="dxa"/>
            <w:gridSpan w:val="3"/>
            <w:tcBorders>
              <w:top w:val="single" w:sz="8" w:space="0" w:color="FFFFFF"/>
              <w:left w:val="nil"/>
              <w:bottom w:val="single" w:sz="8" w:space="0" w:color="C7C9C7"/>
              <w:right w:val="nil"/>
            </w:tcBorders>
            <w:tcMar>
              <w:top w:w="0" w:type="dxa"/>
              <w:left w:w="53" w:type="dxa"/>
              <w:bottom w:w="0" w:type="dxa"/>
              <w:right w:w="53" w:type="dxa"/>
            </w:tcMar>
            <w:vAlign w:val="bottom"/>
          </w:tcPr>
          <w:p w14:paraId="6DC9F16D" w14:textId="77777777" w:rsidR="001614AC" w:rsidRDefault="004468F9">
            <w:pPr>
              <w:keepNext/>
              <w:spacing w:before="55" w:after="30" w:line="288" w:lineRule="auto"/>
              <w:jc w:val="center"/>
            </w:pPr>
            <w:r>
              <w:rPr>
                <w:rFonts w:ascii="Arial" w:eastAsia="Arial" w:hAnsi="Arial" w:cs="Arial"/>
                <w:b/>
                <w:color w:val="000000"/>
                <w:sz w:val="18"/>
              </w:rPr>
              <w:t>Net of Tax</w:t>
            </w:r>
          </w:p>
        </w:tc>
      </w:tr>
      <w:tr w:rsidR="001614AC" w14:paraId="3CBD53AA" w14:textId="77777777">
        <w:trPr>
          <w:cantSplit/>
        </w:trPr>
        <w:tc>
          <w:tcPr>
            <w:tcW w:w="3240" w:type="dxa"/>
            <w:tcBorders>
              <w:top w:val="single" w:sz="8" w:space="0" w:color="C7C9C7"/>
              <w:left w:val="nil"/>
              <w:bottom w:val="single" w:sz="8" w:space="0" w:color="E9E9E9"/>
              <w:right w:val="nil"/>
            </w:tcBorders>
            <w:tcMar>
              <w:top w:w="0" w:type="dxa"/>
              <w:left w:w="53" w:type="dxa"/>
              <w:bottom w:w="0" w:type="dxa"/>
              <w:right w:w="53" w:type="dxa"/>
            </w:tcMar>
            <w:vAlign w:val="bottom"/>
          </w:tcPr>
          <w:p w14:paraId="677F9491" w14:textId="77777777" w:rsidR="001614AC" w:rsidRDefault="004468F9">
            <w:pPr>
              <w:keepNext/>
              <w:spacing w:before="55" w:after="30" w:line="288" w:lineRule="auto"/>
            </w:pPr>
            <w:r>
              <w:rPr>
                <w:rFonts w:ascii="Arial" w:eastAsia="Arial" w:hAnsi="Arial" w:cs="Arial"/>
                <w:color w:val="000000"/>
                <w:sz w:val="18"/>
              </w:rPr>
              <w:t>Balance at beginning of period</w:t>
            </w:r>
          </w:p>
        </w:tc>
        <w:tc>
          <w:tcPr>
            <w:tcW w:w="105" w:type="dxa"/>
            <w:tcBorders>
              <w:top w:val="single" w:sz="8" w:space="0" w:color="C7C9C7"/>
              <w:left w:val="nil"/>
              <w:bottom w:val="nil"/>
              <w:right w:val="nil"/>
            </w:tcBorders>
            <w:tcMar>
              <w:top w:w="0" w:type="dxa"/>
              <w:left w:w="0" w:type="dxa"/>
              <w:bottom w:w="0" w:type="dxa"/>
              <w:right w:w="0" w:type="dxa"/>
            </w:tcMar>
            <w:vAlign w:val="bottom"/>
          </w:tcPr>
          <w:p w14:paraId="247370CB" w14:textId="77777777" w:rsidR="001614AC" w:rsidRDefault="001614AC">
            <w:pPr>
              <w:keepNext/>
            </w:pPr>
          </w:p>
        </w:tc>
        <w:tc>
          <w:tcPr>
            <w:tcW w:w="160" w:type="dxa"/>
            <w:tcBorders>
              <w:top w:val="single" w:sz="8" w:space="0" w:color="C7C9C7"/>
              <w:left w:val="nil"/>
              <w:bottom w:val="single" w:sz="8" w:space="0" w:color="C7C9C7"/>
              <w:right w:val="nil"/>
            </w:tcBorders>
            <w:tcMar>
              <w:top w:w="0" w:type="dxa"/>
              <w:left w:w="53" w:type="dxa"/>
              <w:bottom w:w="0" w:type="dxa"/>
              <w:right w:w="0" w:type="dxa"/>
            </w:tcMar>
            <w:vAlign w:val="bottom"/>
          </w:tcPr>
          <w:p w14:paraId="7BBAE7B8" w14:textId="77777777" w:rsidR="001614AC" w:rsidRDefault="004468F9">
            <w:pPr>
              <w:keepNext/>
              <w:spacing w:before="55" w:after="30" w:line="288" w:lineRule="auto"/>
            </w:pPr>
            <w:r>
              <w:rPr>
                <w:rFonts w:ascii="Arial" w:eastAsia="Arial" w:hAnsi="Arial" w:cs="Arial"/>
                <w:color w:val="000000"/>
                <w:sz w:val="18"/>
              </w:rPr>
              <w:t>$</w:t>
            </w:r>
          </w:p>
        </w:tc>
        <w:tc>
          <w:tcPr>
            <w:tcW w:w="775" w:type="dxa"/>
            <w:tcBorders>
              <w:top w:val="single" w:sz="8" w:space="0" w:color="C7C9C7"/>
              <w:left w:val="nil"/>
              <w:bottom w:val="single" w:sz="8" w:space="0" w:color="C7C9C7"/>
              <w:right w:val="nil"/>
            </w:tcBorders>
            <w:tcMar>
              <w:top w:w="0" w:type="dxa"/>
              <w:left w:w="0" w:type="dxa"/>
              <w:bottom w:w="0" w:type="dxa"/>
              <w:right w:w="0" w:type="dxa"/>
            </w:tcMar>
            <w:vAlign w:val="bottom"/>
          </w:tcPr>
          <w:p w14:paraId="4C588517" w14:textId="77777777" w:rsidR="001614AC" w:rsidRDefault="004468F9">
            <w:pPr>
              <w:keepNext/>
              <w:spacing w:before="55" w:after="30" w:line="288" w:lineRule="auto"/>
              <w:jc w:val="right"/>
            </w:pPr>
            <w:r>
              <w:rPr>
                <w:rFonts w:ascii="Arial" w:eastAsia="Arial" w:hAnsi="Arial" w:cs="Arial"/>
                <w:color w:val="000000"/>
                <w:sz w:val="18"/>
              </w:rPr>
              <w:t>147,766 </w:t>
            </w:r>
          </w:p>
        </w:tc>
        <w:tc>
          <w:tcPr>
            <w:tcW w:w="100" w:type="dxa"/>
            <w:tcBorders>
              <w:top w:val="single" w:sz="8" w:space="0" w:color="C7C9C7"/>
              <w:left w:val="nil"/>
              <w:bottom w:val="single" w:sz="8" w:space="0" w:color="C7C9C7"/>
              <w:right w:val="nil"/>
            </w:tcBorders>
            <w:tcMar>
              <w:top w:w="0" w:type="dxa"/>
              <w:left w:w="0" w:type="dxa"/>
              <w:bottom w:w="0" w:type="dxa"/>
              <w:right w:w="15" w:type="dxa"/>
            </w:tcMar>
            <w:vAlign w:val="bottom"/>
          </w:tcPr>
          <w:p w14:paraId="7AF697F2" w14:textId="77777777" w:rsidR="001614AC" w:rsidRDefault="001614AC">
            <w:pPr>
              <w:keepNext/>
              <w:spacing w:before="55" w:after="30" w:line="288" w:lineRule="auto"/>
              <w:jc w:val="right"/>
            </w:pPr>
          </w:p>
        </w:tc>
        <w:tc>
          <w:tcPr>
            <w:tcW w:w="105" w:type="dxa"/>
            <w:tcBorders>
              <w:top w:val="single" w:sz="8" w:space="0" w:color="C7C9C7"/>
              <w:left w:val="nil"/>
              <w:bottom w:val="nil"/>
              <w:right w:val="nil"/>
            </w:tcBorders>
            <w:tcMar>
              <w:top w:w="0" w:type="dxa"/>
              <w:left w:w="0" w:type="dxa"/>
              <w:bottom w:w="0" w:type="dxa"/>
              <w:right w:w="0" w:type="dxa"/>
            </w:tcMar>
            <w:vAlign w:val="bottom"/>
          </w:tcPr>
          <w:p w14:paraId="613021E3" w14:textId="77777777" w:rsidR="001614AC" w:rsidRDefault="001614AC">
            <w:pPr>
              <w:keepNext/>
            </w:pPr>
          </w:p>
        </w:tc>
        <w:tc>
          <w:tcPr>
            <w:tcW w:w="160" w:type="dxa"/>
            <w:tcBorders>
              <w:top w:val="single" w:sz="8" w:space="0" w:color="C7C9C7"/>
              <w:left w:val="nil"/>
              <w:bottom w:val="single" w:sz="8" w:space="0" w:color="C7C9C7"/>
              <w:right w:val="nil"/>
            </w:tcBorders>
            <w:tcMar>
              <w:top w:w="0" w:type="dxa"/>
              <w:left w:w="53" w:type="dxa"/>
              <w:bottom w:w="0" w:type="dxa"/>
              <w:right w:w="0" w:type="dxa"/>
            </w:tcMar>
            <w:vAlign w:val="bottom"/>
          </w:tcPr>
          <w:p w14:paraId="0E90EECA" w14:textId="77777777" w:rsidR="001614AC" w:rsidRDefault="004468F9">
            <w:pPr>
              <w:keepNext/>
              <w:spacing w:before="55" w:after="30" w:line="288" w:lineRule="auto"/>
            </w:pPr>
            <w:r>
              <w:rPr>
                <w:rFonts w:ascii="Arial" w:eastAsia="Arial" w:hAnsi="Arial" w:cs="Arial"/>
                <w:color w:val="000000"/>
                <w:sz w:val="18"/>
              </w:rPr>
              <w:t>$</w:t>
            </w:r>
          </w:p>
        </w:tc>
        <w:tc>
          <w:tcPr>
            <w:tcW w:w="775" w:type="dxa"/>
            <w:tcBorders>
              <w:top w:val="single" w:sz="8" w:space="0" w:color="C7C9C7"/>
              <w:left w:val="nil"/>
              <w:bottom w:val="single" w:sz="8" w:space="0" w:color="C7C9C7"/>
              <w:right w:val="nil"/>
            </w:tcBorders>
            <w:tcMar>
              <w:top w:w="0" w:type="dxa"/>
              <w:left w:w="0" w:type="dxa"/>
              <w:bottom w:w="0" w:type="dxa"/>
              <w:right w:w="0" w:type="dxa"/>
            </w:tcMar>
            <w:vAlign w:val="bottom"/>
          </w:tcPr>
          <w:p w14:paraId="69256F62" w14:textId="77777777" w:rsidR="001614AC" w:rsidRDefault="004468F9">
            <w:pPr>
              <w:keepNext/>
              <w:spacing w:before="55" w:after="30" w:line="288" w:lineRule="auto"/>
              <w:jc w:val="right"/>
            </w:pPr>
            <w:r>
              <w:rPr>
                <w:rFonts w:ascii="Arial" w:eastAsia="Arial" w:hAnsi="Arial" w:cs="Arial"/>
                <w:color w:val="000000"/>
                <w:sz w:val="18"/>
              </w:rPr>
              <w:t>31,031 </w:t>
            </w:r>
          </w:p>
        </w:tc>
        <w:tc>
          <w:tcPr>
            <w:tcW w:w="100" w:type="dxa"/>
            <w:tcBorders>
              <w:top w:val="single" w:sz="8" w:space="0" w:color="C7C9C7"/>
              <w:left w:val="nil"/>
              <w:bottom w:val="single" w:sz="8" w:space="0" w:color="C7C9C7"/>
              <w:right w:val="nil"/>
            </w:tcBorders>
            <w:tcMar>
              <w:top w:w="0" w:type="dxa"/>
              <w:left w:w="0" w:type="dxa"/>
              <w:bottom w:w="0" w:type="dxa"/>
              <w:right w:w="15" w:type="dxa"/>
            </w:tcMar>
            <w:vAlign w:val="bottom"/>
          </w:tcPr>
          <w:p w14:paraId="5C2EDEB0" w14:textId="77777777" w:rsidR="001614AC" w:rsidRDefault="001614AC">
            <w:pPr>
              <w:keepNext/>
              <w:spacing w:before="55" w:after="30" w:line="288" w:lineRule="auto"/>
              <w:jc w:val="right"/>
            </w:pPr>
          </w:p>
        </w:tc>
        <w:tc>
          <w:tcPr>
            <w:tcW w:w="105" w:type="dxa"/>
            <w:tcBorders>
              <w:top w:val="single" w:sz="8" w:space="0" w:color="C7C9C7"/>
              <w:left w:val="nil"/>
              <w:bottom w:val="nil"/>
              <w:right w:val="nil"/>
            </w:tcBorders>
            <w:tcMar>
              <w:top w:w="0" w:type="dxa"/>
              <w:left w:w="0" w:type="dxa"/>
              <w:bottom w:w="0" w:type="dxa"/>
              <w:right w:w="0" w:type="dxa"/>
            </w:tcMar>
            <w:vAlign w:val="bottom"/>
          </w:tcPr>
          <w:p w14:paraId="0D21E8D9" w14:textId="77777777" w:rsidR="001614AC" w:rsidRDefault="001614AC">
            <w:pPr>
              <w:keepNext/>
            </w:pPr>
          </w:p>
        </w:tc>
        <w:tc>
          <w:tcPr>
            <w:tcW w:w="160" w:type="dxa"/>
            <w:tcBorders>
              <w:top w:val="single" w:sz="8" w:space="0" w:color="C7C9C7"/>
              <w:left w:val="nil"/>
              <w:bottom w:val="single" w:sz="8" w:space="0" w:color="C7C9C7"/>
              <w:right w:val="nil"/>
            </w:tcBorders>
            <w:tcMar>
              <w:top w:w="0" w:type="dxa"/>
              <w:left w:w="53" w:type="dxa"/>
              <w:bottom w:w="0" w:type="dxa"/>
              <w:right w:w="0" w:type="dxa"/>
            </w:tcMar>
            <w:vAlign w:val="bottom"/>
          </w:tcPr>
          <w:p w14:paraId="68EE7750" w14:textId="77777777" w:rsidR="001614AC" w:rsidRDefault="004468F9">
            <w:pPr>
              <w:keepNext/>
              <w:spacing w:before="55" w:after="30" w:line="288" w:lineRule="auto"/>
            </w:pPr>
            <w:r>
              <w:rPr>
                <w:rFonts w:ascii="Arial" w:eastAsia="Arial" w:hAnsi="Arial" w:cs="Arial"/>
                <w:color w:val="000000"/>
                <w:sz w:val="18"/>
              </w:rPr>
              <w:t>$</w:t>
            </w:r>
          </w:p>
        </w:tc>
        <w:tc>
          <w:tcPr>
            <w:tcW w:w="775" w:type="dxa"/>
            <w:tcBorders>
              <w:top w:val="single" w:sz="8" w:space="0" w:color="C7C9C7"/>
              <w:left w:val="nil"/>
              <w:bottom w:val="single" w:sz="8" w:space="0" w:color="C7C9C7"/>
              <w:right w:val="nil"/>
            </w:tcBorders>
            <w:tcMar>
              <w:top w:w="0" w:type="dxa"/>
              <w:left w:w="0" w:type="dxa"/>
              <w:bottom w:w="0" w:type="dxa"/>
              <w:right w:w="0" w:type="dxa"/>
            </w:tcMar>
            <w:vAlign w:val="bottom"/>
          </w:tcPr>
          <w:p w14:paraId="1F6437E4" w14:textId="77777777" w:rsidR="001614AC" w:rsidRDefault="004468F9">
            <w:pPr>
              <w:keepNext/>
              <w:spacing w:before="55" w:after="30" w:line="288" w:lineRule="auto"/>
              <w:jc w:val="right"/>
            </w:pPr>
            <w:r>
              <w:rPr>
                <w:rFonts w:ascii="Arial" w:eastAsia="Arial" w:hAnsi="Arial" w:cs="Arial"/>
                <w:color w:val="000000"/>
                <w:sz w:val="18"/>
              </w:rPr>
              <w:t>116,735 </w:t>
            </w:r>
          </w:p>
        </w:tc>
        <w:tc>
          <w:tcPr>
            <w:tcW w:w="100" w:type="dxa"/>
            <w:tcBorders>
              <w:top w:val="single" w:sz="8" w:space="0" w:color="C7C9C7"/>
              <w:left w:val="nil"/>
              <w:bottom w:val="single" w:sz="8" w:space="0" w:color="C7C9C7"/>
              <w:right w:val="nil"/>
            </w:tcBorders>
            <w:tcMar>
              <w:top w:w="0" w:type="dxa"/>
              <w:left w:w="0" w:type="dxa"/>
              <w:bottom w:w="0" w:type="dxa"/>
              <w:right w:w="15" w:type="dxa"/>
            </w:tcMar>
            <w:vAlign w:val="bottom"/>
          </w:tcPr>
          <w:p w14:paraId="62C0FB05" w14:textId="77777777" w:rsidR="001614AC" w:rsidRDefault="001614AC">
            <w:pPr>
              <w:keepNext/>
              <w:spacing w:before="55" w:after="30" w:line="288" w:lineRule="auto"/>
              <w:jc w:val="right"/>
            </w:pPr>
          </w:p>
        </w:tc>
        <w:tc>
          <w:tcPr>
            <w:tcW w:w="105" w:type="dxa"/>
            <w:tcBorders>
              <w:top w:val="single" w:sz="8" w:space="0" w:color="C7C9C7"/>
              <w:left w:val="nil"/>
              <w:bottom w:val="nil"/>
              <w:right w:val="nil"/>
            </w:tcBorders>
            <w:tcMar>
              <w:top w:w="0" w:type="dxa"/>
              <w:left w:w="0" w:type="dxa"/>
              <w:bottom w:w="0" w:type="dxa"/>
              <w:right w:w="0" w:type="dxa"/>
            </w:tcMar>
            <w:vAlign w:val="bottom"/>
          </w:tcPr>
          <w:p w14:paraId="206ADCD0" w14:textId="77777777" w:rsidR="001614AC" w:rsidRDefault="001614AC">
            <w:pPr>
              <w:keepNext/>
            </w:pPr>
          </w:p>
        </w:tc>
        <w:tc>
          <w:tcPr>
            <w:tcW w:w="160" w:type="dxa"/>
            <w:tcBorders>
              <w:top w:val="single" w:sz="8" w:space="0" w:color="C7C9C7"/>
              <w:left w:val="nil"/>
              <w:bottom w:val="single" w:sz="8" w:space="0" w:color="C7C9C7"/>
              <w:right w:val="nil"/>
            </w:tcBorders>
            <w:tcMar>
              <w:top w:w="0" w:type="dxa"/>
              <w:left w:w="53" w:type="dxa"/>
              <w:bottom w:w="0" w:type="dxa"/>
              <w:right w:w="0" w:type="dxa"/>
            </w:tcMar>
            <w:vAlign w:val="bottom"/>
          </w:tcPr>
          <w:p w14:paraId="3EA5E3EA" w14:textId="77777777" w:rsidR="001614AC" w:rsidRDefault="004468F9">
            <w:pPr>
              <w:keepNext/>
              <w:spacing w:before="55" w:after="30" w:line="288" w:lineRule="auto"/>
            </w:pPr>
            <w:r>
              <w:rPr>
                <w:rFonts w:ascii="Arial" w:eastAsia="Arial" w:hAnsi="Arial" w:cs="Arial"/>
                <w:color w:val="000000"/>
                <w:sz w:val="18"/>
              </w:rPr>
              <w:t>$</w:t>
            </w:r>
          </w:p>
        </w:tc>
        <w:tc>
          <w:tcPr>
            <w:tcW w:w="775" w:type="dxa"/>
            <w:tcBorders>
              <w:top w:val="single" w:sz="8" w:space="0" w:color="C7C9C7"/>
              <w:left w:val="nil"/>
              <w:bottom w:val="single" w:sz="8" w:space="0" w:color="C7C9C7"/>
              <w:right w:val="nil"/>
            </w:tcBorders>
            <w:tcMar>
              <w:top w:w="0" w:type="dxa"/>
              <w:left w:w="0" w:type="dxa"/>
              <w:bottom w:w="0" w:type="dxa"/>
              <w:right w:w="0" w:type="dxa"/>
            </w:tcMar>
            <w:vAlign w:val="bottom"/>
          </w:tcPr>
          <w:p w14:paraId="7D25655D" w14:textId="77777777" w:rsidR="001614AC" w:rsidRDefault="004468F9">
            <w:pPr>
              <w:keepNext/>
              <w:spacing w:before="55" w:after="30" w:line="288" w:lineRule="auto"/>
              <w:jc w:val="right"/>
            </w:pPr>
            <w:r>
              <w:rPr>
                <w:rFonts w:ascii="Arial" w:eastAsia="Arial" w:hAnsi="Arial" w:cs="Arial"/>
                <w:color w:val="000000"/>
                <w:sz w:val="18"/>
              </w:rPr>
              <w:t>333,829 </w:t>
            </w:r>
          </w:p>
        </w:tc>
        <w:tc>
          <w:tcPr>
            <w:tcW w:w="100" w:type="dxa"/>
            <w:tcBorders>
              <w:top w:val="single" w:sz="8" w:space="0" w:color="C7C9C7"/>
              <w:left w:val="nil"/>
              <w:bottom w:val="single" w:sz="8" w:space="0" w:color="C7C9C7"/>
              <w:right w:val="nil"/>
            </w:tcBorders>
            <w:tcMar>
              <w:top w:w="0" w:type="dxa"/>
              <w:left w:w="0" w:type="dxa"/>
              <w:bottom w:w="0" w:type="dxa"/>
              <w:right w:w="15" w:type="dxa"/>
            </w:tcMar>
            <w:vAlign w:val="bottom"/>
          </w:tcPr>
          <w:p w14:paraId="1EAEAD6E" w14:textId="77777777" w:rsidR="001614AC" w:rsidRDefault="001614AC">
            <w:pPr>
              <w:keepNext/>
              <w:spacing w:before="55" w:after="30" w:line="288" w:lineRule="auto"/>
              <w:jc w:val="right"/>
            </w:pPr>
          </w:p>
        </w:tc>
        <w:tc>
          <w:tcPr>
            <w:tcW w:w="105" w:type="dxa"/>
            <w:tcBorders>
              <w:top w:val="single" w:sz="8" w:space="0" w:color="C7C9C7"/>
              <w:left w:val="nil"/>
              <w:bottom w:val="nil"/>
              <w:right w:val="nil"/>
            </w:tcBorders>
            <w:tcMar>
              <w:top w:w="0" w:type="dxa"/>
              <w:left w:w="0" w:type="dxa"/>
              <w:bottom w:w="0" w:type="dxa"/>
              <w:right w:w="0" w:type="dxa"/>
            </w:tcMar>
            <w:vAlign w:val="bottom"/>
          </w:tcPr>
          <w:p w14:paraId="2E400631" w14:textId="77777777" w:rsidR="001614AC" w:rsidRDefault="001614AC">
            <w:pPr>
              <w:keepNext/>
            </w:pPr>
          </w:p>
        </w:tc>
        <w:tc>
          <w:tcPr>
            <w:tcW w:w="160" w:type="dxa"/>
            <w:tcBorders>
              <w:top w:val="single" w:sz="8" w:space="0" w:color="C7C9C7"/>
              <w:left w:val="nil"/>
              <w:bottom w:val="single" w:sz="8" w:space="0" w:color="C7C9C7"/>
              <w:right w:val="nil"/>
            </w:tcBorders>
            <w:tcMar>
              <w:top w:w="0" w:type="dxa"/>
              <w:left w:w="53" w:type="dxa"/>
              <w:bottom w:w="0" w:type="dxa"/>
              <w:right w:w="0" w:type="dxa"/>
            </w:tcMar>
            <w:vAlign w:val="bottom"/>
          </w:tcPr>
          <w:p w14:paraId="693A463D" w14:textId="77777777" w:rsidR="001614AC" w:rsidRDefault="004468F9">
            <w:pPr>
              <w:keepNext/>
              <w:spacing w:before="55" w:after="30" w:line="288" w:lineRule="auto"/>
            </w:pPr>
            <w:r>
              <w:rPr>
                <w:rFonts w:ascii="Arial" w:eastAsia="Arial" w:hAnsi="Arial" w:cs="Arial"/>
                <w:color w:val="000000"/>
                <w:sz w:val="18"/>
              </w:rPr>
              <w:t>$</w:t>
            </w:r>
          </w:p>
        </w:tc>
        <w:tc>
          <w:tcPr>
            <w:tcW w:w="775" w:type="dxa"/>
            <w:tcBorders>
              <w:top w:val="single" w:sz="8" w:space="0" w:color="C7C9C7"/>
              <w:left w:val="nil"/>
              <w:bottom w:val="single" w:sz="8" w:space="0" w:color="C7C9C7"/>
              <w:right w:val="nil"/>
            </w:tcBorders>
            <w:tcMar>
              <w:top w:w="0" w:type="dxa"/>
              <w:left w:w="0" w:type="dxa"/>
              <w:bottom w:w="0" w:type="dxa"/>
              <w:right w:w="0" w:type="dxa"/>
            </w:tcMar>
            <w:vAlign w:val="bottom"/>
          </w:tcPr>
          <w:p w14:paraId="7BA57417" w14:textId="77777777" w:rsidR="001614AC" w:rsidRDefault="004468F9">
            <w:pPr>
              <w:keepNext/>
              <w:spacing w:before="55" w:after="30" w:line="288" w:lineRule="auto"/>
              <w:jc w:val="right"/>
            </w:pPr>
            <w:r>
              <w:rPr>
                <w:rFonts w:ascii="Arial" w:eastAsia="Arial" w:hAnsi="Arial" w:cs="Arial"/>
                <w:color w:val="000000"/>
                <w:sz w:val="18"/>
              </w:rPr>
              <w:t>70,104 </w:t>
            </w:r>
          </w:p>
        </w:tc>
        <w:tc>
          <w:tcPr>
            <w:tcW w:w="100" w:type="dxa"/>
            <w:tcBorders>
              <w:top w:val="single" w:sz="8" w:space="0" w:color="C7C9C7"/>
              <w:left w:val="nil"/>
              <w:bottom w:val="single" w:sz="8" w:space="0" w:color="C7C9C7"/>
              <w:right w:val="nil"/>
            </w:tcBorders>
            <w:tcMar>
              <w:top w:w="0" w:type="dxa"/>
              <w:left w:w="0" w:type="dxa"/>
              <w:bottom w:w="0" w:type="dxa"/>
              <w:right w:w="15" w:type="dxa"/>
            </w:tcMar>
            <w:vAlign w:val="bottom"/>
          </w:tcPr>
          <w:p w14:paraId="15637FB5" w14:textId="77777777" w:rsidR="001614AC" w:rsidRDefault="001614AC">
            <w:pPr>
              <w:keepNext/>
              <w:spacing w:before="55" w:after="30" w:line="288" w:lineRule="auto"/>
              <w:jc w:val="right"/>
            </w:pPr>
          </w:p>
        </w:tc>
        <w:tc>
          <w:tcPr>
            <w:tcW w:w="105" w:type="dxa"/>
            <w:tcBorders>
              <w:top w:val="single" w:sz="8" w:space="0" w:color="C7C9C7"/>
              <w:left w:val="nil"/>
              <w:bottom w:val="nil"/>
              <w:right w:val="nil"/>
            </w:tcBorders>
            <w:tcMar>
              <w:top w:w="0" w:type="dxa"/>
              <w:left w:w="0" w:type="dxa"/>
              <w:bottom w:w="0" w:type="dxa"/>
              <w:right w:w="0" w:type="dxa"/>
            </w:tcMar>
            <w:vAlign w:val="bottom"/>
          </w:tcPr>
          <w:p w14:paraId="25270538" w14:textId="77777777" w:rsidR="001614AC" w:rsidRDefault="001614AC">
            <w:pPr>
              <w:keepNext/>
            </w:pPr>
          </w:p>
        </w:tc>
        <w:tc>
          <w:tcPr>
            <w:tcW w:w="160" w:type="dxa"/>
            <w:tcBorders>
              <w:top w:val="single" w:sz="8" w:space="0" w:color="C7C9C7"/>
              <w:left w:val="nil"/>
              <w:bottom w:val="single" w:sz="8" w:space="0" w:color="C7C9C7"/>
              <w:right w:val="nil"/>
            </w:tcBorders>
            <w:tcMar>
              <w:top w:w="0" w:type="dxa"/>
              <w:left w:w="53" w:type="dxa"/>
              <w:bottom w:w="0" w:type="dxa"/>
              <w:right w:w="0" w:type="dxa"/>
            </w:tcMar>
            <w:vAlign w:val="bottom"/>
          </w:tcPr>
          <w:p w14:paraId="64FFED3D" w14:textId="77777777" w:rsidR="001614AC" w:rsidRDefault="004468F9">
            <w:pPr>
              <w:keepNext/>
              <w:spacing w:before="55" w:after="30" w:line="288" w:lineRule="auto"/>
            </w:pPr>
            <w:r>
              <w:rPr>
                <w:rFonts w:ascii="Arial" w:eastAsia="Arial" w:hAnsi="Arial" w:cs="Arial"/>
                <w:color w:val="000000"/>
                <w:sz w:val="18"/>
              </w:rPr>
              <w:t>$</w:t>
            </w:r>
          </w:p>
        </w:tc>
        <w:tc>
          <w:tcPr>
            <w:tcW w:w="775" w:type="dxa"/>
            <w:tcBorders>
              <w:top w:val="single" w:sz="8" w:space="0" w:color="C7C9C7"/>
              <w:left w:val="nil"/>
              <w:bottom w:val="single" w:sz="8" w:space="0" w:color="C7C9C7"/>
              <w:right w:val="nil"/>
            </w:tcBorders>
            <w:tcMar>
              <w:top w:w="0" w:type="dxa"/>
              <w:left w:w="0" w:type="dxa"/>
              <w:bottom w:w="0" w:type="dxa"/>
              <w:right w:w="0" w:type="dxa"/>
            </w:tcMar>
            <w:vAlign w:val="bottom"/>
          </w:tcPr>
          <w:p w14:paraId="493D2A55" w14:textId="77777777" w:rsidR="001614AC" w:rsidRDefault="004468F9">
            <w:pPr>
              <w:keepNext/>
              <w:spacing w:before="55" w:after="30" w:line="288" w:lineRule="auto"/>
              <w:jc w:val="right"/>
            </w:pPr>
            <w:r>
              <w:rPr>
                <w:rFonts w:ascii="Arial" w:eastAsia="Arial" w:hAnsi="Arial" w:cs="Arial"/>
                <w:color w:val="000000"/>
                <w:sz w:val="18"/>
              </w:rPr>
              <w:t>263,725 </w:t>
            </w:r>
          </w:p>
        </w:tc>
        <w:tc>
          <w:tcPr>
            <w:tcW w:w="100" w:type="dxa"/>
            <w:tcBorders>
              <w:top w:val="single" w:sz="8" w:space="0" w:color="C7C9C7"/>
              <w:left w:val="nil"/>
              <w:bottom w:val="single" w:sz="8" w:space="0" w:color="C7C9C7"/>
              <w:right w:val="nil"/>
            </w:tcBorders>
            <w:tcMar>
              <w:top w:w="0" w:type="dxa"/>
              <w:left w:w="0" w:type="dxa"/>
              <w:bottom w:w="0" w:type="dxa"/>
              <w:right w:w="15" w:type="dxa"/>
            </w:tcMar>
            <w:vAlign w:val="bottom"/>
          </w:tcPr>
          <w:p w14:paraId="4A8DCB4E" w14:textId="77777777" w:rsidR="001614AC" w:rsidRDefault="001614AC">
            <w:pPr>
              <w:keepNext/>
              <w:spacing w:before="55" w:after="30" w:line="288" w:lineRule="auto"/>
              <w:jc w:val="right"/>
            </w:pPr>
          </w:p>
        </w:tc>
      </w:tr>
      <w:tr w:rsidR="001614AC" w14:paraId="6C0A4F03" w14:textId="77777777">
        <w:trPr>
          <w:cantSplit/>
        </w:trPr>
        <w:tc>
          <w:tcPr>
            <w:tcW w:w="3240" w:type="dxa"/>
            <w:tcBorders>
              <w:top w:val="single" w:sz="8" w:space="0" w:color="E9E9E9"/>
              <w:left w:val="nil"/>
              <w:bottom w:val="single" w:sz="8" w:space="0" w:color="E9E9E9"/>
              <w:right w:val="nil"/>
            </w:tcBorders>
            <w:tcMar>
              <w:top w:w="0" w:type="dxa"/>
              <w:left w:w="53" w:type="dxa"/>
              <w:bottom w:w="0" w:type="dxa"/>
              <w:right w:w="53" w:type="dxa"/>
            </w:tcMar>
            <w:vAlign w:val="bottom"/>
          </w:tcPr>
          <w:p w14:paraId="463F82EA" w14:textId="77777777" w:rsidR="001614AC" w:rsidRDefault="004468F9">
            <w:pPr>
              <w:keepNext/>
              <w:spacing w:before="55" w:after="30" w:line="288" w:lineRule="auto"/>
            </w:pPr>
            <w:r>
              <w:rPr>
                <w:rFonts w:ascii="Arial" w:eastAsia="Arial" w:hAnsi="Arial" w:cs="Arial"/>
                <w:color w:val="000000"/>
                <w:sz w:val="18"/>
              </w:rPr>
              <w:t>Other comprehensive income (loss)</w:t>
            </w:r>
          </w:p>
        </w:tc>
        <w:tc>
          <w:tcPr>
            <w:tcW w:w="105" w:type="dxa"/>
            <w:tcBorders>
              <w:top w:val="nil"/>
              <w:left w:val="nil"/>
              <w:bottom w:val="nil"/>
              <w:right w:val="nil"/>
            </w:tcBorders>
            <w:tcMar>
              <w:top w:w="0" w:type="dxa"/>
              <w:left w:w="0" w:type="dxa"/>
              <w:bottom w:w="0" w:type="dxa"/>
              <w:right w:w="0" w:type="dxa"/>
            </w:tcMar>
            <w:vAlign w:val="bottom"/>
          </w:tcPr>
          <w:p w14:paraId="0D8E22E7" w14:textId="77777777" w:rsidR="001614AC" w:rsidRDefault="001614AC">
            <w:pPr>
              <w:keepNext/>
            </w:pPr>
          </w:p>
        </w:tc>
        <w:tc>
          <w:tcPr>
            <w:tcW w:w="1035" w:type="dxa"/>
            <w:gridSpan w:val="3"/>
            <w:tcBorders>
              <w:top w:val="single" w:sz="8" w:space="0" w:color="C7C9C7"/>
              <w:left w:val="nil"/>
              <w:bottom w:val="single" w:sz="8" w:space="0" w:color="E9E9E9"/>
              <w:right w:val="nil"/>
            </w:tcBorders>
            <w:tcMar>
              <w:top w:w="0" w:type="dxa"/>
              <w:left w:w="0" w:type="dxa"/>
              <w:bottom w:w="0" w:type="dxa"/>
              <w:right w:w="0" w:type="dxa"/>
            </w:tcMar>
            <w:vAlign w:val="bottom"/>
          </w:tcPr>
          <w:p w14:paraId="20DDADDE" w14:textId="77777777" w:rsidR="001614AC" w:rsidRDefault="001614AC">
            <w:pPr>
              <w:keepNext/>
            </w:pPr>
          </w:p>
        </w:tc>
        <w:tc>
          <w:tcPr>
            <w:tcW w:w="105" w:type="dxa"/>
            <w:tcBorders>
              <w:top w:val="nil"/>
              <w:left w:val="nil"/>
              <w:bottom w:val="nil"/>
              <w:right w:val="nil"/>
            </w:tcBorders>
            <w:tcMar>
              <w:top w:w="0" w:type="dxa"/>
              <w:left w:w="0" w:type="dxa"/>
              <w:bottom w:w="0" w:type="dxa"/>
              <w:right w:w="0" w:type="dxa"/>
            </w:tcMar>
            <w:vAlign w:val="bottom"/>
          </w:tcPr>
          <w:p w14:paraId="7363EF18" w14:textId="77777777" w:rsidR="001614AC" w:rsidRDefault="001614AC">
            <w:pPr>
              <w:keepNext/>
            </w:pPr>
          </w:p>
        </w:tc>
        <w:tc>
          <w:tcPr>
            <w:tcW w:w="1035" w:type="dxa"/>
            <w:gridSpan w:val="3"/>
            <w:tcBorders>
              <w:top w:val="single" w:sz="8" w:space="0" w:color="C7C9C7"/>
              <w:left w:val="nil"/>
              <w:bottom w:val="single" w:sz="8" w:space="0" w:color="E9E9E9"/>
              <w:right w:val="nil"/>
            </w:tcBorders>
            <w:tcMar>
              <w:top w:w="0" w:type="dxa"/>
              <w:left w:w="0" w:type="dxa"/>
              <w:bottom w:w="0" w:type="dxa"/>
              <w:right w:w="0" w:type="dxa"/>
            </w:tcMar>
            <w:vAlign w:val="bottom"/>
          </w:tcPr>
          <w:p w14:paraId="5BD85691" w14:textId="77777777" w:rsidR="001614AC" w:rsidRDefault="001614AC">
            <w:pPr>
              <w:keepNext/>
            </w:pPr>
          </w:p>
        </w:tc>
        <w:tc>
          <w:tcPr>
            <w:tcW w:w="105" w:type="dxa"/>
            <w:tcBorders>
              <w:top w:val="nil"/>
              <w:left w:val="nil"/>
              <w:bottom w:val="nil"/>
              <w:right w:val="nil"/>
            </w:tcBorders>
            <w:tcMar>
              <w:top w:w="0" w:type="dxa"/>
              <w:left w:w="0" w:type="dxa"/>
              <w:bottom w:w="0" w:type="dxa"/>
              <w:right w:w="0" w:type="dxa"/>
            </w:tcMar>
            <w:vAlign w:val="bottom"/>
          </w:tcPr>
          <w:p w14:paraId="157DD36B" w14:textId="77777777" w:rsidR="001614AC" w:rsidRDefault="001614AC">
            <w:pPr>
              <w:keepNext/>
            </w:pPr>
          </w:p>
        </w:tc>
        <w:tc>
          <w:tcPr>
            <w:tcW w:w="1035" w:type="dxa"/>
            <w:gridSpan w:val="3"/>
            <w:tcBorders>
              <w:top w:val="single" w:sz="8" w:space="0" w:color="C7C9C7"/>
              <w:left w:val="nil"/>
              <w:bottom w:val="single" w:sz="8" w:space="0" w:color="E9E9E9"/>
              <w:right w:val="nil"/>
            </w:tcBorders>
            <w:tcMar>
              <w:top w:w="0" w:type="dxa"/>
              <w:left w:w="0" w:type="dxa"/>
              <w:bottom w:w="0" w:type="dxa"/>
              <w:right w:w="0" w:type="dxa"/>
            </w:tcMar>
            <w:vAlign w:val="bottom"/>
          </w:tcPr>
          <w:p w14:paraId="17246213" w14:textId="77777777" w:rsidR="001614AC" w:rsidRDefault="001614AC">
            <w:pPr>
              <w:keepNext/>
            </w:pPr>
          </w:p>
        </w:tc>
        <w:tc>
          <w:tcPr>
            <w:tcW w:w="105" w:type="dxa"/>
            <w:tcBorders>
              <w:top w:val="nil"/>
              <w:left w:val="nil"/>
              <w:bottom w:val="nil"/>
              <w:right w:val="nil"/>
            </w:tcBorders>
            <w:tcMar>
              <w:top w:w="0" w:type="dxa"/>
              <w:left w:w="0" w:type="dxa"/>
              <w:bottom w:w="0" w:type="dxa"/>
              <w:right w:w="0" w:type="dxa"/>
            </w:tcMar>
            <w:vAlign w:val="bottom"/>
          </w:tcPr>
          <w:p w14:paraId="69D34133" w14:textId="77777777" w:rsidR="001614AC" w:rsidRDefault="001614AC">
            <w:pPr>
              <w:keepNext/>
            </w:pPr>
          </w:p>
        </w:tc>
        <w:tc>
          <w:tcPr>
            <w:tcW w:w="1035" w:type="dxa"/>
            <w:gridSpan w:val="3"/>
            <w:tcBorders>
              <w:top w:val="single" w:sz="8" w:space="0" w:color="C7C9C7"/>
              <w:left w:val="nil"/>
              <w:bottom w:val="single" w:sz="8" w:space="0" w:color="E9E9E9"/>
              <w:right w:val="nil"/>
            </w:tcBorders>
            <w:tcMar>
              <w:top w:w="0" w:type="dxa"/>
              <w:left w:w="0" w:type="dxa"/>
              <w:bottom w:w="0" w:type="dxa"/>
              <w:right w:w="0" w:type="dxa"/>
            </w:tcMar>
            <w:vAlign w:val="bottom"/>
          </w:tcPr>
          <w:p w14:paraId="68793A9C" w14:textId="77777777" w:rsidR="001614AC" w:rsidRDefault="001614AC">
            <w:pPr>
              <w:keepNext/>
            </w:pPr>
          </w:p>
        </w:tc>
        <w:tc>
          <w:tcPr>
            <w:tcW w:w="105" w:type="dxa"/>
            <w:tcBorders>
              <w:top w:val="nil"/>
              <w:left w:val="nil"/>
              <w:bottom w:val="nil"/>
              <w:right w:val="nil"/>
            </w:tcBorders>
            <w:tcMar>
              <w:top w:w="0" w:type="dxa"/>
              <w:left w:w="0" w:type="dxa"/>
              <w:bottom w:w="0" w:type="dxa"/>
              <w:right w:w="0" w:type="dxa"/>
            </w:tcMar>
            <w:vAlign w:val="bottom"/>
          </w:tcPr>
          <w:p w14:paraId="0DCA60E5" w14:textId="77777777" w:rsidR="001614AC" w:rsidRDefault="001614AC">
            <w:pPr>
              <w:keepNext/>
            </w:pPr>
          </w:p>
        </w:tc>
        <w:tc>
          <w:tcPr>
            <w:tcW w:w="1035" w:type="dxa"/>
            <w:gridSpan w:val="3"/>
            <w:tcBorders>
              <w:top w:val="single" w:sz="8" w:space="0" w:color="C7C9C7"/>
              <w:left w:val="nil"/>
              <w:bottom w:val="single" w:sz="8" w:space="0" w:color="E9E9E9"/>
              <w:right w:val="nil"/>
            </w:tcBorders>
            <w:tcMar>
              <w:top w:w="0" w:type="dxa"/>
              <w:left w:w="0" w:type="dxa"/>
              <w:bottom w:w="0" w:type="dxa"/>
              <w:right w:w="0" w:type="dxa"/>
            </w:tcMar>
            <w:vAlign w:val="bottom"/>
          </w:tcPr>
          <w:p w14:paraId="27F3EC16" w14:textId="77777777" w:rsidR="001614AC" w:rsidRDefault="001614AC">
            <w:pPr>
              <w:keepNext/>
            </w:pPr>
          </w:p>
        </w:tc>
        <w:tc>
          <w:tcPr>
            <w:tcW w:w="105" w:type="dxa"/>
            <w:tcBorders>
              <w:top w:val="nil"/>
              <w:left w:val="nil"/>
              <w:bottom w:val="nil"/>
              <w:right w:val="nil"/>
            </w:tcBorders>
            <w:tcMar>
              <w:top w:w="0" w:type="dxa"/>
              <w:left w:w="0" w:type="dxa"/>
              <w:bottom w:w="0" w:type="dxa"/>
              <w:right w:w="0" w:type="dxa"/>
            </w:tcMar>
            <w:vAlign w:val="bottom"/>
          </w:tcPr>
          <w:p w14:paraId="53B4D8FD" w14:textId="77777777" w:rsidR="001614AC" w:rsidRDefault="001614AC">
            <w:pPr>
              <w:keepNext/>
            </w:pPr>
          </w:p>
        </w:tc>
        <w:tc>
          <w:tcPr>
            <w:tcW w:w="1035" w:type="dxa"/>
            <w:gridSpan w:val="3"/>
            <w:tcBorders>
              <w:top w:val="single" w:sz="8" w:space="0" w:color="C7C9C7"/>
              <w:left w:val="nil"/>
              <w:bottom w:val="single" w:sz="8" w:space="0" w:color="E9E9E9"/>
              <w:right w:val="nil"/>
            </w:tcBorders>
            <w:tcMar>
              <w:top w:w="0" w:type="dxa"/>
              <w:left w:w="0" w:type="dxa"/>
              <w:bottom w:w="0" w:type="dxa"/>
              <w:right w:w="0" w:type="dxa"/>
            </w:tcMar>
            <w:vAlign w:val="bottom"/>
          </w:tcPr>
          <w:p w14:paraId="5BF5494F" w14:textId="77777777" w:rsidR="001614AC" w:rsidRDefault="001614AC">
            <w:pPr>
              <w:keepNext/>
            </w:pPr>
          </w:p>
        </w:tc>
      </w:tr>
      <w:tr w:rsidR="001614AC" w14:paraId="76DF3519" w14:textId="77777777">
        <w:trPr>
          <w:cantSplit/>
        </w:trPr>
        <w:tc>
          <w:tcPr>
            <w:tcW w:w="3240" w:type="dxa"/>
            <w:tcBorders>
              <w:top w:val="single" w:sz="8" w:space="0" w:color="E9E9E9"/>
              <w:left w:val="nil"/>
              <w:bottom w:val="single" w:sz="8" w:space="0" w:color="E9E9E9"/>
              <w:right w:val="nil"/>
            </w:tcBorders>
            <w:tcMar>
              <w:top w:w="0" w:type="dxa"/>
              <w:left w:w="53" w:type="dxa"/>
              <w:bottom w:w="0" w:type="dxa"/>
              <w:right w:w="53" w:type="dxa"/>
            </w:tcMar>
            <w:vAlign w:val="bottom"/>
          </w:tcPr>
          <w:p w14:paraId="628614D5" w14:textId="77777777" w:rsidR="001614AC" w:rsidRDefault="004468F9">
            <w:pPr>
              <w:keepNext/>
              <w:spacing w:before="55" w:after="30" w:line="288" w:lineRule="auto"/>
              <w:ind w:left="240"/>
            </w:pPr>
            <w:r>
              <w:rPr>
                <w:rFonts w:ascii="Arial" w:eastAsia="Arial" w:hAnsi="Arial" w:cs="Arial"/>
                <w:color w:val="000000"/>
                <w:sz w:val="18"/>
              </w:rPr>
              <w:t>Unrealized holding gains (losses) on investments arising during the period for which an allowance for expected credit losses has</w:t>
            </w:r>
            <w:r>
              <w:rPr>
                <w:rFonts w:ascii="Arial" w:eastAsia="Arial" w:hAnsi="Arial" w:cs="Arial"/>
                <w:color w:val="000000"/>
                <w:sz w:val="18"/>
              </w:rPr>
              <w:t xml:space="preserve"> not been recognized</w:t>
            </w:r>
          </w:p>
        </w:tc>
        <w:tc>
          <w:tcPr>
            <w:tcW w:w="105" w:type="dxa"/>
            <w:tcBorders>
              <w:top w:val="nil"/>
              <w:left w:val="nil"/>
              <w:bottom w:val="nil"/>
              <w:right w:val="nil"/>
            </w:tcBorders>
            <w:tcMar>
              <w:top w:w="0" w:type="dxa"/>
              <w:left w:w="0" w:type="dxa"/>
              <w:bottom w:w="0" w:type="dxa"/>
              <w:right w:w="0" w:type="dxa"/>
            </w:tcMar>
            <w:vAlign w:val="bottom"/>
          </w:tcPr>
          <w:p w14:paraId="4CDA1B33" w14:textId="77777777" w:rsidR="001614AC" w:rsidRDefault="001614AC">
            <w:pPr>
              <w:keepNext/>
            </w:pPr>
          </w:p>
        </w:tc>
        <w:tc>
          <w:tcPr>
            <w:tcW w:w="93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66525BFA" w14:textId="77777777" w:rsidR="001614AC" w:rsidRDefault="004468F9">
            <w:pPr>
              <w:keepNext/>
              <w:spacing w:before="55" w:after="30" w:line="288" w:lineRule="auto"/>
              <w:jc w:val="right"/>
            </w:pPr>
            <w:r>
              <w:rPr>
                <w:rFonts w:ascii="Arial" w:eastAsia="Arial" w:hAnsi="Arial" w:cs="Arial"/>
                <w:color w:val="000000"/>
                <w:sz w:val="18"/>
              </w:rPr>
              <w:t>81,617 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009F679B" w14:textId="77777777" w:rsidR="001614AC" w:rsidRDefault="001614AC">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7E565A5B" w14:textId="77777777" w:rsidR="001614AC" w:rsidRDefault="001614AC">
            <w:pPr>
              <w:keepNext/>
            </w:pPr>
          </w:p>
        </w:tc>
        <w:tc>
          <w:tcPr>
            <w:tcW w:w="93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51D545FA" w14:textId="77777777" w:rsidR="001614AC" w:rsidRDefault="004468F9">
            <w:pPr>
              <w:keepNext/>
              <w:spacing w:before="55" w:after="30" w:line="288" w:lineRule="auto"/>
              <w:jc w:val="right"/>
            </w:pPr>
            <w:r>
              <w:rPr>
                <w:rFonts w:ascii="Arial" w:eastAsia="Arial" w:hAnsi="Arial" w:cs="Arial"/>
                <w:color w:val="000000"/>
                <w:sz w:val="18"/>
              </w:rPr>
              <w:t>17,140 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7DEA6301" w14:textId="77777777" w:rsidR="001614AC" w:rsidRDefault="001614AC">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23E51FBE" w14:textId="77777777" w:rsidR="001614AC" w:rsidRDefault="001614AC">
            <w:pPr>
              <w:keepNext/>
            </w:pPr>
          </w:p>
        </w:tc>
        <w:tc>
          <w:tcPr>
            <w:tcW w:w="93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27FF7199" w14:textId="77777777" w:rsidR="001614AC" w:rsidRDefault="004468F9">
            <w:pPr>
              <w:keepNext/>
              <w:spacing w:before="55" w:after="30" w:line="288" w:lineRule="auto"/>
              <w:jc w:val="right"/>
            </w:pPr>
            <w:r>
              <w:rPr>
                <w:rFonts w:ascii="Arial" w:eastAsia="Arial" w:hAnsi="Arial" w:cs="Arial"/>
                <w:color w:val="000000"/>
                <w:sz w:val="18"/>
              </w:rPr>
              <w:t>64,477 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0DB5CF8E" w14:textId="77777777" w:rsidR="001614AC" w:rsidRDefault="001614AC">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12E82D51" w14:textId="77777777" w:rsidR="001614AC" w:rsidRDefault="001614AC">
            <w:pPr>
              <w:keepNext/>
            </w:pPr>
          </w:p>
        </w:tc>
        <w:tc>
          <w:tcPr>
            <w:tcW w:w="93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701F2EC6" w14:textId="77777777" w:rsidR="001614AC" w:rsidRDefault="004468F9">
            <w:pPr>
              <w:keepNext/>
              <w:spacing w:before="55" w:after="30" w:line="288" w:lineRule="auto"/>
              <w:jc w:val="right"/>
            </w:pPr>
            <w:r>
              <w:rPr>
                <w:rFonts w:ascii="Arial" w:eastAsia="Arial" w:hAnsi="Arial" w:cs="Arial"/>
                <w:color w:val="000000"/>
                <w:sz w:val="18"/>
              </w:rPr>
              <w:t>(104,926)</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77526487" w14:textId="77777777" w:rsidR="001614AC" w:rsidRDefault="001614AC">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2EE77FF6" w14:textId="77777777" w:rsidR="001614AC" w:rsidRDefault="001614AC">
            <w:pPr>
              <w:keepNext/>
            </w:pPr>
          </w:p>
        </w:tc>
        <w:tc>
          <w:tcPr>
            <w:tcW w:w="93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0224D005" w14:textId="77777777" w:rsidR="001614AC" w:rsidRDefault="004468F9">
            <w:pPr>
              <w:keepNext/>
              <w:spacing w:before="55" w:after="30" w:line="288" w:lineRule="auto"/>
              <w:jc w:val="right"/>
            </w:pPr>
            <w:r>
              <w:rPr>
                <w:rFonts w:ascii="Arial" w:eastAsia="Arial" w:hAnsi="Arial" w:cs="Arial"/>
                <w:color w:val="000000"/>
                <w:sz w:val="18"/>
              </w:rPr>
              <w:t>(22,034)</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594D0683" w14:textId="77777777" w:rsidR="001614AC" w:rsidRDefault="001614AC">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7AFFC05B" w14:textId="77777777" w:rsidR="001614AC" w:rsidRDefault="001614AC">
            <w:pPr>
              <w:keepNext/>
            </w:pPr>
          </w:p>
        </w:tc>
        <w:tc>
          <w:tcPr>
            <w:tcW w:w="93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40836210" w14:textId="77777777" w:rsidR="001614AC" w:rsidRDefault="004468F9">
            <w:pPr>
              <w:keepNext/>
              <w:spacing w:before="55" w:after="30" w:line="288" w:lineRule="auto"/>
              <w:jc w:val="right"/>
            </w:pPr>
            <w:r>
              <w:rPr>
                <w:rFonts w:ascii="Arial" w:eastAsia="Arial" w:hAnsi="Arial" w:cs="Arial"/>
                <w:color w:val="000000"/>
                <w:sz w:val="18"/>
              </w:rPr>
              <w:t>(82,892)</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0B55D529" w14:textId="77777777" w:rsidR="001614AC" w:rsidRDefault="001614AC">
            <w:pPr>
              <w:keepNext/>
              <w:spacing w:before="55" w:after="30" w:line="288" w:lineRule="auto"/>
              <w:jc w:val="right"/>
            </w:pPr>
          </w:p>
        </w:tc>
      </w:tr>
      <w:tr w:rsidR="001614AC" w14:paraId="0B2B470D" w14:textId="77777777">
        <w:trPr>
          <w:cantSplit/>
        </w:trPr>
        <w:tc>
          <w:tcPr>
            <w:tcW w:w="3240" w:type="dxa"/>
            <w:tcBorders>
              <w:top w:val="single" w:sz="8" w:space="0" w:color="E9E9E9"/>
              <w:left w:val="nil"/>
              <w:bottom w:val="single" w:sz="8" w:space="0" w:color="E9E9E9"/>
              <w:right w:val="nil"/>
            </w:tcBorders>
            <w:tcMar>
              <w:top w:w="0" w:type="dxa"/>
              <w:left w:w="53" w:type="dxa"/>
              <w:bottom w:w="0" w:type="dxa"/>
              <w:right w:w="53" w:type="dxa"/>
            </w:tcMar>
            <w:vAlign w:val="bottom"/>
          </w:tcPr>
          <w:p w14:paraId="6C04EA8E" w14:textId="77777777" w:rsidR="001614AC" w:rsidRDefault="004468F9">
            <w:pPr>
              <w:keepNext/>
              <w:spacing w:before="55" w:after="30" w:line="288" w:lineRule="auto"/>
              <w:ind w:left="240"/>
              <w:rPr>
                <w:rFonts w:ascii="Arial" w:eastAsia="Arial" w:hAnsi="Arial" w:cs="Arial"/>
                <w:sz w:val="18"/>
              </w:rPr>
            </w:pPr>
            <w:r>
              <w:rPr>
                <w:rFonts w:ascii="Arial" w:eastAsia="Arial" w:hAnsi="Arial" w:cs="Arial"/>
                <w:sz w:val="18"/>
              </w:rPr>
              <w:t xml:space="preserve">Less: Reclassification adjustment for net gains (losses) on investments included in net income (loss) </w:t>
            </w:r>
            <w:r>
              <w:rPr>
                <w:rFonts w:ascii="Arial" w:eastAsia="Arial" w:hAnsi="Arial" w:cs="Arial"/>
                <w:sz w:val="18"/>
                <w:vertAlign w:val="superscript"/>
              </w:rPr>
              <w:t>(1)</w:t>
            </w:r>
          </w:p>
        </w:tc>
        <w:tc>
          <w:tcPr>
            <w:tcW w:w="105" w:type="dxa"/>
            <w:tcBorders>
              <w:top w:val="nil"/>
              <w:left w:val="nil"/>
              <w:bottom w:val="nil"/>
              <w:right w:val="nil"/>
            </w:tcBorders>
            <w:tcMar>
              <w:top w:w="0" w:type="dxa"/>
              <w:left w:w="0" w:type="dxa"/>
              <w:bottom w:w="0" w:type="dxa"/>
              <w:right w:w="0" w:type="dxa"/>
            </w:tcMar>
            <w:vAlign w:val="bottom"/>
          </w:tcPr>
          <w:p w14:paraId="13A727C6" w14:textId="77777777" w:rsidR="001614AC" w:rsidRDefault="001614AC">
            <w:pPr>
              <w:keepNext/>
            </w:pPr>
          </w:p>
        </w:tc>
        <w:tc>
          <w:tcPr>
            <w:tcW w:w="1035" w:type="dxa"/>
            <w:gridSpan w:val="3"/>
            <w:tcBorders>
              <w:top w:val="single" w:sz="8" w:space="0" w:color="E9E9E9"/>
              <w:left w:val="nil"/>
              <w:bottom w:val="single" w:sz="8" w:space="0" w:color="E9E9E9"/>
              <w:right w:val="nil"/>
            </w:tcBorders>
            <w:tcMar>
              <w:top w:w="0" w:type="dxa"/>
              <w:left w:w="0" w:type="dxa"/>
              <w:bottom w:w="0" w:type="dxa"/>
              <w:right w:w="0" w:type="dxa"/>
            </w:tcMar>
            <w:vAlign w:val="bottom"/>
          </w:tcPr>
          <w:p w14:paraId="0EAD96D9" w14:textId="77777777" w:rsidR="001614AC" w:rsidRDefault="001614AC">
            <w:pPr>
              <w:keepNext/>
            </w:pPr>
          </w:p>
        </w:tc>
        <w:tc>
          <w:tcPr>
            <w:tcW w:w="105" w:type="dxa"/>
            <w:tcBorders>
              <w:top w:val="nil"/>
              <w:left w:val="nil"/>
              <w:bottom w:val="nil"/>
              <w:right w:val="nil"/>
            </w:tcBorders>
            <w:tcMar>
              <w:top w:w="0" w:type="dxa"/>
              <w:left w:w="0" w:type="dxa"/>
              <w:bottom w:w="0" w:type="dxa"/>
              <w:right w:w="0" w:type="dxa"/>
            </w:tcMar>
            <w:vAlign w:val="bottom"/>
          </w:tcPr>
          <w:p w14:paraId="3480B3FC" w14:textId="77777777" w:rsidR="001614AC" w:rsidRDefault="001614AC">
            <w:pPr>
              <w:keepNext/>
            </w:pPr>
          </w:p>
        </w:tc>
        <w:tc>
          <w:tcPr>
            <w:tcW w:w="1035" w:type="dxa"/>
            <w:gridSpan w:val="3"/>
            <w:tcBorders>
              <w:top w:val="single" w:sz="8" w:space="0" w:color="E9E9E9"/>
              <w:left w:val="nil"/>
              <w:bottom w:val="single" w:sz="8" w:space="0" w:color="E9E9E9"/>
              <w:right w:val="nil"/>
            </w:tcBorders>
            <w:tcMar>
              <w:top w:w="0" w:type="dxa"/>
              <w:left w:w="0" w:type="dxa"/>
              <w:bottom w:w="0" w:type="dxa"/>
              <w:right w:w="0" w:type="dxa"/>
            </w:tcMar>
            <w:vAlign w:val="bottom"/>
          </w:tcPr>
          <w:p w14:paraId="4885AA61" w14:textId="77777777" w:rsidR="001614AC" w:rsidRDefault="001614AC">
            <w:pPr>
              <w:keepNext/>
            </w:pPr>
          </w:p>
        </w:tc>
        <w:tc>
          <w:tcPr>
            <w:tcW w:w="105" w:type="dxa"/>
            <w:tcBorders>
              <w:top w:val="nil"/>
              <w:left w:val="nil"/>
              <w:bottom w:val="nil"/>
              <w:right w:val="nil"/>
            </w:tcBorders>
            <w:tcMar>
              <w:top w:w="0" w:type="dxa"/>
              <w:left w:w="0" w:type="dxa"/>
              <w:bottom w:w="0" w:type="dxa"/>
              <w:right w:w="0" w:type="dxa"/>
            </w:tcMar>
            <w:vAlign w:val="bottom"/>
          </w:tcPr>
          <w:p w14:paraId="4AE6314A" w14:textId="77777777" w:rsidR="001614AC" w:rsidRDefault="001614AC">
            <w:pPr>
              <w:keepNext/>
            </w:pPr>
          </w:p>
        </w:tc>
        <w:tc>
          <w:tcPr>
            <w:tcW w:w="1035" w:type="dxa"/>
            <w:gridSpan w:val="3"/>
            <w:tcBorders>
              <w:top w:val="single" w:sz="8" w:space="0" w:color="E9E9E9"/>
              <w:left w:val="nil"/>
              <w:bottom w:val="single" w:sz="8" w:space="0" w:color="E9E9E9"/>
              <w:right w:val="nil"/>
            </w:tcBorders>
            <w:tcMar>
              <w:top w:w="0" w:type="dxa"/>
              <w:left w:w="0" w:type="dxa"/>
              <w:bottom w:w="0" w:type="dxa"/>
              <w:right w:w="0" w:type="dxa"/>
            </w:tcMar>
            <w:vAlign w:val="bottom"/>
          </w:tcPr>
          <w:p w14:paraId="7BFDCCDB" w14:textId="77777777" w:rsidR="001614AC" w:rsidRDefault="001614AC">
            <w:pPr>
              <w:keepNext/>
            </w:pPr>
          </w:p>
        </w:tc>
        <w:tc>
          <w:tcPr>
            <w:tcW w:w="105" w:type="dxa"/>
            <w:tcBorders>
              <w:top w:val="nil"/>
              <w:left w:val="nil"/>
              <w:bottom w:val="nil"/>
              <w:right w:val="nil"/>
            </w:tcBorders>
            <w:tcMar>
              <w:top w:w="0" w:type="dxa"/>
              <w:left w:w="0" w:type="dxa"/>
              <w:bottom w:w="0" w:type="dxa"/>
              <w:right w:w="0" w:type="dxa"/>
            </w:tcMar>
            <w:vAlign w:val="bottom"/>
          </w:tcPr>
          <w:p w14:paraId="52A8D9C1" w14:textId="77777777" w:rsidR="001614AC" w:rsidRDefault="001614AC">
            <w:pPr>
              <w:keepNext/>
            </w:pPr>
          </w:p>
        </w:tc>
        <w:tc>
          <w:tcPr>
            <w:tcW w:w="1035" w:type="dxa"/>
            <w:gridSpan w:val="3"/>
            <w:tcBorders>
              <w:top w:val="single" w:sz="8" w:space="0" w:color="E9E9E9"/>
              <w:left w:val="nil"/>
              <w:bottom w:val="single" w:sz="8" w:space="0" w:color="E9E9E9"/>
              <w:right w:val="nil"/>
            </w:tcBorders>
            <w:tcMar>
              <w:top w:w="0" w:type="dxa"/>
              <w:left w:w="0" w:type="dxa"/>
              <w:bottom w:w="0" w:type="dxa"/>
              <w:right w:w="0" w:type="dxa"/>
            </w:tcMar>
            <w:vAlign w:val="bottom"/>
          </w:tcPr>
          <w:p w14:paraId="32B6A60B" w14:textId="77777777" w:rsidR="001614AC" w:rsidRDefault="001614AC">
            <w:pPr>
              <w:keepNext/>
            </w:pPr>
          </w:p>
        </w:tc>
        <w:tc>
          <w:tcPr>
            <w:tcW w:w="105" w:type="dxa"/>
            <w:tcBorders>
              <w:top w:val="nil"/>
              <w:left w:val="nil"/>
              <w:bottom w:val="nil"/>
              <w:right w:val="nil"/>
            </w:tcBorders>
            <w:tcMar>
              <w:top w:w="0" w:type="dxa"/>
              <w:left w:w="0" w:type="dxa"/>
              <w:bottom w:w="0" w:type="dxa"/>
              <w:right w:w="0" w:type="dxa"/>
            </w:tcMar>
            <w:vAlign w:val="bottom"/>
          </w:tcPr>
          <w:p w14:paraId="240CC12D" w14:textId="77777777" w:rsidR="001614AC" w:rsidRDefault="001614AC">
            <w:pPr>
              <w:keepNext/>
            </w:pPr>
          </w:p>
        </w:tc>
        <w:tc>
          <w:tcPr>
            <w:tcW w:w="1035" w:type="dxa"/>
            <w:gridSpan w:val="3"/>
            <w:tcBorders>
              <w:top w:val="single" w:sz="8" w:space="0" w:color="E9E9E9"/>
              <w:left w:val="nil"/>
              <w:bottom w:val="single" w:sz="8" w:space="0" w:color="E9E9E9"/>
              <w:right w:val="nil"/>
            </w:tcBorders>
            <w:tcMar>
              <w:top w:w="0" w:type="dxa"/>
              <w:left w:w="0" w:type="dxa"/>
              <w:bottom w:w="0" w:type="dxa"/>
              <w:right w:w="0" w:type="dxa"/>
            </w:tcMar>
            <w:vAlign w:val="bottom"/>
          </w:tcPr>
          <w:p w14:paraId="185B9246" w14:textId="77777777" w:rsidR="001614AC" w:rsidRDefault="001614AC">
            <w:pPr>
              <w:keepNext/>
            </w:pPr>
          </w:p>
        </w:tc>
        <w:tc>
          <w:tcPr>
            <w:tcW w:w="105" w:type="dxa"/>
            <w:tcBorders>
              <w:top w:val="nil"/>
              <w:left w:val="nil"/>
              <w:bottom w:val="nil"/>
              <w:right w:val="nil"/>
            </w:tcBorders>
            <w:tcMar>
              <w:top w:w="0" w:type="dxa"/>
              <w:left w:w="0" w:type="dxa"/>
              <w:bottom w:w="0" w:type="dxa"/>
              <w:right w:w="0" w:type="dxa"/>
            </w:tcMar>
            <w:vAlign w:val="bottom"/>
          </w:tcPr>
          <w:p w14:paraId="0C074061" w14:textId="77777777" w:rsidR="001614AC" w:rsidRDefault="001614AC">
            <w:pPr>
              <w:keepNext/>
            </w:pPr>
          </w:p>
        </w:tc>
        <w:tc>
          <w:tcPr>
            <w:tcW w:w="1035" w:type="dxa"/>
            <w:gridSpan w:val="3"/>
            <w:tcBorders>
              <w:top w:val="single" w:sz="8" w:space="0" w:color="E9E9E9"/>
              <w:left w:val="nil"/>
              <w:bottom w:val="single" w:sz="8" w:space="0" w:color="E9E9E9"/>
              <w:right w:val="nil"/>
            </w:tcBorders>
            <w:tcMar>
              <w:top w:w="0" w:type="dxa"/>
              <w:left w:w="0" w:type="dxa"/>
              <w:bottom w:w="0" w:type="dxa"/>
              <w:right w:w="0" w:type="dxa"/>
            </w:tcMar>
            <w:vAlign w:val="bottom"/>
          </w:tcPr>
          <w:p w14:paraId="0D3D7E84" w14:textId="77777777" w:rsidR="001614AC" w:rsidRDefault="001614AC">
            <w:pPr>
              <w:keepNext/>
            </w:pPr>
          </w:p>
        </w:tc>
      </w:tr>
      <w:tr w:rsidR="001614AC" w14:paraId="3FDB2B19" w14:textId="77777777">
        <w:trPr>
          <w:cantSplit/>
        </w:trPr>
        <w:tc>
          <w:tcPr>
            <w:tcW w:w="3240" w:type="dxa"/>
            <w:tcBorders>
              <w:top w:val="single" w:sz="8" w:space="0" w:color="E9E9E9"/>
              <w:left w:val="nil"/>
              <w:bottom w:val="single" w:sz="8" w:space="0" w:color="E9E9E9"/>
              <w:right w:val="nil"/>
            </w:tcBorders>
            <w:tcMar>
              <w:top w:w="0" w:type="dxa"/>
              <w:left w:w="53" w:type="dxa"/>
              <w:bottom w:w="0" w:type="dxa"/>
              <w:right w:w="53" w:type="dxa"/>
            </w:tcMar>
            <w:vAlign w:val="bottom"/>
          </w:tcPr>
          <w:p w14:paraId="165180F0" w14:textId="77777777" w:rsidR="001614AC" w:rsidRDefault="004468F9">
            <w:pPr>
              <w:keepNext/>
              <w:spacing w:before="55" w:after="30" w:line="288" w:lineRule="auto"/>
              <w:ind w:left="480"/>
            </w:pPr>
            <w:r>
              <w:rPr>
                <w:rFonts w:ascii="Arial" w:eastAsia="Arial" w:hAnsi="Arial" w:cs="Arial"/>
                <w:color w:val="000000"/>
                <w:sz w:val="18"/>
              </w:rPr>
              <w:t>Net realized gains (losses) on disposals and non-credit related impairment losses</w:t>
            </w:r>
          </w:p>
        </w:tc>
        <w:tc>
          <w:tcPr>
            <w:tcW w:w="105" w:type="dxa"/>
            <w:tcBorders>
              <w:top w:val="nil"/>
              <w:left w:val="nil"/>
              <w:bottom w:val="nil"/>
              <w:right w:val="nil"/>
            </w:tcBorders>
            <w:tcMar>
              <w:top w:w="0" w:type="dxa"/>
              <w:left w:w="0" w:type="dxa"/>
              <w:bottom w:w="0" w:type="dxa"/>
              <w:right w:w="0" w:type="dxa"/>
            </w:tcMar>
            <w:vAlign w:val="bottom"/>
          </w:tcPr>
          <w:p w14:paraId="4FCC280A" w14:textId="77777777" w:rsidR="001614AC" w:rsidRDefault="001614AC">
            <w:pPr>
              <w:keepNext/>
            </w:pPr>
          </w:p>
        </w:tc>
        <w:tc>
          <w:tcPr>
            <w:tcW w:w="93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6628F1F4" w14:textId="77777777" w:rsidR="001614AC" w:rsidRDefault="004468F9">
            <w:pPr>
              <w:keepNext/>
              <w:spacing w:before="55" w:after="30" w:line="288" w:lineRule="auto"/>
              <w:jc w:val="right"/>
            </w:pPr>
            <w:r>
              <w:rPr>
                <w:rFonts w:ascii="Arial" w:eastAsia="Arial" w:hAnsi="Arial" w:cs="Arial"/>
                <w:color w:val="000000"/>
                <w:sz w:val="18"/>
              </w:rPr>
              <w:t>2,375 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4BD7142D" w14:textId="77777777" w:rsidR="001614AC" w:rsidRDefault="001614AC">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152DE9D4" w14:textId="77777777" w:rsidR="001614AC" w:rsidRDefault="001614AC">
            <w:pPr>
              <w:keepNext/>
            </w:pPr>
          </w:p>
        </w:tc>
        <w:tc>
          <w:tcPr>
            <w:tcW w:w="93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1D701793" w14:textId="77777777" w:rsidR="001614AC" w:rsidRDefault="004468F9">
            <w:pPr>
              <w:keepNext/>
              <w:spacing w:before="55" w:after="30" w:line="288" w:lineRule="auto"/>
              <w:jc w:val="right"/>
            </w:pPr>
            <w:r>
              <w:rPr>
                <w:rFonts w:ascii="Arial" w:eastAsia="Arial" w:hAnsi="Arial" w:cs="Arial"/>
                <w:color w:val="000000"/>
                <w:sz w:val="18"/>
              </w:rPr>
              <w:t>499 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704526A9" w14:textId="77777777" w:rsidR="001614AC" w:rsidRDefault="001614AC">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27E90D71" w14:textId="77777777" w:rsidR="001614AC" w:rsidRDefault="001614AC">
            <w:pPr>
              <w:keepNext/>
            </w:pPr>
          </w:p>
        </w:tc>
        <w:tc>
          <w:tcPr>
            <w:tcW w:w="93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32B57F32" w14:textId="77777777" w:rsidR="001614AC" w:rsidRDefault="004468F9">
            <w:pPr>
              <w:keepNext/>
              <w:spacing w:before="55" w:after="30" w:line="288" w:lineRule="auto"/>
              <w:jc w:val="right"/>
            </w:pPr>
            <w:r>
              <w:rPr>
                <w:rFonts w:ascii="Arial" w:eastAsia="Arial" w:hAnsi="Arial" w:cs="Arial"/>
                <w:color w:val="000000"/>
                <w:sz w:val="18"/>
              </w:rPr>
              <w:t>1,876 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77DD5E27" w14:textId="77777777" w:rsidR="001614AC" w:rsidRDefault="001614AC">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0271F8D4" w14:textId="77777777" w:rsidR="001614AC" w:rsidRDefault="001614AC">
            <w:pPr>
              <w:keepNext/>
            </w:pPr>
          </w:p>
        </w:tc>
        <w:tc>
          <w:tcPr>
            <w:tcW w:w="93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69639DD4" w14:textId="77777777" w:rsidR="001614AC" w:rsidRDefault="004468F9">
            <w:pPr>
              <w:keepNext/>
              <w:spacing w:before="55" w:after="30" w:line="288" w:lineRule="auto"/>
              <w:jc w:val="right"/>
            </w:pPr>
            <w:r>
              <w:rPr>
                <w:rFonts w:ascii="Arial" w:eastAsia="Arial" w:hAnsi="Arial" w:cs="Arial"/>
                <w:color w:val="000000"/>
                <w:sz w:val="18"/>
              </w:rPr>
              <w:t>1,585 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2DAAAC6E" w14:textId="77777777" w:rsidR="001614AC" w:rsidRDefault="001614AC">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07A5BD59" w14:textId="77777777" w:rsidR="001614AC" w:rsidRDefault="001614AC">
            <w:pPr>
              <w:keepNext/>
            </w:pPr>
          </w:p>
        </w:tc>
        <w:tc>
          <w:tcPr>
            <w:tcW w:w="93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7C5DBA72" w14:textId="77777777" w:rsidR="001614AC" w:rsidRDefault="004468F9">
            <w:pPr>
              <w:keepNext/>
              <w:spacing w:before="55" w:after="30" w:line="288" w:lineRule="auto"/>
              <w:jc w:val="right"/>
            </w:pPr>
            <w:r>
              <w:rPr>
                <w:rFonts w:ascii="Arial" w:eastAsia="Arial" w:hAnsi="Arial" w:cs="Arial"/>
                <w:color w:val="000000"/>
                <w:sz w:val="18"/>
              </w:rPr>
              <w:t>333 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32C6B3AE" w14:textId="77777777" w:rsidR="001614AC" w:rsidRDefault="001614AC">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0BE7F541" w14:textId="77777777" w:rsidR="001614AC" w:rsidRDefault="001614AC">
            <w:pPr>
              <w:keepNext/>
            </w:pPr>
          </w:p>
        </w:tc>
        <w:tc>
          <w:tcPr>
            <w:tcW w:w="93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5CB86653" w14:textId="77777777" w:rsidR="001614AC" w:rsidRDefault="004468F9">
            <w:pPr>
              <w:keepNext/>
              <w:spacing w:before="55" w:after="30" w:line="288" w:lineRule="auto"/>
              <w:jc w:val="right"/>
            </w:pPr>
            <w:r>
              <w:rPr>
                <w:rFonts w:ascii="Arial" w:eastAsia="Arial" w:hAnsi="Arial" w:cs="Arial"/>
                <w:color w:val="000000"/>
                <w:sz w:val="18"/>
              </w:rPr>
              <w:t>1,252 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293A6255" w14:textId="77777777" w:rsidR="001614AC" w:rsidRDefault="001614AC">
            <w:pPr>
              <w:keepNext/>
              <w:spacing w:before="55" w:after="30" w:line="288" w:lineRule="auto"/>
              <w:jc w:val="right"/>
            </w:pPr>
          </w:p>
        </w:tc>
      </w:tr>
      <w:tr w:rsidR="001614AC" w14:paraId="72D3CA3C" w14:textId="77777777">
        <w:trPr>
          <w:cantSplit/>
        </w:trPr>
        <w:tc>
          <w:tcPr>
            <w:tcW w:w="3240" w:type="dxa"/>
            <w:tcBorders>
              <w:top w:val="single" w:sz="8" w:space="0" w:color="E9E9E9"/>
              <w:left w:val="nil"/>
              <w:bottom w:val="nil"/>
              <w:right w:val="nil"/>
            </w:tcBorders>
            <w:tcMar>
              <w:top w:w="0" w:type="dxa"/>
              <w:left w:w="53" w:type="dxa"/>
              <w:bottom w:w="0" w:type="dxa"/>
              <w:right w:w="53" w:type="dxa"/>
            </w:tcMar>
            <w:vAlign w:val="bottom"/>
          </w:tcPr>
          <w:p w14:paraId="56113E37" w14:textId="77777777" w:rsidR="001614AC" w:rsidRDefault="004468F9">
            <w:pPr>
              <w:keepNext/>
              <w:spacing w:before="55" w:after="30" w:line="288" w:lineRule="auto"/>
              <w:ind w:left="480"/>
            </w:pPr>
            <w:r>
              <w:rPr>
                <w:rFonts w:ascii="Arial" w:eastAsia="Arial" w:hAnsi="Arial" w:cs="Arial"/>
                <w:color w:val="000000"/>
                <w:sz w:val="18"/>
              </w:rPr>
              <w:t xml:space="preserve">Net decrease (increase) in </w:t>
            </w:r>
            <w:r>
              <w:rPr>
                <w:rFonts w:ascii="Arial" w:eastAsia="Arial" w:hAnsi="Arial" w:cs="Arial"/>
                <w:color w:val="000000"/>
                <w:sz w:val="18"/>
              </w:rPr>
              <w:t>expected credit losses</w:t>
            </w:r>
          </w:p>
        </w:tc>
        <w:tc>
          <w:tcPr>
            <w:tcW w:w="105" w:type="dxa"/>
            <w:tcBorders>
              <w:top w:val="nil"/>
              <w:left w:val="nil"/>
              <w:bottom w:val="nil"/>
              <w:right w:val="nil"/>
            </w:tcBorders>
            <w:tcMar>
              <w:top w:w="0" w:type="dxa"/>
              <w:left w:w="0" w:type="dxa"/>
              <w:bottom w:w="0" w:type="dxa"/>
              <w:right w:w="0" w:type="dxa"/>
            </w:tcMar>
            <w:vAlign w:val="bottom"/>
          </w:tcPr>
          <w:p w14:paraId="6E8C9F8A" w14:textId="77777777" w:rsidR="001614AC" w:rsidRDefault="001614AC">
            <w:pPr>
              <w:keepNext/>
            </w:pPr>
          </w:p>
        </w:tc>
        <w:tc>
          <w:tcPr>
            <w:tcW w:w="935" w:type="dxa"/>
            <w:gridSpan w:val="2"/>
            <w:tcBorders>
              <w:top w:val="single" w:sz="8" w:space="0" w:color="E9E9E9"/>
              <w:left w:val="nil"/>
              <w:bottom w:val="nil"/>
              <w:right w:val="nil"/>
            </w:tcBorders>
            <w:tcMar>
              <w:top w:w="0" w:type="dxa"/>
              <w:left w:w="53" w:type="dxa"/>
              <w:bottom w:w="0" w:type="dxa"/>
              <w:right w:w="0" w:type="dxa"/>
            </w:tcMar>
            <w:vAlign w:val="bottom"/>
          </w:tcPr>
          <w:p w14:paraId="23D16FFD" w14:textId="77777777" w:rsidR="001614AC" w:rsidRDefault="004468F9">
            <w:pPr>
              <w:keepNext/>
              <w:spacing w:before="55" w:after="30" w:line="288" w:lineRule="auto"/>
              <w:jc w:val="right"/>
            </w:pPr>
            <w:r>
              <w:rPr>
                <w:rFonts w:ascii="Arial" w:eastAsia="Arial" w:hAnsi="Arial" w:cs="Arial"/>
                <w:color w:val="000000"/>
                <w:sz w:val="18"/>
              </w:rPr>
              <w:t>608 </w:t>
            </w:r>
          </w:p>
        </w:tc>
        <w:tc>
          <w:tcPr>
            <w:tcW w:w="100" w:type="dxa"/>
            <w:tcBorders>
              <w:top w:val="single" w:sz="8" w:space="0" w:color="E9E9E9"/>
              <w:left w:val="nil"/>
              <w:bottom w:val="nil"/>
              <w:right w:val="nil"/>
            </w:tcBorders>
            <w:tcMar>
              <w:top w:w="0" w:type="dxa"/>
              <w:left w:w="0" w:type="dxa"/>
              <w:bottom w:w="0" w:type="dxa"/>
              <w:right w:w="15" w:type="dxa"/>
            </w:tcMar>
            <w:vAlign w:val="bottom"/>
          </w:tcPr>
          <w:p w14:paraId="34C20451" w14:textId="77777777" w:rsidR="001614AC" w:rsidRDefault="001614AC">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122C753D" w14:textId="77777777" w:rsidR="001614AC" w:rsidRDefault="001614AC">
            <w:pPr>
              <w:keepNext/>
            </w:pPr>
          </w:p>
        </w:tc>
        <w:tc>
          <w:tcPr>
            <w:tcW w:w="935" w:type="dxa"/>
            <w:gridSpan w:val="2"/>
            <w:tcBorders>
              <w:top w:val="single" w:sz="8" w:space="0" w:color="E9E9E9"/>
              <w:left w:val="nil"/>
              <w:bottom w:val="nil"/>
              <w:right w:val="nil"/>
            </w:tcBorders>
            <w:tcMar>
              <w:top w:w="0" w:type="dxa"/>
              <w:left w:w="53" w:type="dxa"/>
              <w:bottom w:w="0" w:type="dxa"/>
              <w:right w:w="0" w:type="dxa"/>
            </w:tcMar>
            <w:vAlign w:val="bottom"/>
          </w:tcPr>
          <w:p w14:paraId="4E9A6885" w14:textId="77777777" w:rsidR="001614AC" w:rsidRDefault="004468F9">
            <w:pPr>
              <w:keepNext/>
              <w:spacing w:before="55" w:after="30" w:line="288" w:lineRule="auto"/>
              <w:jc w:val="right"/>
            </w:pPr>
            <w:r>
              <w:rPr>
                <w:rFonts w:ascii="Arial" w:eastAsia="Arial" w:hAnsi="Arial" w:cs="Arial"/>
                <w:color w:val="000000"/>
                <w:sz w:val="18"/>
              </w:rPr>
              <w:t>128 </w:t>
            </w:r>
          </w:p>
        </w:tc>
        <w:tc>
          <w:tcPr>
            <w:tcW w:w="100" w:type="dxa"/>
            <w:tcBorders>
              <w:top w:val="single" w:sz="8" w:space="0" w:color="E9E9E9"/>
              <w:left w:val="nil"/>
              <w:bottom w:val="nil"/>
              <w:right w:val="nil"/>
            </w:tcBorders>
            <w:tcMar>
              <w:top w:w="0" w:type="dxa"/>
              <w:left w:w="0" w:type="dxa"/>
              <w:bottom w:w="0" w:type="dxa"/>
              <w:right w:w="15" w:type="dxa"/>
            </w:tcMar>
            <w:vAlign w:val="bottom"/>
          </w:tcPr>
          <w:p w14:paraId="14A89B79" w14:textId="77777777" w:rsidR="001614AC" w:rsidRDefault="001614AC">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23612CAD" w14:textId="77777777" w:rsidR="001614AC" w:rsidRDefault="001614AC">
            <w:pPr>
              <w:keepNext/>
            </w:pPr>
          </w:p>
        </w:tc>
        <w:tc>
          <w:tcPr>
            <w:tcW w:w="935" w:type="dxa"/>
            <w:gridSpan w:val="2"/>
            <w:tcBorders>
              <w:top w:val="single" w:sz="8" w:space="0" w:color="E9E9E9"/>
              <w:left w:val="nil"/>
              <w:bottom w:val="nil"/>
              <w:right w:val="nil"/>
            </w:tcBorders>
            <w:tcMar>
              <w:top w:w="0" w:type="dxa"/>
              <w:left w:w="53" w:type="dxa"/>
              <w:bottom w:w="0" w:type="dxa"/>
              <w:right w:w="0" w:type="dxa"/>
            </w:tcMar>
            <w:vAlign w:val="bottom"/>
          </w:tcPr>
          <w:p w14:paraId="61FBB9C5" w14:textId="77777777" w:rsidR="001614AC" w:rsidRDefault="004468F9">
            <w:pPr>
              <w:keepNext/>
              <w:spacing w:before="55" w:after="30" w:line="288" w:lineRule="auto"/>
              <w:jc w:val="right"/>
            </w:pPr>
            <w:r>
              <w:rPr>
                <w:rFonts w:ascii="Arial" w:eastAsia="Arial" w:hAnsi="Arial" w:cs="Arial"/>
                <w:color w:val="000000"/>
                <w:sz w:val="18"/>
              </w:rPr>
              <w:t>480 </w:t>
            </w:r>
          </w:p>
        </w:tc>
        <w:tc>
          <w:tcPr>
            <w:tcW w:w="100" w:type="dxa"/>
            <w:tcBorders>
              <w:top w:val="single" w:sz="8" w:space="0" w:color="E9E9E9"/>
              <w:left w:val="nil"/>
              <w:bottom w:val="nil"/>
              <w:right w:val="nil"/>
            </w:tcBorders>
            <w:tcMar>
              <w:top w:w="0" w:type="dxa"/>
              <w:left w:w="0" w:type="dxa"/>
              <w:bottom w:w="0" w:type="dxa"/>
              <w:right w:w="15" w:type="dxa"/>
            </w:tcMar>
            <w:vAlign w:val="bottom"/>
          </w:tcPr>
          <w:p w14:paraId="11129B01" w14:textId="77777777" w:rsidR="001614AC" w:rsidRDefault="001614AC">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11D12013" w14:textId="77777777" w:rsidR="001614AC" w:rsidRDefault="001614AC">
            <w:pPr>
              <w:keepNext/>
            </w:pPr>
          </w:p>
        </w:tc>
        <w:tc>
          <w:tcPr>
            <w:tcW w:w="935" w:type="dxa"/>
            <w:gridSpan w:val="2"/>
            <w:tcBorders>
              <w:top w:val="single" w:sz="8" w:space="0" w:color="E9E9E9"/>
              <w:left w:val="nil"/>
              <w:bottom w:val="nil"/>
              <w:right w:val="nil"/>
            </w:tcBorders>
            <w:tcMar>
              <w:top w:w="0" w:type="dxa"/>
              <w:left w:w="53" w:type="dxa"/>
              <w:bottom w:w="0" w:type="dxa"/>
              <w:right w:w="0" w:type="dxa"/>
            </w:tcMar>
            <w:vAlign w:val="bottom"/>
          </w:tcPr>
          <w:p w14:paraId="1EC840E9" w14:textId="77777777" w:rsidR="001614AC" w:rsidRDefault="004468F9">
            <w:pPr>
              <w:keepNext/>
              <w:spacing w:before="55" w:after="30" w:line="288" w:lineRule="auto"/>
              <w:jc w:val="right"/>
            </w:pPr>
            <w:r>
              <w:rPr>
                <w:rFonts w:ascii="Arial" w:eastAsia="Arial" w:hAnsi="Arial" w:cs="Arial"/>
                <w:color w:val="000000"/>
                <w:sz w:val="18"/>
              </w:rPr>
              <w:t>918 </w:t>
            </w:r>
          </w:p>
        </w:tc>
        <w:tc>
          <w:tcPr>
            <w:tcW w:w="100" w:type="dxa"/>
            <w:tcBorders>
              <w:top w:val="single" w:sz="8" w:space="0" w:color="E9E9E9"/>
              <w:left w:val="nil"/>
              <w:bottom w:val="nil"/>
              <w:right w:val="nil"/>
            </w:tcBorders>
            <w:tcMar>
              <w:top w:w="0" w:type="dxa"/>
              <w:left w:w="0" w:type="dxa"/>
              <w:bottom w:w="0" w:type="dxa"/>
              <w:right w:w="15" w:type="dxa"/>
            </w:tcMar>
            <w:vAlign w:val="bottom"/>
          </w:tcPr>
          <w:p w14:paraId="036EF37B" w14:textId="77777777" w:rsidR="001614AC" w:rsidRDefault="001614AC">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527F5813" w14:textId="77777777" w:rsidR="001614AC" w:rsidRDefault="001614AC">
            <w:pPr>
              <w:keepNext/>
            </w:pPr>
          </w:p>
        </w:tc>
        <w:tc>
          <w:tcPr>
            <w:tcW w:w="935" w:type="dxa"/>
            <w:gridSpan w:val="2"/>
            <w:tcBorders>
              <w:top w:val="single" w:sz="8" w:space="0" w:color="E9E9E9"/>
              <w:left w:val="nil"/>
              <w:bottom w:val="nil"/>
              <w:right w:val="nil"/>
            </w:tcBorders>
            <w:tcMar>
              <w:top w:w="0" w:type="dxa"/>
              <w:left w:w="53" w:type="dxa"/>
              <w:bottom w:w="0" w:type="dxa"/>
              <w:right w:w="0" w:type="dxa"/>
            </w:tcMar>
            <w:vAlign w:val="bottom"/>
          </w:tcPr>
          <w:p w14:paraId="7A62B90D" w14:textId="77777777" w:rsidR="001614AC" w:rsidRDefault="004468F9">
            <w:pPr>
              <w:keepNext/>
              <w:spacing w:before="55" w:after="30" w:line="288" w:lineRule="auto"/>
              <w:jc w:val="right"/>
            </w:pPr>
            <w:r>
              <w:rPr>
                <w:rFonts w:ascii="Arial" w:eastAsia="Arial" w:hAnsi="Arial" w:cs="Arial"/>
                <w:color w:val="000000"/>
                <w:sz w:val="18"/>
              </w:rPr>
              <w:t>193 </w:t>
            </w:r>
          </w:p>
        </w:tc>
        <w:tc>
          <w:tcPr>
            <w:tcW w:w="100" w:type="dxa"/>
            <w:tcBorders>
              <w:top w:val="single" w:sz="8" w:space="0" w:color="E9E9E9"/>
              <w:left w:val="nil"/>
              <w:bottom w:val="nil"/>
              <w:right w:val="nil"/>
            </w:tcBorders>
            <w:tcMar>
              <w:top w:w="0" w:type="dxa"/>
              <w:left w:w="0" w:type="dxa"/>
              <w:bottom w:w="0" w:type="dxa"/>
              <w:right w:w="15" w:type="dxa"/>
            </w:tcMar>
            <w:vAlign w:val="bottom"/>
          </w:tcPr>
          <w:p w14:paraId="386213FF" w14:textId="77777777" w:rsidR="001614AC" w:rsidRDefault="001614AC">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25A5E33F" w14:textId="77777777" w:rsidR="001614AC" w:rsidRDefault="001614AC">
            <w:pPr>
              <w:keepNext/>
            </w:pPr>
          </w:p>
        </w:tc>
        <w:tc>
          <w:tcPr>
            <w:tcW w:w="935" w:type="dxa"/>
            <w:gridSpan w:val="2"/>
            <w:tcBorders>
              <w:top w:val="single" w:sz="8" w:space="0" w:color="E9E9E9"/>
              <w:left w:val="nil"/>
              <w:bottom w:val="nil"/>
              <w:right w:val="nil"/>
            </w:tcBorders>
            <w:tcMar>
              <w:top w:w="0" w:type="dxa"/>
              <w:left w:w="53" w:type="dxa"/>
              <w:bottom w:w="0" w:type="dxa"/>
              <w:right w:w="0" w:type="dxa"/>
            </w:tcMar>
            <w:vAlign w:val="bottom"/>
          </w:tcPr>
          <w:p w14:paraId="680BB7E8" w14:textId="77777777" w:rsidR="001614AC" w:rsidRDefault="004468F9">
            <w:pPr>
              <w:keepNext/>
              <w:spacing w:before="55" w:after="30" w:line="288" w:lineRule="auto"/>
              <w:jc w:val="right"/>
            </w:pPr>
            <w:r>
              <w:rPr>
                <w:rFonts w:ascii="Arial" w:eastAsia="Arial" w:hAnsi="Arial" w:cs="Arial"/>
                <w:color w:val="000000"/>
                <w:sz w:val="18"/>
              </w:rPr>
              <w:t>725 </w:t>
            </w:r>
          </w:p>
        </w:tc>
        <w:tc>
          <w:tcPr>
            <w:tcW w:w="100" w:type="dxa"/>
            <w:tcBorders>
              <w:top w:val="single" w:sz="8" w:space="0" w:color="E9E9E9"/>
              <w:left w:val="nil"/>
              <w:bottom w:val="nil"/>
              <w:right w:val="nil"/>
            </w:tcBorders>
            <w:tcMar>
              <w:top w:w="0" w:type="dxa"/>
              <w:left w:w="0" w:type="dxa"/>
              <w:bottom w:w="0" w:type="dxa"/>
              <w:right w:w="15" w:type="dxa"/>
            </w:tcMar>
            <w:vAlign w:val="bottom"/>
          </w:tcPr>
          <w:p w14:paraId="249B3F30" w14:textId="77777777" w:rsidR="001614AC" w:rsidRDefault="001614AC">
            <w:pPr>
              <w:keepNext/>
              <w:spacing w:before="55" w:after="30" w:line="288" w:lineRule="auto"/>
              <w:jc w:val="right"/>
            </w:pPr>
          </w:p>
        </w:tc>
      </w:tr>
      <w:tr w:rsidR="001614AC" w14:paraId="76DC27EE" w14:textId="77777777">
        <w:trPr>
          <w:cantSplit/>
        </w:trPr>
        <w:tc>
          <w:tcPr>
            <w:tcW w:w="3240" w:type="dxa"/>
            <w:tcBorders>
              <w:top w:val="single" w:sz="8" w:space="0" w:color="FFFFFF"/>
              <w:left w:val="nil"/>
              <w:bottom w:val="single" w:sz="8" w:space="0" w:color="FFFFFF"/>
              <w:right w:val="nil"/>
            </w:tcBorders>
            <w:shd w:val="clear" w:color="auto" w:fill="F4F4F4"/>
            <w:tcMar>
              <w:top w:w="0" w:type="dxa"/>
              <w:left w:w="53" w:type="dxa"/>
              <w:bottom w:w="0" w:type="dxa"/>
              <w:right w:w="53" w:type="dxa"/>
            </w:tcMar>
            <w:vAlign w:val="bottom"/>
          </w:tcPr>
          <w:p w14:paraId="420249AC" w14:textId="77777777" w:rsidR="001614AC" w:rsidRDefault="004468F9">
            <w:pPr>
              <w:keepNext/>
              <w:spacing w:before="55" w:after="30" w:line="288" w:lineRule="auto"/>
              <w:ind w:left="240"/>
            </w:pPr>
            <w:r>
              <w:rPr>
                <w:rFonts w:ascii="Arial" w:eastAsia="Arial" w:hAnsi="Arial" w:cs="Arial"/>
                <w:color w:val="000000"/>
                <w:sz w:val="18"/>
              </w:rPr>
              <w:t>Other comprehensive income (loss)</w:t>
            </w:r>
          </w:p>
        </w:tc>
        <w:tc>
          <w:tcPr>
            <w:tcW w:w="105" w:type="dxa"/>
            <w:tcBorders>
              <w:top w:val="nil"/>
              <w:left w:val="nil"/>
              <w:bottom w:val="nil"/>
              <w:right w:val="nil"/>
            </w:tcBorders>
            <w:shd w:val="clear" w:color="auto" w:fill="F4F4F4"/>
            <w:tcMar>
              <w:top w:w="0" w:type="dxa"/>
              <w:left w:w="0" w:type="dxa"/>
              <w:bottom w:w="0" w:type="dxa"/>
              <w:right w:w="0" w:type="dxa"/>
            </w:tcMar>
            <w:vAlign w:val="bottom"/>
          </w:tcPr>
          <w:p w14:paraId="6CD11849" w14:textId="77777777" w:rsidR="001614AC" w:rsidRDefault="001614AC">
            <w:pPr>
              <w:keepNext/>
            </w:pPr>
          </w:p>
        </w:tc>
        <w:tc>
          <w:tcPr>
            <w:tcW w:w="935" w:type="dxa"/>
            <w:gridSpan w:val="2"/>
            <w:tcBorders>
              <w:top w:val="single" w:sz="8" w:space="0" w:color="C7C9C7"/>
              <w:left w:val="nil"/>
              <w:bottom w:val="single" w:sz="8" w:space="0" w:color="C7C9C7"/>
              <w:right w:val="nil"/>
            </w:tcBorders>
            <w:shd w:val="clear" w:color="auto" w:fill="F4F4F4"/>
            <w:tcMar>
              <w:top w:w="0" w:type="dxa"/>
              <w:left w:w="53" w:type="dxa"/>
              <w:bottom w:w="0" w:type="dxa"/>
              <w:right w:w="0" w:type="dxa"/>
            </w:tcMar>
            <w:vAlign w:val="bottom"/>
          </w:tcPr>
          <w:p w14:paraId="2C9D8954" w14:textId="77777777" w:rsidR="001614AC" w:rsidRDefault="004468F9">
            <w:pPr>
              <w:keepNext/>
              <w:spacing w:before="55" w:after="30" w:line="288" w:lineRule="auto"/>
              <w:jc w:val="right"/>
            </w:pPr>
            <w:r>
              <w:rPr>
                <w:rFonts w:ascii="Arial" w:eastAsia="Arial" w:hAnsi="Arial" w:cs="Arial"/>
                <w:color w:val="000000"/>
                <w:sz w:val="18"/>
              </w:rPr>
              <w:t>78,634 </w:t>
            </w:r>
          </w:p>
        </w:tc>
        <w:tc>
          <w:tcPr>
            <w:tcW w:w="100" w:type="dxa"/>
            <w:tcBorders>
              <w:top w:val="single" w:sz="8" w:space="0" w:color="C7C9C7"/>
              <w:left w:val="nil"/>
              <w:bottom w:val="single" w:sz="8" w:space="0" w:color="C7C9C7"/>
              <w:right w:val="nil"/>
            </w:tcBorders>
            <w:shd w:val="clear" w:color="auto" w:fill="F4F4F4"/>
            <w:tcMar>
              <w:top w:w="0" w:type="dxa"/>
              <w:left w:w="0" w:type="dxa"/>
              <w:bottom w:w="0" w:type="dxa"/>
              <w:right w:w="15" w:type="dxa"/>
            </w:tcMar>
            <w:vAlign w:val="bottom"/>
          </w:tcPr>
          <w:p w14:paraId="32AA2911" w14:textId="77777777" w:rsidR="001614AC" w:rsidRDefault="001614AC">
            <w:pPr>
              <w:keepNext/>
              <w:spacing w:before="55" w:after="30" w:line="288" w:lineRule="auto"/>
              <w:jc w:val="right"/>
            </w:pPr>
          </w:p>
        </w:tc>
        <w:tc>
          <w:tcPr>
            <w:tcW w:w="105" w:type="dxa"/>
            <w:tcBorders>
              <w:top w:val="single" w:sz="8" w:space="0" w:color="FFFFFF"/>
              <w:left w:val="nil"/>
              <w:bottom w:val="single" w:sz="8" w:space="0" w:color="FFFFFF"/>
              <w:right w:val="nil"/>
            </w:tcBorders>
            <w:shd w:val="clear" w:color="auto" w:fill="F4F4F4"/>
            <w:tcMar>
              <w:top w:w="0" w:type="dxa"/>
              <w:left w:w="0" w:type="dxa"/>
              <w:bottom w:w="0" w:type="dxa"/>
              <w:right w:w="0" w:type="dxa"/>
            </w:tcMar>
            <w:vAlign w:val="bottom"/>
          </w:tcPr>
          <w:p w14:paraId="44F64AF1" w14:textId="77777777" w:rsidR="001614AC" w:rsidRDefault="001614AC">
            <w:pPr>
              <w:keepNext/>
            </w:pPr>
          </w:p>
        </w:tc>
        <w:tc>
          <w:tcPr>
            <w:tcW w:w="935" w:type="dxa"/>
            <w:gridSpan w:val="2"/>
            <w:tcBorders>
              <w:top w:val="single" w:sz="8" w:space="0" w:color="C7C9C7"/>
              <w:left w:val="nil"/>
              <w:bottom w:val="single" w:sz="8" w:space="0" w:color="C7C9C7"/>
              <w:right w:val="nil"/>
            </w:tcBorders>
            <w:shd w:val="clear" w:color="auto" w:fill="F4F4F4"/>
            <w:tcMar>
              <w:top w:w="0" w:type="dxa"/>
              <w:left w:w="53" w:type="dxa"/>
              <w:bottom w:w="0" w:type="dxa"/>
              <w:right w:w="0" w:type="dxa"/>
            </w:tcMar>
            <w:vAlign w:val="bottom"/>
          </w:tcPr>
          <w:p w14:paraId="37A5CA41" w14:textId="77777777" w:rsidR="001614AC" w:rsidRDefault="004468F9">
            <w:pPr>
              <w:keepNext/>
              <w:spacing w:before="55" w:after="30" w:line="288" w:lineRule="auto"/>
              <w:jc w:val="right"/>
            </w:pPr>
            <w:r>
              <w:rPr>
                <w:rFonts w:ascii="Arial" w:eastAsia="Arial" w:hAnsi="Arial" w:cs="Arial"/>
                <w:color w:val="000000"/>
                <w:sz w:val="18"/>
              </w:rPr>
              <w:t>16,513 </w:t>
            </w:r>
          </w:p>
        </w:tc>
        <w:tc>
          <w:tcPr>
            <w:tcW w:w="100" w:type="dxa"/>
            <w:tcBorders>
              <w:top w:val="single" w:sz="8" w:space="0" w:color="C7C9C7"/>
              <w:left w:val="nil"/>
              <w:bottom w:val="single" w:sz="8" w:space="0" w:color="C7C9C7"/>
              <w:right w:val="nil"/>
            </w:tcBorders>
            <w:shd w:val="clear" w:color="auto" w:fill="F4F4F4"/>
            <w:tcMar>
              <w:top w:w="0" w:type="dxa"/>
              <w:left w:w="0" w:type="dxa"/>
              <w:bottom w:w="0" w:type="dxa"/>
              <w:right w:w="15" w:type="dxa"/>
            </w:tcMar>
            <w:vAlign w:val="bottom"/>
          </w:tcPr>
          <w:p w14:paraId="6E4CFD1F" w14:textId="77777777" w:rsidR="001614AC" w:rsidRDefault="001614AC">
            <w:pPr>
              <w:keepNext/>
              <w:spacing w:before="55" w:after="30" w:line="288" w:lineRule="auto"/>
              <w:jc w:val="right"/>
            </w:pPr>
          </w:p>
        </w:tc>
        <w:tc>
          <w:tcPr>
            <w:tcW w:w="105" w:type="dxa"/>
            <w:tcBorders>
              <w:top w:val="single" w:sz="8" w:space="0" w:color="FFFFFF"/>
              <w:left w:val="nil"/>
              <w:bottom w:val="single" w:sz="8" w:space="0" w:color="FFFFFF"/>
              <w:right w:val="nil"/>
            </w:tcBorders>
            <w:shd w:val="clear" w:color="auto" w:fill="F4F4F4"/>
            <w:tcMar>
              <w:top w:w="0" w:type="dxa"/>
              <w:left w:w="0" w:type="dxa"/>
              <w:bottom w:w="0" w:type="dxa"/>
              <w:right w:w="0" w:type="dxa"/>
            </w:tcMar>
            <w:vAlign w:val="bottom"/>
          </w:tcPr>
          <w:p w14:paraId="1A97827A" w14:textId="77777777" w:rsidR="001614AC" w:rsidRDefault="001614AC">
            <w:pPr>
              <w:keepNext/>
            </w:pPr>
          </w:p>
        </w:tc>
        <w:tc>
          <w:tcPr>
            <w:tcW w:w="935" w:type="dxa"/>
            <w:gridSpan w:val="2"/>
            <w:tcBorders>
              <w:top w:val="single" w:sz="8" w:space="0" w:color="C7C9C7"/>
              <w:left w:val="nil"/>
              <w:bottom w:val="single" w:sz="8" w:space="0" w:color="C7C9C7"/>
              <w:right w:val="nil"/>
            </w:tcBorders>
            <w:shd w:val="clear" w:color="auto" w:fill="F4F4F4"/>
            <w:tcMar>
              <w:top w:w="0" w:type="dxa"/>
              <w:left w:w="53" w:type="dxa"/>
              <w:bottom w:w="0" w:type="dxa"/>
              <w:right w:w="0" w:type="dxa"/>
            </w:tcMar>
            <w:vAlign w:val="bottom"/>
          </w:tcPr>
          <w:p w14:paraId="417551AB" w14:textId="77777777" w:rsidR="001614AC" w:rsidRDefault="004468F9">
            <w:pPr>
              <w:keepNext/>
              <w:spacing w:before="55" w:after="30" w:line="288" w:lineRule="auto"/>
              <w:jc w:val="right"/>
            </w:pPr>
            <w:r>
              <w:rPr>
                <w:rFonts w:ascii="Arial" w:eastAsia="Arial" w:hAnsi="Arial" w:cs="Arial"/>
                <w:color w:val="000000"/>
                <w:sz w:val="18"/>
              </w:rPr>
              <w:t>62,121 </w:t>
            </w:r>
          </w:p>
        </w:tc>
        <w:tc>
          <w:tcPr>
            <w:tcW w:w="100" w:type="dxa"/>
            <w:tcBorders>
              <w:top w:val="single" w:sz="8" w:space="0" w:color="C7C9C7"/>
              <w:left w:val="nil"/>
              <w:bottom w:val="single" w:sz="8" w:space="0" w:color="C7C9C7"/>
              <w:right w:val="nil"/>
            </w:tcBorders>
            <w:shd w:val="clear" w:color="auto" w:fill="F4F4F4"/>
            <w:tcMar>
              <w:top w:w="0" w:type="dxa"/>
              <w:left w:w="0" w:type="dxa"/>
              <w:bottom w:w="0" w:type="dxa"/>
              <w:right w:w="15" w:type="dxa"/>
            </w:tcMar>
            <w:vAlign w:val="bottom"/>
          </w:tcPr>
          <w:p w14:paraId="4CCAF4AC" w14:textId="77777777" w:rsidR="001614AC" w:rsidRDefault="001614AC">
            <w:pPr>
              <w:keepNext/>
              <w:spacing w:before="55" w:after="30" w:line="288" w:lineRule="auto"/>
              <w:jc w:val="right"/>
            </w:pPr>
          </w:p>
        </w:tc>
        <w:tc>
          <w:tcPr>
            <w:tcW w:w="105" w:type="dxa"/>
            <w:tcBorders>
              <w:top w:val="single" w:sz="8" w:space="0" w:color="FFFFFF"/>
              <w:left w:val="nil"/>
              <w:bottom w:val="single" w:sz="8" w:space="0" w:color="FFFFFF"/>
              <w:right w:val="nil"/>
            </w:tcBorders>
            <w:shd w:val="clear" w:color="auto" w:fill="F4F4F4"/>
            <w:tcMar>
              <w:top w:w="0" w:type="dxa"/>
              <w:left w:w="0" w:type="dxa"/>
              <w:bottom w:w="0" w:type="dxa"/>
              <w:right w:w="0" w:type="dxa"/>
            </w:tcMar>
            <w:vAlign w:val="bottom"/>
          </w:tcPr>
          <w:p w14:paraId="21194560" w14:textId="77777777" w:rsidR="001614AC" w:rsidRDefault="001614AC">
            <w:pPr>
              <w:keepNext/>
            </w:pPr>
          </w:p>
        </w:tc>
        <w:tc>
          <w:tcPr>
            <w:tcW w:w="935" w:type="dxa"/>
            <w:gridSpan w:val="2"/>
            <w:tcBorders>
              <w:top w:val="single" w:sz="8" w:space="0" w:color="C7C9C7"/>
              <w:left w:val="nil"/>
              <w:bottom w:val="single" w:sz="8" w:space="0" w:color="C7C9C7"/>
              <w:right w:val="nil"/>
            </w:tcBorders>
            <w:shd w:val="clear" w:color="auto" w:fill="F4F4F4"/>
            <w:tcMar>
              <w:top w:w="0" w:type="dxa"/>
              <w:left w:w="53" w:type="dxa"/>
              <w:bottom w:w="0" w:type="dxa"/>
              <w:right w:w="0" w:type="dxa"/>
            </w:tcMar>
            <w:vAlign w:val="bottom"/>
          </w:tcPr>
          <w:p w14:paraId="61873403" w14:textId="77777777" w:rsidR="001614AC" w:rsidRDefault="004468F9">
            <w:pPr>
              <w:keepNext/>
              <w:spacing w:before="55" w:after="30" w:line="288" w:lineRule="auto"/>
              <w:jc w:val="right"/>
            </w:pPr>
            <w:r>
              <w:rPr>
                <w:rFonts w:ascii="Arial" w:eastAsia="Arial" w:hAnsi="Arial" w:cs="Arial"/>
                <w:color w:val="000000"/>
                <w:sz w:val="18"/>
              </w:rPr>
              <w:t>(107,429)</w:t>
            </w:r>
          </w:p>
        </w:tc>
        <w:tc>
          <w:tcPr>
            <w:tcW w:w="100" w:type="dxa"/>
            <w:tcBorders>
              <w:top w:val="single" w:sz="8" w:space="0" w:color="C7C9C7"/>
              <w:left w:val="nil"/>
              <w:bottom w:val="single" w:sz="8" w:space="0" w:color="C7C9C7"/>
              <w:right w:val="nil"/>
            </w:tcBorders>
            <w:shd w:val="clear" w:color="auto" w:fill="F4F4F4"/>
            <w:tcMar>
              <w:top w:w="0" w:type="dxa"/>
              <w:left w:w="0" w:type="dxa"/>
              <w:bottom w:w="0" w:type="dxa"/>
              <w:right w:w="15" w:type="dxa"/>
            </w:tcMar>
            <w:vAlign w:val="bottom"/>
          </w:tcPr>
          <w:p w14:paraId="1AE34383" w14:textId="77777777" w:rsidR="001614AC" w:rsidRDefault="001614AC">
            <w:pPr>
              <w:keepNext/>
              <w:spacing w:before="55" w:after="30" w:line="288" w:lineRule="auto"/>
              <w:jc w:val="right"/>
            </w:pPr>
          </w:p>
        </w:tc>
        <w:tc>
          <w:tcPr>
            <w:tcW w:w="105" w:type="dxa"/>
            <w:tcBorders>
              <w:top w:val="single" w:sz="8" w:space="0" w:color="FFFFFF"/>
              <w:left w:val="nil"/>
              <w:bottom w:val="single" w:sz="8" w:space="0" w:color="FFFFFF"/>
              <w:right w:val="nil"/>
            </w:tcBorders>
            <w:shd w:val="clear" w:color="auto" w:fill="F4F4F4"/>
            <w:tcMar>
              <w:top w:w="0" w:type="dxa"/>
              <w:left w:w="0" w:type="dxa"/>
              <w:bottom w:w="0" w:type="dxa"/>
              <w:right w:w="0" w:type="dxa"/>
            </w:tcMar>
            <w:vAlign w:val="bottom"/>
          </w:tcPr>
          <w:p w14:paraId="1BA1CC10" w14:textId="77777777" w:rsidR="001614AC" w:rsidRDefault="001614AC">
            <w:pPr>
              <w:keepNext/>
            </w:pPr>
          </w:p>
        </w:tc>
        <w:tc>
          <w:tcPr>
            <w:tcW w:w="935" w:type="dxa"/>
            <w:gridSpan w:val="2"/>
            <w:tcBorders>
              <w:top w:val="single" w:sz="8" w:space="0" w:color="C7C9C7"/>
              <w:left w:val="nil"/>
              <w:bottom w:val="single" w:sz="8" w:space="0" w:color="C7C9C7"/>
              <w:right w:val="nil"/>
            </w:tcBorders>
            <w:shd w:val="clear" w:color="auto" w:fill="F4F4F4"/>
            <w:tcMar>
              <w:top w:w="0" w:type="dxa"/>
              <w:left w:w="53" w:type="dxa"/>
              <w:bottom w:w="0" w:type="dxa"/>
              <w:right w:w="0" w:type="dxa"/>
            </w:tcMar>
            <w:vAlign w:val="bottom"/>
          </w:tcPr>
          <w:p w14:paraId="291E42A1" w14:textId="77777777" w:rsidR="001614AC" w:rsidRDefault="004468F9">
            <w:pPr>
              <w:keepNext/>
              <w:spacing w:before="55" w:after="30" w:line="288" w:lineRule="auto"/>
              <w:jc w:val="right"/>
            </w:pPr>
            <w:r>
              <w:rPr>
                <w:rFonts w:ascii="Arial" w:eastAsia="Arial" w:hAnsi="Arial" w:cs="Arial"/>
                <w:color w:val="000000"/>
                <w:sz w:val="18"/>
              </w:rPr>
              <w:t>(22,560)</w:t>
            </w:r>
          </w:p>
        </w:tc>
        <w:tc>
          <w:tcPr>
            <w:tcW w:w="100" w:type="dxa"/>
            <w:tcBorders>
              <w:top w:val="single" w:sz="8" w:space="0" w:color="C7C9C7"/>
              <w:left w:val="nil"/>
              <w:bottom w:val="single" w:sz="8" w:space="0" w:color="C7C9C7"/>
              <w:right w:val="nil"/>
            </w:tcBorders>
            <w:shd w:val="clear" w:color="auto" w:fill="F4F4F4"/>
            <w:tcMar>
              <w:top w:w="0" w:type="dxa"/>
              <w:left w:w="0" w:type="dxa"/>
              <w:bottom w:w="0" w:type="dxa"/>
              <w:right w:w="15" w:type="dxa"/>
            </w:tcMar>
            <w:vAlign w:val="bottom"/>
          </w:tcPr>
          <w:p w14:paraId="08EED28A" w14:textId="77777777" w:rsidR="001614AC" w:rsidRDefault="001614AC">
            <w:pPr>
              <w:keepNext/>
              <w:spacing w:before="55" w:after="30" w:line="288" w:lineRule="auto"/>
              <w:jc w:val="right"/>
            </w:pPr>
          </w:p>
        </w:tc>
        <w:tc>
          <w:tcPr>
            <w:tcW w:w="105" w:type="dxa"/>
            <w:tcBorders>
              <w:top w:val="single" w:sz="8" w:space="0" w:color="FFFFFF"/>
              <w:left w:val="nil"/>
              <w:bottom w:val="single" w:sz="8" w:space="0" w:color="FFFFFF"/>
              <w:right w:val="nil"/>
            </w:tcBorders>
            <w:shd w:val="clear" w:color="auto" w:fill="F4F4F4"/>
            <w:tcMar>
              <w:top w:w="0" w:type="dxa"/>
              <w:left w:w="0" w:type="dxa"/>
              <w:bottom w:w="0" w:type="dxa"/>
              <w:right w:w="0" w:type="dxa"/>
            </w:tcMar>
            <w:vAlign w:val="bottom"/>
          </w:tcPr>
          <w:p w14:paraId="4D0FA683" w14:textId="77777777" w:rsidR="001614AC" w:rsidRDefault="001614AC">
            <w:pPr>
              <w:keepNext/>
            </w:pPr>
          </w:p>
        </w:tc>
        <w:tc>
          <w:tcPr>
            <w:tcW w:w="935" w:type="dxa"/>
            <w:gridSpan w:val="2"/>
            <w:tcBorders>
              <w:top w:val="single" w:sz="8" w:space="0" w:color="C7C9C7"/>
              <w:left w:val="nil"/>
              <w:bottom w:val="single" w:sz="8" w:space="0" w:color="C7C9C7"/>
              <w:right w:val="nil"/>
            </w:tcBorders>
            <w:shd w:val="clear" w:color="auto" w:fill="F4F4F4"/>
            <w:tcMar>
              <w:top w:w="0" w:type="dxa"/>
              <w:left w:w="53" w:type="dxa"/>
              <w:bottom w:w="0" w:type="dxa"/>
              <w:right w:w="0" w:type="dxa"/>
            </w:tcMar>
            <w:vAlign w:val="bottom"/>
          </w:tcPr>
          <w:p w14:paraId="6C73DA23" w14:textId="77777777" w:rsidR="001614AC" w:rsidRDefault="004468F9">
            <w:pPr>
              <w:keepNext/>
              <w:spacing w:before="55" w:after="30" w:line="288" w:lineRule="auto"/>
              <w:jc w:val="right"/>
            </w:pPr>
            <w:r>
              <w:rPr>
                <w:rFonts w:ascii="Arial" w:eastAsia="Arial" w:hAnsi="Arial" w:cs="Arial"/>
                <w:color w:val="000000"/>
                <w:sz w:val="18"/>
              </w:rPr>
              <w:t>(84,869)</w:t>
            </w:r>
          </w:p>
        </w:tc>
        <w:tc>
          <w:tcPr>
            <w:tcW w:w="100" w:type="dxa"/>
            <w:tcBorders>
              <w:top w:val="single" w:sz="8" w:space="0" w:color="C7C9C7"/>
              <w:left w:val="nil"/>
              <w:bottom w:val="single" w:sz="8" w:space="0" w:color="C7C9C7"/>
              <w:right w:val="nil"/>
            </w:tcBorders>
            <w:shd w:val="clear" w:color="auto" w:fill="F4F4F4"/>
            <w:tcMar>
              <w:top w:w="0" w:type="dxa"/>
              <w:left w:w="0" w:type="dxa"/>
              <w:bottom w:w="0" w:type="dxa"/>
              <w:right w:w="15" w:type="dxa"/>
            </w:tcMar>
            <w:vAlign w:val="bottom"/>
          </w:tcPr>
          <w:p w14:paraId="338455CB" w14:textId="77777777" w:rsidR="001614AC" w:rsidRDefault="001614AC">
            <w:pPr>
              <w:keepNext/>
              <w:spacing w:before="55" w:after="30" w:line="288" w:lineRule="auto"/>
              <w:jc w:val="right"/>
            </w:pPr>
          </w:p>
        </w:tc>
      </w:tr>
      <w:tr w:rsidR="001614AC" w14:paraId="7B7201B0" w14:textId="77777777">
        <w:trPr>
          <w:cantSplit/>
        </w:trPr>
        <w:tc>
          <w:tcPr>
            <w:tcW w:w="3240" w:type="dxa"/>
            <w:tcBorders>
              <w:top w:val="single" w:sz="8" w:space="0" w:color="FFFFFF"/>
              <w:left w:val="nil"/>
              <w:bottom w:val="single" w:sz="8" w:space="0" w:color="FFFFFF"/>
              <w:right w:val="nil"/>
            </w:tcBorders>
            <w:shd w:val="clear" w:color="auto" w:fill="F4F4F4"/>
            <w:tcMar>
              <w:top w:w="0" w:type="dxa"/>
              <w:left w:w="53" w:type="dxa"/>
              <w:bottom w:w="0" w:type="dxa"/>
              <w:right w:w="53" w:type="dxa"/>
            </w:tcMar>
            <w:vAlign w:val="bottom"/>
          </w:tcPr>
          <w:p w14:paraId="76F4D7D5" w14:textId="77777777" w:rsidR="001614AC" w:rsidRDefault="004468F9">
            <w:pPr>
              <w:keepNext/>
              <w:spacing w:before="55" w:after="30" w:line="288" w:lineRule="auto"/>
            </w:pPr>
            <w:r>
              <w:rPr>
                <w:rFonts w:ascii="Arial" w:eastAsia="Arial" w:hAnsi="Arial" w:cs="Arial"/>
                <w:color w:val="000000"/>
                <w:sz w:val="18"/>
              </w:rPr>
              <w:t>Balance at end of period</w:t>
            </w:r>
          </w:p>
        </w:tc>
        <w:tc>
          <w:tcPr>
            <w:tcW w:w="105" w:type="dxa"/>
            <w:tcBorders>
              <w:top w:val="nil"/>
              <w:left w:val="nil"/>
              <w:bottom w:val="nil"/>
              <w:right w:val="nil"/>
            </w:tcBorders>
            <w:shd w:val="clear" w:color="auto" w:fill="F4F4F4"/>
            <w:tcMar>
              <w:top w:w="0" w:type="dxa"/>
              <w:left w:w="0" w:type="dxa"/>
              <w:bottom w:w="0" w:type="dxa"/>
              <w:right w:w="0" w:type="dxa"/>
            </w:tcMar>
            <w:vAlign w:val="bottom"/>
          </w:tcPr>
          <w:p w14:paraId="2A0908AE" w14:textId="77777777" w:rsidR="001614AC" w:rsidRDefault="001614AC">
            <w:pPr>
              <w:keepNext/>
            </w:pPr>
          </w:p>
        </w:tc>
        <w:tc>
          <w:tcPr>
            <w:tcW w:w="160" w:type="dxa"/>
            <w:tcBorders>
              <w:top w:val="single" w:sz="8" w:space="0" w:color="C7C9C7"/>
              <w:left w:val="nil"/>
              <w:bottom w:val="double" w:sz="8" w:space="0" w:color="C7C9C7"/>
              <w:right w:val="nil"/>
            </w:tcBorders>
            <w:shd w:val="clear" w:color="auto" w:fill="F4F4F4"/>
            <w:tcMar>
              <w:top w:w="0" w:type="dxa"/>
              <w:left w:w="53" w:type="dxa"/>
              <w:bottom w:w="0" w:type="dxa"/>
              <w:right w:w="0" w:type="dxa"/>
            </w:tcMar>
            <w:vAlign w:val="bottom"/>
          </w:tcPr>
          <w:p w14:paraId="379ED041" w14:textId="77777777" w:rsidR="001614AC" w:rsidRDefault="004468F9">
            <w:pPr>
              <w:keepNext/>
              <w:spacing w:before="55" w:after="30" w:line="288" w:lineRule="auto"/>
            </w:pPr>
            <w:r>
              <w:rPr>
                <w:rFonts w:ascii="Arial" w:eastAsia="Arial" w:hAnsi="Arial" w:cs="Arial"/>
                <w:color w:val="000000"/>
                <w:sz w:val="18"/>
              </w:rPr>
              <w:t>$</w:t>
            </w:r>
          </w:p>
        </w:tc>
        <w:tc>
          <w:tcPr>
            <w:tcW w:w="775" w:type="dxa"/>
            <w:tcBorders>
              <w:top w:val="single" w:sz="8" w:space="0" w:color="C7C9C7"/>
              <w:left w:val="nil"/>
              <w:bottom w:val="double" w:sz="8" w:space="0" w:color="C7C9C7"/>
              <w:right w:val="nil"/>
            </w:tcBorders>
            <w:shd w:val="clear" w:color="auto" w:fill="F4F4F4"/>
            <w:tcMar>
              <w:top w:w="0" w:type="dxa"/>
              <w:left w:w="0" w:type="dxa"/>
              <w:bottom w:w="0" w:type="dxa"/>
              <w:right w:w="0" w:type="dxa"/>
            </w:tcMar>
            <w:vAlign w:val="bottom"/>
          </w:tcPr>
          <w:p w14:paraId="62A82DAB" w14:textId="77777777" w:rsidR="001614AC" w:rsidRDefault="004468F9">
            <w:pPr>
              <w:keepNext/>
              <w:spacing w:before="55" w:after="30" w:line="288" w:lineRule="auto"/>
              <w:jc w:val="right"/>
            </w:pPr>
            <w:r>
              <w:rPr>
                <w:rFonts w:ascii="Arial" w:eastAsia="Arial" w:hAnsi="Arial" w:cs="Arial"/>
                <w:color w:val="000000"/>
                <w:sz w:val="18"/>
              </w:rPr>
              <w:t>226,400 </w:t>
            </w:r>
          </w:p>
        </w:tc>
        <w:tc>
          <w:tcPr>
            <w:tcW w:w="100" w:type="dxa"/>
            <w:tcBorders>
              <w:top w:val="single" w:sz="8" w:space="0" w:color="C7C9C7"/>
              <w:left w:val="nil"/>
              <w:bottom w:val="double" w:sz="8" w:space="0" w:color="C7C9C7"/>
              <w:right w:val="nil"/>
            </w:tcBorders>
            <w:shd w:val="clear" w:color="auto" w:fill="F4F4F4"/>
            <w:tcMar>
              <w:top w:w="0" w:type="dxa"/>
              <w:left w:w="0" w:type="dxa"/>
              <w:bottom w:w="0" w:type="dxa"/>
              <w:right w:w="15" w:type="dxa"/>
            </w:tcMar>
            <w:vAlign w:val="bottom"/>
          </w:tcPr>
          <w:p w14:paraId="68ECF414" w14:textId="77777777" w:rsidR="001614AC" w:rsidRDefault="001614AC">
            <w:pPr>
              <w:keepNext/>
              <w:spacing w:before="55" w:after="30" w:line="288" w:lineRule="auto"/>
              <w:jc w:val="right"/>
            </w:pPr>
          </w:p>
        </w:tc>
        <w:tc>
          <w:tcPr>
            <w:tcW w:w="105" w:type="dxa"/>
            <w:tcBorders>
              <w:top w:val="single" w:sz="8" w:space="0" w:color="FFFFFF"/>
              <w:left w:val="nil"/>
              <w:bottom w:val="single" w:sz="8" w:space="0" w:color="FFFFFF"/>
              <w:right w:val="nil"/>
            </w:tcBorders>
            <w:shd w:val="clear" w:color="auto" w:fill="F4F4F4"/>
            <w:tcMar>
              <w:top w:w="0" w:type="dxa"/>
              <w:left w:w="0" w:type="dxa"/>
              <w:bottom w:w="0" w:type="dxa"/>
              <w:right w:w="0" w:type="dxa"/>
            </w:tcMar>
            <w:vAlign w:val="bottom"/>
          </w:tcPr>
          <w:p w14:paraId="655C7FE0" w14:textId="77777777" w:rsidR="001614AC" w:rsidRDefault="001614AC">
            <w:pPr>
              <w:keepNext/>
            </w:pPr>
          </w:p>
        </w:tc>
        <w:tc>
          <w:tcPr>
            <w:tcW w:w="160" w:type="dxa"/>
            <w:tcBorders>
              <w:top w:val="single" w:sz="8" w:space="0" w:color="C7C9C7"/>
              <w:left w:val="nil"/>
              <w:bottom w:val="double" w:sz="8" w:space="0" w:color="C7C9C7"/>
              <w:right w:val="nil"/>
            </w:tcBorders>
            <w:shd w:val="clear" w:color="auto" w:fill="F4F4F4"/>
            <w:tcMar>
              <w:top w:w="0" w:type="dxa"/>
              <w:left w:w="53" w:type="dxa"/>
              <w:bottom w:w="0" w:type="dxa"/>
              <w:right w:w="0" w:type="dxa"/>
            </w:tcMar>
            <w:vAlign w:val="bottom"/>
          </w:tcPr>
          <w:p w14:paraId="28A2A1B2" w14:textId="77777777" w:rsidR="001614AC" w:rsidRDefault="004468F9">
            <w:pPr>
              <w:keepNext/>
              <w:spacing w:before="55" w:after="30" w:line="288" w:lineRule="auto"/>
            </w:pPr>
            <w:r>
              <w:rPr>
                <w:rFonts w:ascii="Arial" w:eastAsia="Arial" w:hAnsi="Arial" w:cs="Arial"/>
                <w:color w:val="000000"/>
                <w:sz w:val="18"/>
              </w:rPr>
              <w:t>$</w:t>
            </w:r>
          </w:p>
        </w:tc>
        <w:tc>
          <w:tcPr>
            <w:tcW w:w="775" w:type="dxa"/>
            <w:tcBorders>
              <w:top w:val="single" w:sz="8" w:space="0" w:color="C7C9C7"/>
              <w:left w:val="nil"/>
              <w:bottom w:val="double" w:sz="8" w:space="0" w:color="C7C9C7"/>
              <w:right w:val="nil"/>
            </w:tcBorders>
            <w:shd w:val="clear" w:color="auto" w:fill="F4F4F4"/>
            <w:tcMar>
              <w:top w:w="0" w:type="dxa"/>
              <w:left w:w="0" w:type="dxa"/>
              <w:bottom w:w="0" w:type="dxa"/>
              <w:right w:w="0" w:type="dxa"/>
            </w:tcMar>
            <w:vAlign w:val="bottom"/>
          </w:tcPr>
          <w:p w14:paraId="02220408" w14:textId="77777777" w:rsidR="001614AC" w:rsidRDefault="004468F9">
            <w:pPr>
              <w:keepNext/>
              <w:spacing w:before="55" w:after="30" w:line="288" w:lineRule="auto"/>
              <w:jc w:val="right"/>
            </w:pPr>
            <w:r>
              <w:rPr>
                <w:rFonts w:ascii="Arial" w:eastAsia="Arial" w:hAnsi="Arial" w:cs="Arial"/>
                <w:color w:val="000000"/>
                <w:sz w:val="18"/>
              </w:rPr>
              <w:t>47,544 </w:t>
            </w:r>
          </w:p>
        </w:tc>
        <w:tc>
          <w:tcPr>
            <w:tcW w:w="100" w:type="dxa"/>
            <w:tcBorders>
              <w:top w:val="single" w:sz="8" w:space="0" w:color="C7C9C7"/>
              <w:left w:val="nil"/>
              <w:bottom w:val="double" w:sz="8" w:space="0" w:color="C7C9C7"/>
              <w:right w:val="nil"/>
            </w:tcBorders>
            <w:shd w:val="clear" w:color="auto" w:fill="F4F4F4"/>
            <w:tcMar>
              <w:top w:w="0" w:type="dxa"/>
              <w:left w:w="0" w:type="dxa"/>
              <w:bottom w:w="0" w:type="dxa"/>
              <w:right w:w="15" w:type="dxa"/>
            </w:tcMar>
            <w:vAlign w:val="bottom"/>
          </w:tcPr>
          <w:p w14:paraId="6E015CA1" w14:textId="77777777" w:rsidR="001614AC" w:rsidRDefault="001614AC">
            <w:pPr>
              <w:keepNext/>
              <w:spacing w:before="55" w:after="30" w:line="288" w:lineRule="auto"/>
              <w:jc w:val="right"/>
            </w:pPr>
          </w:p>
        </w:tc>
        <w:tc>
          <w:tcPr>
            <w:tcW w:w="105" w:type="dxa"/>
            <w:tcBorders>
              <w:top w:val="single" w:sz="8" w:space="0" w:color="FFFFFF"/>
              <w:left w:val="nil"/>
              <w:bottom w:val="single" w:sz="8" w:space="0" w:color="FFFFFF"/>
              <w:right w:val="nil"/>
            </w:tcBorders>
            <w:shd w:val="clear" w:color="auto" w:fill="F4F4F4"/>
            <w:tcMar>
              <w:top w:w="0" w:type="dxa"/>
              <w:left w:w="0" w:type="dxa"/>
              <w:bottom w:w="0" w:type="dxa"/>
              <w:right w:w="0" w:type="dxa"/>
            </w:tcMar>
            <w:vAlign w:val="bottom"/>
          </w:tcPr>
          <w:p w14:paraId="454B6F65" w14:textId="77777777" w:rsidR="001614AC" w:rsidRDefault="001614AC">
            <w:pPr>
              <w:keepNext/>
            </w:pPr>
          </w:p>
        </w:tc>
        <w:tc>
          <w:tcPr>
            <w:tcW w:w="160" w:type="dxa"/>
            <w:tcBorders>
              <w:top w:val="single" w:sz="8" w:space="0" w:color="C7C9C7"/>
              <w:left w:val="nil"/>
              <w:bottom w:val="double" w:sz="8" w:space="0" w:color="C7C9C7"/>
              <w:right w:val="nil"/>
            </w:tcBorders>
            <w:shd w:val="clear" w:color="auto" w:fill="F4F4F4"/>
            <w:tcMar>
              <w:top w:w="0" w:type="dxa"/>
              <w:left w:w="53" w:type="dxa"/>
              <w:bottom w:w="0" w:type="dxa"/>
              <w:right w:w="0" w:type="dxa"/>
            </w:tcMar>
            <w:vAlign w:val="bottom"/>
          </w:tcPr>
          <w:p w14:paraId="79FD5D9D" w14:textId="77777777" w:rsidR="001614AC" w:rsidRDefault="004468F9">
            <w:pPr>
              <w:keepNext/>
              <w:spacing w:before="55" w:after="30" w:line="288" w:lineRule="auto"/>
            </w:pPr>
            <w:r>
              <w:rPr>
                <w:rFonts w:ascii="Arial" w:eastAsia="Arial" w:hAnsi="Arial" w:cs="Arial"/>
                <w:color w:val="000000"/>
                <w:sz w:val="18"/>
              </w:rPr>
              <w:t>$</w:t>
            </w:r>
          </w:p>
        </w:tc>
        <w:tc>
          <w:tcPr>
            <w:tcW w:w="775" w:type="dxa"/>
            <w:tcBorders>
              <w:top w:val="single" w:sz="8" w:space="0" w:color="C7C9C7"/>
              <w:left w:val="nil"/>
              <w:bottom w:val="double" w:sz="8" w:space="0" w:color="C7C9C7"/>
              <w:right w:val="nil"/>
            </w:tcBorders>
            <w:shd w:val="clear" w:color="auto" w:fill="F4F4F4"/>
            <w:tcMar>
              <w:top w:w="0" w:type="dxa"/>
              <w:left w:w="0" w:type="dxa"/>
              <w:bottom w:w="0" w:type="dxa"/>
              <w:right w:w="0" w:type="dxa"/>
            </w:tcMar>
            <w:vAlign w:val="bottom"/>
          </w:tcPr>
          <w:p w14:paraId="07FD4DC5" w14:textId="77777777" w:rsidR="001614AC" w:rsidRDefault="004468F9">
            <w:pPr>
              <w:keepNext/>
              <w:spacing w:before="55" w:after="30" w:line="288" w:lineRule="auto"/>
              <w:jc w:val="right"/>
            </w:pPr>
            <w:r>
              <w:rPr>
                <w:rFonts w:ascii="Arial" w:eastAsia="Arial" w:hAnsi="Arial" w:cs="Arial"/>
                <w:color w:val="000000"/>
                <w:sz w:val="18"/>
              </w:rPr>
              <w:t>178,856 </w:t>
            </w:r>
          </w:p>
        </w:tc>
        <w:tc>
          <w:tcPr>
            <w:tcW w:w="100" w:type="dxa"/>
            <w:tcBorders>
              <w:top w:val="single" w:sz="8" w:space="0" w:color="C7C9C7"/>
              <w:left w:val="nil"/>
              <w:bottom w:val="double" w:sz="8" w:space="0" w:color="C7C9C7"/>
              <w:right w:val="nil"/>
            </w:tcBorders>
            <w:shd w:val="clear" w:color="auto" w:fill="F4F4F4"/>
            <w:tcMar>
              <w:top w:w="0" w:type="dxa"/>
              <w:left w:w="0" w:type="dxa"/>
              <w:bottom w:w="0" w:type="dxa"/>
              <w:right w:w="15" w:type="dxa"/>
            </w:tcMar>
            <w:vAlign w:val="bottom"/>
          </w:tcPr>
          <w:p w14:paraId="1B9D2A41" w14:textId="77777777" w:rsidR="001614AC" w:rsidRDefault="001614AC">
            <w:pPr>
              <w:keepNext/>
              <w:spacing w:before="55" w:after="30" w:line="288" w:lineRule="auto"/>
              <w:jc w:val="right"/>
            </w:pPr>
          </w:p>
        </w:tc>
        <w:tc>
          <w:tcPr>
            <w:tcW w:w="105" w:type="dxa"/>
            <w:tcBorders>
              <w:top w:val="single" w:sz="8" w:space="0" w:color="FFFFFF"/>
              <w:left w:val="nil"/>
              <w:bottom w:val="single" w:sz="8" w:space="0" w:color="FFFFFF"/>
              <w:right w:val="nil"/>
            </w:tcBorders>
            <w:shd w:val="clear" w:color="auto" w:fill="F4F4F4"/>
            <w:tcMar>
              <w:top w:w="0" w:type="dxa"/>
              <w:left w:w="0" w:type="dxa"/>
              <w:bottom w:w="0" w:type="dxa"/>
              <w:right w:w="0" w:type="dxa"/>
            </w:tcMar>
            <w:vAlign w:val="bottom"/>
          </w:tcPr>
          <w:p w14:paraId="776AAF1D" w14:textId="77777777" w:rsidR="001614AC" w:rsidRDefault="001614AC">
            <w:pPr>
              <w:keepNext/>
            </w:pPr>
          </w:p>
        </w:tc>
        <w:tc>
          <w:tcPr>
            <w:tcW w:w="160" w:type="dxa"/>
            <w:tcBorders>
              <w:top w:val="single" w:sz="8" w:space="0" w:color="C7C9C7"/>
              <w:left w:val="nil"/>
              <w:bottom w:val="double" w:sz="8" w:space="0" w:color="C7C9C7"/>
              <w:right w:val="nil"/>
            </w:tcBorders>
            <w:shd w:val="clear" w:color="auto" w:fill="F4F4F4"/>
            <w:tcMar>
              <w:top w:w="0" w:type="dxa"/>
              <w:left w:w="53" w:type="dxa"/>
              <w:bottom w:w="0" w:type="dxa"/>
              <w:right w:w="0" w:type="dxa"/>
            </w:tcMar>
            <w:vAlign w:val="bottom"/>
          </w:tcPr>
          <w:p w14:paraId="52CCF1E1" w14:textId="77777777" w:rsidR="001614AC" w:rsidRDefault="004468F9">
            <w:pPr>
              <w:keepNext/>
              <w:spacing w:before="55" w:after="30" w:line="288" w:lineRule="auto"/>
            </w:pPr>
            <w:r>
              <w:rPr>
                <w:rFonts w:ascii="Arial" w:eastAsia="Arial" w:hAnsi="Arial" w:cs="Arial"/>
                <w:color w:val="000000"/>
                <w:sz w:val="18"/>
              </w:rPr>
              <w:t>$</w:t>
            </w:r>
          </w:p>
        </w:tc>
        <w:tc>
          <w:tcPr>
            <w:tcW w:w="775" w:type="dxa"/>
            <w:tcBorders>
              <w:top w:val="single" w:sz="8" w:space="0" w:color="C7C9C7"/>
              <w:left w:val="nil"/>
              <w:bottom w:val="double" w:sz="8" w:space="0" w:color="C7C9C7"/>
              <w:right w:val="nil"/>
            </w:tcBorders>
            <w:shd w:val="clear" w:color="auto" w:fill="F4F4F4"/>
            <w:tcMar>
              <w:top w:w="0" w:type="dxa"/>
              <w:left w:w="0" w:type="dxa"/>
              <w:bottom w:w="0" w:type="dxa"/>
              <w:right w:w="0" w:type="dxa"/>
            </w:tcMar>
            <w:vAlign w:val="bottom"/>
          </w:tcPr>
          <w:p w14:paraId="1B6838CE" w14:textId="77777777" w:rsidR="001614AC" w:rsidRDefault="004468F9">
            <w:pPr>
              <w:keepNext/>
              <w:spacing w:before="55" w:after="30" w:line="288" w:lineRule="auto"/>
              <w:jc w:val="right"/>
            </w:pPr>
            <w:r>
              <w:rPr>
                <w:rFonts w:ascii="Arial" w:eastAsia="Arial" w:hAnsi="Arial" w:cs="Arial"/>
                <w:color w:val="000000"/>
                <w:sz w:val="18"/>
              </w:rPr>
              <w:t>226,400 </w:t>
            </w:r>
          </w:p>
        </w:tc>
        <w:tc>
          <w:tcPr>
            <w:tcW w:w="100" w:type="dxa"/>
            <w:tcBorders>
              <w:top w:val="single" w:sz="8" w:space="0" w:color="C7C9C7"/>
              <w:left w:val="nil"/>
              <w:bottom w:val="double" w:sz="8" w:space="0" w:color="C7C9C7"/>
              <w:right w:val="nil"/>
            </w:tcBorders>
            <w:shd w:val="clear" w:color="auto" w:fill="F4F4F4"/>
            <w:tcMar>
              <w:top w:w="0" w:type="dxa"/>
              <w:left w:w="0" w:type="dxa"/>
              <w:bottom w:w="0" w:type="dxa"/>
              <w:right w:w="15" w:type="dxa"/>
            </w:tcMar>
            <w:vAlign w:val="bottom"/>
          </w:tcPr>
          <w:p w14:paraId="0857F82D" w14:textId="77777777" w:rsidR="001614AC" w:rsidRDefault="001614AC">
            <w:pPr>
              <w:keepNext/>
              <w:spacing w:before="55" w:after="30" w:line="288" w:lineRule="auto"/>
              <w:jc w:val="right"/>
            </w:pPr>
          </w:p>
        </w:tc>
        <w:tc>
          <w:tcPr>
            <w:tcW w:w="105" w:type="dxa"/>
            <w:tcBorders>
              <w:top w:val="single" w:sz="8" w:space="0" w:color="FFFFFF"/>
              <w:left w:val="nil"/>
              <w:bottom w:val="single" w:sz="8" w:space="0" w:color="FFFFFF"/>
              <w:right w:val="nil"/>
            </w:tcBorders>
            <w:shd w:val="clear" w:color="auto" w:fill="F4F4F4"/>
            <w:tcMar>
              <w:top w:w="0" w:type="dxa"/>
              <w:left w:w="0" w:type="dxa"/>
              <w:bottom w:w="0" w:type="dxa"/>
              <w:right w:w="0" w:type="dxa"/>
            </w:tcMar>
            <w:vAlign w:val="bottom"/>
          </w:tcPr>
          <w:p w14:paraId="31D898CF" w14:textId="77777777" w:rsidR="001614AC" w:rsidRDefault="001614AC">
            <w:pPr>
              <w:keepNext/>
            </w:pPr>
          </w:p>
        </w:tc>
        <w:tc>
          <w:tcPr>
            <w:tcW w:w="160" w:type="dxa"/>
            <w:tcBorders>
              <w:top w:val="single" w:sz="8" w:space="0" w:color="C7C9C7"/>
              <w:left w:val="nil"/>
              <w:bottom w:val="double" w:sz="8" w:space="0" w:color="C7C9C7"/>
              <w:right w:val="nil"/>
            </w:tcBorders>
            <w:shd w:val="clear" w:color="auto" w:fill="F4F4F4"/>
            <w:tcMar>
              <w:top w:w="0" w:type="dxa"/>
              <w:left w:w="53" w:type="dxa"/>
              <w:bottom w:w="0" w:type="dxa"/>
              <w:right w:w="0" w:type="dxa"/>
            </w:tcMar>
            <w:vAlign w:val="bottom"/>
          </w:tcPr>
          <w:p w14:paraId="5D6B1B75" w14:textId="77777777" w:rsidR="001614AC" w:rsidRDefault="004468F9">
            <w:pPr>
              <w:keepNext/>
              <w:spacing w:before="55" w:after="30" w:line="288" w:lineRule="auto"/>
            </w:pPr>
            <w:r>
              <w:rPr>
                <w:rFonts w:ascii="Arial" w:eastAsia="Arial" w:hAnsi="Arial" w:cs="Arial"/>
                <w:color w:val="000000"/>
                <w:sz w:val="18"/>
              </w:rPr>
              <w:t>$</w:t>
            </w:r>
          </w:p>
        </w:tc>
        <w:tc>
          <w:tcPr>
            <w:tcW w:w="775" w:type="dxa"/>
            <w:tcBorders>
              <w:top w:val="single" w:sz="8" w:space="0" w:color="C7C9C7"/>
              <w:left w:val="nil"/>
              <w:bottom w:val="double" w:sz="8" w:space="0" w:color="C7C9C7"/>
              <w:right w:val="nil"/>
            </w:tcBorders>
            <w:shd w:val="clear" w:color="auto" w:fill="F4F4F4"/>
            <w:tcMar>
              <w:top w:w="0" w:type="dxa"/>
              <w:left w:w="0" w:type="dxa"/>
              <w:bottom w:w="0" w:type="dxa"/>
              <w:right w:w="0" w:type="dxa"/>
            </w:tcMar>
            <w:vAlign w:val="bottom"/>
          </w:tcPr>
          <w:p w14:paraId="710944AC" w14:textId="77777777" w:rsidR="001614AC" w:rsidRDefault="004468F9">
            <w:pPr>
              <w:keepNext/>
              <w:spacing w:before="55" w:after="30" w:line="288" w:lineRule="auto"/>
              <w:jc w:val="right"/>
            </w:pPr>
            <w:r>
              <w:rPr>
                <w:rFonts w:ascii="Arial" w:eastAsia="Arial" w:hAnsi="Arial" w:cs="Arial"/>
                <w:color w:val="000000"/>
                <w:sz w:val="18"/>
              </w:rPr>
              <w:t>47,544 </w:t>
            </w:r>
          </w:p>
        </w:tc>
        <w:tc>
          <w:tcPr>
            <w:tcW w:w="100" w:type="dxa"/>
            <w:tcBorders>
              <w:top w:val="single" w:sz="8" w:space="0" w:color="C7C9C7"/>
              <w:left w:val="nil"/>
              <w:bottom w:val="double" w:sz="8" w:space="0" w:color="C7C9C7"/>
              <w:right w:val="nil"/>
            </w:tcBorders>
            <w:shd w:val="clear" w:color="auto" w:fill="F4F4F4"/>
            <w:tcMar>
              <w:top w:w="0" w:type="dxa"/>
              <w:left w:w="0" w:type="dxa"/>
              <w:bottom w:w="0" w:type="dxa"/>
              <w:right w:w="15" w:type="dxa"/>
            </w:tcMar>
            <w:vAlign w:val="bottom"/>
          </w:tcPr>
          <w:p w14:paraId="0B9C6D47" w14:textId="77777777" w:rsidR="001614AC" w:rsidRDefault="001614AC">
            <w:pPr>
              <w:keepNext/>
              <w:spacing w:before="55" w:after="30" w:line="288" w:lineRule="auto"/>
              <w:jc w:val="right"/>
            </w:pPr>
          </w:p>
        </w:tc>
        <w:tc>
          <w:tcPr>
            <w:tcW w:w="105" w:type="dxa"/>
            <w:tcBorders>
              <w:top w:val="single" w:sz="8" w:space="0" w:color="FFFFFF"/>
              <w:left w:val="nil"/>
              <w:bottom w:val="single" w:sz="8" w:space="0" w:color="FFFFFF"/>
              <w:right w:val="nil"/>
            </w:tcBorders>
            <w:shd w:val="clear" w:color="auto" w:fill="F4F4F4"/>
            <w:tcMar>
              <w:top w:w="0" w:type="dxa"/>
              <w:left w:w="0" w:type="dxa"/>
              <w:bottom w:w="0" w:type="dxa"/>
              <w:right w:w="0" w:type="dxa"/>
            </w:tcMar>
            <w:vAlign w:val="bottom"/>
          </w:tcPr>
          <w:p w14:paraId="0B18FAC3" w14:textId="77777777" w:rsidR="001614AC" w:rsidRDefault="001614AC">
            <w:pPr>
              <w:keepNext/>
            </w:pPr>
          </w:p>
        </w:tc>
        <w:tc>
          <w:tcPr>
            <w:tcW w:w="160" w:type="dxa"/>
            <w:tcBorders>
              <w:top w:val="single" w:sz="8" w:space="0" w:color="C7C9C7"/>
              <w:left w:val="nil"/>
              <w:bottom w:val="double" w:sz="8" w:space="0" w:color="C7C9C7"/>
              <w:right w:val="nil"/>
            </w:tcBorders>
            <w:shd w:val="clear" w:color="auto" w:fill="F4F4F4"/>
            <w:tcMar>
              <w:top w:w="0" w:type="dxa"/>
              <w:left w:w="53" w:type="dxa"/>
              <w:bottom w:w="0" w:type="dxa"/>
              <w:right w:w="0" w:type="dxa"/>
            </w:tcMar>
            <w:vAlign w:val="bottom"/>
          </w:tcPr>
          <w:p w14:paraId="5858C6A2" w14:textId="77777777" w:rsidR="001614AC" w:rsidRDefault="004468F9">
            <w:pPr>
              <w:keepNext/>
              <w:spacing w:before="55" w:after="30" w:line="288" w:lineRule="auto"/>
            </w:pPr>
            <w:r>
              <w:rPr>
                <w:rFonts w:ascii="Arial" w:eastAsia="Arial" w:hAnsi="Arial" w:cs="Arial"/>
                <w:color w:val="000000"/>
                <w:sz w:val="18"/>
              </w:rPr>
              <w:t>$</w:t>
            </w:r>
          </w:p>
        </w:tc>
        <w:tc>
          <w:tcPr>
            <w:tcW w:w="775" w:type="dxa"/>
            <w:tcBorders>
              <w:top w:val="single" w:sz="8" w:space="0" w:color="C7C9C7"/>
              <w:left w:val="nil"/>
              <w:bottom w:val="double" w:sz="8" w:space="0" w:color="C7C9C7"/>
              <w:right w:val="nil"/>
            </w:tcBorders>
            <w:shd w:val="clear" w:color="auto" w:fill="F4F4F4"/>
            <w:tcMar>
              <w:top w:w="0" w:type="dxa"/>
              <w:left w:w="0" w:type="dxa"/>
              <w:bottom w:w="0" w:type="dxa"/>
              <w:right w:w="0" w:type="dxa"/>
            </w:tcMar>
            <w:vAlign w:val="bottom"/>
          </w:tcPr>
          <w:p w14:paraId="60C90CBE" w14:textId="77777777" w:rsidR="001614AC" w:rsidRDefault="004468F9">
            <w:pPr>
              <w:keepNext/>
              <w:spacing w:before="55" w:after="30" w:line="288" w:lineRule="auto"/>
              <w:jc w:val="right"/>
            </w:pPr>
            <w:r>
              <w:rPr>
                <w:rFonts w:ascii="Arial" w:eastAsia="Arial" w:hAnsi="Arial" w:cs="Arial"/>
                <w:color w:val="000000"/>
                <w:sz w:val="18"/>
              </w:rPr>
              <w:t>178,856 </w:t>
            </w:r>
          </w:p>
        </w:tc>
        <w:tc>
          <w:tcPr>
            <w:tcW w:w="100" w:type="dxa"/>
            <w:tcBorders>
              <w:top w:val="single" w:sz="8" w:space="0" w:color="C7C9C7"/>
              <w:left w:val="nil"/>
              <w:bottom w:val="double" w:sz="8" w:space="0" w:color="C7C9C7"/>
              <w:right w:val="nil"/>
            </w:tcBorders>
            <w:shd w:val="clear" w:color="auto" w:fill="F4F4F4"/>
            <w:tcMar>
              <w:top w:w="0" w:type="dxa"/>
              <w:left w:w="0" w:type="dxa"/>
              <w:bottom w:w="0" w:type="dxa"/>
              <w:right w:w="15" w:type="dxa"/>
            </w:tcMar>
            <w:vAlign w:val="bottom"/>
          </w:tcPr>
          <w:p w14:paraId="1BFAB156" w14:textId="77777777" w:rsidR="001614AC" w:rsidRDefault="001614AC">
            <w:pPr>
              <w:keepNext/>
              <w:spacing w:before="55" w:after="30" w:line="288" w:lineRule="auto"/>
              <w:jc w:val="right"/>
            </w:pPr>
          </w:p>
        </w:tc>
      </w:tr>
      <w:tr w:rsidR="001614AC" w14:paraId="67F65896" w14:textId="77777777">
        <w:trPr>
          <w:cantSplit/>
        </w:trPr>
        <w:tc>
          <w:tcPr>
            <w:tcW w:w="3240" w:type="dxa"/>
            <w:tcBorders>
              <w:top w:val="single" w:sz="8" w:space="0" w:color="FFFFFF"/>
              <w:left w:val="nil"/>
              <w:bottom w:val="nil"/>
              <w:right w:val="nil"/>
            </w:tcBorders>
            <w:tcMar>
              <w:top w:w="0" w:type="dxa"/>
              <w:left w:w="53" w:type="dxa"/>
              <w:bottom w:w="0" w:type="dxa"/>
              <w:right w:w="53" w:type="dxa"/>
            </w:tcMar>
            <w:vAlign w:val="bottom"/>
          </w:tcPr>
          <w:p w14:paraId="5FB7A7C9" w14:textId="77777777" w:rsidR="001614AC" w:rsidRDefault="004468F9">
            <w:pPr>
              <w:keepNext/>
              <w:spacing w:before="55" w:after="30" w:line="288" w:lineRule="auto"/>
            </w:pPr>
            <w:r>
              <w:rPr>
                <w:rFonts w:ascii="Arial" w:eastAsia="Arial" w:hAnsi="Arial" w:cs="Arial"/>
                <w:color w:val="000000"/>
                <w:sz w:val="18"/>
              </w:rPr>
              <w:t xml:space="preserve"> </w:t>
            </w:r>
          </w:p>
        </w:tc>
        <w:tc>
          <w:tcPr>
            <w:tcW w:w="105" w:type="dxa"/>
            <w:tcBorders>
              <w:top w:val="nil"/>
              <w:left w:val="nil"/>
              <w:bottom w:val="nil"/>
              <w:right w:val="nil"/>
            </w:tcBorders>
            <w:tcMar>
              <w:top w:w="0" w:type="dxa"/>
              <w:left w:w="0" w:type="dxa"/>
              <w:bottom w:w="0" w:type="dxa"/>
              <w:right w:w="0" w:type="dxa"/>
            </w:tcMar>
            <w:vAlign w:val="bottom"/>
          </w:tcPr>
          <w:p w14:paraId="23ACA4C2" w14:textId="77777777" w:rsidR="001614AC" w:rsidRDefault="001614AC">
            <w:pPr>
              <w:keepNext/>
            </w:pPr>
          </w:p>
        </w:tc>
        <w:tc>
          <w:tcPr>
            <w:tcW w:w="1035" w:type="dxa"/>
            <w:gridSpan w:val="3"/>
            <w:tcBorders>
              <w:top w:val="double" w:sz="8" w:space="0" w:color="C7C9C7"/>
              <w:left w:val="nil"/>
              <w:bottom w:val="nil"/>
              <w:right w:val="nil"/>
            </w:tcBorders>
            <w:tcMar>
              <w:top w:w="0" w:type="dxa"/>
              <w:left w:w="0" w:type="dxa"/>
              <w:bottom w:w="0" w:type="dxa"/>
              <w:right w:w="0" w:type="dxa"/>
            </w:tcMar>
            <w:vAlign w:val="bottom"/>
          </w:tcPr>
          <w:p w14:paraId="31397F0B" w14:textId="77777777" w:rsidR="001614AC" w:rsidRDefault="001614AC">
            <w:pPr>
              <w:keepNext/>
            </w:pPr>
          </w:p>
        </w:tc>
        <w:tc>
          <w:tcPr>
            <w:tcW w:w="105" w:type="dxa"/>
            <w:tcBorders>
              <w:top w:val="single" w:sz="8" w:space="0" w:color="FFFFFF"/>
              <w:left w:val="nil"/>
              <w:bottom w:val="nil"/>
              <w:right w:val="nil"/>
            </w:tcBorders>
            <w:tcMar>
              <w:top w:w="0" w:type="dxa"/>
              <w:left w:w="0" w:type="dxa"/>
              <w:bottom w:w="0" w:type="dxa"/>
              <w:right w:w="0" w:type="dxa"/>
            </w:tcMar>
            <w:vAlign w:val="bottom"/>
          </w:tcPr>
          <w:p w14:paraId="05CB974D" w14:textId="77777777" w:rsidR="001614AC" w:rsidRDefault="001614AC">
            <w:pPr>
              <w:keepNext/>
            </w:pPr>
          </w:p>
        </w:tc>
        <w:tc>
          <w:tcPr>
            <w:tcW w:w="1035" w:type="dxa"/>
            <w:gridSpan w:val="3"/>
            <w:tcBorders>
              <w:top w:val="double" w:sz="8" w:space="0" w:color="C7C9C7"/>
              <w:left w:val="nil"/>
              <w:bottom w:val="nil"/>
              <w:right w:val="nil"/>
            </w:tcBorders>
            <w:tcMar>
              <w:top w:w="0" w:type="dxa"/>
              <w:left w:w="0" w:type="dxa"/>
              <w:bottom w:w="0" w:type="dxa"/>
              <w:right w:w="0" w:type="dxa"/>
            </w:tcMar>
            <w:vAlign w:val="bottom"/>
          </w:tcPr>
          <w:p w14:paraId="6E781154" w14:textId="77777777" w:rsidR="001614AC" w:rsidRDefault="001614AC">
            <w:pPr>
              <w:keepNext/>
            </w:pPr>
          </w:p>
        </w:tc>
        <w:tc>
          <w:tcPr>
            <w:tcW w:w="105" w:type="dxa"/>
            <w:tcBorders>
              <w:top w:val="single" w:sz="8" w:space="0" w:color="FFFFFF"/>
              <w:left w:val="nil"/>
              <w:bottom w:val="nil"/>
              <w:right w:val="nil"/>
            </w:tcBorders>
            <w:tcMar>
              <w:top w:w="0" w:type="dxa"/>
              <w:left w:w="0" w:type="dxa"/>
              <w:bottom w:w="0" w:type="dxa"/>
              <w:right w:w="0" w:type="dxa"/>
            </w:tcMar>
            <w:vAlign w:val="bottom"/>
          </w:tcPr>
          <w:p w14:paraId="0F3DB1BD" w14:textId="77777777" w:rsidR="001614AC" w:rsidRDefault="001614AC">
            <w:pPr>
              <w:keepNext/>
            </w:pPr>
          </w:p>
        </w:tc>
        <w:tc>
          <w:tcPr>
            <w:tcW w:w="1035" w:type="dxa"/>
            <w:gridSpan w:val="3"/>
            <w:tcBorders>
              <w:top w:val="double" w:sz="8" w:space="0" w:color="C7C9C7"/>
              <w:left w:val="nil"/>
              <w:bottom w:val="nil"/>
              <w:right w:val="nil"/>
            </w:tcBorders>
            <w:tcMar>
              <w:top w:w="0" w:type="dxa"/>
              <w:left w:w="0" w:type="dxa"/>
              <w:bottom w:w="0" w:type="dxa"/>
              <w:right w:w="0" w:type="dxa"/>
            </w:tcMar>
            <w:vAlign w:val="bottom"/>
          </w:tcPr>
          <w:p w14:paraId="4CD85AA1" w14:textId="77777777" w:rsidR="001614AC" w:rsidRDefault="001614AC">
            <w:pPr>
              <w:keepNext/>
            </w:pPr>
          </w:p>
        </w:tc>
        <w:tc>
          <w:tcPr>
            <w:tcW w:w="105" w:type="dxa"/>
            <w:tcBorders>
              <w:top w:val="single" w:sz="8" w:space="0" w:color="FFFFFF"/>
              <w:left w:val="nil"/>
              <w:bottom w:val="nil"/>
              <w:right w:val="nil"/>
            </w:tcBorders>
            <w:tcMar>
              <w:top w:w="0" w:type="dxa"/>
              <w:left w:w="0" w:type="dxa"/>
              <w:bottom w:w="0" w:type="dxa"/>
              <w:right w:w="0" w:type="dxa"/>
            </w:tcMar>
            <w:vAlign w:val="bottom"/>
          </w:tcPr>
          <w:p w14:paraId="2319AA75" w14:textId="77777777" w:rsidR="001614AC" w:rsidRDefault="001614AC">
            <w:pPr>
              <w:keepNext/>
            </w:pPr>
          </w:p>
        </w:tc>
        <w:tc>
          <w:tcPr>
            <w:tcW w:w="1035" w:type="dxa"/>
            <w:gridSpan w:val="3"/>
            <w:tcBorders>
              <w:top w:val="double" w:sz="8" w:space="0" w:color="C7C9C7"/>
              <w:left w:val="nil"/>
              <w:bottom w:val="nil"/>
              <w:right w:val="nil"/>
            </w:tcBorders>
            <w:tcMar>
              <w:top w:w="0" w:type="dxa"/>
              <w:left w:w="0" w:type="dxa"/>
              <w:bottom w:w="0" w:type="dxa"/>
              <w:right w:w="0" w:type="dxa"/>
            </w:tcMar>
            <w:vAlign w:val="bottom"/>
          </w:tcPr>
          <w:p w14:paraId="2AAD076C" w14:textId="77777777" w:rsidR="001614AC" w:rsidRDefault="001614AC">
            <w:pPr>
              <w:keepNext/>
            </w:pPr>
          </w:p>
        </w:tc>
        <w:tc>
          <w:tcPr>
            <w:tcW w:w="105" w:type="dxa"/>
            <w:tcBorders>
              <w:top w:val="single" w:sz="8" w:space="0" w:color="FFFFFF"/>
              <w:left w:val="nil"/>
              <w:bottom w:val="nil"/>
              <w:right w:val="nil"/>
            </w:tcBorders>
            <w:tcMar>
              <w:top w:w="0" w:type="dxa"/>
              <w:left w:w="0" w:type="dxa"/>
              <w:bottom w:w="0" w:type="dxa"/>
              <w:right w:w="0" w:type="dxa"/>
            </w:tcMar>
            <w:vAlign w:val="bottom"/>
          </w:tcPr>
          <w:p w14:paraId="4B02878F" w14:textId="77777777" w:rsidR="001614AC" w:rsidRDefault="001614AC">
            <w:pPr>
              <w:keepNext/>
            </w:pPr>
          </w:p>
        </w:tc>
        <w:tc>
          <w:tcPr>
            <w:tcW w:w="1035" w:type="dxa"/>
            <w:gridSpan w:val="3"/>
            <w:tcBorders>
              <w:top w:val="double" w:sz="8" w:space="0" w:color="C7C9C7"/>
              <w:left w:val="nil"/>
              <w:bottom w:val="nil"/>
              <w:right w:val="nil"/>
            </w:tcBorders>
            <w:tcMar>
              <w:top w:w="0" w:type="dxa"/>
              <w:left w:w="0" w:type="dxa"/>
              <w:bottom w:w="0" w:type="dxa"/>
              <w:right w:w="0" w:type="dxa"/>
            </w:tcMar>
            <w:vAlign w:val="bottom"/>
          </w:tcPr>
          <w:p w14:paraId="3B17642C" w14:textId="77777777" w:rsidR="001614AC" w:rsidRDefault="001614AC">
            <w:pPr>
              <w:keepNext/>
            </w:pPr>
          </w:p>
        </w:tc>
        <w:tc>
          <w:tcPr>
            <w:tcW w:w="105" w:type="dxa"/>
            <w:tcBorders>
              <w:top w:val="single" w:sz="8" w:space="0" w:color="FFFFFF"/>
              <w:left w:val="nil"/>
              <w:bottom w:val="nil"/>
              <w:right w:val="nil"/>
            </w:tcBorders>
            <w:tcMar>
              <w:top w:w="0" w:type="dxa"/>
              <w:left w:w="0" w:type="dxa"/>
              <w:bottom w:w="0" w:type="dxa"/>
              <w:right w:w="0" w:type="dxa"/>
            </w:tcMar>
            <w:vAlign w:val="bottom"/>
          </w:tcPr>
          <w:p w14:paraId="0B6AC30E" w14:textId="77777777" w:rsidR="001614AC" w:rsidRDefault="001614AC">
            <w:pPr>
              <w:keepNext/>
            </w:pPr>
          </w:p>
        </w:tc>
        <w:tc>
          <w:tcPr>
            <w:tcW w:w="1035" w:type="dxa"/>
            <w:gridSpan w:val="3"/>
            <w:tcBorders>
              <w:top w:val="double" w:sz="8" w:space="0" w:color="C7C9C7"/>
              <w:left w:val="nil"/>
              <w:bottom w:val="nil"/>
              <w:right w:val="nil"/>
            </w:tcBorders>
            <w:tcMar>
              <w:top w:w="0" w:type="dxa"/>
              <w:left w:w="0" w:type="dxa"/>
              <w:bottom w:w="0" w:type="dxa"/>
              <w:right w:w="0" w:type="dxa"/>
            </w:tcMar>
            <w:vAlign w:val="bottom"/>
          </w:tcPr>
          <w:p w14:paraId="19C9A61D" w14:textId="77777777" w:rsidR="001614AC" w:rsidRDefault="001614AC">
            <w:pPr>
              <w:keepNext/>
            </w:pPr>
          </w:p>
        </w:tc>
      </w:tr>
      <w:tr w:rsidR="001614AC" w14:paraId="15DE5FF8" w14:textId="77777777">
        <w:trPr>
          <w:cantSplit/>
        </w:trPr>
        <w:tc>
          <w:tcPr>
            <w:tcW w:w="3240" w:type="dxa"/>
            <w:tcBorders>
              <w:top w:val="nil"/>
              <w:left w:val="nil"/>
              <w:bottom w:val="nil"/>
              <w:right w:val="nil"/>
            </w:tcBorders>
            <w:tcMar>
              <w:top w:w="0" w:type="dxa"/>
              <w:left w:w="53" w:type="dxa"/>
              <w:bottom w:w="0" w:type="dxa"/>
              <w:right w:w="53" w:type="dxa"/>
            </w:tcMar>
            <w:vAlign w:val="bottom"/>
          </w:tcPr>
          <w:p w14:paraId="70B15937" w14:textId="77777777" w:rsidR="001614AC" w:rsidRDefault="004468F9">
            <w:pPr>
              <w:keepNext/>
              <w:spacing w:before="75" w:after="30" w:line="288" w:lineRule="auto"/>
            </w:pPr>
            <w:r>
              <w:rPr>
                <w:rFonts w:ascii="Arial" w:eastAsia="Arial" w:hAnsi="Arial" w:cs="Arial"/>
                <w:color w:val="000000"/>
                <w:sz w:val="18"/>
              </w:rPr>
              <w:t xml:space="preserve"> </w:t>
            </w:r>
          </w:p>
        </w:tc>
        <w:tc>
          <w:tcPr>
            <w:tcW w:w="105" w:type="dxa"/>
            <w:tcBorders>
              <w:top w:val="nil"/>
              <w:left w:val="nil"/>
              <w:bottom w:val="nil"/>
              <w:right w:val="nil"/>
            </w:tcBorders>
            <w:tcMar>
              <w:top w:w="0" w:type="dxa"/>
              <w:left w:w="0" w:type="dxa"/>
              <w:bottom w:w="0" w:type="dxa"/>
              <w:right w:w="0" w:type="dxa"/>
            </w:tcMar>
            <w:vAlign w:val="bottom"/>
          </w:tcPr>
          <w:p w14:paraId="5EB8944E" w14:textId="77777777" w:rsidR="001614AC" w:rsidRDefault="001614AC">
            <w:pPr>
              <w:keepNext/>
            </w:pPr>
          </w:p>
        </w:tc>
        <w:tc>
          <w:tcPr>
            <w:tcW w:w="3315" w:type="dxa"/>
            <w:gridSpan w:val="11"/>
            <w:tcBorders>
              <w:top w:val="nil"/>
              <w:left w:val="nil"/>
              <w:bottom w:val="nil"/>
              <w:right w:val="nil"/>
            </w:tcBorders>
            <w:shd w:val="clear" w:color="auto" w:fill="F4F4F4"/>
            <w:tcMar>
              <w:top w:w="0" w:type="dxa"/>
              <w:left w:w="53" w:type="dxa"/>
              <w:bottom w:w="0" w:type="dxa"/>
              <w:right w:w="53" w:type="dxa"/>
            </w:tcMar>
            <w:vAlign w:val="bottom"/>
          </w:tcPr>
          <w:p w14:paraId="6A1E61F4" w14:textId="77777777" w:rsidR="001614AC" w:rsidRDefault="004468F9">
            <w:pPr>
              <w:keepNext/>
              <w:spacing w:before="75" w:line="288" w:lineRule="auto"/>
              <w:jc w:val="center"/>
            </w:pPr>
            <w:r>
              <w:rPr>
                <w:rFonts w:ascii="Arial" w:eastAsia="Arial" w:hAnsi="Arial" w:cs="Arial"/>
                <w:b/>
                <w:color w:val="00BAB3"/>
                <w:sz w:val="18"/>
              </w:rPr>
              <w:t>Three Months Ended</w:t>
            </w:r>
          </w:p>
          <w:p w14:paraId="2AA0C3E1" w14:textId="77777777" w:rsidR="001614AC" w:rsidRDefault="004468F9">
            <w:pPr>
              <w:spacing w:after="30" w:line="288" w:lineRule="auto"/>
              <w:jc w:val="center"/>
            </w:pPr>
            <w:r>
              <w:rPr>
                <w:rFonts w:ascii="Arial" w:eastAsia="Arial" w:hAnsi="Arial" w:cs="Arial"/>
                <w:b/>
                <w:color w:val="00BAB3"/>
                <w:sz w:val="18"/>
              </w:rPr>
              <w:t>June 30, 2020</w:t>
            </w:r>
          </w:p>
        </w:tc>
        <w:tc>
          <w:tcPr>
            <w:tcW w:w="105" w:type="dxa"/>
            <w:tcBorders>
              <w:top w:val="nil"/>
              <w:left w:val="nil"/>
              <w:bottom w:val="nil"/>
              <w:right w:val="nil"/>
            </w:tcBorders>
            <w:tcMar>
              <w:top w:w="0" w:type="dxa"/>
              <w:left w:w="0" w:type="dxa"/>
              <w:bottom w:w="0" w:type="dxa"/>
              <w:right w:w="0" w:type="dxa"/>
            </w:tcMar>
            <w:vAlign w:val="bottom"/>
          </w:tcPr>
          <w:p w14:paraId="74875A57" w14:textId="77777777" w:rsidR="001614AC" w:rsidRDefault="001614AC">
            <w:pPr>
              <w:keepNext/>
            </w:pPr>
          </w:p>
        </w:tc>
        <w:tc>
          <w:tcPr>
            <w:tcW w:w="3315" w:type="dxa"/>
            <w:gridSpan w:val="11"/>
            <w:tcBorders>
              <w:top w:val="nil"/>
              <w:left w:val="nil"/>
              <w:bottom w:val="nil"/>
              <w:right w:val="nil"/>
            </w:tcBorders>
            <w:shd w:val="clear" w:color="auto" w:fill="F4F4F4"/>
            <w:tcMar>
              <w:top w:w="0" w:type="dxa"/>
              <w:left w:w="53" w:type="dxa"/>
              <w:bottom w:w="0" w:type="dxa"/>
              <w:right w:w="53" w:type="dxa"/>
            </w:tcMar>
            <w:vAlign w:val="bottom"/>
          </w:tcPr>
          <w:p w14:paraId="07A1A003" w14:textId="77777777" w:rsidR="001614AC" w:rsidRDefault="004468F9">
            <w:pPr>
              <w:keepNext/>
              <w:spacing w:before="75" w:line="288" w:lineRule="auto"/>
              <w:jc w:val="center"/>
            </w:pPr>
            <w:r>
              <w:rPr>
                <w:rFonts w:ascii="Arial" w:eastAsia="Arial" w:hAnsi="Arial" w:cs="Arial"/>
                <w:b/>
                <w:color w:val="00BAB3"/>
                <w:sz w:val="18"/>
              </w:rPr>
              <w:t xml:space="preserve">Six </w:t>
            </w:r>
            <w:r>
              <w:rPr>
                <w:rFonts w:ascii="Arial" w:eastAsia="Arial" w:hAnsi="Arial" w:cs="Arial"/>
                <w:b/>
                <w:color w:val="00BAB3"/>
                <w:sz w:val="18"/>
              </w:rPr>
              <w:t>Months Ended</w:t>
            </w:r>
          </w:p>
          <w:p w14:paraId="5E8455D9" w14:textId="77777777" w:rsidR="001614AC" w:rsidRDefault="004468F9">
            <w:pPr>
              <w:spacing w:after="30" w:line="288" w:lineRule="auto"/>
              <w:jc w:val="center"/>
            </w:pPr>
            <w:r>
              <w:rPr>
                <w:rFonts w:ascii="Arial" w:eastAsia="Arial" w:hAnsi="Arial" w:cs="Arial"/>
                <w:b/>
                <w:color w:val="00BAB3"/>
                <w:sz w:val="18"/>
              </w:rPr>
              <w:t>June 30, 2020</w:t>
            </w:r>
          </w:p>
        </w:tc>
      </w:tr>
      <w:tr w:rsidR="001614AC" w14:paraId="226F02FE" w14:textId="77777777">
        <w:trPr>
          <w:cantSplit/>
        </w:trPr>
        <w:tc>
          <w:tcPr>
            <w:tcW w:w="3240" w:type="dxa"/>
            <w:tcBorders>
              <w:top w:val="nil"/>
              <w:left w:val="nil"/>
              <w:bottom w:val="single" w:sz="8" w:space="0" w:color="C7C9C7"/>
              <w:right w:val="nil"/>
            </w:tcBorders>
            <w:tcMar>
              <w:top w:w="0" w:type="dxa"/>
              <w:left w:w="53" w:type="dxa"/>
              <w:bottom w:w="0" w:type="dxa"/>
              <w:right w:w="53" w:type="dxa"/>
            </w:tcMar>
            <w:vAlign w:val="bottom"/>
          </w:tcPr>
          <w:p w14:paraId="0F14636C" w14:textId="77777777" w:rsidR="001614AC" w:rsidRDefault="004468F9">
            <w:pPr>
              <w:keepNext/>
              <w:spacing w:before="75" w:after="30" w:line="288" w:lineRule="auto"/>
            </w:pPr>
            <w:r>
              <w:rPr>
                <w:rFonts w:ascii="Arial" w:eastAsia="Arial" w:hAnsi="Arial" w:cs="Arial"/>
                <w:color w:val="8B8886"/>
                <w:sz w:val="16"/>
              </w:rPr>
              <w:t>(In thousands)</w:t>
            </w:r>
          </w:p>
        </w:tc>
        <w:tc>
          <w:tcPr>
            <w:tcW w:w="105" w:type="dxa"/>
            <w:tcBorders>
              <w:top w:val="nil"/>
              <w:left w:val="nil"/>
              <w:bottom w:val="single" w:sz="8" w:space="0" w:color="C7C9C7"/>
              <w:right w:val="nil"/>
            </w:tcBorders>
            <w:tcMar>
              <w:top w:w="0" w:type="dxa"/>
              <w:left w:w="0" w:type="dxa"/>
              <w:bottom w:w="0" w:type="dxa"/>
              <w:right w:w="0" w:type="dxa"/>
            </w:tcMar>
            <w:vAlign w:val="bottom"/>
          </w:tcPr>
          <w:p w14:paraId="1C36CDCD" w14:textId="77777777" w:rsidR="001614AC" w:rsidRDefault="001614AC">
            <w:pPr>
              <w:keepNext/>
            </w:pPr>
          </w:p>
        </w:tc>
        <w:tc>
          <w:tcPr>
            <w:tcW w:w="1035" w:type="dxa"/>
            <w:gridSpan w:val="3"/>
            <w:tcBorders>
              <w:top w:val="nil"/>
              <w:left w:val="nil"/>
              <w:bottom w:val="single" w:sz="8" w:space="0" w:color="C7C9C7"/>
              <w:right w:val="nil"/>
            </w:tcBorders>
            <w:tcMar>
              <w:top w:w="0" w:type="dxa"/>
              <w:left w:w="53" w:type="dxa"/>
              <w:bottom w:w="0" w:type="dxa"/>
              <w:right w:w="53" w:type="dxa"/>
            </w:tcMar>
            <w:vAlign w:val="bottom"/>
          </w:tcPr>
          <w:p w14:paraId="7D81E159" w14:textId="77777777" w:rsidR="001614AC" w:rsidRDefault="004468F9">
            <w:pPr>
              <w:keepNext/>
              <w:spacing w:before="75" w:after="30" w:line="288" w:lineRule="auto"/>
              <w:jc w:val="center"/>
            </w:pPr>
            <w:r>
              <w:rPr>
                <w:rFonts w:ascii="Arial" w:eastAsia="Arial" w:hAnsi="Arial" w:cs="Arial"/>
                <w:b/>
                <w:color w:val="000000"/>
                <w:sz w:val="18"/>
              </w:rPr>
              <w:t>Before Tax</w:t>
            </w:r>
          </w:p>
        </w:tc>
        <w:tc>
          <w:tcPr>
            <w:tcW w:w="105" w:type="dxa"/>
            <w:tcBorders>
              <w:top w:val="nil"/>
              <w:left w:val="nil"/>
              <w:bottom w:val="single" w:sz="8" w:space="0" w:color="C7C9C7"/>
              <w:right w:val="nil"/>
            </w:tcBorders>
            <w:tcMar>
              <w:top w:w="0" w:type="dxa"/>
              <w:left w:w="0" w:type="dxa"/>
              <w:bottom w:w="0" w:type="dxa"/>
              <w:right w:w="0" w:type="dxa"/>
            </w:tcMar>
            <w:vAlign w:val="bottom"/>
          </w:tcPr>
          <w:p w14:paraId="7AAF1627" w14:textId="77777777" w:rsidR="001614AC" w:rsidRDefault="001614AC">
            <w:pPr>
              <w:keepNext/>
            </w:pPr>
          </w:p>
        </w:tc>
        <w:tc>
          <w:tcPr>
            <w:tcW w:w="1035" w:type="dxa"/>
            <w:gridSpan w:val="3"/>
            <w:tcBorders>
              <w:top w:val="nil"/>
              <w:left w:val="nil"/>
              <w:bottom w:val="single" w:sz="8" w:space="0" w:color="C7C9C7"/>
              <w:right w:val="nil"/>
            </w:tcBorders>
            <w:tcMar>
              <w:top w:w="0" w:type="dxa"/>
              <w:left w:w="53" w:type="dxa"/>
              <w:bottom w:w="0" w:type="dxa"/>
              <w:right w:w="53" w:type="dxa"/>
            </w:tcMar>
            <w:vAlign w:val="bottom"/>
          </w:tcPr>
          <w:p w14:paraId="29F1DC11" w14:textId="77777777" w:rsidR="001614AC" w:rsidRDefault="004468F9">
            <w:pPr>
              <w:keepNext/>
              <w:spacing w:before="75" w:after="30" w:line="288" w:lineRule="auto"/>
              <w:jc w:val="center"/>
            </w:pPr>
            <w:r>
              <w:rPr>
                <w:rFonts w:ascii="Arial" w:eastAsia="Arial" w:hAnsi="Arial" w:cs="Arial"/>
                <w:b/>
                <w:color w:val="000000"/>
                <w:sz w:val="18"/>
              </w:rPr>
              <w:t>Tax Effect</w:t>
            </w:r>
          </w:p>
        </w:tc>
        <w:tc>
          <w:tcPr>
            <w:tcW w:w="105" w:type="dxa"/>
            <w:tcBorders>
              <w:top w:val="nil"/>
              <w:left w:val="nil"/>
              <w:bottom w:val="single" w:sz="8" w:space="0" w:color="C7C9C7"/>
              <w:right w:val="nil"/>
            </w:tcBorders>
            <w:tcMar>
              <w:top w:w="0" w:type="dxa"/>
              <w:left w:w="0" w:type="dxa"/>
              <w:bottom w:w="0" w:type="dxa"/>
              <w:right w:w="0" w:type="dxa"/>
            </w:tcMar>
            <w:vAlign w:val="bottom"/>
          </w:tcPr>
          <w:p w14:paraId="3E94426E" w14:textId="77777777" w:rsidR="001614AC" w:rsidRDefault="001614AC">
            <w:pPr>
              <w:keepNext/>
            </w:pPr>
          </w:p>
        </w:tc>
        <w:tc>
          <w:tcPr>
            <w:tcW w:w="1035" w:type="dxa"/>
            <w:gridSpan w:val="3"/>
            <w:tcBorders>
              <w:top w:val="nil"/>
              <w:left w:val="nil"/>
              <w:bottom w:val="single" w:sz="8" w:space="0" w:color="C7C9C7"/>
              <w:right w:val="nil"/>
            </w:tcBorders>
            <w:tcMar>
              <w:top w:w="0" w:type="dxa"/>
              <w:left w:w="53" w:type="dxa"/>
              <w:bottom w:w="0" w:type="dxa"/>
              <w:right w:w="53" w:type="dxa"/>
            </w:tcMar>
            <w:vAlign w:val="bottom"/>
          </w:tcPr>
          <w:p w14:paraId="58C55006" w14:textId="77777777" w:rsidR="001614AC" w:rsidRDefault="004468F9">
            <w:pPr>
              <w:keepNext/>
              <w:spacing w:before="75" w:after="30" w:line="288" w:lineRule="auto"/>
              <w:jc w:val="center"/>
            </w:pPr>
            <w:r>
              <w:rPr>
                <w:rFonts w:ascii="Arial" w:eastAsia="Arial" w:hAnsi="Arial" w:cs="Arial"/>
                <w:b/>
                <w:color w:val="000000"/>
                <w:sz w:val="18"/>
              </w:rPr>
              <w:t>Net of Tax</w:t>
            </w:r>
          </w:p>
        </w:tc>
        <w:tc>
          <w:tcPr>
            <w:tcW w:w="105" w:type="dxa"/>
            <w:tcBorders>
              <w:top w:val="nil"/>
              <w:left w:val="nil"/>
              <w:bottom w:val="single" w:sz="8" w:space="0" w:color="C7C9C7"/>
              <w:right w:val="nil"/>
            </w:tcBorders>
            <w:tcMar>
              <w:top w:w="0" w:type="dxa"/>
              <w:left w:w="0" w:type="dxa"/>
              <w:bottom w:w="0" w:type="dxa"/>
              <w:right w:w="0" w:type="dxa"/>
            </w:tcMar>
            <w:vAlign w:val="bottom"/>
          </w:tcPr>
          <w:p w14:paraId="249BDCC2" w14:textId="77777777" w:rsidR="001614AC" w:rsidRDefault="001614AC">
            <w:pPr>
              <w:keepNext/>
            </w:pPr>
          </w:p>
        </w:tc>
        <w:tc>
          <w:tcPr>
            <w:tcW w:w="1035" w:type="dxa"/>
            <w:gridSpan w:val="3"/>
            <w:tcBorders>
              <w:top w:val="nil"/>
              <w:left w:val="nil"/>
              <w:bottom w:val="single" w:sz="8" w:space="0" w:color="C7C9C7"/>
              <w:right w:val="nil"/>
            </w:tcBorders>
            <w:tcMar>
              <w:top w:w="0" w:type="dxa"/>
              <w:left w:w="53" w:type="dxa"/>
              <w:bottom w:w="0" w:type="dxa"/>
              <w:right w:w="53" w:type="dxa"/>
            </w:tcMar>
            <w:vAlign w:val="bottom"/>
          </w:tcPr>
          <w:p w14:paraId="0A70CB82" w14:textId="77777777" w:rsidR="001614AC" w:rsidRDefault="004468F9">
            <w:pPr>
              <w:keepNext/>
              <w:spacing w:before="75" w:after="30" w:line="288" w:lineRule="auto"/>
              <w:jc w:val="center"/>
            </w:pPr>
            <w:r>
              <w:rPr>
                <w:rFonts w:ascii="Arial" w:eastAsia="Arial" w:hAnsi="Arial" w:cs="Arial"/>
                <w:b/>
                <w:color w:val="000000"/>
                <w:sz w:val="18"/>
              </w:rPr>
              <w:t>Before Tax</w:t>
            </w:r>
          </w:p>
        </w:tc>
        <w:tc>
          <w:tcPr>
            <w:tcW w:w="105" w:type="dxa"/>
            <w:tcBorders>
              <w:top w:val="nil"/>
              <w:left w:val="nil"/>
              <w:bottom w:val="single" w:sz="8" w:space="0" w:color="C7C9C7"/>
              <w:right w:val="nil"/>
            </w:tcBorders>
            <w:tcMar>
              <w:top w:w="0" w:type="dxa"/>
              <w:left w:w="0" w:type="dxa"/>
              <w:bottom w:w="0" w:type="dxa"/>
              <w:right w:w="0" w:type="dxa"/>
            </w:tcMar>
            <w:vAlign w:val="bottom"/>
          </w:tcPr>
          <w:p w14:paraId="243BE337" w14:textId="77777777" w:rsidR="001614AC" w:rsidRDefault="001614AC">
            <w:pPr>
              <w:keepNext/>
            </w:pPr>
          </w:p>
        </w:tc>
        <w:tc>
          <w:tcPr>
            <w:tcW w:w="1035" w:type="dxa"/>
            <w:gridSpan w:val="3"/>
            <w:tcBorders>
              <w:top w:val="nil"/>
              <w:left w:val="nil"/>
              <w:bottom w:val="single" w:sz="8" w:space="0" w:color="C7C9C7"/>
              <w:right w:val="nil"/>
            </w:tcBorders>
            <w:tcMar>
              <w:top w:w="0" w:type="dxa"/>
              <w:left w:w="53" w:type="dxa"/>
              <w:bottom w:w="0" w:type="dxa"/>
              <w:right w:w="53" w:type="dxa"/>
            </w:tcMar>
            <w:vAlign w:val="bottom"/>
          </w:tcPr>
          <w:p w14:paraId="2888762B" w14:textId="77777777" w:rsidR="001614AC" w:rsidRDefault="004468F9">
            <w:pPr>
              <w:keepNext/>
              <w:spacing w:before="75" w:after="30" w:line="288" w:lineRule="auto"/>
              <w:jc w:val="center"/>
            </w:pPr>
            <w:r>
              <w:rPr>
                <w:rFonts w:ascii="Arial" w:eastAsia="Arial" w:hAnsi="Arial" w:cs="Arial"/>
                <w:b/>
                <w:color w:val="000000"/>
                <w:sz w:val="18"/>
              </w:rPr>
              <w:t>Tax Effect</w:t>
            </w:r>
          </w:p>
        </w:tc>
        <w:tc>
          <w:tcPr>
            <w:tcW w:w="105" w:type="dxa"/>
            <w:tcBorders>
              <w:top w:val="nil"/>
              <w:left w:val="nil"/>
              <w:bottom w:val="single" w:sz="8" w:space="0" w:color="C7C9C7"/>
              <w:right w:val="nil"/>
            </w:tcBorders>
            <w:tcMar>
              <w:top w:w="0" w:type="dxa"/>
              <w:left w:w="0" w:type="dxa"/>
              <w:bottom w:w="0" w:type="dxa"/>
              <w:right w:w="0" w:type="dxa"/>
            </w:tcMar>
            <w:vAlign w:val="bottom"/>
          </w:tcPr>
          <w:p w14:paraId="162A2A83" w14:textId="77777777" w:rsidR="001614AC" w:rsidRDefault="001614AC">
            <w:pPr>
              <w:keepNext/>
            </w:pPr>
          </w:p>
        </w:tc>
        <w:tc>
          <w:tcPr>
            <w:tcW w:w="1035" w:type="dxa"/>
            <w:gridSpan w:val="3"/>
            <w:tcBorders>
              <w:top w:val="nil"/>
              <w:left w:val="nil"/>
              <w:bottom w:val="single" w:sz="8" w:space="0" w:color="C7C9C7"/>
              <w:right w:val="nil"/>
            </w:tcBorders>
            <w:tcMar>
              <w:top w:w="0" w:type="dxa"/>
              <w:left w:w="53" w:type="dxa"/>
              <w:bottom w:w="0" w:type="dxa"/>
              <w:right w:w="53" w:type="dxa"/>
            </w:tcMar>
            <w:vAlign w:val="bottom"/>
          </w:tcPr>
          <w:p w14:paraId="6AADA3BA" w14:textId="77777777" w:rsidR="001614AC" w:rsidRDefault="004468F9">
            <w:pPr>
              <w:keepNext/>
              <w:spacing w:before="75" w:after="30" w:line="288" w:lineRule="auto"/>
              <w:jc w:val="center"/>
            </w:pPr>
            <w:r>
              <w:rPr>
                <w:rFonts w:ascii="Arial" w:eastAsia="Arial" w:hAnsi="Arial" w:cs="Arial"/>
                <w:b/>
                <w:color w:val="000000"/>
                <w:sz w:val="18"/>
              </w:rPr>
              <w:t>Net of Tax</w:t>
            </w:r>
          </w:p>
        </w:tc>
      </w:tr>
      <w:tr w:rsidR="001614AC" w14:paraId="718E7D85" w14:textId="77777777">
        <w:trPr>
          <w:cantSplit/>
        </w:trPr>
        <w:tc>
          <w:tcPr>
            <w:tcW w:w="3240" w:type="dxa"/>
            <w:tcBorders>
              <w:top w:val="single" w:sz="8" w:space="0" w:color="C7C9C7"/>
              <w:left w:val="nil"/>
              <w:bottom w:val="single" w:sz="8" w:space="0" w:color="E9E9E9"/>
              <w:right w:val="nil"/>
            </w:tcBorders>
            <w:tcMar>
              <w:top w:w="0" w:type="dxa"/>
              <w:left w:w="53" w:type="dxa"/>
              <w:bottom w:w="0" w:type="dxa"/>
              <w:right w:w="53" w:type="dxa"/>
            </w:tcMar>
            <w:vAlign w:val="bottom"/>
          </w:tcPr>
          <w:p w14:paraId="17D29DBF" w14:textId="77777777" w:rsidR="001614AC" w:rsidRDefault="004468F9">
            <w:pPr>
              <w:keepNext/>
              <w:spacing w:before="55" w:after="30" w:line="288" w:lineRule="auto"/>
            </w:pPr>
            <w:r>
              <w:rPr>
                <w:rFonts w:ascii="Arial" w:eastAsia="Arial" w:hAnsi="Arial" w:cs="Arial"/>
                <w:color w:val="000000"/>
                <w:sz w:val="18"/>
              </w:rPr>
              <w:t>Balan</w:t>
            </w:r>
            <w:r>
              <w:rPr>
                <w:rFonts w:ascii="Arial" w:eastAsia="Arial" w:hAnsi="Arial" w:cs="Arial"/>
                <w:color w:val="000000"/>
                <w:sz w:val="18"/>
              </w:rPr>
              <w:t>ce at beginning of period</w:t>
            </w:r>
          </w:p>
        </w:tc>
        <w:tc>
          <w:tcPr>
            <w:tcW w:w="105" w:type="dxa"/>
            <w:tcBorders>
              <w:top w:val="single" w:sz="8" w:space="0" w:color="C7C9C7"/>
              <w:left w:val="nil"/>
              <w:bottom w:val="nil"/>
              <w:right w:val="nil"/>
            </w:tcBorders>
            <w:tcMar>
              <w:top w:w="0" w:type="dxa"/>
              <w:left w:w="0" w:type="dxa"/>
              <w:bottom w:w="0" w:type="dxa"/>
              <w:right w:w="0" w:type="dxa"/>
            </w:tcMar>
            <w:vAlign w:val="bottom"/>
          </w:tcPr>
          <w:p w14:paraId="05FA6934" w14:textId="77777777" w:rsidR="001614AC" w:rsidRDefault="001614AC">
            <w:pPr>
              <w:keepNext/>
            </w:pPr>
          </w:p>
        </w:tc>
        <w:tc>
          <w:tcPr>
            <w:tcW w:w="160" w:type="dxa"/>
            <w:tcBorders>
              <w:top w:val="single" w:sz="8" w:space="0" w:color="C7C9C7"/>
              <w:left w:val="nil"/>
              <w:bottom w:val="single" w:sz="8" w:space="0" w:color="C7C9C7"/>
              <w:right w:val="nil"/>
            </w:tcBorders>
            <w:tcMar>
              <w:top w:w="0" w:type="dxa"/>
              <w:left w:w="53" w:type="dxa"/>
              <w:bottom w:w="0" w:type="dxa"/>
              <w:right w:w="0" w:type="dxa"/>
            </w:tcMar>
            <w:vAlign w:val="bottom"/>
          </w:tcPr>
          <w:p w14:paraId="72A2A7EF" w14:textId="77777777" w:rsidR="001614AC" w:rsidRDefault="004468F9">
            <w:pPr>
              <w:keepNext/>
              <w:spacing w:before="55" w:after="30" w:line="288" w:lineRule="auto"/>
            </w:pPr>
            <w:r>
              <w:rPr>
                <w:rFonts w:ascii="Arial" w:eastAsia="Arial" w:hAnsi="Arial" w:cs="Arial"/>
                <w:color w:val="000000"/>
                <w:sz w:val="18"/>
              </w:rPr>
              <w:t>$</w:t>
            </w:r>
          </w:p>
        </w:tc>
        <w:tc>
          <w:tcPr>
            <w:tcW w:w="775" w:type="dxa"/>
            <w:tcBorders>
              <w:top w:val="single" w:sz="8" w:space="0" w:color="C7C9C7"/>
              <w:left w:val="nil"/>
              <w:bottom w:val="single" w:sz="8" w:space="0" w:color="C7C9C7"/>
              <w:right w:val="nil"/>
            </w:tcBorders>
            <w:tcMar>
              <w:top w:w="0" w:type="dxa"/>
              <w:left w:w="0" w:type="dxa"/>
              <w:bottom w:w="0" w:type="dxa"/>
              <w:right w:w="0" w:type="dxa"/>
            </w:tcMar>
            <w:vAlign w:val="bottom"/>
          </w:tcPr>
          <w:p w14:paraId="651176EE" w14:textId="77777777" w:rsidR="001614AC" w:rsidRDefault="004468F9">
            <w:pPr>
              <w:keepNext/>
              <w:spacing w:before="55" w:after="30" w:line="288" w:lineRule="auto"/>
              <w:jc w:val="right"/>
            </w:pPr>
            <w:r>
              <w:rPr>
                <w:rFonts w:ascii="Arial" w:eastAsia="Arial" w:hAnsi="Arial" w:cs="Arial"/>
                <w:color w:val="000000"/>
                <w:sz w:val="18"/>
              </w:rPr>
              <w:t>37,722 </w:t>
            </w:r>
          </w:p>
        </w:tc>
        <w:tc>
          <w:tcPr>
            <w:tcW w:w="100" w:type="dxa"/>
            <w:tcBorders>
              <w:top w:val="single" w:sz="8" w:space="0" w:color="C7C9C7"/>
              <w:left w:val="nil"/>
              <w:bottom w:val="single" w:sz="8" w:space="0" w:color="C7C9C7"/>
              <w:right w:val="nil"/>
            </w:tcBorders>
            <w:tcMar>
              <w:top w:w="0" w:type="dxa"/>
              <w:left w:w="0" w:type="dxa"/>
              <w:bottom w:w="0" w:type="dxa"/>
              <w:right w:w="15" w:type="dxa"/>
            </w:tcMar>
            <w:vAlign w:val="bottom"/>
          </w:tcPr>
          <w:p w14:paraId="6A0C7315" w14:textId="77777777" w:rsidR="001614AC" w:rsidRDefault="001614AC">
            <w:pPr>
              <w:keepNext/>
              <w:spacing w:before="55" w:after="30" w:line="288" w:lineRule="auto"/>
              <w:jc w:val="right"/>
            </w:pPr>
          </w:p>
        </w:tc>
        <w:tc>
          <w:tcPr>
            <w:tcW w:w="105" w:type="dxa"/>
            <w:tcBorders>
              <w:top w:val="single" w:sz="8" w:space="0" w:color="C7C9C7"/>
              <w:left w:val="nil"/>
              <w:bottom w:val="nil"/>
              <w:right w:val="nil"/>
            </w:tcBorders>
            <w:tcMar>
              <w:top w:w="0" w:type="dxa"/>
              <w:left w:w="0" w:type="dxa"/>
              <w:bottom w:w="0" w:type="dxa"/>
              <w:right w:w="0" w:type="dxa"/>
            </w:tcMar>
            <w:vAlign w:val="bottom"/>
          </w:tcPr>
          <w:p w14:paraId="7AA7D8AC" w14:textId="77777777" w:rsidR="001614AC" w:rsidRDefault="001614AC">
            <w:pPr>
              <w:keepNext/>
            </w:pPr>
          </w:p>
        </w:tc>
        <w:tc>
          <w:tcPr>
            <w:tcW w:w="160" w:type="dxa"/>
            <w:tcBorders>
              <w:top w:val="single" w:sz="8" w:space="0" w:color="C7C9C7"/>
              <w:left w:val="nil"/>
              <w:bottom w:val="single" w:sz="8" w:space="0" w:color="C7C9C7"/>
              <w:right w:val="nil"/>
            </w:tcBorders>
            <w:tcMar>
              <w:top w:w="0" w:type="dxa"/>
              <w:left w:w="53" w:type="dxa"/>
              <w:bottom w:w="0" w:type="dxa"/>
              <w:right w:w="0" w:type="dxa"/>
            </w:tcMar>
            <w:vAlign w:val="bottom"/>
          </w:tcPr>
          <w:p w14:paraId="14303BD8" w14:textId="77777777" w:rsidR="001614AC" w:rsidRDefault="004468F9">
            <w:pPr>
              <w:keepNext/>
              <w:spacing w:before="55" w:after="30" w:line="288" w:lineRule="auto"/>
            </w:pPr>
            <w:r>
              <w:rPr>
                <w:rFonts w:ascii="Arial" w:eastAsia="Arial" w:hAnsi="Arial" w:cs="Arial"/>
                <w:color w:val="000000"/>
                <w:sz w:val="18"/>
              </w:rPr>
              <w:t>$</w:t>
            </w:r>
          </w:p>
        </w:tc>
        <w:tc>
          <w:tcPr>
            <w:tcW w:w="775" w:type="dxa"/>
            <w:tcBorders>
              <w:top w:val="single" w:sz="8" w:space="0" w:color="C7C9C7"/>
              <w:left w:val="nil"/>
              <w:bottom w:val="single" w:sz="8" w:space="0" w:color="C7C9C7"/>
              <w:right w:val="nil"/>
            </w:tcBorders>
            <w:tcMar>
              <w:top w:w="0" w:type="dxa"/>
              <w:left w:w="0" w:type="dxa"/>
              <w:bottom w:w="0" w:type="dxa"/>
              <w:right w:w="0" w:type="dxa"/>
            </w:tcMar>
            <w:vAlign w:val="bottom"/>
          </w:tcPr>
          <w:p w14:paraId="19747C9A" w14:textId="77777777" w:rsidR="001614AC" w:rsidRDefault="004468F9">
            <w:pPr>
              <w:keepNext/>
              <w:spacing w:before="55" w:after="30" w:line="288" w:lineRule="auto"/>
              <w:jc w:val="right"/>
            </w:pPr>
            <w:r>
              <w:rPr>
                <w:rFonts w:ascii="Arial" w:eastAsia="Arial" w:hAnsi="Arial" w:cs="Arial"/>
                <w:color w:val="000000"/>
                <w:sz w:val="18"/>
              </w:rPr>
              <w:t>7,921 </w:t>
            </w:r>
          </w:p>
        </w:tc>
        <w:tc>
          <w:tcPr>
            <w:tcW w:w="100" w:type="dxa"/>
            <w:tcBorders>
              <w:top w:val="single" w:sz="8" w:space="0" w:color="C7C9C7"/>
              <w:left w:val="nil"/>
              <w:bottom w:val="single" w:sz="8" w:space="0" w:color="C7C9C7"/>
              <w:right w:val="nil"/>
            </w:tcBorders>
            <w:tcMar>
              <w:top w:w="0" w:type="dxa"/>
              <w:left w:w="0" w:type="dxa"/>
              <w:bottom w:w="0" w:type="dxa"/>
              <w:right w:w="15" w:type="dxa"/>
            </w:tcMar>
            <w:vAlign w:val="bottom"/>
          </w:tcPr>
          <w:p w14:paraId="24DCDD17" w14:textId="77777777" w:rsidR="001614AC" w:rsidRDefault="001614AC">
            <w:pPr>
              <w:keepNext/>
              <w:spacing w:before="55" w:after="30" w:line="288" w:lineRule="auto"/>
              <w:jc w:val="right"/>
            </w:pPr>
          </w:p>
        </w:tc>
        <w:tc>
          <w:tcPr>
            <w:tcW w:w="105" w:type="dxa"/>
            <w:tcBorders>
              <w:top w:val="single" w:sz="8" w:space="0" w:color="C7C9C7"/>
              <w:left w:val="nil"/>
              <w:bottom w:val="nil"/>
              <w:right w:val="nil"/>
            </w:tcBorders>
            <w:tcMar>
              <w:top w:w="0" w:type="dxa"/>
              <w:left w:w="0" w:type="dxa"/>
              <w:bottom w:w="0" w:type="dxa"/>
              <w:right w:w="0" w:type="dxa"/>
            </w:tcMar>
            <w:vAlign w:val="bottom"/>
          </w:tcPr>
          <w:p w14:paraId="481A7739" w14:textId="77777777" w:rsidR="001614AC" w:rsidRDefault="001614AC">
            <w:pPr>
              <w:keepNext/>
            </w:pPr>
          </w:p>
        </w:tc>
        <w:tc>
          <w:tcPr>
            <w:tcW w:w="160" w:type="dxa"/>
            <w:tcBorders>
              <w:top w:val="single" w:sz="8" w:space="0" w:color="C7C9C7"/>
              <w:left w:val="nil"/>
              <w:bottom w:val="single" w:sz="8" w:space="0" w:color="C7C9C7"/>
              <w:right w:val="nil"/>
            </w:tcBorders>
            <w:tcMar>
              <w:top w:w="0" w:type="dxa"/>
              <w:left w:w="53" w:type="dxa"/>
              <w:bottom w:w="0" w:type="dxa"/>
              <w:right w:w="0" w:type="dxa"/>
            </w:tcMar>
            <w:vAlign w:val="bottom"/>
          </w:tcPr>
          <w:p w14:paraId="3A5CA491" w14:textId="77777777" w:rsidR="001614AC" w:rsidRDefault="004468F9">
            <w:pPr>
              <w:keepNext/>
              <w:spacing w:before="55" w:after="30" w:line="288" w:lineRule="auto"/>
            </w:pPr>
            <w:r>
              <w:rPr>
                <w:rFonts w:ascii="Arial" w:eastAsia="Arial" w:hAnsi="Arial" w:cs="Arial"/>
                <w:color w:val="000000"/>
                <w:sz w:val="18"/>
              </w:rPr>
              <w:t>$</w:t>
            </w:r>
          </w:p>
        </w:tc>
        <w:tc>
          <w:tcPr>
            <w:tcW w:w="775" w:type="dxa"/>
            <w:tcBorders>
              <w:top w:val="single" w:sz="8" w:space="0" w:color="C7C9C7"/>
              <w:left w:val="nil"/>
              <w:bottom w:val="single" w:sz="8" w:space="0" w:color="C7C9C7"/>
              <w:right w:val="nil"/>
            </w:tcBorders>
            <w:tcMar>
              <w:top w:w="0" w:type="dxa"/>
              <w:left w:w="0" w:type="dxa"/>
              <w:bottom w:w="0" w:type="dxa"/>
              <w:right w:w="0" w:type="dxa"/>
            </w:tcMar>
            <w:vAlign w:val="bottom"/>
          </w:tcPr>
          <w:p w14:paraId="0F2226DF" w14:textId="77777777" w:rsidR="001614AC" w:rsidRDefault="004468F9">
            <w:pPr>
              <w:keepNext/>
              <w:spacing w:before="55" w:after="30" w:line="288" w:lineRule="auto"/>
              <w:jc w:val="right"/>
            </w:pPr>
            <w:r>
              <w:rPr>
                <w:rFonts w:ascii="Arial" w:eastAsia="Arial" w:hAnsi="Arial" w:cs="Arial"/>
                <w:color w:val="000000"/>
                <w:sz w:val="18"/>
              </w:rPr>
              <w:t>29,801 </w:t>
            </w:r>
          </w:p>
        </w:tc>
        <w:tc>
          <w:tcPr>
            <w:tcW w:w="100" w:type="dxa"/>
            <w:tcBorders>
              <w:top w:val="single" w:sz="8" w:space="0" w:color="C7C9C7"/>
              <w:left w:val="nil"/>
              <w:bottom w:val="single" w:sz="8" w:space="0" w:color="C7C9C7"/>
              <w:right w:val="nil"/>
            </w:tcBorders>
            <w:tcMar>
              <w:top w:w="0" w:type="dxa"/>
              <w:left w:w="0" w:type="dxa"/>
              <w:bottom w:w="0" w:type="dxa"/>
              <w:right w:w="15" w:type="dxa"/>
            </w:tcMar>
            <w:vAlign w:val="bottom"/>
          </w:tcPr>
          <w:p w14:paraId="2C39E479" w14:textId="77777777" w:rsidR="001614AC" w:rsidRDefault="001614AC">
            <w:pPr>
              <w:keepNext/>
              <w:spacing w:before="55" w:after="30" w:line="288" w:lineRule="auto"/>
              <w:jc w:val="right"/>
            </w:pPr>
          </w:p>
        </w:tc>
        <w:tc>
          <w:tcPr>
            <w:tcW w:w="105" w:type="dxa"/>
            <w:tcBorders>
              <w:top w:val="single" w:sz="8" w:space="0" w:color="C7C9C7"/>
              <w:left w:val="nil"/>
              <w:bottom w:val="nil"/>
              <w:right w:val="nil"/>
            </w:tcBorders>
            <w:tcMar>
              <w:top w:w="0" w:type="dxa"/>
              <w:left w:w="0" w:type="dxa"/>
              <w:bottom w:w="0" w:type="dxa"/>
              <w:right w:w="0" w:type="dxa"/>
            </w:tcMar>
            <w:vAlign w:val="bottom"/>
          </w:tcPr>
          <w:p w14:paraId="43FEB6EC" w14:textId="77777777" w:rsidR="001614AC" w:rsidRDefault="001614AC">
            <w:pPr>
              <w:keepNext/>
            </w:pPr>
          </w:p>
        </w:tc>
        <w:tc>
          <w:tcPr>
            <w:tcW w:w="160" w:type="dxa"/>
            <w:tcBorders>
              <w:top w:val="single" w:sz="8" w:space="0" w:color="C7C9C7"/>
              <w:left w:val="nil"/>
              <w:bottom w:val="single" w:sz="8" w:space="0" w:color="C7C9C7"/>
              <w:right w:val="nil"/>
            </w:tcBorders>
            <w:tcMar>
              <w:top w:w="0" w:type="dxa"/>
              <w:left w:w="53" w:type="dxa"/>
              <w:bottom w:w="0" w:type="dxa"/>
              <w:right w:w="0" w:type="dxa"/>
            </w:tcMar>
            <w:vAlign w:val="bottom"/>
          </w:tcPr>
          <w:p w14:paraId="1DBC41B8" w14:textId="77777777" w:rsidR="001614AC" w:rsidRDefault="004468F9">
            <w:pPr>
              <w:keepNext/>
              <w:spacing w:before="55" w:after="30" w:line="288" w:lineRule="auto"/>
            </w:pPr>
            <w:r>
              <w:rPr>
                <w:rFonts w:ascii="Arial" w:eastAsia="Arial" w:hAnsi="Arial" w:cs="Arial"/>
                <w:color w:val="000000"/>
                <w:sz w:val="18"/>
              </w:rPr>
              <w:t>$</w:t>
            </w:r>
          </w:p>
        </w:tc>
        <w:tc>
          <w:tcPr>
            <w:tcW w:w="775" w:type="dxa"/>
            <w:tcBorders>
              <w:top w:val="single" w:sz="8" w:space="0" w:color="C7C9C7"/>
              <w:left w:val="nil"/>
              <w:bottom w:val="single" w:sz="8" w:space="0" w:color="C7C9C7"/>
              <w:right w:val="nil"/>
            </w:tcBorders>
            <w:tcMar>
              <w:top w:w="0" w:type="dxa"/>
              <w:left w:w="0" w:type="dxa"/>
              <w:bottom w:w="0" w:type="dxa"/>
              <w:right w:w="0" w:type="dxa"/>
            </w:tcMar>
            <w:vAlign w:val="bottom"/>
          </w:tcPr>
          <w:p w14:paraId="5A31FC58" w14:textId="77777777" w:rsidR="001614AC" w:rsidRDefault="004468F9">
            <w:pPr>
              <w:keepNext/>
              <w:spacing w:before="55" w:after="30" w:line="288" w:lineRule="auto"/>
              <w:jc w:val="right"/>
            </w:pPr>
            <w:r>
              <w:rPr>
                <w:rFonts w:ascii="Arial" w:eastAsia="Arial" w:hAnsi="Arial" w:cs="Arial"/>
                <w:color w:val="000000"/>
                <w:sz w:val="18"/>
              </w:rPr>
              <w:t>139,858 </w:t>
            </w:r>
          </w:p>
        </w:tc>
        <w:tc>
          <w:tcPr>
            <w:tcW w:w="100" w:type="dxa"/>
            <w:tcBorders>
              <w:top w:val="single" w:sz="8" w:space="0" w:color="C7C9C7"/>
              <w:left w:val="nil"/>
              <w:bottom w:val="single" w:sz="8" w:space="0" w:color="C7C9C7"/>
              <w:right w:val="nil"/>
            </w:tcBorders>
            <w:tcMar>
              <w:top w:w="0" w:type="dxa"/>
              <w:left w:w="0" w:type="dxa"/>
              <w:bottom w:w="0" w:type="dxa"/>
              <w:right w:w="15" w:type="dxa"/>
            </w:tcMar>
            <w:vAlign w:val="bottom"/>
          </w:tcPr>
          <w:p w14:paraId="4AAAA744" w14:textId="77777777" w:rsidR="001614AC" w:rsidRDefault="001614AC">
            <w:pPr>
              <w:keepNext/>
              <w:spacing w:before="55" w:after="30" w:line="288" w:lineRule="auto"/>
              <w:jc w:val="right"/>
            </w:pPr>
          </w:p>
        </w:tc>
        <w:tc>
          <w:tcPr>
            <w:tcW w:w="105" w:type="dxa"/>
            <w:tcBorders>
              <w:top w:val="single" w:sz="8" w:space="0" w:color="C7C9C7"/>
              <w:left w:val="nil"/>
              <w:bottom w:val="nil"/>
              <w:right w:val="nil"/>
            </w:tcBorders>
            <w:tcMar>
              <w:top w:w="0" w:type="dxa"/>
              <w:left w:w="0" w:type="dxa"/>
              <w:bottom w:w="0" w:type="dxa"/>
              <w:right w:w="0" w:type="dxa"/>
            </w:tcMar>
            <w:vAlign w:val="bottom"/>
          </w:tcPr>
          <w:p w14:paraId="0FDFB9BE" w14:textId="77777777" w:rsidR="001614AC" w:rsidRDefault="001614AC">
            <w:pPr>
              <w:keepNext/>
            </w:pPr>
          </w:p>
        </w:tc>
        <w:tc>
          <w:tcPr>
            <w:tcW w:w="160" w:type="dxa"/>
            <w:tcBorders>
              <w:top w:val="single" w:sz="8" w:space="0" w:color="C7C9C7"/>
              <w:left w:val="nil"/>
              <w:bottom w:val="single" w:sz="8" w:space="0" w:color="C7C9C7"/>
              <w:right w:val="nil"/>
            </w:tcBorders>
            <w:tcMar>
              <w:top w:w="0" w:type="dxa"/>
              <w:left w:w="53" w:type="dxa"/>
              <w:bottom w:w="0" w:type="dxa"/>
              <w:right w:w="0" w:type="dxa"/>
            </w:tcMar>
            <w:vAlign w:val="bottom"/>
          </w:tcPr>
          <w:p w14:paraId="14E55FEE" w14:textId="77777777" w:rsidR="001614AC" w:rsidRDefault="004468F9">
            <w:pPr>
              <w:keepNext/>
              <w:spacing w:before="55" w:after="30" w:line="288" w:lineRule="auto"/>
            </w:pPr>
            <w:r>
              <w:rPr>
                <w:rFonts w:ascii="Arial" w:eastAsia="Arial" w:hAnsi="Arial" w:cs="Arial"/>
                <w:color w:val="000000"/>
                <w:sz w:val="18"/>
              </w:rPr>
              <w:t>$</w:t>
            </w:r>
          </w:p>
        </w:tc>
        <w:tc>
          <w:tcPr>
            <w:tcW w:w="775" w:type="dxa"/>
            <w:tcBorders>
              <w:top w:val="single" w:sz="8" w:space="0" w:color="C7C9C7"/>
              <w:left w:val="nil"/>
              <w:bottom w:val="single" w:sz="8" w:space="0" w:color="C7C9C7"/>
              <w:right w:val="nil"/>
            </w:tcBorders>
            <w:tcMar>
              <w:top w:w="0" w:type="dxa"/>
              <w:left w:w="0" w:type="dxa"/>
              <w:bottom w:w="0" w:type="dxa"/>
              <w:right w:w="0" w:type="dxa"/>
            </w:tcMar>
            <w:vAlign w:val="bottom"/>
          </w:tcPr>
          <w:p w14:paraId="3E9DDFE3" w14:textId="77777777" w:rsidR="001614AC" w:rsidRDefault="004468F9">
            <w:pPr>
              <w:keepNext/>
              <w:spacing w:before="55" w:after="30" w:line="288" w:lineRule="auto"/>
              <w:jc w:val="right"/>
            </w:pPr>
            <w:r>
              <w:rPr>
                <w:rFonts w:ascii="Arial" w:eastAsia="Arial" w:hAnsi="Arial" w:cs="Arial"/>
                <w:color w:val="000000"/>
                <w:sz w:val="18"/>
              </w:rPr>
              <w:t>29,370 </w:t>
            </w:r>
          </w:p>
        </w:tc>
        <w:tc>
          <w:tcPr>
            <w:tcW w:w="100" w:type="dxa"/>
            <w:tcBorders>
              <w:top w:val="single" w:sz="8" w:space="0" w:color="C7C9C7"/>
              <w:left w:val="nil"/>
              <w:bottom w:val="single" w:sz="8" w:space="0" w:color="C7C9C7"/>
              <w:right w:val="nil"/>
            </w:tcBorders>
            <w:tcMar>
              <w:top w:w="0" w:type="dxa"/>
              <w:left w:w="0" w:type="dxa"/>
              <w:bottom w:w="0" w:type="dxa"/>
              <w:right w:w="15" w:type="dxa"/>
            </w:tcMar>
            <w:vAlign w:val="bottom"/>
          </w:tcPr>
          <w:p w14:paraId="49A2EAAB" w14:textId="77777777" w:rsidR="001614AC" w:rsidRDefault="001614AC">
            <w:pPr>
              <w:keepNext/>
              <w:spacing w:before="55" w:after="30" w:line="288" w:lineRule="auto"/>
              <w:jc w:val="right"/>
            </w:pPr>
          </w:p>
        </w:tc>
        <w:tc>
          <w:tcPr>
            <w:tcW w:w="105" w:type="dxa"/>
            <w:tcBorders>
              <w:top w:val="single" w:sz="8" w:space="0" w:color="C7C9C7"/>
              <w:left w:val="nil"/>
              <w:bottom w:val="nil"/>
              <w:right w:val="nil"/>
            </w:tcBorders>
            <w:tcMar>
              <w:top w:w="0" w:type="dxa"/>
              <w:left w:w="0" w:type="dxa"/>
              <w:bottom w:w="0" w:type="dxa"/>
              <w:right w:w="0" w:type="dxa"/>
            </w:tcMar>
            <w:vAlign w:val="bottom"/>
          </w:tcPr>
          <w:p w14:paraId="0A118ED8" w14:textId="77777777" w:rsidR="001614AC" w:rsidRDefault="001614AC">
            <w:pPr>
              <w:keepNext/>
            </w:pPr>
          </w:p>
        </w:tc>
        <w:tc>
          <w:tcPr>
            <w:tcW w:w="160" w:type="dxa"/>
            <w:tcBorders>
              <w:top w:val="single" w:sz="8" w:space="0" w:color="C7C9C7"/>
              <w:left w:val="nil"/>
              <w:bottom w:val="single" w:sz="8" w:space="0" w:color="C7C9C7"/>
              <w:right w:val="nil"/>
            </w:tcBorders>
            <w:tcMar>
              <w:top w:w="0" w:type="dxa"/>
              <w:left w:w="53" w:type="dxa"/>
              <w:bottom w:w="0" w:type="dxa"/>
              <w:right w:w="0" w:type="dxa"/>
            </w:tcMar>
            <w:vAlign w:val="bottom"/>
          </w:tcPr>
          <w:p w14:paraId="5EA1BD73" w14:textId="77777777" w:rsidR="001614AC" w:rsidRDefault="004468F9">
            <w:pPr>
              <w:keepNext/>
              <w:spacing w:before="55" w:after="30" w:line="288" w:lineRule="auto"/>
            </w:pPr>
            <w:r>
              <w:rPr>
                <w:rFonts w:ascii="Arial" w:eastAsia="Arial" w:hAnsi="Arial" w:cs="Arial"/>
                <w:color w:val="000000"/>
                <w:sz w:val="18"/>
              </w:rPr>
              <w:t>$</w:t>
            </w:r>
          </w:p>
        </w:tc>
        <w:tc>
          <w:tcPr>
            <w:tcW w:w="775" w:type="dxa"/>
            <w:tcBorders>
              <w:top w:val="single" w:sz="8" w:space="0" w:color="C7C9C7"/>
              <w:left w:val="nil"/>
              <w:bottom w:val="single" w:sz="8" w:space="0" w:color="C7C9C7"/>
              <w:right w:val="nil"/>
            </w:tcBorders>
            <w:tcMar>
              <w:top w:w="0" w:type="dxa"/>
              <w:left w:w="0" w:type="dxa"/>
              <w:bottom w:w="0" w:type="dxa"/>
              <w:right w:w="0" w:type="dxa"/>
            </w:tcMar>
            <w:vAlign w:val="bottom"/>
          </w:tcPr>
          <w:p w14:paraId="7DEDBB77" w14:textId="77777777" w:rsidR="001614AC" w:rsidRDefault="004468F9">
            <w:pPr>
              <w:keepNext/>
              <w:spacing w:before="55" w:after="30" w:line="288" w:lineRule="auto"/>
              <w:jc w:val="right"/>
            </w:pPr>
            <w:r>
              <w:rPr>
                <w:rFonts w:ascii="Arial" w:eastAsia="Arial" w:hAnsi="Arial" w:cs="Arial"/>
                <w:color w:val="000000"/>
                <w:sz w:val="18"/>
              </w:rPr>
              <w:t>110,488 </w:t>
            </w:r>
          </w:p>
        </w:tc>
        <w:tc>
          <w:tcPr>
            <w:tcW w:w="100" w:type="dxa"/>
            <w:tcBorders>
              <w:top w:val="single" w:sz="8" w:space="0" w:color="C7C9C7"/>
              <w:left w:val="nil"/>
              <w:bottom w:val="single" w:sz="8" w:space="0" w:color="C7C9C7"/>
              <w:right w:val="nil"/>
            </w:tcBorders>
            <w:tcMar>
              <w:top w:w="0" w:type="dxa"/>
              <w:left w:w="0" w:type="dxa"/>
              <w:bottom w:w="0" w:type="dxa"/>
              <w:right w:w="15" w:type="dxa"/>
            </w:tcMar>
            <w:vAlign w:val="bottom"/>
          </w:tcPr>
          <w:p w14:paraId="243DCA81" w14:textId="77777777" w:rsidR="001614AC" w:rsidRDefault="001614AC">
            <w:pPr>
              <w:keepNext/>
              <w:spacing w:before="55" w:after="30" w:line="288" w:lineRule="auto"/>
              <w:jc w:val="right"/>
            </w:pPr>
          </w:p>
        </w:tc>
      </w:tr>
      <w:tr w:rsidR="001614AC" w14:paraId="7ED84CDD" w14:textId="77777777">
        <w:trPr>
          <w:cantSplit/>
        </w:trPr>
        <w:tc>
          <w:tcPr>
            <w:tcW w:w="3240" w:type="dxa"/>
            <w:tcBorders>
              <w:top w:val="single" w:sz="8" w:space="0" w:color="E9E9E9"/>
              <w:left w:val="nil"/>
              <w:bottom w:val="single" w:sz="8" w:space="0" w:color="E9E9E9"/>
              <w:right w:val="nil"/>
            </w:tcBorders>
            <w:tcMar>
              <w:top w:w="0" w:type="dxa"/>
              <w:left w:w="53" w:type="dxa"/>
              <w:bottom w:w="0" w:type="dxa"/>
              <w:right w:w="53" w:type="dxa"/>
            </w:tcMar>
            <w:vAlign w:val="bottom"/>
          </w:tcPr>
          <w:p w14:paraId="02723C2D" w14:textId="77777777" w:rsidR="001614AC" w:rsidRDefault="004468F9">
            <w:pPr>
              <w:keepNext/>
              <w:spacing w:before="55" w:after="30" w:line="288" w:lineRule="auto"/>
            </w:pPr>
            <w:r>
              <w:rPr>
                <w:rFonts w:ascii="Arial" w:eastAsia="Arial" w:hAnsi="Arial" w:cs="Arial"/>
                <w:color w:val="000000"/>
                <w:sz w:val="18"/>
              </w:rPr>
              <w:t>Other comprehensive income (loss)</w:t>
            </w:r>
          </w:p>
        </w:tc>
        <w:tc>
          <w:tcPr>
            <w:tcW w:w="105" w:type="dxa"/>
            <w:tcBorders>
              <w:top w:val="nil"/>
              <w:left w:val="nil"/>
              <w:bottom w:val="nil"/>
              <w:right w:val="nil"/>
            </w:tcBorders>
            <w:tcMar>
              <w:top w:w="0" w:type="dxa"/>
              <w:left w:w="0" w:type="dxa"/>
              <w:bottom w:w="0" w:type="dxa"/>
              <w:right w:w="0" w:type="dxa"/>
            </w:tcMar>
            <w:vAlign w:val="bottom"/>
          </w:tcPr>
          <w:p w14:paraId="737B2A57" w14:textId="77777777" w:rsidR="001614AC" w:rsidRDefault="001614AC">
            <w:pPr>
              <w:keepNext/>
            </w:pPr>
          </w:p>
        </w:tc>
        <w:tc>
          <w:tcPr>
            <w:tcW w:w="1035" w:type="dxa"/>
            <w:gridSpan w:val="3"/>
            <w:tcBorders>
              <w:top w:val="single" w:sz="8" w:space="0" w:color="C7C9C7"/>
              <w:left w:val="nil"/>
              <w:bottom w:val="nil"/>
              <w:right w:val="nil"/>
            </w:tcBorders>
            <w:tcMar>
              <w:top w:w="0" w:type="dxa"/>
              <w:left w:w="0" w:type="dxa"/>
              <w:bottom w:w="0" w:type="dxa"/>
              <w:right w:w="0" w:type="dxa"/>
            </w:tcMar>
            <w:vAlign w:val="bottom"/>
          </w:tcPr>
          <w:p w14:paraId="57143AF3" w14:textId="77777777" w:rsidR="001614AC" w:rsidRDefault="001614AC">
            <w:pPr>
              <w:keepNext/>
            </w:pPr>
          </w:p>
        </w:tc>
        <w:tc>
          <w:tcPr>
            <w:tcW w:w="105" w:type="dxa"/>
            <w:tcBorders>
              <w:top w:val="nil"/>
              <w:left w:val="nil"/>
              <w:bottom w:val="nil"/>
              <w:right w:val="nil"/>
            </w:tcBorders>
            <w:tcMar>
              <w:top w:w="0" w:type="dxa"/>
              <w:left w:w="0" w:type="dxa"/>
              <w:bottom w:w="0" w:type="dxa"/>
              <w:right w:w="0" w:type="dxa"/>
            </w:tcMar>
            <w:vAlign w:val="bottom"/>
          </w:tcPr>
          <w:p w14:paraId="3E266A0C" w14:textId="77777777" w:rsidR="001614AC" w:rsidRDefault="001614AC">
            <w:pPr>
              <w:keepNext/>
            </w:pPr>
          </w:p>
        </w:tc>
        <w:tc>
          <w:tcPr>
            <w:tcW w:w="1035" w:type="dxa"/>
            <w:gridSpan w:val="3"/>
            <w:tcBorders>
              <w:top w:val="single" w:sz="8" w:space="0" w:color="C7C9C7"/>
              <w:left w:val="nil"/>
              <w:bottom w:val="nil"/>
              <w:right w:val="nil"/>
            </w:tcBorders>
            <w:tcMar>
              <w:top w:w="0" w:type="dxa"/>
              <w:left w:w="0" w:type="dxa"/>
              <w:bottom w:w="0" w:type="dxa"/>
              <w:right w:w="0" w:type="dxa"/>
            </w:tcMar>
            <w:vAlign w:val="bottom"/>
          </w:tcPr>
          <w:p w14:paraId="62BF2C2B" w14:textId="77777777" w:rsidR="001614AC" w:rsidRDefault="001614AC">
            <w:pPr>
              <w:keepNext/>
            </w:pPr>
          </w:p>
        </w:tc>
        <w:tc>
          <w:tcPr>
            <w:tcW w:w="105" w:type="dxa"/>
            <w:tcBorders>
              <w:top w:val="nil"/>
              <w:left w:val="nil"/>
              <w:bottom w:val="nil"/>
              <w:right w:val="nil"/>
            </w:tcBorders>
            <w:tcMar>
              <w:top w:w="0" w:type="dxa"/>
              <w:left w:w="0" w:type="dxa"/>
              <w:bottom w:w="0" w:type="dxa"/>
              <w:right w:w="0" w:type="dxa"/>
            </w:tcMar>
            <w:vAlign w:val="bottom"/>
          </w:tcPr>
          <w:p w14:paraId="5B0E5758" w14:textId="77777777" w:rsidR="001614AC" w:rsidRDefault="001614AC">
            <w:pPr>
              <w:keepNext/>
            </w:pPr>
          </w:p>
        </w:tc>
        <w:tc>
          <w:tcPr>
            <w:tcW w:w="1035" w:type="dxa"/>
            <w:gridSpan w:val="3"/>
            <w:tcBorders>
              <w:top w:val="single" w:sz="8" w:space="0" w:color="C7C9C7"/>
              <w:left w:val="nil"/>
              <w:bottom w:val="nil"/>
              <w:right w:val="nil"/>
            </w:tcBorders>
            <w:tcMar>
              <w:top w:w="0" w:type="dxa"/>
              <w:left w:w="0" w:type="dxa"/>
              <w:bottom w:w="0" w:type="dxa"/>
              <w:right w:w="0" w:type="dxa"/>
            </w:tcMar>
            <w:vAlign w:val="bottom"/>
          </w:tcPr>
          <w:p w14:paraId="5039B01F" w14:textId="77777777" w:rsidR="001614AC" w:rsidRDefault="001614AC">
            <w:pPr>
              <w:keepNext/>
            </w:pPr>
          </w:p>
        </w:tc>
        <w:tc>
          <w:tcPr>
            <w:tcW w:w="105" w:type="dxa"/>
            <w:tcBorders>
              <w:top w:val="nil"/>
              <w:left w:val="nil"/>
              <w:bottom w:val="nil"/>
              <w:right w:val="nil"/>
            </w:tcBorders>
            <w:tcMar>
              <w:top w:w="0" w:type="dxa"/>
              <w:left w:w="0" w:type="dxa"/>
              <w:bottom w:w="0" w:type="dxa"/>
              <w:right w:w="0" w:type="dxa"/>
            </w:tcMar>
            <w:vAlign w:val="bottom"/>
          </w:tcPr>
          <w:p w14:paraId="50267758" w14:textId="77777777" w:rsidR="001614AC" w:rsidRDefault="001614AC">
            <w:pPr>
              <w:keepNext/>
            </w:pPr>
          </w:p>
        </w:tc>
        <w:tc>
          <w:tcPr>
            <w:tcW w:w="1035" w:type="dxa"/>
            <w:gridSpan w:val="3"/>
            <w:tcBorders>
              <w:top w:val="single" w:sz="8" w:space="0" w:color="C7C9C7"/>
              <w:left w:val="nil"/>
              <w:bottom w:val="nil"/>
              <w:right w:val="nil"/>
            </w:tcBorders>
            <w:tcMar>
              <w:top w:w="0" w:type="dxa"/>
              <w:left w:w="0" w:type="dxa"/>
              <w:bottom w:w="0" w:type="dxa"/>
              <w:right w:w="0" w:type="dxa"/>
            </w:tcMar>
            <w:vAlign w:val="bottom"/>
          </w:tcPr>
          <w:p w14:paraId="6EBD3BE4" w14:textId="77777777" w:rsidR="001614AC" w:rsidRDefault="001614AC">
            <w:pPr>
              <w:keepNext/>
            </w:pPr>
          </w:p>
        </w:tc>
        <w:tc>
          <w:tcPr>
            <w:tcW w:w="105" w:type="dxa"/>
            <w:tcBorders>
              <w:top w:val="nil"/>
              <w:left w:val="nil"/>
              <w:bottom w:val="nil"/>
              <w:right w:val="nil"/>
            </w:tcBorders>
            <w:tcMar>
              <w:top w:w="0" w:type="dxa"/>
              <w:left w:w="0" w:type="dxa"/>
              <w:bottom w:w="0" w:type="dxa"/>
              <w:right w:w="0" w:type="dxa"/>
            </w:tcMar>
            <w:vAlign w:val="bottom"/>
          </w:tcPr>
          <w:p w14:paraId="6CAF7A42" w14:textId="77777777" w:rsidR="001614AC" w:rsidRDefault="001614AC">
            <w:pPr>
              <w:keepNext/>
            </w:pPr>
          </w:p>
        </w:tc>
        <w:tc>
          <w:tcPr>
            <w:tcW w:w="1035" w:type="dxa"/>
            <w:gridSpan w:val="3"/>
            <w:tcBorders>
              <w:top w:val="single" w:sz="8" w:space="0" w:color="C7C9C7"/>
              <w:left w:val="nil"/>
              <w:bottom w:val="nil"/>
              <w:right w:val="nil"/>
            </w:tcBorders>
            <w:tcMar>
              <w:top w:w="0" w:type="dxa"/>
              <w:left w:w="0" w:type="dxa"/>
              <w:bottom w:w="0" w:type="dxa"/>
              <w:right w:w="0" w:type="dxa"/>
            </w:tcMar>
            <w:vAlign w:val="bottom"/>
          </w:tcPr>
          <w:p w14:paraId="22F22D7D" w14:textId="77777777" w:rsidR="001614AC" w:rsidRDefault="001614AC">
            <w:pPr>
              <w:keepNext/>
            </w:pPr>
          </w:p>
        </w:tc>
        <w:tc>
          <w:tcPr>
            <w:tcW w:w="105" w:type="dxa"/>
            <w:tcBorders>
              <w:top w:val="nil"/>
              <w:left w:val="nil"/>
              <w:bottom w:val="nil"/>
              <w:right w:val="nil"/>
            </w:tcBorders>
            <w:tcMar>
              <w:top w:w="0" w:type="dxa"/>
              <w:left w:w="0" w:type="dxa"/>
              <w:bottom w:w="0" w:type="dxa"/>
              <w:right w:w="0" w:type="dxa"/>
            </w:tcMar>
            <w:vAlign w:val="bottom"/>
          </w:tcPr>
          <w:p w14:paraId="3FC7E376" w14:textId="77777777" w:rsidR="001614AC" w:rsidRDefault="001614AC">
            <w:pPr>
              <w:keepNext/>
            </w:pPr>
          </w:p>
        </w:tc>
        <w:tc>
          <w:tcPr>
            <w:tcW w:w="1035" w:type="dxa"/>
            <w:gridSpan w:val="3"/>
            <w:tcBorders>
              <w:top w:val="single" w:sz="8" w:space="0" w:color="C7C9C7"/>
              <w:left w:val="nil"/>
              <w:bottom w:val="nil"/>
              <w:right w:val="nil"/>
            </w:tcBorders>
            <w:tcMar>
              <w:top w:w="0" w:type="dxa"/>
              <w:left w:w="0" w:type="dxa"/>
              <w:bottom w:w="0" w:type="dxa"/>
              <w:right w:w="0" w:type="dxa"/>
            </w:tcMar>
            <w:vAlign w:val="bottom"/>
          </w:tcPr>
          <w:p w14:paraId="726DF18B" w14:textId="77777777" w:rsidR="001614AC" w:rsidRDefault="001614AC">
            <w:pPr>
              <w:keepNext/>
            </w:pPr>
          </w:p>
        </w:tc>
      </w:tr>
      <w:tr w:rsidR="001614AC" w14:paraId="6BECE7B6" w14:textId="77777777">
        <w:trPr>
          <w:cantSplit/>
        </w:trPr>
        <w:tc>
          <w:tcPr>
            <w:tcW w:w="3240" w:type="dxa"/>
            <w:tcBorders>
              <w:top w:val="single" w:sz="8" w:space="0" w:color="E9E9E9"/>
              <w:left w:val="nil"/>
              <w:bottom w:val="single" w:sz="8" w:space="0" w:color="E9E9E9"/>
              <w:right w:val="nil"/>
            </w:tcBorders>
            <w:tcMar>
              <w:top w:w="0" w:type="dxa"/>
              <w:left w:w="53" w:type="dxa"/>
              <w:bottom w:w="0" w:type="dxa"/>
              <w:right w:w="53" w:type="dxa"/>
            </w:tcMar>
            <w:vAlign w:val="bottom"/>
          </w:tcPr>
          <w:p w14:paraId="4B09C5BA" w14:textId="77777777" w:rsidR="001614AC" w:rsidRDefault="004468F9">
            <w:pPr>
              <w:keepNext/>
              <w:spacing w:before="55" w:after="30" w:line="288" w:lineRule="auto"/>
              <w:ind w:left="240"/>
            </w:pPr>
            <w:r>
              <w:rPr>
                <w:rFonts w:ascii="Arial" w:eastAsia="Arial" w:hAnsi="Arial" w:cs="Arial"/>
                <w:color w:val="000000"/>
                <w:sz w:val="18"/>
              </w:rPr>
              <w:t>Unrealized holding gains (losses) on investments arising during the period for which an allowance for expected credit losses has not be</w:t>
            </w:r>
            <w:r>
              <w:rPr>
                <w:rFonts w:ascii="Arial" w:eastAsia="Arial" w:hAnsi="Arial" w:cs="Arial"/>
                <w:color w:val="000000"/>
                <w:sz w:val="18"/>
              </w:rPr>
              <w:t>en recognized</w:t>
            </w:r>
          </w:p>
        </w:tc>
        <w:tc>
          <w:tcPr>
            <w:tcW w:w="105" w:type="dxa"/>
            <w:tcBorders>
              <w:top w:val="nil"/>
              <w:left w:val="nil"/>
              <w:bottom w:val="nil"/>
              <w:right w:val="nil"/>
            </w:tcBorders>
            <w:tcMar>
              <w:top w:w="0" w:type="dxa"/>
              <w:left w:w="0" w:type="dxa"/>
              <w:bottom w:w="0" w:type="dxa"/>
              <w:right w:w="0" w:type="dxa"/>
            </w:tcMar>
            <w:vAlign w:val="bottom"/>
          </w:tcPr>
          <w:p w14:paraId="50F34BC2" w14:textId="77777777" w:rsidR="001614AC" w:rsidRDefault="001614AC">
            <w:pPr>
              <w:keepNext/>
            </w:pPr>
          </w:p>
        </w:tc>
        <w:tc>
          <w:tcPr>
            <w:tcW w:w="93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20AE2D7E" w14:textId="77777777" w:rsidR="001614AC" w:rsidRDefault="004468F9">
            <w:pPr>
              <w:keepNext/>
              <w:spacing w:before="55" w:after="30" w:line="288" w:lineRule="auto"/>
              <w:jc w:val="right"/>
            </w:pPr>
            <w:r>
              <w:rPr>
                <w:rFonts w:ascii="Arial" w:eastAsia="Arial" w:hAnsi="Arial" w:cs="Arial"/>
                <w:color w:val="000000"/>
                <w:sz w:val="18"/>
              </w:rPr>
              <w:t>234,249 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5513F059" w14:textId="77777777" w:rsidR="001614AC" w:rsidRDefault="001614AC">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78F85B4C" w14:textId="77777777" w:rsidR="001614AC" w:rsidRDefault="001614AC">
            <w:pPr>
              <w:keepNext/>
            </w:pPr>
          </w:p>
        </w:tc>
        <w:tc>
          <w:tcPr>
            <w:tcW w:w="93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6AD3720F" w14:textId="77777777" w:rsidR="001614AC" w:rsidRDefault="004468F9">
            <w:pPr>
              <w:keepNext/>
              <w:spacing w:before="55" w:after="30" w:line="288" w:lineRule="auto"/>
              <w:jc w:val="right"/>
            </w:pPr>
            <w:r>
              <w:rPr>
                <w:rFonts w:ascii="Arial" w:eastAsia="Arial" w:hAnsi="Arial" w:cs="Arial"/>
                <w:color w:val="000000"/>
                <w:sz w:val="18"/>
              </w:rPr>
              <w:t>49,193 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4CCBA89A" w14:textId="77777777" w:rsidR="001614AC" w:rsidRDefault="001614AC">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3C0FFF3A" w14:textId="77777777" w:rsidR="001614AC" w:rsidRDefault="001614AC">
            <w:pPr>
              <w:keepNext/>
            </w:pPr>
          </w:p>
        </w:tc>
        <w:tc>
          <w:tcPr>
            <w:tcW w:w="93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4CBF2165" w14:textId="77777777" w:rsidR="001614AC" w:rsidRDefault="004468F9">
            <w:pPr>
              <w:keepNext/>
              <w:spacing w:before="55" w:after="30" w:line="288" w:lineRule="auto"/>
              <w:jc w:val="right"/>
            </w:pPr>
            <w:r>
              <w:rPr>
                <w:rFonts w:ascii="Arial" w:eastAsia="Arial" w:hAnsi="Arial" w:cs="Arial"/>
                <w:color w:val="000000"/>
                <w:sz w:val="18"/>
              </w:rPr>
              <w:t>185,056 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5B710AEA" w14:textId="77777777" w:rsidR="001614AC" w:rsidRDefault="001614AC">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1ABC8A14" w14:textId="77777777" w:rsidR="001614AC" w:rsidRDefault="001614AC">
            <w:pPr>
              <w:keepNext/>
            </w:pPr>
          </w:p>
        </w:tc>
        <w:tc>
          <w:tcPr>
            <w:tcW w:w="93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4E09D74A" w14:textId="77777777" w:rsidR="001614AC" w:rsidRDefault="004468F9">
            <w:pPr>
              <w:keepNext/>
              <w:spacing w:before="55" w:after="30" w:line="288" w:lineRule="auto"/>
              <w:jc w:val="right"/>
            </w:pPr>
            <w:r>
              <w:rPr>
                <w:rFonts w:ascii="Arial" w:eastAsia="Arial" w:hAnsi="Arial" w:cs="Arial"/>
                <w:color w:val="000000"/>
                <w:sz w:val="18"/>
              </w:rPr>
              <w:t>142,738 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6A950A4C" w14:textId="77777777" w:rsidR="001614AC" w:rsidRDefault="001614AC">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72B8EC55" w14:textId="77777777" w:rsidR="001614AC" w:rsidRDefault="001614AC">
            <w:pPr>
              <w:keepNext/>
            </w:pPr>
          </w:p>
        </w:tc>
        <w:tc>
          <w:tcPr>
            <w:tcW w:w="93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3B4F7A35" w14:textId="77777777" w:rsidR="001614AC" w:rsidRDefault="004468F9">
            <w:pPr>
              <w:keepNext/>
              <w:spacing w:before="55" w:after="30" w:line="288" w:lineRule="auto"/>
              <w:jc w:val="right"/>
            </w:pPr>
            <w:r>
              <w:rPr>
                <w:rFonts w:ascii="Arial" w:eastAsia="Arial" w:hAnsi="Arial" w:cs="Arial"/>
                <w:color w:val="000000"/>
                <w:sz w:val="18"/>
              </w:rPr>
              <w:t>29,975 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73100A82" w14:textId="77777777" w:rsidR="001614AC" w:rsidRDefault="001614AC">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49701377" w14:textId="77777777" w:rsidR="001614AC" w:rsidRDefault="001614AC">
            <w:pPr>
              <w:keepNext/>
            </w:pPr>
          </w:p>
        </w:tc>
        <w:tc>
          <w:tcPr>
            <w:tcW w:w="93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6BA787FB" w14:textId="77777777" w:rsidR="001614AC" w:rsidRDefault="004468F9">
            <w:pPr>
              <w:keepNext/>
              <w:spacing w:before="55" w:after="30" w:line="288" w:lineRule="auto"/>
              <w:jc w:val="right"/>
            </w:pPr>
            <w:r>
              <w:rPr>
                <w:rFonts w:ascii="Arial" w:eastAsia="Arial" w:hAnsi="Arial" w:cs="Arial"/>
                <w:color w:val="000000"/>
                <w:sz w:val="18"/>
              </w:rPr>
              <w:t>112,763 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15189A87" w14:textId="77777777" w:rsidR="001614AC" w:rsidRDefault="001614AC">
            <w:pPr>
              <w:keepNext/>
              <w:spacing w:before="55" w:after="30" w:line="288" w:lineRule="auto"/>
              <w:jc w:val="right"/>
            </w:pPr>
          </w:p>
        </w:tc>
      </w:tr>
      <w:tr w:rsidR="001614AC" w14:paraId="60F1DC56" w14:textId="77777777">
        <w:trPr>
          <w:cantSplit/>
        </w:trPr>
        <w:tc>
          <w:tcPr>
            <w:tcW w:w="3240" w:type="dxa"/>
            <w:tcBorders>
              <w:top w:val="single" w:sz="8" w:space="0" w:color="E9E9E9"/>
              <w:left w:val="nil"/>
              <w:bottom w:val="single" w:sz="8" w:space="0" w:color="E6EAED"/>
              <w:right w:val="nil"/>
            </w:tcBorders>
            <w:tcMar>
              <w:top w:w="0" w:type="dxa"/>
              <w:left w:w="53" w:type="dxa"/>
              <w:bottom w:w="0" w:type="dxa"/>
              <w:right w:w="53" w:type="dxa"/>
            </w:tcMar>
            <w:vAlign w:val="bottom"/>
          </w:tcPr>
          <w:p w14:paraId="7A821392" w14:textId="77777777" w:rsidR="001614AC" w:rsidRDefault="004468F9">
            <w:pPr>
              <w:keepNext/>
              <w:spacing w:before="55" w:after="30" w:line="288" w:lineRule="auto"/>
              <w:ind w:left="240"/>
              <w:rPr>
                <w:rFonts w:ascii="Arial" w:eastAsia="Arial" w:hAnsi="Arial" w:cs="Arial"/>
                <w:sz w:val="18"/>
              </w:rPr>
            </w:pPr>
            <w:r>
              <w:rPr>
                <w:rFonts w:ascii="Arial" w:eastAsia="Arial" w:hAnsi="Arial" w:cs="Arial"/>
                <w:sz w:val="18"/>
              </w:rPr>
              <w:t xml:space="preserve">Less: Reclassification adjustment for net gains (losses) on investments included in net income (loss) </w:t>
            </w:r>
            <w:r>
              <w:rPr>
                <w:rFonts w:ascii="Arial" w:eastAsia="Arial" w:hAnsi="Arial" w:cs="Arial"/>
                <w:sz w:val="18"/>
                <w:vertAlign w:val="superscript"/>
              </w:rPr>
              <w:t xml:space="preserve">(1) </w:t>
            </w:r>
          </w:p>
        </w:tc>
        <w:tc>
          <w:tcPr>
            <w:tcW w:w="105" w:type="dxa"/>
            <w:tcBorders>
              <w:top w:val="nil"/>
              <w:left w:val="nil"/>
              <w:bottom w:val="nil"/>
              <w:right w:val="nil"/>
            </w:tcBorders>
            <w:tcMar>
              <w:top w:w="0" w:type="dxa"/>
              <w:left w:w="0" w:type="dxa"/>
              <w:bottom w:w="0" w:type="dxa"/>
              <w:right w:w="0" w:type="dxa"/>
            </w:tcMar>
            <w:vAlign w:val="bottom"/>
          </w:tcPr>
          <w:p w14:paraId="6B35BBF3" w14:textId="77777777" w:rsidR="001614AC" w:rsidRDefault="001614AC">
            <w:pPr>
              <w:keepNext/>
            </w:pPr>
          </w:p>
        </w:tc>
        <w:tc>
          <w:tcPr>
            <w:tcW w:w="1035" w:type="dxa"/>
            <w:gridSpan w:val="3"/>
            <w:tcBorders>
              <w:top w:val="single" w:sz="8" w:space="0" w:color="E9E9E9"/>
              <w:left w:val="nil"/>
              <w:bottom w:val="single" w:sz="8" w:space="0" w:color="E9E9E9"/>
              <w:right w:val="nil"/>
            </w:tcBorders>
            <w:tcMar>
              <w:top w:w="0" w:type="dxa"/>
              <w:left w:w="0" w:type="dxa"/>
              <w:bottom w:w="0" w:type="dxa"/>
              <w:right w:w="0" w:type="dxa"/>
            </w:tcMar>
            <w:vAlign w:val="bottom"/>
          </w:tcPr>
          <w:p w14:paraId="0778597C" w14:textId="77777777" w:rsidR="001614AC" w:rsidRDefault="001614AC">
            <w:pPr>
              <w:keepNext/>
            </w:pPr>
          </w:p>
        </w:tc>
        <w:tc>
          <w:tcPr>
            <w:tcW w:w="105" w:type="dxa"/>
            <w:tcBorders>
              <w:top w:val="nil"/>
              <w:left w:val="nil"/>
              <w:bottom w:val="nil"/>
              <w:right w:val="nil"/>
            </w:tcBorders>
            <w:tcMar>
              <w:top w:w="0" w:type="dxa"/>
              <w:left w:w="0" w:type="dxa"/>
              <w:bottom w:w="0" w:type="dxa"/>
              <w:right w:w="0" w:type="dxa"/>
            </w:tcMar>
            <w:vAlign w:val="bottom"/>
          </w:tcPr>
          <w:p w14:paraId="2F0D956F" w14:textId="77777777" w:rsidR="001614AC" w:rsidRDefault="001614AC">
            <w:pPr>
              <w:keepNext/>
            </w:pPr>
          </w:p>
        </w:tc>
        <w:tc>
          <w:tcPr>
            <w:tcW w:w="1035" w:type="dxa"/>
            <w:gridSpan w:val="3"/>
            <w:tcBorders>
              <w:top w:val="single" w:sz="8" w:space="0" w:color="E9E9E9"/>
              <w:left w:val="nil"/>
              <w:bottom w:val="single" w:sz="8" w:space="0" w:color="E9E9E9"/>
              <w:right w:val="nil"/>
            </w:tcBorders>
            <w:tcMar>
              <w:top w:w="0" w:type="dxa"/>
              <w:left w:w="0" w:type="dxa"/>
              <w:bottom w:w="0" w:type="dxa"/>
              <w:right w:w="0" w:type="dxa"/>
            </w:tcMar>
            <w:vAlign w:val="bottom"/>
          </w:tcPr>
          <w:p w14:paraId="372A7D52" w14:textId="77777777" w:rsidR="001614AC" w:rsidRDefault="001614AC">
            <w:pPr>
              <w:keepNext/>
            </w:pPr>
          </w:p>
        </w:tc>
        <w:tc>
          <w:tcPr>
            <w:tcW w:w="105" w:type="dxa"/>
            <w:tcBorders>
              <w:top w:val="nil"/>
              <w:left w:val="nil"/>
              <w:bottom w:val="nil"/>
              <w:right w:val="nil"/>
            </w:tcBorders>
            <w:tcMar>
              <w:top w:w="0" w:type="dxa"/>
              <w:left w:w="0" w:type="dxa"/>
              <w:bottom w:w="0" w:type="dxa"/>
              <w:right w:w="0" w:type="dxa"/>
            </w:tcMar>
            <w:vAlign w:val="bottom"/>
          </w:tcPr>
          <w:p w14:paraId="74167CE4" w14:textId="77777777" w:rsidR="001614AC" w:rsidRDefault="001614AC">
            <w:pPr>
              <w:keepNext/>
            </w:pPr>
          </w:p>
        </w:tc>
        <w:tc>
          <w:tcPr>
            <w:tcW w:w="1035" w:type="dxa"/>
            <w:gridSpan w:val="3"/>
            <w:tcBorders>
              <w:top w:val="single" w:sz="8" w:space="0" w:color="E9E9E9"/>
              <w:left w:val="nil"/>
              <w:bottom w:val="single" w:sz="8" w:space="0" w:color="E9E9E9"/>
              <w:right w:val="nil"/>
            </w:tcBorders>
            <w:tcMar>
              <w:top w:w="0" w:type="dxa"/>
              <w:left w:w="0" w:type="dxa"/>
              <w:bottom w:w="0" w:type="dxa"/>
              <w:right w:w="0" w:type="dxa"/>
            </w:tcMar>
            <w:vAlign w:val="bottom"/>
          </w:tcPr>
          <w:p w14:paraId="1DC22952" w14:textId="77777777" w:rsidR="001614AC" w:rsidRDefault="001614AC">
            <w:pPr>
              <w:keepNext/>
            </w:pPr>
          </w:p>
        </w:tc>
        <w:tc>
          <w:tcPr>
            <w:tcW w:w="105" w:type="dxa"/>
            <w:tcBorders>
              <w:top w:val="nil"/>
              <w:left w:val="nil"/>
              <w:bottom w:val="nil"/>
              <w:right w:val="nil"/>
            </w:tcBorders>
            <w:tcMar>
              <w:top w:w="0" w:type="dxa"/>
              <w:left w:w="0" w:type="dxa"/>
              <w:bottom w:w="0" w:type="dxa"/>
              <w:right w:w="0" w:type="dxa"/>
            </w:tcMar>
            <w:vAlign w:val="bottom"/>
          </w:tcPr>
          <w:p w14:paraId="3CB7F73F" w14:textId="77777777" w:rsidR="001614AC" w:rsidRDefault="001614AC">
            <w:pPr>
              <w:keepNext/>
            </w:pPr>
          </w:p>
        </w:tc>
        <w:tc>
          <w:tcPr>
            <w:tcW w:w="1035" w:type="dxa"/>
            <w:gridSpan w:val="3"/>
            <w:tcBorders>
              <w:top w:val="single" w:sz="8" w:space="0" w:color="E9E9E9"/>
              <w:left w:val="nil"/>
              <w:bottom w:val="single" w:sz="8" w:space="0" w:color="E9E9E9"/>
              <w:right w:val="nil"/>
            </w:tcBorders>
            <w:tcMar>
              <w:top w:w="0" w:type="dxa"/>
              <w:left w:w="0" w:type="dxa"/>
              <w:bottom w:w="0" w:type="dxa"/>
              <w:right w:w="0" w:type="dxa"/>
            </w:tcMar>
            <w:vAlign w:val="bottom"/>
          </w:tcPr>
          <w:p w14:paraId="7894F829" w14:textId="77777777" w:rsidR="001614AC" w:rsidRDefault="001614AC">
            <w:pPr>
              <w:keepNext/>
            </w:pPr>
          </w:p>
        </w:tc>
        <w:tc>
          <w:tcPr>
            <w:tcW w:w="105" w:type="dxa"/>
            <w:tcBorders>
              <w:top w:val="nil"/>
              <w:left w:val="nil"/>
              <w:bottom w:val="nil"/>
              <w:right w:val="nil"/>
            </w:tcBorders>
            <w:tcMar>
              <w:top w:w="0" w:type="dxa"/>
              <w:left w:w="0" w:type="dxa"/>
              <w:bottom w:w="0" w:type="dxa"/>
              <w:right w:w="0" w:type="dxa"/>
            </w:tcMar>
            <w:vAlign w:val="bottom"/>
          </w:tcPr>
          <w:p w14:paraId="060139A7" w14:textId="77777777" w:rsidR="001614AC" w:rsidRDefault="001614AC">
            <w:pPr>
              <w:keepNext/>
            </w:pPr>
          </w:p>
        </w:tc>
        <w:tc>
          <w:tcPr>
            <w:tcW w:w="1035" w:type="dxa"/>
            <w:gridSpan w:val="3"/>
            <w:tcBorders>
              <w:top w:val="single" w:sz="8" w:space="0" w:color="E9E9E9"/>
              <w:left w:val="nil"/>
              <w:bottom w:val="single" w:sz="8" w:space="0" w:color="E9E9E9"/>
              <w:right w:val="nil"/>
            </w:tcBorders>
            <w:tcMar>
              <w:top w:w="0" w:type="dxa"/>
              <w:left w:w="0" w:type="dxa"/>
              <w:bottom w:w="0" w:type="dxa"/>
              <w:right w:w="0" w:type="dxa"/>
            </w:tcMar>
            <w:vAlign w:val="bottom"/>
          </w:tcPr>
          <w:p w14:paraId="780D7FC6" w14:textId="77777777" w:rsidR="001614AC" w:rsidRDefault="001614AC">
            <w:pPr>
              <w:keepNext/>
            </w:pPr>
          </w:p>
        </w:tc>
        <w:tc>
          <w:tcPr>
            <w:tcW w:w="105" w:type="dxa"/>
            <w:tcBorders>
              <w:top w:val="nil"/>
              <w:left w:val="nil"/>
              <w:bottom w:val="nil"/>
              <w:right w:val="nil"/>
            </w:tcBorders>
            <w:tcMar>
              <w:top w:w="0" w:type="dxa"/>
              <w:left w:w="0" w:type="dxa"/>
              <w:bottom w:w="0" w:type="dxa"/>
              <w:right w:w="0" w:type="dxa"/>
            </w:tcMar>
            <w:vAlign w:val="bottom"/>
          </w:tcPr>
          <w:p w14:paraId="38EBD367" w14:textId="77777777" w:rsidR="001614AC" w:rsidRDefault="001614AC">
            <w:pPr>
              <w:keepNext/>
            </w:pPr>
          </w:p>
        </w:tc>
        <w:tc>
          <w:tcPr>
            <w:tcW w:w="1035" w:type="dxa"/>
            <w:gridSpan w:val="3"/>
            <w:tcBorders>
              <w:top w:val="single" w:sz="8" w:space="0" w:color="E9E9E9"/>
              <w:left w:val="nil"/>
              <w:bottom w:val="single" w:sz="8" w:space="0" w:color="E9E9E9"/>
              <w:right w:val="nil"/>
            </w:tcBorders>
            <w:tcMar>
              <w:top w:w="0" w:type="dxa"/>
              <w:left w:w="0" w:type="dxa"/>
              <w:bottom w:w="0" w:type="dxa"/>
              <w:right w:w="0" w:type="dxa"/>
            </w:tcMar>
            <w:vAlign w:val="bottom"/>
          </w:tcPr>
          <w:p w14:paraId="4A19F5A7" w14:textId="77777777" w:rsidR="001614AC" w:rsidRDefault="001614AC">
            <w:pPr>
              <w:keepNext/>
            </w:pPr>
          </w:p>
        </w:tc>
      </w:tr>
      <w:tr w:rsidR="001614AC" w14:paraId="6C9BC0A0" w14:textId="77777777">
        <w:trPr>
          <w:cantSplit/>
        </w:trPr>
        <w:tc>
          <w:tcPr>
            <w:tcW w:w="3240" w:type="dxa"/>
            <w:tcBorders>
              <w:top w:val="single" w:sz="8" w:space="0" w:color="E6EAED"/>
              <w:left w:val="nil"/>
              <w:bottom w:val="single" w:sz="8" w:space="0" w:color="E6EAED"/>
              <w:right w:val="nil"/>
            </w:tcBorders>
            <w:tcMar>
              <w:top w:w="0" w:type="dxa"/>
              <w:left w:w="53" w:type="dxa"/>
              <w:bottom w:w="0" w:type="dxa"/>
              <w:right w:w="53" w:type="dxa"/>
            </w:tcMar>
            <w:vAlign w:val="bottom"/>
          </w:tcPr>
          <w:p w14:paraId="399EB2D3" w14:textId="77777777" w:rsidR="001614AC" w:rsidRDefault="004468F9">
            <w:pPr>
              <w:keepNext/>
              <w:spacing w:before="55" w:after="30" w:line="288" w:lineRule="auto"/>
              <w:ind w:left="480"/>
            </w:pPr>
            <w:r>
              <w:rPr>
                <w:rFonts w:ascii="Arial" w:eastAsia="Arial" w:hAnsi="Arial" w:cs="Arial"/>
                <w:color w:val="000000"/>
                <w:sz w:val="18"/>
              </w:rPr>
              <w:t xml:space="preserve">Net realized gains (losses) on </w:t>
            </w:r>
            <w:r>
              <w:rPr>
                <w:rFonts w:ascii="Arial" w:eastAsia="Arial" w:hAnsi="Arial" w:cs="Arial"/>
                <w:color w:val="000000"/>
                <w:sz w:val="18"/>
              </w:rPr>
              <w:t>disposals and non-credit related impairment losses</w:t>
            </w:r>
          </w:p>
        </w:tc>
        <w:tc>
          <w:tcPr>
            <w:tcW w:w="105" w:type="dxa"/>
            <w:tcBorders>
              <w:top w:val="nil"/>
              <w:left w:val="nil"/>
              <w:bottom w:val="nil"/>
              <w:right w:val="nil"/>
            </w:tcBorders>
            <w:tcMar>
              <w:top w:w="0" w:type="dxa"/>
              <w:left w:w="0" w:type="dxa"/>
              <w:bottom w:w="0" w:type="dxa"/>
              <w:right w:w="0" w:type="dxa"/>
            </w:tcMar>
            <w:vAlign w:val="bottom"/>
          </w:tcPr>
          <w:p w14:paraId="183F0B7E" w14:textId="77777777" w:rsidR="001614AC" w:rsidRDefault="001614AC">
            <w:pPr>
              <w:keepNext/>
            </w:pPr>
          </w:p>
        </w:tc>
        <w:tc>
          <w:tcPr>
            <w:tcW w:w="93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45A89526" w14:textId="77777777" w:rsidR="001614AC" w:rsidRDefault="004468F9">
            <w:pPr>
              <w:keepNext/>
              <w:spacing w:before="55" w:after="30" w:line="288" w:lineRule="auto"/>
              <w:jc w:val="right"/>
            </w:pPr>
            <w:r>
              <w:rPr>
                <w:rFonts w:ascii="Arial" w:eastAsia="Arial" w:hAnsi="Arial" w:cs="Arial"/>
                <w:color w:val="000000"/>
                <w:sz w:val="18"/>
              </w:rPr>
              <w:t>6,195 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6F6EAB5E" w14:textId="77777777" w:rsidR="001614AC" w:rsidRDefault="001614AC">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03B129D1" w14:textId="77777777" w:rsidR="001614AC" w:rsidRDefault="001614AC">
            <w:pPr>
              <w:keepNext/>
            </w:pPr>
          </w:p>
        </w:tc>
        <w:tc>
          <w:tcPr>
            <w:tcW w:w="93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3E9DE35C" w14:textId="77777777" w:rsidR="001614AC" w:rsidRDefault="004468F9">
            <w:pPr>
              <w:keepNext/>
              <w:spacing w:before="55" w:after="30" w:line="288" w:lineRule="auto"/>
              <w:jc w:val="right"/>
            </w:pPr>
            <w:r>
              <w:rPr>
                <w:rFonts w:ascii="Arial" w:eastAsia="Arial" w:hAnsi="Arial" w:cs="Arial"/>
                <w:color w:val="000000"/>
                <w:sz w:val="18"/>
              </w:rPr>
              <w:t>1,301 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4A280F3F" w14:textId="77777777" w:rsidR="001614AC" w:rsidRDefault="001614AC">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7DDDC105" w14:textId="77777777" w:rsidR="001614AC" w:rsidRDefault="001614AC">
            <w:pPr>
              <w:keepNext/>
            </w:pPr>
          </w:p>
        </w:tc>
        <w:tc>
          <w:tcPr>
            <w:tcW w:w="93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3F42D48D" w14:textId="77777777" w:rsidR="001614AC" w:rsidRDefault="004468F9">
            <w:pPr>
              <w:keepNext/>
              <w:spacing w:before="55" w:after="30" w:line="288" w:lineRule="auto"/>
              <w:jc w:val="right"/>
            </w:pPr>
            <w:r>
              <w:rPr>
                <w:rFonts w:ascii="Arial" w:eastAsia="Arial" w:hAnsi="Arial" w:cs="Arial"/>
                <w:color w:val="000000"/>
                <w:sz w:val="18"/>
              </w:rPr>
              <w:t>4,894 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01E10942" w14:textId="77777777" w:rsidR="001614AC" w:rsidRDefault="001614AC">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312CC8E6" w14:textId="77777777" w:rsidR="001614AC" w:rsidRDefault="001614AC">
            <w:pPr>
              <w:keepNext/>
            </w:pPr>
          </w:p>
        </w:tc>
        <w:tc>
          <w:tcPr>
            <w:tcW w:w="93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1E23E192" w14:textId="77777777" w:rsidR="001614AC" w:rsidRDefault="004468F9">
            <w:pPr>
              <w:keepNext/>
              <w:spacing w:before="55" w:after="30" w:line="288" w:lineRule="auto"/>
              <w:jc w:val="right"/>
            </w:pPr>
            <w:r>
              <w:rPr>
                <w:rFonts w:ascii="Arial" w:eastAsia="Arial" w:hAnsi="Arial" w:cs="Arial"/>
                <w:color w:val="000000"/>
                <w:sz w:val="18"/>
              </w:rPr>
              <w:t>16,820 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6191697D" w14:textId="77777777" w:rsidR="001614AC" w:rsidRDefault="001614AC">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2288DD3E" w14:textId="77777777" w:rsidR="001614AC" w:rsidRDefault="001614AC">
            <w:pPr>
              <w:keepNext/>
            </w:pPr>
          </w:p>
        </w:tc>
        <w:tc>
          <w:tcPr>
            <w:tcW w:w="93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779C5E86" w14:textId="77777777" w:rsidR="001614AC" w:rsidRDefault="004468F9">
            <w:pPr>
              <w:keepNext/>
              <w:spacing w:before="55" w:after="30" w:line="288" w:lineRule="auto"/>
              <w:jc w:val="right"/>
            </w:pPr>
            <w:r>
              <w:rPr>
                <w:rFonts w:ascii="Arial" w:eastAsia="Arial" w:hAnsi="Arial" w:cs="Arial"/>
                <w:color w:val="000000"/>
                <w:sz w:val="18"/>
              </w:rPr>
              <w:t>3,532 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44E33410" w14:textId="77777777" w:rsidR="001614AC" w:rsidRDefault="001614AC">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5B512D8A" w14:textId="77777777" w:rsidR="001614AC" w:rsidRDefault="001614AC">
            <w:pPr>
              <w:keepNext/>
            </w:pPr>
          </w:p>
        </w:tc>
        <w:tc>
          <w:tcPr>
            <w:tcW w:w="93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544CFE45" w14:textId="77777777" w:rsidR="001614AC" w:rsidRDefault="004468F9">
            <w:pPr>
              <w:keepNext/>
              <w:spacing w:before="55" w:after="30" w:line="288" w:lineRule="auto"/>
              <w:jc w:val="right"/>
            </w:pPr>
            <w:r>
              <w:rPr>
                <w:rFonts w:ascii="Arial" w:eastAsia="Arial" w:hAnsi="Arial" w:cs="Arial"/>
                <w:color w:val="000000"/>
                <w:sz w:val="18"/>
              </w:rPr>
              <w:t>13,288 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28C36F90" w14:textId="77777777" w:rsidR="001614AC" w:rsidRDefault="001614AC">
            <w:pPr>
              <w:keepNext/>
              <w:spacing w:before="55" w:after="30" w:line="288" w:lineRule="auto"/>
              <w:jc w:val="right"/>
            </w:pPr>
          </w:p>
        </w:tc>
      </w:tr>
      <w:tr w:rsidR="001614AC" w14:paraId="4F7BAD28" w14:textId="77777777">
        <w:trPr>
          <w:cantSplit/>
        </w:trPr>
        <w:tc>
          <w:tcPr>
            <w:tcW w:w="3240" w:type="dxa"/>
            <w:tcBorders>
              <w:top w:val="single" w:sz="8" w:space="0" w:color="E6EAED"/>
              <w:left w:val="nil"/>
              <w:bottom w:val="nil"/>
              <w:right w:val="nil"/>
            </w:tcBorders>
            <w:tcMar>
              <w:top w:w="0" w:type="dxa"/>
              <w:left w:w="53" w:type="dxa"/>
              <w:bottom w:w="0" w:type="dxa"/>
              <w:right w:w="53" w:type="dxa"/>
            </w:tcMar>
            <w:vAlign w:val="bottom"/>
          </w:tcPr>
          <w:p w14:paraId="2E39A7BF" w14:textId="77777777" w:rsidR="001614AC" w:rsidRDefault="004468F9">
            <w:pPr>
              <w:keepNext/>
              <w:spacing w:before="55" w:after="30" w:line="288" w:lineRule="auto"/>
              <w:ind w:left="480"/>
            </w:pPr>
            <w:r>
              <w:rPr>
                <w:rFonts w:ascii="Arial" w:eastAsia="Arial" w:hAnsi="Arial" w:cs="Arial"/>
                <w:color w:val="000000"/>
                <w:sz w:val="18"/>
              </w:rPr>
              <w:t>Net decrease (increase) in expected credit losses</w:t>
            </w:r>
          </w:p>
        </w:tc>
        <w:tc>
          <w:tcPr>
            <w:tcW w:w="105" w:type="dxa"/>
            <w:tcBorders>
              <w:top w:val="nil"/>
              <w:left w:val="nil"/>
              <w:bottom w:val="nil"/>
              <w:right w:val="nil"/>
            </w:tcBorders>
            <w:tcMar>
              <w:top w:w="0" w:type="dxa"/>
              <w:left w:w="0" w:type="dxa"/>
              <w:bottom w:w="0" w:type="dxa"/>
              <w:right w:w="0" w:type="dxa"/>
            </w:tcMar>
            <w:vAlign w:val="bottom"/>
          </w:tcPr>
          <w:p w14:paraId="74E51A55" w14:textId="77777777" w:rsidR="001614AC" w:rsidRDefault="001614AC">
            <w:pPr>
              <w:keepNext/>
            </w:pPr>
          </w:p>
        </w:tc>
        <w:tc>
          <w:tcPr>
            <w:tcW w:w="935" w:type="dxa"/>
            <w:gridSpan w:val="2"/>
            <w:tcBorders>
              <w:top w:val="single" w:sz="8" w:space="0" w:color="E9E9E9"/>
              <w:left w:val="nil"/>
              <w:bottom w:val="nil"/>
              <w:right w:val="nil"/>
            </w:tcBorders>
            <w:tcMar>
              <w:top w:w="0" w:type="dxa"/>
              <w:left w:w="53" w:type="dxa"/>
              <w:bottom w:w="0" w:type="dxa"/>
              <w:right w:w="0" w:type="dxa"/>
            </w:tcMar>
            <w:vAlign w:val="bottom"/>
          </w:tcPr>
          <w:p w14:paraId="143027D1" w14:textId="77777777" w:rsidR="001614AC" w:rsidRDefault="004468F9">
            <w:pPr>
              <w:keepNext/>
              <w:spacing w:before="55" w:after="30" w:line="288" w:lineRule="auto"/>
              <w:jc w:val="right"/>
            </w:pPr>
            <w:r>
              <w:rPr>
                <w:rFonts w:ascii="Arial" w:eastAsia="Arial" w:hAnsi="Arial" w:cs="Arial"/>
                <w:color w:val="000000"/>
                <w:sz w:val="18"/>
              </w:rPr>
              <w:t>(2,782)</w:t>
            </w:r>
          </w:p>
        </w:tc>
        <w:tc>
          <w:tcPr>
            <w:tcW w:w="100" w:type="dxa"/>
            <w:tcBorders>
              <w:top w:val="single" w:sz="8" w:space="0" w:color="E9E9E9"/>
              <w:left w:val="nil"/>
              <w:bottom w:val="nil"/>
              <w:right w:val="nil"/>
            </w:tcBorders>
            <w:tcMar>
              <w:top w:w="0" w:type="dxa"/>
              <w:left w:w="0" w:type="dxa"/>
              <w:bottom w:w="0" w:type="dxa"/>
              <w:right w:w="15" w:type="dxa"/>
            </w:tcMar>
            <w:vAlign w:val="bottom"/>
          </w:tcPr>
          <w:p w14:paraId="16743700" w14:textId="77777777" w:rsidR="001614AC" w:rsidRDefault="001614AC">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036EA5B7" w14:textId="77777777" w:rsidR="001614AC" w:rsidRDefault="001614AC">
            <w:pPr>
              <w:keepNext/>
            </w:pPr>
          </w:p>
        </w:tc>
        <w:tc>
          <w:tcPr>
            <w:tcW w:w="935" w:type="dxa"/>
            <w:gridSpan w:val="2"/>
            <w:tcBorders>
              <w:top w:val="single" w:sz="8" w:space="0" w:color="E9E9E9"/>
              <w:left w:val="nil"/>
              <w:bottom w:val="nil"/>
              <w:right w:val="nil"/>
            </w:tcBorders>
            <w:tcMar>
              <w:top w:w="0" w:type="dxa"/>
              <w:left w:w="53" w:type="dxa"/>
              <w:bottom w:w="0" w:type="dxa"/>
              <w:right w:w="0" w:type="dxa"/>
            </w:tcMar>
            <w:vAlign w:val="bottom"/>
          </w:tcPr>
          <w:p w14:paraId="46D7FF20" w14:textId="77777777" w:rsidR="001614AC" w:rsidRDefault="004468F9">
            <w:pPr>
              <w:keepNext/>
              <w:spacing w:before="55" w:after="30" w:line="288" w:lineRule="auto"/>
              <w:jc w:val="right"/>
            </w:pPr>
            <w:r>
              <w:rPr>
                <w:rFonts w:ascii="Arial" w:eastAsia="Arial" w:hAnsi="Arial" w:cs="Arial"/>
                <w:color w:val="000000"/>
                <w:sz w:val="18"/>
              </w:rPr>
              <w:t>(584)</w:t>
            </w:r>
          </w:p>
        </w:tc>
        <w:tc>
          <w:tcPr>
            <w:tcW w:w="100" w:type="dxa"/>
            <w:tcBorders>
              <w:top w:val="single" w:sz="8" w:space="0" w:color="E9E9E9"/>
              <w:left w:val="nil"/>
              <w:bottom w:val="nil"/>
              <w:right w:val="nil"/>
            </w:tcBorders>
            <w:tcMar>
              <w:top w:w="0" w:type="dxa"/>
              <w:left w:w="0" w:type="dxa"/>
              <w:bottom w:w="0" w:type="dxa"/>
              <w:right w:w="15" w:type="dxa"/>
            </w:tcMar>
            <w:vAlign w:val="bottom"/>
          </w:tcPr>
          <w:p w14:paraId="67633774" w14:textId="77777777" w:rsidR="001614AC" w:rsidRDefault="001614AC">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64534C42" w14:textId="77777777" w:rsidR="001614AC" w:rsidRDefault="001614AC">
            <w:pPr>
              <w:keepNext/>
            </w:pPr>
          </w:p>
        </w:tc>
        <w:tc>
          <w:tcPr>
            <w:tcW w:w="935" w:type="dxa"/>
            <w:gridSpan w:val="2"/>
            <w:tcBorders>
              <w:top w:val="single" w:sz="8" w:space="0" w:color="E9E9E9"/>
              <w:left w:val="nil"/>
              <w:bottom w:val="nil"/>
              <w:right w:val="nil"/>
            </w:tcBorders>
            <w:tcMar>
              <w:top w:w="0" w:type="dxa"/>
              <w:left w:w="53" w:type="dxa"/>
              <w:bottom w:w="0" w:type="dxa"/>
              <w:right w:w="0" w:type="dxa"/>
            </w:tcMar>
            <w:vAlign w:val="bottom"/>
          </w:tcPr>
          <w:p w14:paraId="6AA16820" w14:textId="77777777" w:rsidR="001614AC" w:rsidRDefault="004468F9">
            <w:pPr>
              <w:keepNext/>
              <w:spacing w:before="55" w:after="30" w:line="288" w:lineRule="auto"/>
              <w:jc w:val="right"/>
            </w:pPr>
            <w:r>
              <w:rPr>
                <w:rFonts w:ascii="Arial" w:eastAsia="Arial" w:hAnsi="Arial" w:cs="Arial"/>
                <w:color w:val="000000"/>
                <w:sz w:val="18"/>
              </w:rPr>
              <w:t>(2,198)</w:t>
            </w:r>
          </w:p>
        </w:tc>
        <w:tc>
          <w:tcPr>
            <w:tcW w:w="100" w:type="dxa"/>
            <w:tcBorders>
              <w:top w:val="single" w:sz="8" w:space="0" w:color="E9E9E9"/>
              <w:left w:val="nil"/>
              <w:bottom w:val="nil"/>
              <w:right w:val="nil"/>
            </w:tcBorders>
            <w:tcMar>
              <w:top w:w="0" w:type="dxa"/>
              <w:left w:w="0" w:type="dxa"/>
              <w:bottom w:w="0" w:type="dxa"/>
              <w:right w:w="15" w:type="dxa"/>
            </w:tcMar>
            <w:vAlign w:val="bottom"/>
          </w:tcPr>
          <w:p w14:paraId="4D247FE5" w14:textId="77777777" w:rsidR="001614AC" w:rsidRDefault="001614AC">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0C4B6017" w14:textId="77777777" w:rsidR="001614AC" w:rsidRDefault="001614AC">
            <w:pPr>
              <w:keepNext/>
            </w:pPr>
          </w:p>
        </w:tc>
        <w:tc>
          <w:tcPr>
            <w:tcW w:w="935" w:type="dxa"/>
            <w:gridSpan w:val="2"/>
            <w:tcBorders>
              <w:top w:val="single" w:sz="8" w:space="0" w:color="E9E9E9"/>
              <w:left w:val="nil"/>
              <w:bottom w:val="nil"/>
              <w:right w:val="nil"/>
            </w:tcBorders>
            <w:tcMar>
              <w:top w:w="0" w:type="dxa"/>
              <w:left w:w="53" w:type="dxa"/>
              <w:bottom w:w="0" w:type="dxa"/>
              <w:right w:w="0" w:type="dxa"/>
            </w:tcMar>
            <w:vAlign w:val="bottom"/>
          </w:tcPr>
          <w:p w14:paraId="42B21B69" w14:textId="77777777" w:rsidR="001614AC" w:rsidRDefault="004468F9">
            <w:pPr>
              <w:keepNext/>
              <w:spacing w:before="55" w:after="30" w:line="288" w:lineRule="auto"/>
              <w:jc w:val="right"/>
            </w:pPr>
            <w:r>
              <w:rPr>
                <w:rFonts w:ascii="Arial" w:eastAsia="Arial" w:hAnsi="Arial" w:cs="Arial"/>
                <w:color w:val="000000"/>
                <w:sz w:val="18"/>
              </w:rPr>
              <w:t>(2,782)</w:t>
            </w:r>
          </w:p>
        </w:tc>
        <w:tc>
          <w:tcPr>
            <w:tcW w:w="100" w:type="dxa"/>
            <w:tcBorders>
              <w:top w:val="single" w:sz="8" w:space="0" w:color="E9E9E9"/>
              <w:left w:val="nil"/>
              <w:bottom w:val="nil"/>
              <w:right w:val="nil"/>
            </w:tcBorders>
            <w:tcMar>
              <w:top w:w="0" w:type="dxa"/>
              <w:left w:w="0" w:type="dxa"/>
              <w:bottom w:w="0" w:type="dxa"/>
              <w:right w:w="15" w:type="dxa"/>
            </w:tcMar>
            <w:vAlign w:val="bottom"/>
          </w:tcPr>
          <w:p w14:paraId="45D268CE" w14:textId="77777777" w:rsidR="001614AC" w:rsidRDefault="001614AC">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340B82A0" w14:textId="77777777" w:rsidR="001614AC" w:rsidRDefault="001614AC">
            <w:pPr>
              <w:keepNext/>
            </w:pPr>
          </w:p>
        </w:tc>
        <w:tc>
          <w:tcPr>
            <w:tcW w:w="935" w:type="dxa"/>
            <w:gridSpan w:val="2"/>
            <w:tcBorders>
              <w:top w:val="single" w:sz="8" w:space="0" w:color="E9E9E9"/>
              <w:left w:val="nil"/>
              <w:bottom w:val="nil"/>
              <w:right w:val="nil"/>
            </w:tcBorders>
            <w:tcMar>
              <w:top w:w="0" w:type="dxa"/>
              <w:left w:w="53" w:type="dxa"/>
              <w:bottom w:w="0" w:type="dxa"/>
              <w:right w:w="0" w:type="dxa"/>
            </w:tcMar>
            <w:vAlign w:val="bottom"/>
          </w:tcPr>
          <w:p w14:paraId="389EFB28" w14:textId="77777777" w:rsidR="001614AC" w:rsidRDefault="004468F9">
            <w:pPr>
              <w:keepNext/>
              <w:spacing w:before="55" w:after="30" w:line="288" w:lineRule="auto"/>
              <w:jc w:val="right"/>
            </w:pPr>
            <w:r>
              <w:rPr>
                <w:rFonts w:ascii="Arial" w:eastAsia="Arial" w:hAnsi="Arial" w:cs="Arial"/>
                <w:color w:val="000000"/>
                <w:sz w:val="18"/>
              </w:rPr>
              <w:t>(584)</w:t>
            </w:r>
          </w:p>
        </w:tc>
        <w:tc>
          <w:tcPr>
            <w:tcW w:w="100" w:type="dxa"/>
            <w:tcBorders>
              <w:top w:val="single" w:sz="8" w:space="0" w:color="E9E9E9"/>
              <w:left w:val="nil"/>
              <w:bottom w:val="nil"/>
              <w:right w:val="nil"/>
            </w:tcBorders>
            <w:tcMar>
              <w:top w:w="0" w:type="dxa"/>
              <w:left w:w="0" w:type="dxa"/>
              <w:bottom w:w="0" w:type="dxa"/>
              <w:right w:w="15" w:type="dxa"/>
            </w:tcMar>
            <w:vAlign w:val="bottom"/>
          </w:tcPr>
          <w:p w14:paraId="46160EDD" w14:textId="77777777" w:rsidR="001614AC" w:rsidRDefault="001614AC">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57450C40" w14:textId="77777777" w:rsidR="001614AC" w:rsidRDefault="001614AC">
            <w:pPr>
              <w:keepNext/>
            </w:pPr>
          </w:p>
        </w:tc>
        <w:tc>
          <w:tcPr>
            <w:tcW w:w="935" w:type="dxa"/>
            <w:gridSpan w:val="2"/>
            <w:tcBorders>
              <w:top w:val="single" w:sz="8" w:space="0" w:color="E9E9E9"/>
              <w:left w:val="nil"/>
              <w:bottom w:val="nil"/>
              <w:right w:val="nil"/>
            </w:tcBorders>
            <w:tcMar>
              <w:top w:w="0" w:type="dxa"/>
              <w:left w:w="53" w:type="dxa"/>
              <w:bottom w:w="0" w:type="dxa"/>
              <w:right w:w="0" w:type="dxa"/>
            </w:tcMar>
            <w:vAlign w:val="bottom"/>
          </w:tcPr>
          <w:p w14:paraId="0EF3D689" w14:textId="77777777" w:rsidR="001614AC" w:rsidRDefault="004468F9">
            <w:pPr>
              <w:keepNext/>
              <w:spacing w:before="55" w:after="30" w:line="288" w:lineRule="auto"/>
              <w:jc w:val="right"/>
            </w:pPr>
            <w:r>
              <w:rPr>
                <w:rFonts w:ascii="Arial" w:eastAsia="Arial" w:hAnsi="Arial" w:cs="Arial"/>
                <w:color w:val="000000"/>
                <w:sz w:val="18"/>
              </w:rPr>
              <w:t>(2,198)</w:t>
            </w:r>
          </w:p>
        </w:tc>
        <w:tc>
          <w:tcPr>
            <w:tcW w:w="100" w:type="dxa"/>
            <w:tcBorders>
              <w:top w:val="single" w:sz="8" w:space="0" w:color="E9E9E9"/>
              <w:left w:val="nil"/>
              <w:bottom w:val="nil"/>
              <w:right w:val="nil"/>
            </w:tcBorders>
            <w:tcMar>
              <w:top w:w="0" w:type="dxa"/>
              <w:left w:w="0" w:type="dxa"/>
              <w:bottom w:w="0" w:type="dxa"/>
              <w:right w:w="15" w:type="dxa"/>
            </w:tcMar>
            <w:vAlign w:val="bottom"/>
          </w:tcPr>
          <w:p w14:paraId="3B79ECBC" w14:textId="77777777" w:rsidR="001614AC" w:rsidRDefault="001614AC">
            <w:pPr>
              <w:keepNext/>
              <w:spacing w:before="55" w:after="30" w:line="288" w:lineRule="auto"/>
              <w:jc w:val="right"/>
            </w:pPr>
          </w:p>
        </w:tc>
      </w:tr>
      <w:tr w:rsidR="001614AC" w14:paraId="2E6FC54F" w14:textId="77777777">
        <w:trPr>
          <w:cantSplit/>
        </w:trPr>
        <w:tc>
          <w:tcPr>
            <w:tcW w:w="3240" w:type="dxa"/>
            <w:tcBorders>
              <w:top w:val="single" w:sz="8" w:space="0" w:color="FFFFFF"/>
              <w:left w:val="nil"/>
              <w:bottom w:val="single" w:sz="8" w:space="0" w:color="FFFFFF"/>
              <w:right w:val="nil"/>
            </w:tcBorders>
            <w:shd w:val="clear" w:color="auto" w:fill="F4F4F4"/>
            <w:tcMar>
              <w:top w:w="0" w:type="dxa"/>
              <w:left w:w="53" w:type="dxa"/>
              <w:bottom w:w="0" w:type="dxa"/>
              <w:right w:w="53" w:type="dxa"/>
            </w:tcMar>
            <w:vAlign w:val="bottom"/>
          </w:tcPr>
          <w:p w14:paraId="56AEAE99" w14:textId="77777777" w:rsidR="001614AC" w:rsidRDefault="004468F9">
            <w:pPr>
              <w:keepNext/>
              <w:spacing w:before="55" w:after="30" w:line="288" w:lineRule="auto"/>
              <w:ind w:left="240"/>
            </w:pPr>
            <w:r>
              <w:rPr>
                <w:rFonts w:ascii="Arial" w:eastAsia="Arial" w:hAnsi="Arial" w:cs="Arial"/>
                <w:color w:val="000000"/>
                <w:sz w:val="18"/>
              </w:rPr>
              <w:t>Other comprehensive income (loss)</w:t>
            </w:r>
          </w:p>
        </w:tc>
        <w:tc>
          <w:tcPr>
            <w:tcW w:w="105" w:type="dxa"/>
            <w:tcBorders>
              <w:top w:val="nil"/>
              <w:left w:val="nil"/>
              <w:bottom w:val="nil"/>
              <w:right w:val="nil"/>
            </w:tcBorders>
            <w:shd w:val="clear" w:color="auto" w:fill="F4F4F4"/>
            <w:tcMar>
              <w:top w:w="0" w:type="dxa"/>
              <w:left w:w="0" w:type="dxa"/>
              <w:bottom w:w="0" w:type="dxa"/>
              <w:right w:w="0" w:type="dxa"/>
            </w:tcMar>
            <w:vAlign w:val="bottom"/>
          </w:tcPr>
          <w:p w14:paraId="066CFFF9" w14:textId="77777777" w:rsidR="001614AC" w:rsidRDefault="001614AC">
            <w:pPr>
              <w:keepNext/>
            </w:pPr>
          </w:p>
        </w:tc>
        <w:tc>
          <w:tcPr>
            <w:tcW w:w="935" w:type="dxa"/>
            <w:gridSpan w:val="2"/>
            <w:tcBorders>
              <w:top w:val="single" w:sz="8" w:space="0" w:color="C7C9C7"/>
              <w:left w:val="nil"/>
              <w:bottom w:val="single" w:sz="8" w:space="0" w:color="C7C9C7"/>
              <w:right w:val="nil"/>
            </w:tcBorders>
            <w:shd w:val="clear" w:color="auto" w:fill="F4F4F4"/>
            <w:tcMar>
              <w:top w:w="0" w:type="dxa"/>
              <w:left w:w="53" w:type="dxa"/>
              <w:bottom w:w="0" w:type="dxa"/>
              <w:right w:w="0" w:type="dxa"/>
            </w:tcMar>
            <w:vAlign w:val="bottom"/>
          </w:tcPr>
          <w:p w14:paraId="1EA4A583" w14:textId="77777777" w:rsidR="001614AC" w:rsidRDefault="004468F9">
            <w:pPr>
              <w:keepNext/>
              <w:spacing w:before="55" w:after="30" w:line="288" w:lineRule="auto"/>
              <w:jc w:val="right"/>
            </w:pPr>
            <w:r>
              <w:rPr>
                <w:rFonts w:ascii="Arial" w:eastAsia="Arial" w:hAnsi="Arial" w:cs="Arial"/>
                <w:color w:val="000000"/>
                <w:sz w:val="18"/>
              </w:rPr>
              <w:t>230,836 </w:t>
            </w:r>
          </w:p>
        </w:tc>
        <w:tc>
          <w:tcPr>
            <w:tcW w:w="100" w:type="dxa"/>
            <w:tcBorders>
              <w:top w:val="single" w:sz="8" w:space="0" w:color="C7C9C7"/>
              <w:left w:val="nil"/>
              <w:bottom w:val="single" w:sz="8" w:space="0" w:color="C7C9C7"/>
              <w:right w:val="nil"/>
            </w:tcBorders>
            <w:shd w:val="clear" w:color="auto" w:fill="F4F4F4"/>
            <w:tcMar>
              <w:top w:w="0" w:type="dxa"/>
              <w:left w:w="0" w:type="dxa"/>
              <w:bottom w:w="0" w:type="dxa"/>
              <w:right w:w="15" w:type="dxa"/>
            </w:tcMar>
            <w:vAlign w:val="bottom"/>
          </w:tcPr>
          <w:p w14:paraId="2D6E52F4" w14:textId="77777777" w:rsidR="001614AC" w:rsidRDefault="001614AC">
            <w:pPr>
              <w:keepNext/>
              <w:spacing w:before="55" w:after="30" w:line="288" w:lineRule="auto"/>
              <w:jc w:val="right"/>
            </w:pPr>
          </w:p>
        </w:tc>
        <w:tc>
          <w:tcPr>
            <w:tcW w:w="105" w:type="dxa"/>
            <w:tcBorders>
              <w:top w:val="single" w:sz="8" w:space="0" w:color="FFFFFF"/>
              <w:left w:val="nil"/>
              <w:bottom w:val="single" w:sz="8" w:space="0" w:color="FFFFFF"/>
              <w:right w:val="nil"/>
            </w:tcBorders>
            <w:shd w:val="clear" w:color="auto" w:fill="F4F4F4"/>
            <w:tcMar>
              <w:top w:w="0" w:type="dxa"/>
              <w:left w:w="0" w:type="dxa"/>
              <w:bottom w:w="0" w:type="dxa"/>
              <w:right w:w="0" w:type="dxa"/>
            </w:tcMar>
            <w:vAlign w:val="bottom"/>
          </w:tcPr>
          <w:p w14:paraId="7C71359A" w14:textId="77777777" w:rsidR="001614AC" w:rsidRDefault="001614AC">
            <w:pPr>
              <w:keepNext/>
            </w:pPr>
          </w:p>
        </w:tc>
        <w:tc>
          <w:tcPr>
            <w:tcW w:w="935" w:type="dxa"/>
            <w:gridSpan w:val="2"/>
            <w:tcBorders>
              <w:top w:val="single" w:sz="8" w:space="0" w:color="C7C9C7"/>
              <w:left w:val="nil"/>
              <w:bottom w:val="single" w:sz="8" w:space="0" w:color="C7C9C7"/>
              <w:right w:val="nil"/>
            </w:tcBorders>
            <w:shd w:val="clear" w:color="auto" w:fill="F4F4F4"/>
            <w:tcMar>
              <w:top w:w="0" w:type="dxa"/>
              <w:left w:w="53" w:type="dxa"/>
              <w:bottom w:w="0" w:type="dxa"/>
              <w:right w:w="0" w:type="dxa"/>
            </w:tcMar>
            <w:vAlign w:val="bottom"/>
          </w:tcPr>
          <w:p w14:paraId="1E22426B" w14:textId="77777777" w:rsidR="001614AC" w:rsidRDefault="004468F9">
            <w:pPr>
              <w:keepNext/>
              <w:spacing w:before="55" w:after="30" w:line="288" w:lineRule="auto"/>
              <w:jc w:val="right"/>
            </w:pPr>
            <w:r>
              <w:rPr>
                <w:rFonts w:ascii="Arial" w:eastAsia="Arial" w:hAnsi="Arial" w:cs="Arial"/>
                <w:color w:val="000000"/>
                <w:sz w:val="18"/>
              </w:rPr>
              <w:t>48,476 </w:t>
            </w:r>
          </w:p>
        </w:tc>
        <w:tc>
          <w:tcPr>
            <w:tcW w:w="100" w:type="dxa"/>
            <w:tcBorders>
              <w:top w:val="single" w:sz="8" w:space="0" w:color="C7C9C7"/>
              <w:left w:val="nil"/>
              <w:bottom w:val="single" w:sz="8" w:space="0" w:color="C7C9C7"/>
              <w:right w:val="nil"/>
            </w:tcBorders>
            <w:shd w:val="clear" w:color="auto" w:fill="F4F4F4"/>
            <w:tcMar>
              <w:top w:w="0" w:type="dxa"/>
              <w:left w:w="0" w:type="dxa"/>
              <w:bottom w:w="0" w:type="dxa"/>
              <w:right w:w="15" w:type="dxa"/>
            </w:tcMar>
            <w:vAlign w:val="bottom"/>
          </w:tcPr>
          <w:p w14:paraId="235AC4E3" w14:textId="77777777" w:rsidR="001614AC" w:rsidRDefault="001614AC">
            <w:pPr>
              <w:keepNext/>
              <w:spacing w:before="55" w:after="30" w:line="288" w:lineRule="auto"/>
              <w:jc w:val="right"/>
            </w:pPr>
          </w:p>
        </w:tc>
        <w:tc>
          <w:tcPr>
            <w:tcW w:w="105" w:type="dxa"/>
            <w:tcBorders>
              <w:top w:val="single" w:sz="8" w:space="0" w:color="FFFFFF"/>
              <w:left w:val="nil"/>
              <w:bottom w:val="single" w:sz="8" w:space="0" w:color="FFFFFF"/>
              <w:right w:val="nil"/>
            </w:tcBorders>
            <w:shd w:val="clear" w:color="auto" w:fill="F4F4F4"/>
            <w:tcMar>
              <w:top w:w="0" w:type="dxa"/>
              <w:left w:w="0" w:type="dxa"/>
              <w:bottom w:w="0" w:type="dxa"/>
              <w:right w:w="0" w:type="dxa"/>
            </w:tcMar>
            <w:vAlign w:val="bottom"/>
          </w:tcPr>
          <w:p w14:paraId="6C3FECEA" w14:textId="77777777" w:rsidR="001614AC" w:rsidRDefault="001614AC">
            <w:pPr>
              <w:keepNext/>
            </w:pPr>
          </w:p>
        </w:tc>
        <w:tc>
          <w:tcPr>
            <w:tcW w:w="935" w:type="dxa"/>
            <w:gridSpan w:val="2"/>
            <w:tcBorders>
              <w:top w:val="single" w:sz="8" w:space="0" w:color="C7C9C7"/>
              <w:left w:val="nil"/>
              <w:bottom w:val="single" w:sz="8" w:space="0" w:color="C7C9C7"/>
              <w:right w:val="nil"/>
            </w:tcBorders>
            <w:shd w:val="clear" w:color="auto" w:fill="F4F4F4"/>
            <w:tcMar>
              <w:top w:w="0" w:type="dxa"/>
              <w:left w:w="53" w:type="dxa"/>
              <w:bottom w:w="0" w:type="dxa"/>
              <w:right w:w="0" w:type="dxa"/>
            </w:tcMar>
            <w:vAlign w:val="bottom"/>
          </w:tcPr>
          <w:p w14:paraId="6B70AC8A" w14:textId="77777777" w:rsidR="001614AC" w:rsidRDefault="004468F9">
            <w:pPr>
              <w:keepNext/>
              <w:spacing w:before="55" w:after="30" w:line="288" w:lineRule="auto"/>
              <w:jc w:val="right"/>
            </w:pPr>
            <w:r>
              <w:rPr>
                <w:rFonts w:ascii="Arial" w:eastAsia="Arial" w:hAnsi="Arial" w:cs="Arial"/>
                <w:color w:val="000000"/>
                <w:sz w:val="18"/>
              </w:rPr>
              <w:t>182,360 </w:t>
            </w:r>
          </w:p>
        </w:tc>
        <w:tc>
          <w:tcPr>
            <w:tcW w:w="100" w:type="dxa"/>
            <w:tcBorders>
              <w:top w:val="single" w:sz="8" w:space="0" w:color="C7C9C7"/>
              <w:left w:val="nil"/>
              <w:bottom w:val="single" w:sz="8" w:space="0" w:color="C7C9C7"/>
              <w:right w:val="nil"/>
            </w:tcBorders>
            <w:shd w:val="clear" w:color="auto" w:fill="F4F4F4"/>
            <w:tcMar>
              <w:top w:w="0" w:type="dxa"/>
              <w:left w:w="0" w:type="dxa"/>
              <w:bottom w:w="0" w:type="dxa"/>
              <w:right w:w="15" w:type="dxa"/>
            </w:tcMar>
            <w:vAlign w:val="bottom"/>
          </w:tcPr>
          <w:p w14:paraId="5C981AC0" w14:textId="77777777" w:rsidR="001614AC" w:rsidRDefault="001614AC">
            <w:pPr>
              <w:keepNext/>
              <w:spacing w:before="55" w:after="30" w:line="288" w:lineRule="auto"/>
              <w:jc w:val="right"/>
            </w:pPr>
          </w:p>
        </w:tc>
        <w:tc>
          <w:tcPr>
            <w:tcW w:w="105" w:type="dxa"/>
            <w:tcBorders>
              <w:top w:val="single" w:sz="8" w:space="0" w:color="FFFFFF"/>
              <w:left w:val="nil"/>
              <w:bottom w:val="single" w:sz="8" w:space="0" w:color="FFFFFF"/>
              <w:right w:val="nil"/>
            </w:tcBorders>
            <w:shd w:val="clear" w:color="auto" w:fill="F4F4F4"/>
            <w:tcMar>
              <w:top w:w="0" w:type="dxa"/>
              <w:left w:w="0" w:type="dxa"/>
              <w:bottom w:w="0" w:type="dxa"/>
              <w:right w:w="0" w:type="dxa"/>
            </w:tcMar>
            <w:vAlign w:val="bottom"/>
          </w:tcPr>
          <w:p w14:paraId="524711E3" w14:textId="77777777" w:rsidR="001614AC" w:rsidRDefault="001614AC">
            <w:pPr>
              <w:keepNext/>
            </w:pPr>
          </w:p>
        </w:tc>
        <w:tc>
          <w:tcPr>
            <w:tcW w:w="935" w:type="dxa"/>
            <w:gridSpan w:val="2"/>
            <w:tcBorders>
              <w:top w:val="single" w:sz="8" w:space="0" w:color="C7C9C7"/>
              <w:left w:val="nil"/>
              <w:bottom w:val="single" w:sz="8" w:space="0" w:color="C7C9C7"/>
              <w:right w:val="nil"/>
            </w:tcBorders>
            <w:shd w:val="clear" w:color="auto" w:fill="F4F4F4"/>
            <w:tcMar>
              <w:top w:w="0" w:type="dxa"/>
              <w:left w:w="53" w:type="dxa"/>
              <w:bottom w:w="0" w:type="dxa"/>
              <w:right w:w="0" w:type="dxa"/>
            </w:tcMar>
            <w:vAlign w:val="bottom"/>
          </w:tcPr>
          <w:p w14:paraId="0B861F03" w14:textId="77777777" w:rsidR="001614AC" w:rsidRDefault="004468F9">
            <w:pPr>
              <w:keepNext/>
              <w:spacing w:before="55" w:after="30" w:line="288" w:lineRule="auto"/>
              <w:jc w:val="right"/>
            </w:pPr>
            <w:r>
              <w:rPr>
                <w:rFonts w:ascii="Arial" w:eastAsia="Arial" w:hAnsi="Arial" w:cs="Arial"/>
                <w:color w:val="000000"/>
                <w:sz w:val="18"/>
              </w:rPr>
              <w:t>128,700 </w:t>
            </w:r>
          </w:p>
        </w:tc>
        <w:tc>
          <w:tcPr>
            <w:tcW w:w="100" w:type="dxa"/>
            <w:tcBorders>
              <w:top w:val="single" w:sz="8" w:space="0" w:color="C7C9C7"/>
              <w:left w:val="nil"/>
              <w:bottom w:val="single" w:sz="8" w:space="0" w:color="C7C9C7"/>
              <w:right w:val="nil"/>
            </w:tcBorders>
            <w:shd w:val="clear" w:color="auto" w:fill="F4F4F4"/>
            <w:tcMar>
              <w:top w:w="0" w:type="dxa"/>
              <w:left w:w="0" w:type="dxa"/>
              <w:bottom w:w="0" w:type="dxa"/>
              <w:right w:w="15" w:type="dxa"/>
            </w:tcMar>
            <w:vAlign w:val="bottom"/>
          </w:tcPr>
          <w:p w14:paraId="33607EFF" w14:textId="77777777" w:rsidR="001614AC" w:rsidRDefault="001614AC">
            <w:pPr>
              <w:keepNext/>
              <w:spacing w:before="55" w:after="30" w:line="288" w:lineRule="auto"/>
              <w:jc w:val="right"/>
            </w:pPr>
          </w:p>
        </w:tc>
        <w:tc>
          <w:tcPr>
            <w:tcW w:w="105" w:type="dxa"/>
            <w:tcBorders>
              <w:top w:val="single" w:sz="8" w:space="0" w:color="FFFFFF"/>
              <w:left w:val="nil"/>
              <w:bottom w:val="single" w:sz="8" w:space="0" w:color="FFFFFF"/>
              <w:right w:val="nil"/>
            </w:tcBorders>
            <w:shd w:val="clear" w:color="auto" w:fill="F4F4F4"/>
            <w:tcMar>
              <w:top w:w="0" w:type="dxa"/>
              <w:left w:w="0" w:type="dxa"/>
              <w:bottom w:w="0" w:type="dxa"/>
              <w:right w:w="0" w:type="dxa"/>
            </w:tcMar>
            <w:vAlign w:val="bottom"/>
          </w:tcPr>
          <w:p w14:paraId="17F4CC5D" w14:textId="77777777" w:rsidR="001614AC" w:rsidRDefault="001614AC">
            <w:pPr>
              <w:keepNext/>
            </w:pPr>
          </w:p>
        </w:tc>
        <w:tc>
          <w:tcPr>
            <w:tcW w:w="935" w:type="dxa"/>
            <w:gridSpan w:val="2"/>
            <w:tcBorders>
              <w:top w:val="single" w:sz="8" w:space="0" w:color="C7C9C7"/>
              <w:left w:val="nil"/>
              <w:bottom w:val="single" w:sz="8" w:space="0" w:color="C7C9C7"/>
              <w:right w:val="nil"/>
            </w:tcBorders>
            <w:shd w:val="clear" w:color="auto" w:fill="F4F4F4"/>
            <w:tcMar>
              <w:top w:w="0" w:type="dxa"/>
              <w:left w:w="53" w:type="dxa"/>
              <w:bottom w:w="0" w:type="dxa"/>
              <w:right w:w="0" w:type="dxa"/>
            </w:tcMar>
            <w:vAlign w:val="bottom"/>
          </w:tcPr>
          <w:p w14:paraId="2550C974" w14:textId="77777777" w:rsidR="001614AC" w:rsidRDefault="004468F9">
            <w:pPr>
              <w:keepNext/>
              <w:spacing w:before="55" w:after="30" w:line="288" w:lineRule="auto"/>
              <w:jc w:val="right"/>
            </w:pPr>
            <w:r>
              <w:rPr>
                <w:rFonts w:ascii="Arial" w:eastAsia="Arial" w:hAnsi="Arial" w:cs="Arial"/>
                <w:color w:val="000000"/>
                <w:sz w:val="18"/>
              </w:rPr>
              <w:t>27,027 </w:t>
            </w:r>
          </w:p>
        </w:tc>
        <w:tc>
          <w:tcPr>
            <w:tcW w:w="100" w:type="dxa"/>
            <w:tcBorders>
              <w:top w:val="single" w:sz="8" w:space="0" w:color="C7C9C7"/>
              <w:left w:val="nil"/>
              <w:bottom w:val="single" w:sz="8" w:space="0" w:color="C7C9C7"/>
              <w:right w:val="nil"/>
            </w:tcBorders>
            <w:shd w:val="clear" w:color="auto" w:fill="F4F4F4"/>
            <w:tcMar>
              <w:top w:w="0" w:type="dxa"/>
              <w:left w:w="0" w:type="dxa"/>
              <w:bottom w:w="0" w:type="dxa"/>
              <w:right w:w="15" w:type="dxa"/>
            </w:tcMar>
            <w:vAlign w:val="bottom"/>
          </w:tcPr>
          <w:p w14:paraId="274D2D6D" w14:textId="77777777" w:rsidR="001614AC" w:rsidRDefault="001614AC">
            <w:pPr>
              <w:keepNext/>
              <w:spacing w:before="55" w:after="30" w:line="288" w:lineRule="auto"/>
              <w:jc w:val="right"/>
            </w:pPr>
          </w:p>
        </w:tc>
        <w:tc>
          <w:tcPr>
            <w:tcW w:w="105" w:type="dxa"/>
            <w:tcBorders>
              <w:top w:val="single" w:sz="8" w:space="0" w:color="FFFFFF"/>
              <w:left w:val="nil"/>
              <w:bottom w:val="single" w:sz="8" w:space="0" w:color="FFFFFF"/>
              <w:right w:val="nil"/>
            </w:tcBorders>
            <w:shd w:val="clear" w:color="auto" w:fill="F4F4F4"/>
            <w:tcMar>
              <w:top w:w="0" w:type="dxa"/>
              <w:left w:w="0" w:type="dxa"/>
              <w:bottom w:w="0" w:type="dxa"/>
              <w:right w:w="0" w:type="dxa"/>
            </w:tcMar>
            <w:vAlign w:val="bottom"/>
          </w:tcPr>
          <w:p w14:paraId="56D4709C" w14:textId="77777777" w:rsidR="001614AC" w:rsidRDefault="001614AC">
            <w:pPr>
              <w:keepNext/>
            </w:pPr>
          </w:p>
        </w:tc>
        <w:tc>
          <w:tcPr>
            <w:tcW w:w="935" w:type="dxa"/>
            <w:gridSpan w:val="2"/>
            <w:tcBorders>
              <w:top w:val="single" w:sz="8" w:space="0" w:color="C7C9C7"/>
              <w:left w:val="nil"/>
              <w:bottom w:val="single" w:sz="8" w:space="0" w:color="C7C9C7"/>
              <w:right w:val="nil"/>
            </w:tcBorders>
            <w:shd w:val="clear" w:color="auto" w:fill="F4F4F4"/>
            <w:tcMar>
              <w:top w:w="0" w:type="dxa"/>
              <w:left w:w="53" w:type="dxa"/>
              <w:bottom w:w="0" w:type="dxa"/>
              <w:right w:w="0" w:type="dxa"/>
            </w:tcMar>
            <w:vAlign w:val="bottom"/>
          </w:tcPr>
          <w:p w14:paraId="2EF0EB7D" w14:textId="77777777" w:rsidR="001614AC" w:rsidRDefault="004468F9">
            <w:pPr>
              <w:keepNext/>
              <w:spacing w:before="55" w:after="30" w:line="288" w:lineRule="auto"/>
              <w:jc w:val="right"/>
            </w:pPr>
            <w:r>
              <w:rPr>
                <w:rFonts w:ascii="Arial" w:eastAsia="Arial" w:hAnsi="Arial" w:cs="Arial"/>
                <w:color w:val="000000"/>
                <w:sz w:val="18"/>
              </w:rPr>
              <w:t>101,673 </w:t>
            </w:r>
          </w:p>
        </w:tc>
        <w:tc>
          <w:tcPr>
            <w:tcW w:w="100" w:type="dxa"/>
            <w:tcBorders>
              <w:top w:val="single" w:sz="8" w:space="0" w:color="C7C9C7"/>
              <w:left w:val="nil"/>
              <w:bottom w:val="single" w:sz="8" w:space="0" w:color="C7C9C7"/>
              <w:right w:val="nil"/>
            </w:tcBorders>
            <w:shd w:val="clear" w:color="auto" w:fill="F4F4F4"/>
            <w:tcMar>
              <w:top w:w="0" w:type="dxa"/>
              <w:left w:w="0" w:type="dxa"/>
              <w:bottom w:w="0" w:type="dxa"/>
              <w:right w:w="15" w:type="dxa"/>
            </w:tcMar>
            <w:vAlign w:val="bottom"/>
          </w:tcPr>
          <w:p w14:paraId="6B86D394" w14:textId="77777777" w:rsidR="001614AC" w:rsidRDefault="001614AC">
            <w:pPr>
              <w:keepNext/>
              <w:spacing w:before="55" w:after="30" w:line="288" w:lineRule="auto"/>
              <w:jc w:val="right"/>
            </w:pPr>
          </w:p>
        </w:tc>
      </w:tr>
      <w:tr w:rsidR="001614AC" w14:paraId="309FE1B4" w14:textId="77777777">
        <w:trPr>
          <w:cantSplit/>
        </w:trPr>
        <w:tc>
          <w:tcPr>
            <w:tcW w:w="3240" w:type="dxa"/>
            <w:tcBorders>
              <w:top w:val="single" w:sz="8" w:space="0" w:color="FFFFFF"/>
              <w:left w:val="nil"/>
              <w:bottom w:val="single" w:sz="8" w:space="0" w:color="FFFFFF"/>
              <w:right w:val="nil"/>
            </w:tcBorders>
            <w:shd w:val="clear" w:color="auto" w:fill="F4F4F4"/>
            <w:tcMar>
              <w:top w:w="0" w:type="dxa"/>
              <w:left w:w="53" w:type="dxa"/>
              <w:bottom w:w="0" w:type="dxa"/>
              <w:right w:w="53" w:type="dxa"/>
            </w:tcMar>
            <w:vAlign w:val="bottom"/>
          </w:tcPr>
          <w:p w14:paraId="10F13AF3" w14:textId="77777777" w:rsidR="001614AC" w:rsidRDefault="004468F9">
            <w:pPr>
              <w:spacing w:before="55" w:after="30" w:line="288" w:lineRule="auto"/>
            </w:pPr>
            <w:r>
              <w:rPr>
                <w:rFonts w:ascii="Arial" w:eastAsia="Arial" w:hAnsi="Arial" w:cs="Arial"/>
                <w:color w:val="000000"/>
                <w:sz w:val="18"/>
              </w:rPr>
              <w:t>Balance at end of period</w:t>
            </w:r>
          </w:p>
        </w:tc>
        <w:tc>
          <w:tcPr>
            <w:tcW w:w="105" w:type="dxa"/>
            <w:tcBorders>
              <w:top w:val="nil"/>
              <w:left w:val="nil"/>
              <w:bottom w:val="nil"/>
              <w:right w:val="nil"/>
            </w:tcBorders>
            <w:shd w:val="clear" w:color="auto" w:fill="F4F4F4"/>
            <w:tcMar>
              <w:top w:w="0" w:type="dxa"/>
              <w:left w:w="0" w:type="dxa"/>
              <w:bottom w:w="0" w:type="dxa"/>
              <w:right w:w="0" w:type="dxa"/>
            </w:tcMar>
            <w:vAlign w:val="bottom"/>
          </w:tcPr>
          <w:p w14:paraId="116F2830" w14:textId="77777777" w:rsidR="001614AC" w:rsidRDefault="001614AC"/>
        </w:tc>
        <w:tc>
          <w:tcPr>
            <w:tcW w:w="160" w:type="dxa"/>
            <w:tcBorders>
              <w:top w:val="single" w:sz="8" w:space="0" w:color="C7C9C7"/>
              <w:left w:val="nil"/>
              <w:bottom w:val="double" w:sz="8" w:space="0" w:color="C7C9C7"/>
              <w:right w:val="nil"/>
            </w:tcBorders>
            <w:shd w:val="clear" w:color="auto" w:fill="F4F4F4"/>
            <w:tcMar>
              <w:top w:w="0" w:type="dxa"/>
              <w:left w:w="53" w:type="dxa"/>
              <w:bottom w:w="0" w:type="dxa"/>
              <w:right w:w="0" w:type="dxa"/>
            </w:tcMar>
            <w:vAlign w:val="bottom"/>
          </w:tcPr>
          <w:p w14:paraId="70657DD8" w14:textId="77777777" w:rsidR="001614AC" w:rsidRDefault="004468F9">
            <w:pPr>
              <w:spacing w:before="55" w:after="30" w:line="288" w:lineRule="auto"/>
            </w:pPr>
            <w:r>
              <w:rPr>
                <w:rFonts w:ascii="Arial" w:eastAsia="Arial" w:hAnsi="Arial" w:cs="Arial"/>
                <w:color w:val="000000"/>
                <w:sz w:val="18"/>
              </w:rPr>
              <w:t>$</w:t>
            </w:r>
          </w:p>
        </w:tc>
        <w:tc>
          <w:tcPr>
            <w:tcW w:w="775" w:type="dxa"/>
            <w:tcBorders>
              <w:top w:val="single" w:sz="8" w:space="0" w:color="C7C9C7"/>
              <w:left w:val="nil"/>
              <w:bottom w:val="double" w:sz="8" w:space="0" w:color="C7C9C7"/>
              <w:right w:val="nil"/>
            </w:tcBorders>
            <w:shd w:val="clear" w:color="auto" w:fill="F4F4F4"/>
            <w:tcMar>
              <w:top w:w="0" w:type="dxa"/>
              <w:left w:w="0" w:type="dxa"/>
              <w:bottom w:w="0" w:type="dxa"/>
              <w:right w:w="0" w:type="dxa"/>
            </w:tcMar>
            <w:vAlign w:val="bottom"/>
          </w:tcPr>
          <w:p w14:paraId="0099C175" w14:textId="77777777" w:rsidR="001614AC" w:rsidRDefault="004468F9">
            <w:pPr>
              <w:spacing w:before="55" w:after="30" w:line="288" w:lineRule="auto"/>
              <w:jc w:val="right"/>
            </w:pPr>
            <w:r>
              <w:rPr>
                <w:rFonts w:ascii="Arial" w:eastAsia="Arial" w:hAnsi="Arial" w:cs="Arial"/>
                <w:color w:val="000000"/>
                <w:sz w:val="18"/>
              </w:rPr>
              <w:t>268,558 </w:t>
            </w:r>
          </w:p>
        </w:tc>
        <w:tc>
          <w:tcPr>
            <w:tcW w:w="100" w:type="dxa"/>
            <w:tcBorders>
              <w:top w:val="single" w:sz="8" w:space="0" w:color="C7C9C7"/>
              <w:left w:val="nil"/>
              <w:bottom w:val="double" w:sz="8" w:space="0" w:color="C7C9C7"/>
              <w:right w:val="nil"/>
            </w:tcBorders>
            <w:shd w:val="clear" w:color="auto" w:fill="F4F4F4"/>
            <w:tcMar>
              <w:top w:w="0" w:type="dxa"/>
              <w:left w:w="0" w:type="dxa"/>
              <w:bottom w:w="0" w:type="dxa"/>
              <w:right w:w="15" w:type="dxa"/>
            </w:tcMar>
            <w:vAlign w:val="bottom"/>
          </w:tcPr>
          <w:p w14:paraId="259F4DE4" w14:textId="77777777" w:rsidR="001614AC" w:rsidRDefault="001614AC">
            <w:pPr>
              <w:spacing w:before="55" w:after="30" w:line="288" w:lineRule="auto"/>
              <w:jc w:val="right"/>
            </w:pPr>
          </w:p>
        </w:tc>
        <w:tc>
          <w:tcPr>
            <w:tcW w:w="105" w:type="dxa"/>
            <w:tcBorders>
              <w:top w:val="single" w:sz="8" w:space="0" w:color="FFFFFF"/>
              <w:left w:val="nil"/>
              <w:bottom w:val="single" w:sz="8" w:space="0" w:color="FFFFFF"/>
              <w:right w:val="nil"/>
            </w:tcBorders>
            <w:shd w:val="clear" w:color="auto" w:fill="F4F4F4"/>
            <w:tcMar>
              <w:top w:w="0" w:type="dxa"/>
              <w:left w:w="0" w:type="dxa"/>
              <w:bottom w:w="0" w:type="dxa"/>
              <w:right w:w="0" w:type="dxa"/>
            </w:tcMar>
            <w:vAlign w:val="bottom"/>
          </w:tcPr>
          <w:p w14:paraId="6B7BF9FF" w14:textId="77777777" w:rsidR="001614AC" w:rsidRDefault="001614AC"/>
        </w:tc>
        <w:tc>
          <w:tcPr>
            <w:tcW w:w="160" w:type="dxa"/>
            <w:tcBorders>
              <w:top w:val="single" w:sz="8" w:space="0" w:color="C7C9C7"/>
              <w:left w:val="nil"/>
              <w:bottom w:val="double" w:sz="8" w:space="0" w:color="C7C9C7"/>
              <w:right w:val="nil"/>
            </w:tcBorders>
            <w:shd w:val="clear" w:color="auto" w:fill="F4F4F4"/>
            <w:tcMar>
              <w:top w:w="0" w:type="dxa"/>
              <w:left w:w="53" w:type="dxa"/>
              <w:bottom w:w="0" w:type="dxa"/>
              <w:right w:w="0" w:type="dxa"/>
            </w:tcMar>
            <w:vAlign w:val="bottom"/>
          </w:tcPr>
          <w:p w14:paraId="0E328CA3" w14:textId="77777777" w:rsidR="001614AC" w:rsidRDefault="004468F9">
            <w:pPr>
              <w:spacing w:before="55" w:after="30" w:line="288" w:lineRule="auto"/>
            </w:pPr>
            <w:r>
              <w:rPr>
                <w:rFonts w:ascii="Arial" w:eastAsia="Arial" w:hAnsi="Arial" w:cs="Arial"/>
                <w:color w:val="000000"/>
                <w:sz w:val="18"/>
              </w:rPr>
              <w:t>$</w:t>
            </w:r>
          </w:p>
        </w:tc>
        <w:tc>
          <w:tcPr>
            <w:tcW w:w="775" w:type="dxa"/>
            <w:tcBorders>
              <w:top w:val="single" w:sz="8" w:space="0" w:color="C7C9C7"/>
              <w:left w:val="nil"/>
              <w:bottom w:val="double" w:sz="8" w:space="0" w:color="C7C9C7"/>
              <w:right w:val="nil"/>
            </w:tcBorders>
            <w:shd w:val="clear" w:color="auto" w:fill="F4F4F4"/>
            <w:tcMar>
              <w:top w:w="0" w:type="dxa"/>
              <w:left w:w="0" w:type="dxa"/>
              <w:bottom w:w="0" w:type="dxa"/>
              <w:right w:w="0" w:type="dxa"/>
            </w:tcMar>
            <w:vAlign w:val="bottom"/>
          </w:tcPr>
          <w:p w14:paraId="4449EEC1" w14:textId="77777777" w:rsidR="001614AC" w:rsidRDefault="004468F9">
            <w:pPr>
              <w:spacing w:before="55" w:after="30" w:line="288" w:lineRule="auto"/>
              <w:jc w:val="right"/>
            </w:pPr>
            <w:r>
              <w:rPr>
                <w:rFonts w:ascii="Arial" w:eastAsia="Arial" w:hAnsi="Arial" w:cs="Arial"/>
                <w:color w:val="000000"/>
                <w:sz w:val="18"/>
              </w:rPr>
              <w:t>56,397 </w:t>
            </w:r>
          </w:p>
        </w:tc>
        <w:tc>
          <w:tcPr>
            <w:tcW w:w="100" w:type="dxa"/>
            <w:tcBorders>
              <w:top w:val="single" w:sz="8" w:space="0" w:color="C7C9C7"/>
              <w:left w:val="nil"/>
              <w:bottom w:val="double" w:sz="8" w:space="0" w:color="C7C9C7"/>
              <w:right w:val="nil"/>
            </w:tcBorders>
            <w:shd w:val="clear" w:color="auto" w:fill="F4F4F4"/>
            <w:tcMar>
              <w:top w:w="0" w:type="dxa"/>
              <w:left w:w="0" w:type="dxa"/>
              <w:bottom w:w="0" w:type="dxa"/>
              <w:right w:w="15" w:type="dxa"/>
            </w:tcMar>
            <w:vAlign w:val="bottom"/>
          </w:tcPr>
          <w:p w14:paraId="63593C07" w14:textId="77777777" w:rsidR="001614AC" w:rsidRDefault="001614AC">
            <w:pPr>
              <w:spacing w:before="55" w:after="30" w:line="288" w:lineRule="auto"/>
              <w:jc w:val="right"/>
            </w:pPr>
          </w:p>
        </w:tc>
        <w:tc>
          <w:tcPr>
            <w:tcW w:w="105" w:type="dxa"/>
            <w:tcBorders>
              <w:top w:val="single" w:sz="8" w:space="0" w:color="FFFFFF"/>
              <w:left w:val="nil"/>
              <w:bottom w:val="single" w:sz="8" w:space="0" w:color="FFFFFF"/>
              <w:right w:val="nil"/>
            </w:tcBorders>
            <w:shd w:val="clear" w:color="auto" w:fill="F4F4F4"/>
            <w:tcMar>
              <w:top w:w="0" w:type="dxa"/>
              <w:left w:w="0" w:type="dxa"/>
              <w:bottom w:w="0" w:type="dxa"/>
              <w:right w:w="0" w:type="dxa"/>
            </w:tcMar>
            <w:vAlign w:val="bottom"/>
          </w:tcPr>
          <w:p w14:paraId="7160B12E" w14:textId="77777777" w:rsidR="001614AC" w:rsidRDefault="001614AC"/>
        </w:tc>
        <w:tc>
          <w:tcPr>
            <w:tcW w:w="160" w:type="dxa"/>
            <w:tcBorders>
              <w:top w:val="single" w:sz="8" w:space="0" w:color="C7C9C7"/>
              <w:left w:val="nil"/>
              <w:bottom w:val="double" w:sz="8" w:space="0" w:color="C7C9C7"/>
              <w:right w:val="nil"/>
            </w:tcBorders>
            <w:shd w:val="clear" w:color="auto" w:fill="F4F4F4"/>
            <w:tcMar>
              <w:top w:w="0" w:type="dxa"/>
              <w:left w:w="53" w:type="dxa"/>
              <w:bottom w:w="0" w:type="dxa"/>
              <w:right w:w="0" w:type="dxa"/>
            </w:tcMar>
            <w:vAlign w:val="bottom"/>
          </w:tcPr>
          <w:p w14:paraId="257A2D58" w14:textId="77777777" w:rsidR="001614AC" w:rsidRDefault="004468F9">
            <w:pPr>
              <w:spacing w:before="55" w:after="30" w:line="288" w:lineRule="auto"/>
            </w:pPr>
            <w:r>
              <w:rPr>
                <w:rFonts w:ascii="Arial" w:eastAsia="Arial" w:hAnsi="Arial" w:cs="Arial"/>
                <w:color w:val="000000"/>
                <w:sz w:val="18"/>
              </w:rPr>
              <w:t>$</w:t>
            </w:r>
          </w:p>
        </w:tc>
        <w:tc>
          <w:tcPr>
            <w:tcW w:w="775" w:type="dxa"/>
            <w:tcBorders>
              <w:top w:val="single" w:sz="8" w:space="0" w:color="C7C9C7"/>
              <w:left w:val="nil"/>
              <w:bottom w:val="double" w:sz="8" w:space="0" w:color="C7C9C7"/>
              <w:right w:val="nil"/>
            </w:tcBorders>
            <w:shd w:val="clear" w:color="auto" w:fill="F4F4F4"/>
            <w:tcMar>
              <w:top w:w="0" w:type="dxa"/>
              <w:left w:w="0" w:type="dxa"/>
              <w:bottom w:w="0" w:type="dxa"/>
              <w:right w:w="0" w:type="dxa"/>
            </w:tcMar>
            <w:vAlign w:val="bottom"/>
          </w:tcPr>
          <w:p w14:paraId="5B2A57B8" w14:textId="77777777" w:rsidR="001614AC" w:rsidRDefault="004468F9">
            <w:pPr>
              <w:spacing w:before="55" w:after="30" w:line="288" w:lineRule="auto"/>
              <w:jc w:val="right"/>
            </w:pPr>
            <w:r>
              <w:rPr>
                <w:rFonts w:ascii="Arial" w:eastAsia="Arial" w:hAnsi="Arial" w:cs="Arial"/>
                <w:color w:val="000000"/>
                <w:sz w:val="18"/>
              </w:rPr>
              <w:t>212,161 </w:t>
            </w:r>
          </w:p>
        </w:tc>
        <w:tc>
          <w:tcPr>
            <w:tcW w:w="100" w:type="dxa"/>
            <w:tcBorders>
              <w:top w:val="single" w:sz="8" w:space="0" w:color="C7C9C7"/>
              <w:left w:val="nil"/>
              <w:bottom w:val="double" w:sz="8" w:space="0" w:color="C7C9C7"/>
              <w:right w:val="nil"/>
            </w:tcBorders>
            <w:shd w:val="clear" w:color="auto" w:fill="F4F4F4"/>
            <w:tcMar>
              <w:top w:w="0" w:type="dxa"/>
              <w:left w:w="0" w:type="dxa"/>
              <w:bottom w:w="0" w:type="dxa"/>
              <w:right w:w="15" w:type="dxa"/>
            </w:tcMar>
            <w:vAlign w:val="bottom"/>
          </w:tcPr>
          <w:p w14:paraId="02740404" w14:textId="77777777" w:rsidR="001614AC" w:rsidRDefault="001614AC">
            <w:pPr>
              <w:spacing w:before="55" w:after="30" w:line="288" w:lineRule="auto"/>
              <w:jc w:val="right"/>
            </w:pPr>
          </w:p>
        </w:tc>
        <w:tc>
          <w:tcPr>
            <w:tcW w:w="105" w:type="dxa"/>
            <w:tcBorders>
              <w:top w:val="single" w:sz="8" w:space="0" w:color="FFFFFF"/>
              <w:left w:val="nil"/>
              <w:bottom w:val="single" w:sz="8" w:space="0" w:color="FFFFFF"/>
              <w:right w:val="nil"/>
            </w:tcBorders>
            <w:shd w:val="clear" w:color="auto" w:fill="F4F4F4"/>
            <w:tcMar>
              <w:top w:w="0" w:type="dxa"/>
              <w:left w:w="0" w:type="dxa"/>
              <w:bottom w:w="0" w:type="dxa"/>
              <w:right w:w="0" w:type="dxa"/>
            </w:tcMar>
            <w:vAlign w:val="bottom"/>
          </w:tcPr>
          <w:p w14:paraId="37CABC95" w14:textId="77777777" w:rsidR="001614AC" w:rsidRDefault="001614AC"/>
        </w:tc>
        <w:tc>
          <w:tcPr>
            <w:tcW w:w="160" w:type="dxa"/>
            <w:tcBorders>
              <w:top w:val="single" w:sz="8" w:space="0" w:color="C7C9C7"/>
              <w:left w:val="nil"/>
              <w:bottom w:val="double" w:sz="8" w:space="0" w:color="C7C9C7"/>
              <w:right w:val="nil"/>
            </w:tcBorders>
            <w:shd w:val="clear" w:color="auto" w:fill="F4F4F4"/>
            <w:tcMar>
              <w:top w:w="0" w:type="dxa"/>
              <w:left w:w="53" w:type="dxa"/>
              <w:bottom w:w="0" w:type="dxa"/>
              <w:right w:w="0" w:type="dxa"/>
            </w:tcMar>
            <w:vAlign w:val="bottom"/>
          </w:tcPr>
          <w:p w14:paraId="77B183A2" w14:textId="77777777" w:rsidR="001614AC" w:rsidRDefault="004468F9">
            <w:pPr>
              <w:spacing w:before="55" w:after="30" w:line="288" w:lineRule="auto"/>
            </w:pPr>
            <w:r>
              <w:rPr>
                <w:rFonts w:ascii="Arial" w:eastAsia="Arial" w:hAnsi="Arial" w:cs="Arial"/>
                <w:color w:val="000000"/>
                <w:sz w:val="18"/>
              </w:rPr>
              <w:t>$</w:t>
            </w:r>
          </w:p>
        </w:tc>
        <w:tc>
          <w:tcPr>
            <w:tcW w:w="775" w:type="dxa"/>
            <w:tcBorders>
              <w:top w:val="single" w:sz="8" w:space="0" w:color="C7C9C7"/>
              <w:left w:val="nil"/>
              <w:bottom w:val="double" w:sz="8" w:space="0" w:color="C7C9C7"/>
              <w:right w:val="nil"/>
            </w:tcBorders>
            <w:shd w:val="clear" w:color="auto" w:fill="F4F4F4"/>
            <w:tcMar>
              <w:top w:w="0" w:type="dxa"/>
              <w:left w:w="0" w:type="dxa"/>
              <w:bottom w:w="0" w:type="dxa"/>
              <w:right w:w="0" w:type="dxa"/>
            </w:tcMar>
            <w:vAlign w:val="bottom"/>
          </w:tcPr>
          <w:p w14:paraId="7013D715" w14:textId="77777777" w:rsidR="001614AC" w:rsidRDefault="004468F9">
            <w:pPr>
              <w:spacing w:before="55" w:after="30" w:line="288" w:lineRule="auto"/>
              <w:jc w:val="right"/>
            </w:pPr>
            <w:r>
              <w:rPr>
                <w:rFonts w:ascii="Arial" w:eastAsia="Arial" w:hAnsi="Arial" w:cs="Arial"/>
                <w:color w:val="000000"/>
                <w:sz w:val="18"/>
              </w:rPr>
              <w:t>268,558 </w:t>
            </w:r>
          </w:p>
        </w:tc>
        <w:tc>
          <w:tcPr>
            <w:tcW w:w="100" w:type="dxa"/>
            <w:tcBorders>
              <w:top w:val="single" w:sz="8" w:space="0" w:color="C7C9C7"/>
              <w:left w:val="nil"/>
              <w:bottom w:val="double" w:sz="8" w:space="0" w:color="C7C9C7"/>
              <w:right w:val="nil"/>
            </w:tcBorders>
            <w:shd w:val="clear" w:color="auto" w:fill="F4F4F4"/>
            <w:tcMar>
              <w:top w:w="0" w:type="dxa"/>
              <w:left w:w="0" w:type="dxa"/>
              <w:bottom w:w="0" w:type="dxa"/>
              <w:right w:w="15" w:type="dxa"/>
            </w:tcMar>
            <w:vAlign w:val="bottom"/>
          </w:tcPr>
          <w:p w14:paraId="442F3CEF" w14:textId="77777777" w:rsidR="001614AC" w:rsidRDefault="001614AC">
            <w:pPr>
              <w:spacing w:before="55" w:after="30" w:line="288" w:lineRule="auto"/>
              <w:jc w:val="right"/>
            </w:pPr>
          </w:p>
        </w:tc>
        <w:tc>
          <w:tcPr>
            <w:tcW w:w="105" w:type="dxa"/>
            <w:tcBorders>
              <w:top w:val="single" w:sz="8" w:space="0" w:color="FFFFFF"/>
              <w:left w:val="nil"/>
              <w:bottom w:val="single" w:sz="8" w:space="0" w:color="FFFFFF"/>
              <w:right w:val="nil"/>
            </w:tcBorders>
            <w:shd w:val="clear" w:color="auto" w:fill="F4F4F4"/>
            <w:tcMar>
              <w:top w:w="0" w:type="dxa"/>
              <w:left w:w="0" w:type="dxa"/>
              <w:bottom w:w="0" w:type="dxa"/>
              <w:right w:w="0" w:type="dxa"/>
            </w:tcMar>
            <w:vAlign w:val="bottom"/>
          </w:tcPr>
          <w:p w14:paraId="634183D9" w14:textId="77777777" w:rsidR="001614AC" w:rsidRDefault="001614AC"/>
        </w:tc>
        <w:tc>
          <w:tcPr>
            <w:tcW w:w="160" w:type="dxa"/>
            <w:tcBorders>
              <w:top w:val="single" w:sz="8" w:space="0" w:color="C7C9C7"/>
              <w:left w:val="nil"/>
              <w:bottom w:val="double" w:sz="8" w:space="0" w:color="C7C9C7"/>
              <w:right w:val="nil"/>
            </w:tcBorders>
            <w:shd w:val="clear" w:color="auto" w:fill="F4F4F4"/>
            <w:tcMar>
              <w:top w:w="0" w:type="dxa"/>
              <w:left w:w="53" w:type="dxa"/>
              <w:bottom w:w="0" w:type="dxa"/>
              <w:right w:w="0" w:type="dxa"/>
            </w:tcMar>
            <w:vAlign w:val="bottom"/>
          </w:tcPr>
          <w:p w14:paraId="636C12AB" w14:textId="77777777" w:rsidR="001614AC" w:rsidRDefault="004468F9">
            <w:pPr>
              <w:spacing w:before="55" w:after="30" w:line="288" w:lineRule="auto"/>
            </w:pPr>
            <w:r>
              <w:rPr>
                <w:rFonts w:ascii="Arial" w:eastAsia="Arial" w:hAnsi="Arial" w:cs="Arial"/>
                <w:color w:val="000000"/>
                <w:sz w:val="18"/>
              </w:rPr>
              <w:t>$</w:t>
            </w:r>
          </w:p>
        </w:tc>
        <w:tc>
          <w:tcPr>
            <w:tcW w:w="775" w:type="dxa"/>
            <w:tcBorders>
              <w:top w:val="single" w:sz="8" w:space="0" w:color="C7C9C7"/>
              <w:left w:val="nil"/>
              <w:bottom w:val="double" w:sz="8" w:space="0" w:color="C7C9C7"/>
              <w:right w:val="nil"/>
            </w:tcBorders>
            <w:shd w:val="clear" w:color="auto" w:fill="F4F4F4"/>
            <w:tcMar>
              <w:top w:w="0" w:type="dxa"/>
              <w:left w:w="0" w:type="dxa"/>
              <w:bottom w:w="0" w:type="dxa"/>
              <w:right w:w="0" w:type="dxa"/>
            </w:tcMar>
            <w:vAlign w:val="bottom"/>
          </w:tcPr>
          <w:p w14:paraId="4415071B" w14:textId="77777777" w:rsidR="001614AC" w:rsidRDefault="004468F9">
            <w:pPr>
              <w:spacing w:before="55" w:after="30" w:line="288" w:lineRule="auto"/>
              <w:jc w:val="right"/>
            </w:pPr>
            <w:r>
              <w:rPr>
                <w:rFonts w:ascii="Arial" w:eastAsia="Arial" w:hAnsi="Arial" w:cs="Arial"/>
                <w:color w:val="000000"/>
                <w:sz w:val="18"/>
              </w:rPr>
              <w:t>56,397 </w:t>
            </w:r>
          </w:p>
        </w:tc>
        <w:tc>
          <w:tcPr>
            <w:tcW w:w="100" w:type="dxa"/>
            <w:tcBorders>
              <w:top w:val="single" w:sz="8" w:space="0" w:color="C7C9C7"/>
              <w:left w:val="nil"/>
              <w:bottom w:val="double" w:sz="8" w:space="0" w:color="C7C9C7"/>
              <w:right w:val="nil"/>
            </w:tcBorders>
            <w:shd w:val="clear" w:color="auto" w:fill="F4F4F4"/>
            <w:tcMar>
              <w:top w:w="0" w:type="dxa"/>
              <w:left w:w="0" w:type="dxa"/>
              <w:bottom w:w="0" w:type="dxa"/>
              <w:right w:w="15" w:type="dxa"/>
            </w:tcMar>
            <w:vAlign w:val="bottom"/>
          </w:tcPr>
          <w:p w14:paraId="75BE809B" w14:textId="77777777" w:rsidR="001614AC" w:rsidRDefault="001614AC">
            <w:pPr>
              <w:spacing w:before="55" w:after="30" w:line="288" w:lineRule="auto"/>
              <w:jc w:val="right"/>
            </w:pPr>
          </w:p>
        </w:tc>
        <w:tc>
          <w:tcPr>
            <w:tcW w:w="105" w:type="dxa"/>
            <w:tcBorders>
              <w:top w:val="single" w:sz="8" w:space="0" w:color="FFFFFF"/>
              <w:left w:val="nil"/>
              <w:bottom w:val="single" w:sz="8" w:space="0" w:color="FFFFFF"/>
              <w:right w:val="nil"/>
            </w:tcBorders>
            <w:shd w:val="clear" w:color="auto" w:fill="F4F4F4"/>
            <w:tcMar>
              <w:top w:w="0" w:type="dxa"/>
              <w:left w:w="0" w:type="dxa"/>
              <w:bottom w:w="0" w:type="dxa"/>
              <w:right w:w="0" w:type="dxa"/>
            </w:tcMar>
            <w:vAlign w:val="bottom"/>
          </w:tcPr>
          <w:p w14:paraId="2858A66F" w14:textId="77777777" w:rsidR="001614AC" w:rsidRDefault="001614AC"/>
        </w:tc>
        <w:tc>
          <w:tcPr>
            <w:tcW w:w="160" w:type="dxa"/>
            <w:tcBorders>
              <w:top w:val="single" w:sz="8" w:space="0" w:color="C7C9C7"/>
              <w:left w:val="nil"/>
              <w:bottom w:val="double" w:sz="8" w:space="0" w:color="C7C9C7"/>
              <w:right w:val="nil"/>
            </w:tcBorders>
            <w:shd w:val="clear" w:color="auto" w:fill="F4F4F4"/>
            <w:tcMar>
              <w:top w:w="0" w:type="dxa"/>
              <w:left w:w="53" w:type="dxa"/>
              <w:bottom w:w="0" w:type="dxa"/>
              <w:right w:w="0" w:type="dxa"/>
            </w:tcMar>
            <w:vAlign w:val="bottom"/>
          </w:tcPr>
          <w:p w14:paraId="6BF5A7FE" w14:textId="77777777" w:rsidR="001614AC" w:rsidRDefault="004468F9">
            <w:pPr>
              <w:spacing w:before="55" w:after="30" w:line="288" w:lineRule="auto"/>
            </w:pPr>
            <w:r>
              <w:rPr>
                <w:rFonts w:ascii="Arial" w:eastAsia="Arial" w:hAnsi="Arial" w:cs="Arial"/>
                <w:color w:val="000000"/>
                <w:sz w:val="18"/>
              </w:rPr>
              <w:t>$</w:t>
            </w:r>
          </w:p>
        </w:tc>
        <w:tc>
          <w:tcPr>
            <w:tcW w:w="775" w:type="dxa"/>
            <w:tcBorders>
              <w:top w:val="single" w:sz="8" w:space="0" w:color="C7C9C7"/>
              <w:left w:val="nil"/>
              <w:bottom w:val="double" w:sz="8" w:space="0" w:color="C7C9C7"/>
              <w:right w:val="nil"/>
            </w:tcBorders>
            <w:shd w:val="clear" w:color="auto" w:fill="F4F4F4"/>
            <w:tcMar>
              <w:top w:w="0" w:type="dxa"/>
              <w:left w:w="0" w:type="dxa"/>
              <w:bottom w:w="0" w:type="dxa"/>
              <w:right w:w="0" w:type="dxa"/>
            </w:tcMar>
            <w:vAlign w:val="bottom"/>
          </w:tcPr>
          <w:p w14:paraId="4A3AB9E7" w14:textId="77777777" w:rsidR="001614AC" w:rsidRDefault="004468F9">
            <w:pPr>
              <w:spacing w:before="55" w:after="30" w:line="288" w:lineRule="auto"/>
              <w:jc w:val="right"/>
            </w:pPr>
            <w:r>
              <w:rPr>
                <w:rFonts w:ascii="Arial" w:eastAsia="Arial" w:hAnsi="Arial" w:cs="Arial"/>
                <w:color w:val="000000"/>
                <w:sz w:val="18"/>
              </w:rPr>
              <w:t>212,161 </w:t>
            </w:r>
          </w:p>
        </w:tc>
        <w:tc>
          <w:tcPr>
            <w:tcW w:w="100" w:type="dxa"/>
            <w:tcBorders>
              <w:top w:val="single" w:sz="8" w:space="0" w:color="C7C9C7"/>
              <w:left w:val="nil"/>
              <w:bottom w:val="double" w:sz="8" w:space="0" w:color="C7C9C7"/>
              <w:right w:val="nil"/>
            </w:tcBorders>
            <w:shd w:val="clear" w:color="auto" w:fill="F4F4F4"/>
            <w:tcMar>
              <w:top w:w="0" w:type="dxa"/>
              <w:left w:w="0" w:type="dxa"/>
              <w:bottom w:w="0" w:type="dxa"/>
              <w:right w:w="15" w:type="dxa"/>
            </w:tcMar>
            <w:vAlign w:val="bottom"/>
          </w:tcPr>
          <w:p w14:paraId="49FAABDC" w14:textId="77777777" w:rsidR="001614AC" w:rsidRDefault="001614AC">
            <w:pPr>
              <w:spacing w:before="55" w:after="30" w:line="288" w:lineRule="auto"/>
              <w:jc w:val="right"/>
            </w:pPr>
          </w:p>
        </w:tc>
      </w:tr>
    </w:tbl>
    <w:p w14:paraId="00A27483" w14:textId="77777777" w:rsidR="001614AC" w:rsidRDefault="004468F9" w:rsidP="004468F9">
      <w:pPr>
        <w:keepNext/>
        <w:numPr>
          <w:ilvl w:val="0"/>
          <w:numId w:val="26"/>
        </w:numPr>
        <w:spacing w:line="288" w:lineRule="auto"/>
        <w:ind w:left="360"/>
        <w:rPr>
          <w:rFonts w:ascii="Arial" w:eastAsia="Arial" w:hAnsi="Arial" w:cs="Arial"/>
          <w:b/>
          <w:color w:val="64615D"/>
          <w:sz w:val="16"/>
        </w:rPr>
      </w:pPr>
      <w:r>
        <w:rPr>
          <w:rFonts w:ascii="Arial" w:eastAsia="Arial" w:hAnsi="Arial" w:cs="Arial"/>
          <w:color w:val="64615D"/>
          <w:sz w:val="16"/>
        </w:rPr>
        <w:t>Included in net gains (losses) on investments and other financial instruments on our</w:t>
      </w:r>
      <w:r>
        <w:rPr>
          <w:rFonts w:ascii="Arial" w:eastAsia="Arial" w:hAnsi="Arial" w:cs="Arial"/>
          <w:color w:val="64615D"/>
          <w:sz w:val="16"/>
        </w:rPr>
        <w:t xml:space="preserve"> condensed consolidated statements of operations.</w:t>
      </w:r>
    </w:p>
    <w:p w14:paraId="735C68F4" w14:textId="77777777" w:rsidR="001614AC" w:rsidRDefault="001614AC" w:rsidP="004468F9">
      <w:pPr>
        <w:keepNext/>
        <w:numPr>
          <w:ilvl w:val="0"/>
          <w:numId w:val="26"/>
        </w:numPr>
        <w:spacing w:line="288" w:lineRule="auto"/>
        <w:ind w:left="360"/>
        <w:rPr>
          <w:rFonts w:ascii="Arial" w:eastAsia="Arial" w:hAnsi="Arial" w:cs="Arial"/>
          <w:b/>
          <w:color w:val="64615D"/>
          <w:sz w:val="16"/>
        </w:rPr>
        <w:sectPr w:rsidR="001614AC">
          <w:headerReference w:type="default" r:id="rId38"/>
          <w:type w:val="continuous"/>
          <w:pgSz w:w="12240" w:h="15840"/>
          <w:pgMar w:top="1260" w:right="1080" w:bottom="1080" w:left="1080" w:header="270" w:footer="270" w:gutter="0"/>
          <w:cols w:space="708"/>
        </w:sectPr>
      </w:pPr>
    </w:p>
    <w:p w14:paraId="3B334EA8" w14:textId="77777777" w:rsidR="001614AC" w:rsidRDefault="004468F9">
      <w:pPr>
        <w:keepNext/>
        <w:tabs>
          <w:tab w:val="left" w:pos="540"/>
        </w:tabs>
        <w:spacing w:before="200" w:after="160" w:line="288" w:lineRule="auto"/>
        <w:ind w:left="360" w:hanging="360"/>
        <w:outlineLvl w:val="3"/>
        <w:rPr>
          <w:rFonts w:ascii="Arial" w:eastAsia="Arial" w:hAnsi="Arial" w:cs="Arial"/>
          <w:b/>
          <w:color w:val="4D6B80"/>
          <w:sz w:val="30"/>
        </w:rPr>
      </w:pPr>
      <w:bookmarkStart w:id="27" w:name="Section28"/>
      <w:bookmarkEnd w:id="27"/>
      <w:r>
        <w:rPr>
          <w:rFonts w:ascii="Arial" w:eastAsia="Arial" w:hAnsi="Arial" w:cs="Arial"/>
          <w:b/>
          <w:color w:val="4D6B80"/>
          <w:sz w:val="30"/>
        </w:rPr>
        <w:lastRenderedPageBreak/>
        <w:t xml:space="preserve">16. </w:t>
      </w:r>
      <w:r>
        <w:rPr>
          <w:rFonts w:ascii="Arial" w:eastAsia="Arial" w:hAnsi="Arial" w:cs="Arial"/>
          <w:b/>
          <w:color w:val="4D6B80"/>
          <w:sz w:val="30"/>
        </w:rPr>
        <w:t>Statutory Information</w:t>
      </w:r>
    </w:p>
    <w:p w14:paraId="3A5D4558" w14:textId="77777777" w:rsidR="001614AC" w:rsidRDefault="004468F9">
      <w:pPr>
        <w:keepNext/>
        <w:tabs>
          <w:tab w:val="left" w:pos="620"/>
        </w:tabs>
        <w:spacing w:before="100" w:after="100" w:line="288" w:lineRule="auto"/>
        <w:ind w:firstLine="450"/>
        <w:rPr>
          <w:b/>
          <w:color w:val="4D6B80"/>
          <w:sz w:val="18"/>
        </w:rPr>
      </w:pPr>
      <w:r>
        <w:rPr>
          <w:rFonts w:ascii="Arial" w:eastAsia="Arial" w:hAnsi="Arial" w:cs="Arial"/>
          <w:sz w:val="18"/>
        </w:rPr>
        <w:t>Our insurance subsidiaries’ statutory net income for the year-to-date periods ended June 30, 2021 and 2020 and statutory policyholders’ surplus as of June 30, 2021 and December 31, 2020</w:t>
      </w:r>
      <w:r>
        <w:rPr>
          <w:rFonts w:ascii="Arial" w:eastAsia="Arial" w:hAnsi="Arial" w:cs="Arial"/>
          <w:sz w:val="18"/>
          <w:shd w:val="clear" w:color="auto" w:fill="FFFFFF"/>
        </w:rPr>
        <w:t xml:space="preserve"> were as follows.</w:t>
      </w:r>
    </w:p>
    <w:tbl>
      <w:tblPr>
        <w:tblW w:w="102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38"/>
        <w:gridCol w:w="107"/>
        <w:gridCol w:w="163"/>
        <w:gridCol w:w="1250"/>
        <w:gridCol w:w="102"/>
        <w:gridCol w:w="107"/>
        <w:gridCol w:w="163"/>
        <w:gridCol w:w="1250"/>
        <w:gridCol w:w="102"/>
      </w:tblGrid>
      <w:tr w:rsidR="001614AC" w14:paraId="79B6394B" w14:textId="77777777">
        <w:trPr>
          <w:cantSplit/>
        </w:trPr>
        <w:tc>
          <w:tcPr>
            <w:tcW w:w="10080" w:type="dxa"/>
            <w:gridSpan w:val="9"/>
            <w:tcBorders>
              <w:top w:val="nil"/>
              <w:left w:val="nil"/>
              <w:bottom w:val="single" w:sz="12" w:space="0" w:color="99AAB6"/>
              <w:right w:val="nil"/>
            </w:tcBorders>
            <w:tcMar>
              <w:top w:w="0" w:type="dxa"/>
              <w:left w:w="53" w:type="dxa"/>
              <w:bottom w:w="0" w:type="dxa"/>
              <w:right w:w="53" w:type="dxa"/>
            </w:tcMar>
            <w:vAlign w:val="bottom"/>
          </w:tcPr>
          <w:p w14:paraId="273A114B" w14:textId="77777777" w:rsidR="001614AC" w:rsidRDefault="004468F9">
            <w:pPr>
              <w:keepNext/>
              <w:spacing w:before="75" w:after="30" w:line="288" w:lineRule="auto"/>
            </w:pPr>
            <w:r>
              <w:rPr>
                <w:rFonts w:ascii="Arial" w:eastAsia="Arial" w:hAnsi="Arial" w:cs="Arial"/>
                <w:b/>
                <w:color w:val="000000"/>
                <w:sz w:val="20"/>
              </w:rPr>
              <w:t>Statutory net income</w:t>
            </w:r>
          </w:p>
        </w:tc>
      </w:tr>
      <w:tr w:rsidR="001614AC" w14:paraId="5EF526E3" w14:textId="77777777">
        <w:trPr>
          <w:cantSplit/>
          <w:trHeight w:hRule="exact" w:val="135"/>
        </w:trPr>
        <w:tc>
          <w:tcPr>
            <w:tcW w:w="6900" w:type="dxa"/>
            <w:tcBorders>
              <w:top w:val="nil"/>
              <w:left w:val="nil"/>
              <w:bottom w:val="nil"/>
              <w:right w:val="nil"/>
            </w:tcBorders>
            <w:tcMar>
              <w:top w:w="0" w:type="dxa"/>
              <w:left w:w="0" w:type="dxa"/>
              <w:bottom w:w="0" w:type="dxa"/>
              <w:right w:w="0" w:type="dxa"/>
            </w:tcMar>
            <w:vAlign w:val="bottom"/>
          </w:tcPr>
          <w:p w14:paraId="5EC0E449" w14:textId="77777777" w:rsidR="001614AC" w:rsidRDefault="001614AC">
            <w:pPr>
              <w:keepNext/>
            </w:pPr>
          </w:p>
        </w:tc>
        <w:tc>
          <w:tcPr>
            <w:tcW w:w="105" w:type="dxa"/>
            <w:tcBorders>
              <w:top w:val="single" w:sz="12" w:space="0" w:color="99AAB6"/>
              <w:left w:val="nil"/>
              <w:bottom w:val="nil"/>
              <w:right w:val="nil"/>
            </w:tcBorders>
            <w:tcMar>
              <w:top w:w="0" w:type="dxa"/>
              <w:left w:w="0" w:type="dxa"/>
              <w:bottom w:w="0" w:type="dxa"/>
              <w:right w:w="0" w:type="dxa"/>
            </w:tcMar>
            <w:vAlign w:val="bottom"/>
          </w:tcPr>
          <w:p w14:paraId="2902B00B" w14:textId="77777777" w:rsidR="001614AC" w:rsidRDefault="001614AC">
            <w:pPr>
              <w:keepNext/>
            </w:pPr>
          </w:p>
        </w:tc>
        <w:tc>
          <w:tcPr>
            <w:tcW w:w="1485" w:type="dxa"/>
            <w:gridSpan w:val="3"/>
            <w:tcBorders>
              <w:top w:val="single" w:sz="12" w:space="0" w:color="99AAB6"/>
              <w:left w:val="nil"/>
              <w:bottom w:val="nil"/>
              <w:right w:val="nil"/>
            </w:tcBorders>
            <w:tcMar>
              <w:top w:w="0" w:type="dxa"/>
              <w:left w:w="0" w:type="dxa"/>
              <w:bottom w:w="0" w:type="dxa"/>
              <w:right w:w="0" w:type="dxa"/>
            </w:tcMar>
            <w:vAlign w:val="bottom"/>
          </w:tcPr>
          <w:p w14:paraId="67286292" w14:textId="77777777" w:rsidR="001614AC" w:rsidRDefault="001614AC">
            <w:pPr>
              <w:keepNext/>
            </w:pPr>
          </w:p>
        </w:tc>
        <w:tc>
          <w:tcPr>
            <w:tcW w:w="105" w:type="dxa"/>
            <w:tcBorders>
              <w:top w:val="single" w:sz="12" w:space="0" w:color="99AAB6"/>
              <w:left w:val="nil"/>
              <w:bottom w:val="nil"/>
              <w:right w:val="nil"/>
            </w:tcBorders>
            <w:tcMar>
              <w:top w:w="0" w:type="dxa"/>
              <w:left w:w="0" w:type="dxa"/>
              <w:bottom w:w="0" w:type="dxa"/>
              <w:right w:w="0" w:type="dxa"/>
            </w:tcMar>
            <w:vAlign w:val="bottom"/>
          </w:tcPr>
          <w:p w14:paraId="135A6D4F" w14:textId="77777777" w:rsidR="001614AC" w:rsidRDefault="001614AC">
            <w:pPr>
              <w:keepNext/>
            </w:pPr>
          </w:p>
        </w:tc>
        <w:tc>
          <w:tcPr>
            <w:tcW w:w="1485" w:type="dxa"/>
            <w:gridSpan w:val="3"/>
            <w:tcBorders>
              <w:top w:val="single" w:sz="12" w:space="0" w:color="99AAB6"/>
              <w:left w:val="nil"/>
              <w:bottom w:val="nil"/>
              <w:right w:val="nil"/>
            </w:tcBorders>
            <w:tcMar>
              <w:top w:w="0" w:type="dxa"/>
              <w:left w:w="0" w:type="dxa"/>
              <w:bottom w:w="0" w:type="dxa"/>
              <w:right w:w="0" w:type="dxa"/>
            </w:tcMar>
            <w:vAlign w:val="bottom"/>
          </w:tcPr>
          <w:p w14:paraId="0F202341" w14:textId="77777777" w:rsidR="001614AC" w:rsidRDefault="001614AC">
            <w:pPr>
              <w:keepNext/>
            </w:pPr>
          </w:p>
        </w:tc>
      </w:tr>
      <w:tr w:rsidR="001614AC" w14:paraId="15F0B472" w14:textId="77777777">
        <w:trPr>
          <w:cantSplit/>
        </w:trPr>
        <w:tc>
          <w:tcPr>
            <w:tcW w:w="6900" w:type="dxa"/>
            <w:tcBorders>
              <w:top w:val="nil"/>
              <w:left w:val="nil"/>
              <w:bottom w:val="nil"/>
              <w:right w:val="nil"/>
            </w:tcBorders>
            <w:tcMar>
              <w:top w:w="0" w:type="dxa"/>
              <w:left w:w="0" w:type="dxa"/>
              <w:bottom w:w="0" w:type="dxa"/>
              <w:right w:w="0" w:type="dxa"/>
            </w:tcMar>
            <w:vAlign w:val="bottom"/>
          </w:tcPr>
          <w:p w14:paraId="7DE1CE18" w14:textId="77777777" w:rsidR="001614AC" w:rsidRDefault="001614AC">
            <w:pPr>
              <w:keepNext/>
            </w:pPr>
          </w:p>
        </w:tc>
        <w:tc>
          <w:tcPr>
            <w:tcW w:w="105" w:type="dxa"/>
            <w:tcBorders>
              <w:top w:val="nil"/>
              <w:left w:val="nil"/>
              <w:bottom w:val="nil"/>
              <w:right w:val="nil"/>
            </w:tcBorders>
            <w:tcMar>
              <w:top w:w="0" w:type="dxa"/>
              <w:left w:w="0" w:type="dxa"/>
              <w:bottom w:w="0" w:type="dxa"/>
              <w:right w:w="0" w:type="dxa"/>
            </w:tcMar>
            <w:vAlign w:val="bottom"/>
          </w:tcPr>
          <w:p w14:paraId="5AAC63AE" w14:textId="77777777" w:rsidR="001614AC" w:rsidRDefault="001614AC">
            <w:pPr>
              <w:keepNext/>
            </w:pPr>
          </w:p>
        </w:tc>
        <w:tc>
          <w:tcPr>
            <w:tcW w:w="3075" w:type="dxa"/>
            <w:gridSpan w:val="7"/>
            <w:tcBorders>
              <w:top w:val="nil"/>
              <w:left w:val="nil"/>
              <w:bottom w:val="single" w:sz="8" w:space="0" w:color="FFFFFF"/>
              <w:right w:val="nil"/>
            </w:tcBorders>
            <w:tcMar>
              <w:top w:w="0" w:type="dxa"/>
              <w:left w:w="53" w:type="dxa"/>
              <w:bottom w:w="0" w:type="dxa"/>
              <w:right w:w="53" w:type="dxa"/>
            </w:tcMar>
            <w:vAlign w:val="bottom"/>
          </w:tcPr>
          <w:p w14:paraId="2278F8E2" w14:textId="77777777" w:rsidR="001614AC" w:rsidRDefault="004468F9">
            <w:pPr>
              <w:keepNext/>
              <w:spacing w:before="75" w:after="30" w:line="288" w:lineRule="auto"/>
              <w:jc w:val="center"/>
            </w:pPr>
            <w:r>
              <w:rPr>
                <w:rFonts w:ascii="Arial" w:eastAsia="Arial" w:hAnsi="Arial" w:cs="Arial"/>
                <w:b/>
                <w:color w:val="00BAB3"/>
                <w:sz w:val="18"/>
              </w:rPr>
              <w:t>Six Months Ended June 30,</w:t>
            </w:r>
          </w:p>
        </w:tc>
      </w:tr>
      <w:tr w:rsidR="001614AC" w14:paraId="1AC0AE2C" w14:textId="77777777">
        <w:trPr>
          <w:cantSplit/>
        </w:trPr>
        <w:tc>
          <w:tcPr>
            <w:tcW w:w="6900" w:type="dxa"/>
            <w:tcBorders>
              <w:top w:val="nil"/>
              <w:left w:val="nil"/>
              <w:bottom w:val="single" w:sz="8" w:space="0" w:color="C7C9C7"/>
              <w:right w:val="nil"/>
            </w:tcBorders>
            <w:tcMar>
              <w:top w:w="0" w:type="dxa"/>
              <w:left w:w="53" w:type="dxa"/>
              <w:bottom w:w="0" w:type="dxa"/>
              <w:right w:w="53" w:type="dxa"/>
            </w:tcMar>
            <w:vAlign w:val="bottom"/>
          </w:tcPr>
          <w:p w14:paraId="4E4731AF" w14:textId="77777777" w:rsidR="001614AC" w:rsidRDefault="004468F9">
            <w:pPr>
              <w:keepNext/>
              <w:spacing w:before="75" w:after="30" w:line="288" w:lineRule="auto"/>
            </w:pPr>
            <w:r>
              <w:rPr>
                <w:rFonts w:ascii="Arial" w:eastAsia="Arial" w:hAnsi="Arial" w:cs="Arial"/>
                <w:color w:val="8B8886"/>
                <w:sz w:val="16"/>
              </w:rPr>
              <w:t>(In thousands)</w:t>
            </w:r>
          </w:p>
        </w:tc>
        <w:tc>
          <w:tcPr>
            <w:tcW w:w="105" w:type="dxa"/>
            <w:tcBorders>
              <w:top w:val="nil"/>
              <w:left w:val="nil"/>
              <w:bottom w:val="single" w:sz="8" w:space="0" w:color="C7C9C7"/>
              <w:right w:val="nil"/>
            </w:tcBorders>
            <w:tcMar>
              <w:top w:w="0" w:type="dxa"/>
              <w:left w:w="0" w:type="dxa"/>
              <w:bottom w:w="0" w:type="dxa"/>
              <w:right w:w="0" w:type="dxa"/>
            </w:tcMar>
            <w:vAlign w:val="bottom"/>
          </w:tcPr>
          <w:p w14:paraId="1C49F03A" w14:textId="77777777" w:rsidR="001614AC" w:rsidRDefault="001614AC">
            <w:pPr>
              <w:keepNext/>
            </w:pPr>
          </w:p>
        </w:tc>
        <w:tc>
          <w:tcPr>
            <w:tcW w:w="1485" w:type="dxa"/>
            <w:gridSpan w:val="3"/>
            <w:tcBorders>
              <w:top w:val="nil"/>
              <w:left w:val="nil"/>
              <w:bottom w:val="single" w:sz="8" w:space="0" w:color="C7C9C7"/>
              <w:right w:val="nil"/>
            </w:tcBorders>
            <w:shd w:val="clear" w:color="auto" w:fill="E6F8F8"/>
            <w:tcMar>
              <w:top w:w="0" w:type="dxa"/>
              <w:left w:w="53" w:type="dxa"/>
              <w:bottom w:w="0" w:type="dxa"/>
              <w:right w:w="53" w:type="dxa"/>
            </w:tcMar>
            <w:vAlign w:val="bottom"/>
          </w:tcPr>
          <w:p w14:paraId="5B9198E4" w14:textId="77777777" w:rsidR="001614AC" w:rsidRDefault="004468F9">
            <w:pPr>
              <w:keepNext/>
              <w:spacing w:before="55" w:after="30" w:line="288" w:lineRule="auto"/>
              <w:jc w:val="center"/>
            </w:pPr>
            <w:r>
              <w:rPr>
                <w:rFonts w:ascii="Arial" w:eastAsia="Arial" w:hAnsi="Arial" w:cs="Arial"/>
                <w:b/>
                <w:color w:val="00BAB3"/>
                <w:sz w:val="18"/>
              </w:rPr>
              <w:t>2021</w:t>
            </w:r>
          </w:p>
        </w:tc>
        <w:tc>
          <w:tcPr>
            <w:tcW w:w="105" w:type="dxa"/>
            <w:tcBorders>
              <w:top w:val="single" w:sz="8" w:space="0" w:color="FFFFFF"/>
              <w:left w:val="nil"/>
              <w:bottom w:val="single" w:sz="8" w:space="0" w:color="C7C9C7"/>
              <w:right w:val="nil"/>
            </w:tcBorders>
            <w:tcMar>
              <w:top w:w="0" w:type="dxa"/>
              <w:left w:w="0" w:type="dxa"/>
              <w:bottom w:w="0" w:type="dxa"/>
              <w:right w:w="0" w:type="dxa"/>
            </w:tcMar>
            <w:vAlign w:val="bottom"/>
          </w:tcPr>
          <w:p w14:paraId="7BA34907" w14:textId="77777777" w:rsidR="001614AC" w:rsidRDefault="001614AC">
            <w:pPr>
              <w:keepNext/>
            </w:pPr>
          </w:p>
        </w:tc>
        <w:tc>
          <w:tcPr>
            <w:tcW w:w="1485" w:type="dxa"/>
            <w:gridSpan w:val="3"/>
            <w:tcBorders>
              <w:top w:val="single" w:sz="8" w:space="0" w:color="FFFFFF"/>
              <w:left w:val="nil"/>
              <w:bottom w:val="single" w:sz="8" w:space="0" w:color="C7C9C7"/>
              <w:right w:val="nil"/>
            </w:tcBorders>
            <w:shd w:val="clear" w:color="auto" w:fill="F4F4F4"/>
            <w:tcMar>
              <w:top w:w="0" w:type="dxa"/>
              <w:left w:w="53" w:type="dxa"/>
              <w:bottom w:w="0" w:type="dxa"/>
              <w:right w:w="53" w:type="dxa"/>
            </w:tcMar>
            <w:vAlign w:val="bottom"/>
          </w:tcPr>
          <w:p w14:paraId="42358874" w14:textId="77777777" w:rsidR="001614AC" w:rsidRDefault="004468F9">
            <w:pPr>
              <w:keepNext/>
              <w:spacing w:before="55" w:after="30" w:line="288" w:lineRule="auto"/>
              <w:jc w:val="center"/>
            </w:pPr>
            <w:r>
              <w:rPr>
                <w:rFonts w:ascii="Arial" w:eastAsia="Arial" w:hAnsi="Arial" w:cs="Arial"/>
                <w:b/>
                <w:color w:val="00BAB3"/>
                <w:sz w:val="18"/>
              </w:rPr>
              <w:t>2020</w:t>
            </w:r>
          </w:p>
        </w:tc>
      </w:tr>
      <w:tr w:rsidR="001614AC" w14:paraId="19ACC39F" w14:textId="77777777">
        <w:trPr>
          <w:cantSplit/>
        </w:trPr>
        <w:tc>
          <w:tcPr>
            <w:tcW w:w="6900" w:type="dxa"/>
            <w:tcBorders>
              <w:top w:val="single" w:sz="8" w:space="0" w:color="C7C9C7"/>
              <w:left w:val="nil"/>
              <w:bottom w:val="single" w:sz="8" w:space="0" w:color="E9E9E9"/>
              <w:right w:val="nil"/>
            </w:tcBorders>
            <w:tcMar>
              <w:top w:w="0" w:type="dxa"/>
              <w:left w:w="53" w:type="dxa"/>
              <w:bottom w:w="0" w:type="dxa"/>
              <w:right w:w="53" w:type="dxa"/>
            </w:tcMar>
            <w:vAlign w:val="bottom"/>
          </w:tcPr>
          <w:p w14:paraId="6CE69444" w14:textId="77777777" w:rsidR="001614AC" w:rsidRDefault="004468F9">
            <w:pPr>
              <w:keepNext/>
              <w:spacing w:before="55" w:after="30" w:line="288" w:lineRule="auto"/>
            </w:pPr>
            <w:r>
              <w:rPr>
                <w:rFonts w:ascii="Arial" w:eastAsia="Arial" w:hAnsi="Arial" w:cs="Arial"/>
                <w:color w:val="000000"/>
                <w:sz w:val="18"/>
              </w:rPr>
              <w:t>Radian Guaranty</w:t>
            </w:r>
          </w:p>
        </w:tc>
        <w:tc>
          <w:tcPr>
            <w:tcW w:w="105" w:type="dxa"/>
            <w:tcBorders>
              <w:top w:val="single" w:sz="8" w:space="0" w:color="C7C9C7"/>
              <w:left w:val="nil"/>
              <w:bottom w:val="nil"/>
              <w:right w:val="nil"/>
            </w:tcBorders>
            <w:tcMar>
              <w:top w:w="0" w:type="dxa"/>
              <w:left w:w="0" w:type="dxa"/>
              <w:bottom w:w="0" w:type="dxa"/>
              <w:right w:w="0" w:type="dxa"/>
            </w:tcMar>
            <w:vAlign w:val="bottom"/>
          </w:tcPr>
          <w:p w14:paraId="64D2DD14" w14:textId="77777777" w:rsidR="001614AC" w:rsidRDefault="001614AC">
            <w:pPr>
              <w:keepNext/>
            </w:pPr>
          </w:p>
        </w:tc>
        <w:tc>
          <w:tcPr>
            <w:tcW w:w="160" w:type="dxa"/>
            <w:tcBorders>
              <w:top w:val="single" w:sz="8" w:space="0" w:color="C7C9C7"/>
              <w:left w:val="nil"/>
              <w:bottom w:val="single" w:sz="8" w:space="0" w:color="E9E9E9"/>
              <w:right w:val="nil"/>
            </w:tcBorders>
            <w:tcMar>
              <w:top w:w="0" w:type="dxa"/>
              <w:left w:w="53" w:type="dxa"/>
              <w:bottom w:w="0" w:type="dxa"/>
              <w:right w:w="0" w:type="dxa"/>
            </w:tcMar>
            <w:vAlign w:val="bottom"/>
          </w:tcPr>
          <w:p w14:paraId="08782328" w14:textId="77777777" w:rsidR="001614AC" w:rsidRDefault="004468F9">
            <w:pPr>
              <w:keepNext/>
              <w:spacing w:before="55" w:after="30" w:line="288" w:lineRule="auto"/>
            </w:pPr>
            <w:r>
              <w:rPr>
                <w:rFonts w:ascii="Arial" w:eastAsia="Arial" w:hAnsi="Arial" w:cs="Arial"/>
                <w:color w:val="000000"/>
                <w:sz w:val="18"/>
              </w:rPr>
              <w:t>$</w:t>
            </w:r>
          </w:p>
        </w:tc>
        <w:tc>
          <w:tcPr>
            <w:tcW w:w="1225" w:type="dxa"/>
            <w:tcBorders>
              <w:top w:val="single" w:sz="8" w:space="0" w:color="C7C9C7"/>
              <w:left w:val="nil"/>
              <w:bottom w:val="single" w:sz="8" w:space="0" w:color="E9E9E9"/>
              <w:right w:val="nil"/>
            </w:tcBorders>
            <w:tcMar>
              <w:top w:w="0" w:type="dxa"/>
              <w:left w:w="0" w:type="dxa"/>
              <w:bottom w:w="0" w:type="dxa"/>
              <w:right w:w="0" w:type="dxa"/>
            </w:tcMar>
            <w:vAlign w:val="bottom"/>
          </w:tcPr>
          <w:p w14:paraId="03E975AD" w14:textId="77777777" w:rsidR="001614AC" w:rsidRDefault="004468F9">
            <w:pPr>
              <w:keepNext/>
              <w:spacing w:before="55" w:after="30" w:line="288" w:lineRule="auto"/>
              <w:jc w:val="right"/>
            </w:pPr>
            <w:r>
              <w:rPr>
                <w:rFonts w:ascii="Arial" w:eastAsia="Arial" w:hAnsi="Arial" w:cs="Arial"/>
                <w:color w:val="000000"/>
                <w:sz w:val="18"/>
              </w:rPr>
              <w:t>348,307 </w:t>
            </w:r>
          </w:p>
        </w:tc>
        <w:tc>
          <w:tcPr>
            <w:tcW w:w="100" w:type="dxa"/>
            <w:tcBorders>
              <w:top w:val="single" w:sz="8" w:space="0" w:color="C7C9C7"/>
              <w:left w:val="nil"/>
              <w:bottom w:val="single" w:sz="8" w:space="0" w:color="E9E9E9"/>
              <w:right w:val="nil"/>
            </w:tcBorders>
            <w:tcMar>
              <w:top w:w="0" w:type="dxa"/>
              <w:left w:w="0" w:type="dxa"/>
              <w:bottom w:w="0" w:type="dxa"/>
              <w:right w:w="15" w:type="dxa"/>
            </w:tcMar>
            <w:vAlign w:val="bottom"/>
          </w:tcPr>
          <w:p w14:paraId="2E540D8B" w14:textId="77777777" w:rsidR="001614AC" w:rsidRDefault="001614AC">
            <w:pPr>
              <w:keepNext/>
              <w:spacing w:before="55" w:after="30" w:line="288" w:lineRule="auto"/>
              <w:jc w:val="right"/>
            </w:pPr>
          </w:p>
        </w:tc>
        <w:tc>
          <w:tcPr>
            <w:tcW w:w="105" w:type="dxa"/>
            <w:tcBorders>
              <w:top w:val="single" w:sz="8" w:space="0" w:color="C7C9C7"/>
              <w:left w:val="nil"/>
              <w:bottom w:val="nil"/>
              <w:right w:val="nil"/>
            </w:tcBorders>
            <w:tcMar>
              <w:top w:w="0" w:type="dxa"/>
              <w:left w:w="0" w:type="dxa"/>
              <w:bottom w:w="0" w:type="dxa"/>
              <w:right w:w="0" w:type="dxa"/>
            </w:tcMar>
            <w:vAlign w:val="bottom"/>
          </w:tcPr>
          <w:p w14:paraId="699860F7" w14:textId="77777777" w:rsidR="001614AC" w:rsidRDefault="001614AC">
            <w:pPr>
              <w:keepNext/>
            </w:pPr>
          </w:p>
        </w:tc>
        <w:tc>
          <w:tcPr>
            <w:tcW w:w="160" w:type="dxa"/>
            <w:tcBorders>
              <w:top w:val="single" w:sz="8" w:space="0" w:color="C7C9C7"/>
              <w:left w:val="nil"/>
              <w:bottom w:val="single" w:sz="8" w:space="0" w:color="E9E9E9"/>
              <w:right w:val="nil"/>
            </w:tcBorders>
            <w:tcMar>
              <w:top w:w="0" w:type="dxa"/>
              <w:left w:w="53" w:type="dxa"/>
              <w:bottom w:w="0" w:type="dxa"/>
              <w:right w:w="0" w:type="dxa"/>
            </w:tcMar>
            <w:vAlign w:val="bottom"/>
          </w:tcPr>
          <w:p w14:paraId="15CCCAE9" w14:textId="77777777" w:rsidR="001614AC" w:rsidRDefault="004468F9">
            <w:pPr>
              <w:keepNext/>
              <w:spacing w:before="55" w:after="30" w:line="288" w:lineRule="auto"/>
            </w:pPr>
            <w:r>
              <w:rPr>
                <w:rFonts w:ascii="Arial" w:eastAsia="Arial" w:hAnsi="Arial" w:cs="Arial"/>
                <w:color w:val="000000"/>
                <w:sz w:val="18"/>
              </w:rPr>
              <w:t>$</w:t>
            </w:r>
          </w:p>
        </w:tc>
        <w:tc>
          <w:tcPr>
            <w:tcW w:w="1225" w:type="dxa"/>
            <w:tcBorders>
              <w:top w:val="single" w:sz="8" w:space="0" w:color="C7C9C7"/>
              <w:left w:val="nil"/>
              <w:bottom w:val="single" w:sz="8" w:space="0" w:color="E9E9E9"/>
              <w:right w:val="nil"/>
            </w:tcBorders>
            <w:tcMar>
              <w:top w:w="0" w:type="dxa"/>
              <w:left w:w="0" w:type="dxa"/>
              <w:bottom w:w="0" w:type="dxa"/>
              <w:right w:w="0" w:type="dxa"/>
            </w:tcMar>
            <w:vAlign w:val="bottom"/>
          </w:tcPr>
          <w:p w14:paraId="6C9104B0" w14:textId="77777777" w:rsidR="001614AC" w:rsidRDefault="004468F9">
            <w:pPr>
              <w:keepNext/>
              <w:spacing w:before="55" w:after="30" w:line="288" w:lineRule="auto"/>
              <w:jc w:val="right"/>
            </w:pPr>
            <w:r>
              <w:rPr>
                <w:rFonts w:ascii="Arial" w:eastAsia="Arial" w:hAnsi="Arial" w:cs="Arial"/>
                <w:color w:val="000000"/>
                <w:sz w:val="18"/>
              </w:rPr>
              <w:t>103,153 </w:t>
            </w:r>
          </w:p>
        </w:tc>
        <w:tc>
          <w:tcPr>
            <w:tcW w:w="100" w:type="dxa"/>
            <w:tcBorders>
              <w:top w:val="single" w:sz="8" w:space="0" w:color="C7C9C7"/>
              <w:left w:val="nil"/>
              <w:bottom w:val="single" w:sz="8" w:space="0" w:color="E9E9E9"/>
              <w:right w:val="nil"/>
            </w:tcBorders>
            <w:tcMar>
              <w:top w:w="0" w:type="dxa"/>
              <w:left w:w="0" w:type="dxa"/>
              <w:bottom w:w="0" w:type="dxa"/>
              <w:right w:w="15" w:type="dxa"/>
            </w:tcMar>
            <w:vAlign w:val="bottom"/>
          </w:tcPr>
          <w:p w14:paraId="126DCF0C" w14:textId="77777777" w:rsidR="001614AC" w:rsidRDefault="001614AC">
            <w:pPr>
              <w:keepNext/>
              <w:spacing w:before="55" w:after="30" w:line="288" w:lineRule="auto"/>
              <w:jc w:val="right"/>
            </w:pPr>
          </w:p>
        </w:tc>
      </w:tr>
      <w:tr w:rsidR="001614AC" w14:paraId="323ADFBA" w14:textId="77777777">
        <w:trPr>
          <w:cantSplit/>
        </w:trPr>
        <w:tc>
          <w:tcPr>
            <w:tcW w:w="6900" w:type="dxa"/>
            <w:tcBorders>
              <w:top w:val="single" w:sz="8" w:space="0" w:color="E9E9E9"/>
              <w:left w:val="nil"/>
              <w:bottom w:val="single" w:sz="8" w:space="0" w:color="E9E9E9"/>
              <w:right w:val="nil"/>
            </w:tcBorders>
            <w:tcMar>
              <w:top w:w="0" w:type="dxa"/>
              <w:left w:w="53" w:type="dxa"/>
              <w:bottom w:w="0" w:type="dxa"/>
              <w:right w:w="53" w:type="dxa"/>
            </w:tcMar>
            <w:vAlign w:val="bottom"/>
          </w:tcPr>
          <w:p w14:paraId="13D97073" w14:textId="77777777" w:rsidR="001614AC" w:rsidRDefault="004468F9">
            <w:pPr>
              <w:keepNext/>
              <w:spacing w:before="55" w:after="30" w:line="288" w:lineRule="auto"/>
            </w:pPr>
            <w:r>
              <w:rPr>
                <w:rFonts w:ascii="Arial" w:eastAsia="Arial" w:hAnsi="Arial" w:cs="Arial"/>
                <w:color w:val="000000"/>
                <w:sz w:val="18"/>
              </w:rPr>
              <w:t>Radian Reinsurance</w:t>
            </w:r>
          </w:p>
        </w:tc>
        <w:tc>
          <w:tcPr>
            <w:tcW w:w="105" w:type="dxa"/>
            <w:tcBorders>
              <w:top w:val="nil"/>
              <w:left w:val="nil"/>
              <w:bottom w:val="nil"/>
              <w:right w:val="nil"/>
            </w:tcBorders>
            <w:tcMar>
              <w:top w:w="0" w:type="dxa"/>
              <w:left w:w="0" w:type="dxa"/>
              <w:bottom w:w="0" w:type="dxa"/>
              <w:right w:w="0" w:type="dxa"/>
            </w:tcMar>
            <w:vAlign w:val="bottom"/>
          </w:tcPr>
          <w:p w14:paraId="17BB9C69" w14:textId="77777777" w:rsidR="001614AC" w:rsidRDefault="001614AC">
            <w:pPr>
              <w:keepNext/>
            </w:pPr>
          </w:p>
        </w:tc>
        <w:tc>
          <w:tcPr>
            <w:tcW w:w="1385" w:type="dxa"/>
            <w:gridSpan w:val="2"/>
            <w:tcBorders>
              <w:top w:val="single" w:sz="8" w:space="0" w:color="E9E9E9"/>
              <w:left w:val="nil"/>
              <w:bottom w:val="single" w:sz="8" w:space="0" w:color="E9E9E9"/>
              <w:right w:val="nil"/>
            </w:tcBorders>
            <w:shd w:val="clear" w:color="auto" w:fill="FFFFFF"/>
            <w:tcMar>
              <w:top w:w="0" w:type="dxa"/>
              <w:left w:w="53" w:type="dxa"/>
              <w:bottom w:w="0" w:type="dxa"/>
              <w:right w:w="0" w:type="dxa"/>
            </w:tcMar>
            <w:vAlign w:val="bottom"/>
          </w:tcPr>
          <w:p w14:paraId="136C1734" w14:textId="77777777" w:rsidR="001614AC" w:rsidRDefault="004468F9">
            <w:pPr>
              <w:keepNext/>
              <w:spacing w:before="55" w:after="30" w:line="288" w:lineRule="auto"/>
              <w:jc w:val="right"/>
            </w:pPr>
            <w:r>
              <w:rPr>
                <w:rFonts w:ascii="Arial" w:eastAsia="Arial" w:hAnsi="Arial" w:cs="Arial"/>
                <w:color w:val="000000"/>
                <w:sz w:val="18"/>
              </w:rPr>
              <w:t>7,418 </w:t>
            </w:r>
          </w:p>
        </w:tc>
        <w:tc>
          <w:tcPr>
            <w:tcW w:w="100" w:type="dxa"/>
            <w:tcBorders>
              <w:top w:val="single" w:sz="8" w:space="0" w:color="E9E9E9"/>
              <w:left w:val="nil"/>
              <w:bottom w:val="single" w:sz="8" w:space="0" w:color="E9E9E9"/>
              <w:right w:val="nil"/>
            </w:tcBorders>
            <w:shd w:val="clear" w:color="auto" w:fill="FFFFFF"/>
            <w:tcMar>
              <w:top w:w="0" w:type="dxa"/>
              <w:left w:w="0" w:type="dxa"/>
              <w:bottom w:w="0" w:type="dxa"/>
              <w:right w:w="15" w:type="dxa"/>
            </w:tcMar>
            <w:vAlign w:val="bottom"/>
          </w:tcPr>
          <w:p w14:paraId="34C2DC11" w14:textId="77777777" w:rsidR="001614AC" w:rsidRDefault="001614AC">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3281382A" w14:textId="77777777" w:rsidR="001614AC" w:rsidRDefault="001614AC">
            <w:pPr>
              <w:keepNext/>
            </w:pPr>
          </w:p>
        </w:tc>
        <w:tc>
          <w:tcPr>
            <w:tcW w:w="138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225481BF" w14:textId="77777777" w:rsidR="001614AC" w:rsidRDefault="004468F9">
            <w:pPr>
              <w:keepNext/>
              <w:spacing w:before="55" w:after="30" w:line="288" w:lineRule="auto"/>
              <w:jc w:val="right"/>
            </w:pPr>
            <w:r>
              <w:rPr>
                <w:rFonts w:ascii="Arial" w:eastAsia="Arial" w:hAnsi="Arial" w:cs="Arial"/>
                <w:color w:val="000000"/>
                <w:sz w:val="18"/>
              </w:rPr>
              <w:t>27,039 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1F0231BD" w14:textId="77777777" w:rsidR="001614AC" w:rsidRDefault="001614AC">
            <w:pPr>
              <w:keepNext/>
              <w:spacing w:before="55" w:after="30" w:line="288" w:lineRule="auto"/>
              <w:jc w:val="right"/>
            </w:pPr>
          </w:p>
        </w:tc>
      </w:tr>
      <w:tr w:rsidR="001614AC" w14:paraId="4853C357" w14:textId="77777777">
        <w:trPr>
          <w:cantSplit/>
        </w:trPr>
        <w:tc>
          <w:tcPr>
            <w:tcW w:w="6900" w:type="dxa"/>
            <w:tcBorders>
              <w:top w:val="single" w:sz="8" w:space="0" w:color="E9E9E9"/>
              <w:left w:val="nil"/>
              <w:bottom w:val="single" w:sz="8" w:space="0" w:color="E9E9E9"/>
              <w:right w:val="nil"/>
            </w:tcBorders>
            <w:tcMar>
              <w:top w:w="0" w:type="dxa"/>
              <w:left w:w="53" w:type="dxa"/>
              <w:bottom w:w="0" w:type="dxa"/>
              <w:right w:w="53" w:type="dxa"/>
            </w:tcMar>
            <w:vAlign w:val="bottom"/>
          </w:tcPr>
          <w:p w14:paraId="17A5A1AA" w14:textId="77777777" w:rsidR="001614AC" w:rsidRDefault="004468F9">
            <w:pPr>
              <w:keepNext/>
              <w:spacing w:before="55" w:after="30" w:line="288" w:lineRule="auto"/>
            </w:pPr>
            <w:r>
              <w:rPr>
                <w:rFonts w:ascii="Arial" w:eastAsia="Arial" w:hAnsi="Arial" w:cs="Arial"/>
                <w:color w:val="000000"/>
                <w:sz w:val="18"/>
              </w:rPr>
              <w:t>Other Mortgage Subsidiaries</w:t>
            </w:r>
          </w:p>
        </w:tc>
        <w:tc>
          <w:tcPr>
            <w:tcW w:w="105" w:type="dxa"/>
            <w:tcBorders>
              <w:top w:val="nil"/>
              <w:left w:val="nil"/>
              <w:bottom w:val="nil"/>
              <w:right w:val="nil"/>
            </w:tcBorders>
            <w:tcMar>
              <w:top w:w="0" w:type="dxa"/>
              <w:left w:w="0" w:type="dxa"/>
              <w:bottom w:w="0" w:type="dxa"/>
              <w:right w:w="0" w:type="dxa"/>
            </w:tcMar>
            <w:vAlign w:val="bottom"/>
          </w:tcPr>
          <w:p w14:paraId="4837A7FC" w14:textId="77777777" w:rsidR="001614AC" w:rsidRDefault="001614AC">
            <w:pPr>
              <w:keepNext/>
            </w:pPr>
          </w:p>
        </w:tc>
        <w:tc>
          <w:tcPr>
            <w:tcW w:w="138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1A34555A" w14:textId="77777777" w:rsidR="001614AC" w:rsidRDefault="004468F9">
            <w:pPr>
              <w:keepNext/>
              <w:spacing w:before="55" w:after="30" w:line="288" w:lineRule="auto"/>
              <w:jc w:val="right"/>
            </w:pPr>
            <w:r>
              <w:rPr>
                <w:rFonts w:ascii="Arial" w:eastAsia="Arial" w:hAnsi="Arial" w:cs="Arial"/>
                <w:color w:val="000000"/>
                <w:sz w:val="18"/>
              </w:rPr>
              <w:t>629 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64BB1943" w14:textId="77777777" w:rsidR="001614AC" w:rsidRDefault="001614AC">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78C508B0" w14:textId="77777777" w:rsidR="001614AC" w:rsidRDefault="001614AC">
            <w:pPr>
              <w:keepNext/>
            </w:pPr>
          </w:p>
        </w:tc>
        <w:tc>
          <w:tcPr>
            <w:tcW w:w="138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39EB309D" w14:textId="77777777" w:rsidR="001614AC" w:rsidRDefault="004468F9">
            <w:pPr>
              <w:keepNext/>
              <w:spacing w:before="55" w:after="30" w:line="288" w:lineRule="auto"/>
              <w:jc w:val="right"/>
            </w:pPr>
            <w:r>
              <w:rPr>
                <w:rFonts w:ascii="Arial" w:eastAsia="Arial" w:hAnsi="Arial" w:cs="Arial"/>
                <w:color w:val="000000"/>
                <w:sz w:val="18"/>
              </w:rPr>
              <w:t>378 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0EB4C770" w14:textId="77777777" w:rsidR="001614AC" w:rsidRDefault="001614AC">
            <w:pPr>
              <w:keepNext/>
              <w:spacing w:before="55" w:after="30" w:line="288" w:lineRule="auto"/>
              <w:jc w:val="right"/>
            </w:pPr>
          </w:p>
        </w:tc>
      </w:tr>
      <w:tr w:rsidR="001614AC" w14:paraId="1A826564" w14:textId="77777777">
        <w:trPr>
          <w:cantSplit/>
        </w:trPr>
        <w:tc>
          <w:tcPr>
            <w:tcW w:w="6900" w:type="dxa"/>
            <w:tcBorders>
              <w:top w:val="single" w:sz="8" w:space="0" w:color="E9E9E9"/>
              <w:left w:val="nil"/>
              <w:bottom w:val="single" w:sz="8" w:space="0" w:color="E9E9E9"/>
              <w:right w:val="nil"/>
            </w:tcBorders>
            <w:tcMar>
              <w:top w:w="0" w:type="dxa"/>
              <w:left w:w="53" w:type="dxa"/>
              <w:bottom w:w="0" w:type="dxa"/>
              <w:right w:w="53" w:type="dxa"/>
            </w:tcMar>
            <w:vAlign w:val="bottom"/>
          </w:tcPr>
          <w:p w14:paraId="5079CE86" w14:textId="77777777" w:rsidR="001614AC" w:rsidRDefault="004468F9">
            <w:pPr>
              <w:keepNext/>
              <w:spacing w:before="55" w:after="30" w:line="288" w:lineRule="auto"/>
            </w:pPr>
            <w:r>
              <w:rPr>
                <w:rFonts w:ascii="Arial" w:eastAsia="Arial" w:hAnsi="Arial" w:cs="Arial"/>
                <w:color w:val="000000"/>
                <w:sz w:val="18"/>
              </w:rPr>
              <w:t>Radian Title Insurance</w:t>
            </w:r>
          </w:p>
        </w:tc>
        <w:tc>
          <w:tcPr>
            <w:tcW w:w="105" w:type="dxa"/>
            <w:tcBorders>
              <w:top w:val="nil"/>
              <w:left w:val="nil"/>
              <w:bottom w:val="nil"/>
              <w:right w:val="nil"/>
            </w:tcBorders>
            <w:tcMar>
              <w:top w:w="0" w:type="dxa"/>
              <w:left w:w="0" w:type="dxa"/>
              <w:bottom w:w="0" w:type="dxa"/>
              <w:right w:w="0" w:type="dxa"/>
            </w:tcMar>
            <w:vAlign w:val="bottom"/>
          </w:tcPr>
          <w:p w14:paraId="6BF4D66D" w14:textId="77777777" w:rsidR="001614AC" w:rsidRDefault="001614AC">
            <w:pPr>
              <w:keepNext/>
            </w:pPr>
          </w:p>
        </w:tc>
        <w:tc>
          <w:tcPr>
            <w:tcW w:w="138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2AD2F515" w14:textId="77777777" w:rsidR="001614AC" w:rsidRDefault="004468F9">
            <w:pPr>
              <w:keepNext/>
              <w:spacing w:before="55" w:after="30" w:line="288" w:lineRule="auto"/>
              <w:jc w:val="right"/>
            </w:pPr>
            <w:r>
              <w:rPr>
                <w:rFonts w:ascii="Arial" w:eastAsia="Arial" w:hAnsi="Arial" w:cs="Arial"/>
                <w:color w:val="000000"/>
                <w:sz w:val="18"/>
              </w:rPr>
              <w:t>2,623 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7A10E63D" w14:textId="77777777" w:rsidR="001614AC" w:rsidRDefault="001614AC">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755DBA87" w14:textId="77777777" w:rsidR="001614AC" w:rsidRDefault="001614AC">
            <w:pPr>
              <w:keepNext/>
            </w:pPr>
          </w:p>
        </w:tc>
        <w:tc>
          <w:tcPr>
            <w:tcW w:w="138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27C9BD5D" w14:textId="77777777" w:rsidR="001614AC" w:rsidRDefault="004468F9">
            <w:pPr>
              <w:keepNext/>
              <w:spacing w:before="55" w:after="30" w:line="288" w:lineRule="auto"/>
              <w:jc w:val="right"/>
            </w:pPr>
            <w:r>
              <w:rPr>
                <w:rFonts w:ascii="Arial" w:eastAsia="Arial" w:hAnsi="Arial" w:cs="Arial"/>
                <w:color w:val="000000"/>
                <w:sz w:val="18"/>
              </w:rPr>
              <w:t>843 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0172570E" w14:textId="77777777" w:rsidR="001614AC" w:rsidRDefault="001614AC">
            <w:pPr>
              <w:keepNext/>
              <w:spacing w:before="55" w:after="30" w:line="288" w:lineRule="auto"/>
              <w:jc w:val="right"/>
            </w:pPr>
          </w:p>
        </w:tc>
      </w:tr>
      <w:tr w:rsidR="001614AC" w14:paraId="50124C12" w14:textId="77777777">
        <w:trPr>
          <w:cantSplit/>
        </w:trPr>
        <w:tc>
          <w:tcPr>
            <w:tcW w:w="6900" w:type="dxa"/>
            <w:tcBorders>
              <w:top w:val="single" w:sz="8" w:space="0" w:color="E9E9E9"/>
              <w:left w:val="nil"/>
              <w:bottom w:val="nil"/>
              <w:right w:val="nil"/>
            </w:tcBorders>
            <w:tcMar>
              <w:top w:w="0" w:type="dxa"/>
              <w:left w:w="0" w:type="dxa"/>
              <w:bottom w:w="0" w:type="dxa"/>
              <w:right w:w="0" w:type="dxa"/>
            </w:tcMar>
            <w:vAlign w:val="bottom"/>
          </w:tcPr>
          <w:p w14:paraId="177874BD" w14:textId="77777777" w:rsidR="001614AC" w:rsidRDefault="001614AC">
            <w:pPr>
              <w:keepNext/>
            </w:pPr>
          </w:p>
        </w:tc>
        <w:tc>
          <w:tcPr>
            <w:tcW w:w="105" w:type="dxa"/>
            <w:tcBorders>
              <w:top w:val="nil"/>
              <w:left w:val="nil"/>
              <w:bottom w:val="nil"/>
              <w:right w:val="nil"/>
            </w:tcBorders>
            <w:tcMar>
              <w:top w:w="0" w:type="dxa"/>
              <w:left w:w="0" w:type="dxa"/>
              <w:bottom w:w="0" w:type="dxa"/>
              <w:right w:w="0" w:type="dxa"/>
            </w:tcMar>
            <w:vAlign w:val="bottom"/>
          </w:tcPr>
          <w:p w14:paraId="0323399D" w14:textId="77777777" w:rsidR="001614AC" w:rsidRDefault="001614AC">
            <w:pPr>
              <w:keepNext/>
            </w:pPr>
          </w:p>
        </w:tc>
        <w:tc>
          <w:tcPr>
            <w:tcW w:w="1485" w:type="dxa"/>
            <w:gridSpan w:val="3"/>
            <w:tcBorders>
              <w:top w:val="single" w:sz="8" w:space="0" w:color="E9E9E9"/>
              <w:left w:val="nil"/>
              <w:bottom w:val="nil"/>
              <w:right w:val="nil"/>
            </w:tcBorders>
            <w:tcMar>
              <w:top w:w="0" w:type="dxa"/>
              <w:left w:w="0" w:type="dxa"/>
              <w:bottom w:w="0" w:type="dxa"/>
              <w:right w:w="0" w:type="dxa"/>
            </w:tcMar>
            <w:vAlign w:val="bottom"/>
          </w:tcPr>
          <w:p w14:paraId="7965E7AD" w14:textId="77777777" w:rsidR="001614AC" w:rsidRDefault="001614AC">
            <w:pPr>
              <w:keepNext/>
            </w:pPr>
          </w:p>
        </w:tc>
        <w:tc>
          <w:tcPr>
            <w:tcW w:w="105" w:type="dxa"/>
            <w:tcBorders>
              <w:top w:val="nil"/>
              <w:left w:val="nil"/>
              <w:bottom w:val="nil"/>
              <w:right w:val="nil"/>
            </w:tcBorders>
            <w:tcMar>
              <w:top w:w="0" w:type="dxa"/>
              <w:left w:w="0" w:type="dxa"/>
              <w:bottom w:w="0" w:type="dxa"/>
              <w:right w:w="0" w:type="dxa"/>
            </w:tcMar>
            <w:vAlign w:val="bottom"/>
          </w:tcPr>
          <w:p w14:paraId="5575E3C7" w14:textId="77777777" w:rsidR="001614AC" w:rsidRDefault="001614AC">
            <w:pPr>
              <w:keepNext/>
            </w:pPr>
          </w:p>
        </w:tc>
        <w:tc>
          <w:tcPr>
            <w:tcW w:w="1485" w:type="dxa"/>
            <w:gridSpan w:val="3"/>
            <w:tcBorders>
              <w:top w:val="single" w:sz="8" w:space="0" w:color="E9E9E9"/>
              <w:left w:val="nil"/>
              <w:bottom w:val="nil"/>
              <w:right w:val="nil"/>
            </w:tcBorders>
            <w:tcMar>
              <w:top w:w="0" w:type="dxa"/>
              <w:left w:w="0" w:type="dxa"/>
              <w:bottom w:w="0" w:type="dxa"/>
              <w:right w:w="0" w:type="dxa"/>
            </w:tcMar>
            <w:vAlign w:val="bottom"/>
          </w:tcPr>
          <w:p w14:paraId="26B02F46" w14:textId="77777777" w:rsidR="001614AC" w:rsidRDefault="001614AC">
            <w:pPr>
              <w:keepNext/>
            </w:pPr>
          </w:p>
        </w:tc>
      </w:tr>
      <w:tr w:rsidR="001614AC" w14:paraId="56613C1C" w14:textId="77777777">
        <w:trPr>
          <w:cantSplit/>
        </w:trPr>
        <w:tc>
          <w:tcPr>
            <w:tcW w:w="10080" w:type="dxa"/>
            <w:gridSpan w:val="9"/>
            <w:tcBorders>
              <w:top w:val="nil"/>
              <w:left w:val="nil"/>
              <w:bottom w:val="nil"/>
              <w:right w:val="nil"/>
            </w:tcBorders>
            <w:tcMar>
              <w:top w:w="0" w:type="dxa"/>
              <w:left w:w="53" w:type="dxa"/>
              <w:bottom w:w="0" w:type="dxa"/>
              <w:right w:w="53" w:type="dxa"/>
            </w:tcMar>
            <w:vAlign w:val="bottom"/>
          </w:tcPr>
          <w:p w14:paraId="68FD3EDB" w14:textId="77777777" w:rsidR="001614AC" w:rsidRDefault="004468F9">
            <w:pPr>
              <w:keepNext/>
              <w:spacing w:before="75" w:after="30" w:line="288" w:lineRule="auto"/>
            </w:pPr>
            <w:r>
              <w:rPr>
                <w:rFonts w:ascii="Arial" w:eastAsia="Arial" w:hAnsi="Arial" w:cs="Arial"/>
                <w:b/>
                <w:color w:val="000000"/>
                <w:sz w:val="20"/>
              </w:rPr>
              <w:t>Statutory policyholders’ surplus</w:t>
            </w:r>
          </w:p>
        </w:tc>
      </w:tr>
      <w:tr w:rsidR="001614AC" w14:paraId="4609114B" w14:textId="77777777">
        <w:trPr>
          <w:cantSplit/>
          <w:trHeight w:hRule="exact" w:val="135"/>
        </w:trPr>
        <w:tc>
          <w:tcPr>
            <w:tcW w:w="6900" w:type="dxa"/>
            <w:tcBorders>
              <w:top w:val="single" w:sz="12" w:space="0" w:color="99AAB6"/>
              <w:left w:val="nil"/>
              <w:bottom w:val="nil"/>
              <w:right w:val="nil"/>
            </w:tcBorders>
            <w:tcMar>
              <w:top w:w="0" w:type="dxa"/>
              <w:left w:w="0" w:type="dxa"/>
              <w:bottom w:w="0" w:type="dxa"/>
              <w:right w:w="0" w:type="dxa"/>
            </w:tcMar>
            <w:vAlign w:val="bottom"/>
          </w:tcPr>
          <w:p w14:paraId="6B4BF53B" w14:textId="77777777" w:rsidR="001614AC" w:rsidRDefault="001614AC">
            <w:pPr>
              <w:keepNext/>
            </w:pPr>
          </w:p>
        </w:tc>
        <w:tc>
          <w:tcPr>
            <w:tcW w:w="105" w:type="dxa"/>
            <w:tcBorders>
              <w:top w:val="single" w:sz="12" w:space="0" w:color="99AAB6"/>
              <w:left w:val="nil"/>
              <w:bottom w:val="nil"/>
              <w:right w:val="nil"/>
            </w:tcBorders>
            <w:tcMar>
              <w:top w:w="0" w:type="dxa"/>
              <w:left w:w="0" w:type="dxa"/>
              <w:bottom w:w="0" w:type="dxa"/>
              <w:right w:w="0" w:type="dxa"/>
            </w:tcMar>
            <w:vAlign w:val="bottom"/>
          </w:tcPr>
          <w:p w14:paraId="5C0BCA53" w14:textId="77777777" w:rsidR="001614AC" w:rsidRDefault="001614AC">
            <w:pPr>
              <w:keepNext/>
            </w:pPr>
          </w:p>
        </w:tc>
        <w:tc>
          <w:tcPr>
            <w:tcW w:w="1485" w:type="dxa"/>
            <w:gridSpan w:val="3"/>
            <w:tcBorders>
              <w:top w:val="single" w:sz="12" w:space="0" w:color="99AAB6"/>
              <w:left w:val="nil"/>
              <w:bottom w:val="nil"/>
              <w:right w:val="nil"/>
            </w:tcBorders>
            <w:tcMar>
              <w:top w:w="0" w:type="dxa"/>
              <w:left w:w="0" w:type="dxa"/>
              <w:bottom w:w="0" w:type="dxa"/>
              <w:right w:w="0" w:type="dxa"/>
            </w:tcMar>
            <w:vAlign w:val="bottom"/>
          </w:tcPr>
          <w:p w14:paraId="4B5DAF96" w14:textId="77777777" w:rsidR="001614AC" w:rsidRDefault="001614AC">
            <w:pPr>
              <w:keepNext/>
            </w:pPr>
          </w:p>
        </w:tc>
        <w:tc>
          <w:tcPr>
            <w:tcW w:w="105" w:type="dxa"/>
            <w:tcBorders>
              <w:top w:val="single" w:sz="12" w:space="0" w:color="99AAB6"/>
              <w:left w:val="nil"/>
              <w:bottom w:val="nil"/>
              <w:right w:val="nil"/>
            </w:tcBorders>
            <w:tcMar>
              <w:top w:w="0" w:type="dxa"/>
              <w:left w:w="0" w:type="dxa"/>
              <w:bottom w:w="0" w:type="dxa"/>
              <w:right w:w="0" w:type="dxa"/>
            </w:tcMar>
            <w:vAlign w:val="bottom"/>
          </w:tcPr>
          <w:p w14:paraId="6425FABC" w14:textId="77777777" w:rsidR="001614AC" w:rsidRDefault="001614AC">
            <w:pPr>
              <w:keepNext/>
            </w:pPr>
          </w:p>
        </w:tc>
        <w:tc>
          <w:tcPr>
            <w:tcW w:w="1485" w:type="dxa"/>
            <w:gridSpan w:val="3"/>
            <w:tcBorders>
              <w:top w:val="single" w:sz="12" w:space="0" w:color="99AAB6"/>
              <w:left w:val="nil"/>
              <w:bottom w:val="nil"/>
              <w:right w:val="nil"/>
            </w:tcBorders>
            <w:tcMar>
              <w:top w:w="0" w:type="dxa"/>
              <w:left w:w="0" w:type="dxa"/>
              <w:bottom w:w="0" w:type="dxa"/>
              <w:right w:w="0" w:type="dxa"/>
            </w:tcMar>
            <w:vAlign w:val="bottom"/>
          </w:tcPr>
          <w:p w14:paraId="2010F80F" w14:textId="77777777" w:rsidR="001614AC" w:rsidRDefault="001614AC">
            <w:pPr>
              <w:keepNext/>
            </w:pPr>
          </w:p>
        </w:tc>
      </w:tr>
      <w:tr w:rsidR="001614AC" w14:paraId="429A7685" w14:textId="77777777">
        <w:trPr>
          <w:cantSplit/>
        </w:trPr>
        <w:tc>
          <w:tcPr>
            <w:tcW w:w="6900" w:type="dxa"/>
            <w:tcBorders>
              <w:top w:val="nil"/>
              <w:left w:val="nil"/>
              <w:bottom w:val="single" w:sz="8" w:space="0" w:color="C7C9C7"/>
              <w:right w:val="nil"/>
            </w:tcBorders>
            <w:tcMar>
              <w:top w:w="0" w:type="dxa"/>
              <w:left w:w="53" w:type="dxa"/>
              <w:bottom w:w="0" w:type="dxa"/>
              <w:right w:w="53" w:type="dxa"/>
            </w:tcMar>
            <w:vAlign w:val="bottom"/>
          </w:tcPr>
          <w:p w14:paraId="64E94CC6" w14:textId="77777777" w:rsidR="001614AC" w:rsidRDefault="004468F9">
            <w:pPr>
              <w:keepNext/>
              <w:spacing w:before="75" w:after="30" w:line="288" w:lineRule="auto"/>
            </w:pPr>
            <w:r>
              <w:rPr>
                <w:rFonts w:ascii="Arial" w:eastAsia="Arial" w:hAnsi="Arial" w:cs="Arial"/>
                <w:color w:val="8B8886"/>
                <w:sz w:val="16"/>
              </w:rPr>
              <w:t>(In thousands)</w:t>
            </w:r>
          </w:p>
        </w:tc>
        <w:tc>
          <w:tcPr>
            <w:tcW w:w="105" w:type="dxa"/>
            <w:tcBorders>
              <w:top w:val="nil"/>
              <w:left w:val="nil"/>
              <w:bottom w:val="single" w:sz="8" w:space="0" w:color="C7C9C7"/>
              <w:right w:val="nil"/>
            </w:tcBorders>
            <w:tcMar>
              <w:top w:w="0" w:type="dxa"/>
              <w:left w:w="0" w:type="dxa"/>
              <w:bottom w:w="0" w:type="dxa"/>
              <w:right w:w="0" w:type="dxa"/>
            </w:tcMar>
            <w:vAlign w:val="bottom"/>
          </w:tcPr>
          <w:p w14:paraId="653342A9" w14:textId="77777777" w:rsidR="001614AC" w:rsidRDefault="001614AC">
            <w:pPr>
              <w:keepNext/>
            </w:pPr>
          </w:p>
        </w:tc>
        <w:tc>
          <w:tcPr>
            <w:tcW w:w="1485" w:type="dxa"/>
            <w:gridSpan w:val="3"/>
            <w:tcBorders>
              <w:top w:val="nil"/>
              <w:left w:val="nil"/>
              <w:bottom w:val="single" w:sz="8" w:space="0" w:color="C7C9C7"/>
              <w:right w:val="nil"/>
            </w:tcBorders>
            <w:shd w:val="clear" w:color="auto" w:fill="E6F8F8"/>
            <w:tcMar>
              <w:top w:w="0" w:type="dxa"/>
              <w:left w:w="53" w:type="dxa"/>
              <w:bottom w:w="0" w:type="dxa"/>
              <w:right w:w="53" w:type="dxa"/>
            </w:tcMar>
            <w:vAlign w:val="bottom"/>
          </w:tcPr>
          <w:p w14:paraId="7A913B76" w14:textId="77777777" w:rsidR="001614AC" w:rsidRDefault="004468F9">
            <w:pPr>
              <w:keepNext/>
              <w:spacing w:before="75" w:after="30" w:line="288" w:lineRule="auto"/>
              <w:jc w:val="center"/>
            </w:pPr>
            <w:r>
              <w:rPr>
                <w:rFonts w:ascii="Arial" w:eastAsia="Arial" w:hAnsi="Arial" w:cs="Arial"/>
                <w:b/>
                <w:color w:val="00BAB3"/>
                <w:sz w:val="18"/>
              </w:rPr>
              <w:t>June 30,</w:t>
            </w:r>
            <w:r>
              <w:br/>
            </w:r>
            <w:r>
              <w:rPr>
                <w:rFonts w:ascii="Arial" w:eastAsia="Arial" w:hAnsi="Arial" w:cs="Arial"/>
                <w:b/>
                <w:color w:val="00BAB3"/>
                <w:sz w:val="18"/>
              </w:rPr>
              <w:t>2021</w:t>
            </w:r>
          </w:p>
        </w:tc>
        <w:tc>
          <w:tcPr>
            <w:tcW w:w="105" w:type="dxa"/>
            <w:tcBorders>
              <w:top w:val="nil"/>
              <w:left w:val="nil"/>
              <w:bottom w:val="single" w:sz="8" w:space="0" w:color="C7C9C7"/>
              <w:right w:val="nil"/>
            </w:tcBorders>
            <w:tcMar>
              <w:top w:w="0" w:type="dxa"/>
              <w:left w:w="0" w:type="dxa"/>
              <w:bottom w:w="0" w:type="dxa"/>
              <w:right w:w="0" w:type="dxa"/>
            </w:tcMar>
            <w:vAlign w:val="bottom"/>
          </w:tcPr>
          <w:p w14:paraId="30A3178D" w14:textId="77777777" w:rsidR="001614AC" w:rsidRDefault="001614AC">
            <w:pPr>
              <w:keepNext/>
            </w:pPr>
          </w:p>
        </w:tc>
        <w:tc>
          <w:tcPr>
            <w:tcW w:w="1485" w:type="dxa"/>
            <w:gridSpan w:val="3"/>
            <w:tcBorders>
              <w:top w:val="nil"/>
              <w:left w:val="nil"/>
              <w:bottom w:val="single" w:sz="8" w:space="0" w:color="C7C9C7"/>
              <w:right w:val="nil"/>
            </w:tcBorders>
            <w:shd w:val="clear" w:color="auto" w:fill="F4F4F4"/>
            <w:tcMar>
              <w:top w:w="0" w:type="dxa"/>
              <w:left w:w="53" w:type="dxa"/>
              <w:bottom w:w="0" w:type="dxa"/>
              <w:right w:w="53" w:type="dxa"/>
            </w:tcMar>
            <w:vAlign w:val="bottom"/>
          </w:tcPr>
          <w:p w14:paraId="7BCB5575" w14:textId="77777777" w:rsidR="001614AC" w:rsidRDefault="004468F9">
            <w:pPr>
              <w:keepNext/>
              <w:spacing w:before="75" w:after="30" w:line="288" w:lineRule="auto"/>
              <w:jc w:val="center"/>
            </w:pPr>
            <w:r>
              <w:rPr>
                <w:rFonts w:ascii="Arial" w:eastAsia="Arial" w:hAnsi="Arial" w:cs="Arial"/>
                <w:b/>
                <w:color w:val="00BAB3"/>
                <w:sz w:val="18"/>
              </w:rPr>
              <w:t>December 31,</w:t>
            </w:r>
            <w:r>
              <w:br/>
            </w:r>
            <w:r>
              <w:rPr>
                <w:rFonts w:ascii="Arial" w:eastAsia="Arial" w:hAnsi="Arial" w:cs="Arial"/>
                <w:b/>
                <w:color w:val="00BAB3"/>
                <w:sz w:val="18"/>
              </w:rPr>
              <w:t>2020</w:t>
            </w:r>
          </w:p>
        </w:tc>
      </w:tr>
      <w:tr w:rsidR="001614AC" w14:paraId="5DCB8213" w14:textId="77777777">
        <w:trPr>
          <w:cantSplit/>
        </w:trPr>
        <w:tc>
          <w:tcPr>
            <w:tcW w:w="6900" w:type="dxa"/>
            <w:tcBorders>
              <w:top w:val="single" w:sz="8" w:space="0" w:color="C7C9C7"/>
              <w:left w:val="nil"/>
              <w:bottom w:val="single" w:sz="8" w:space="0" w:color="E9E9E9"/>
              <w:right w:val="nil"/>
            </w:tcBorders>
            <w:tcMar>
              <w:top w:w="0" w:type="dxa"/>
              <w:left w:w="53" w:type="dxa"/>
              <w:bottom w:w="0" w:type="dxa"/>
              <w:right w:w="53" w:type="dxa"/>
            </w:tcMar>
            <w:vAlign w:val="bottom"/>
          </w:tcPr>
          <w:p w14:paraId="3AC1A076" w14:textId="77777777" w:rsidR="001614AC" w:rsidRDefault="004468F9">
            <w:pPr>
              <w:keepNext/>
              <w:spacing w:before="55" w:after="30" w:line="288" w:lineRule="auto"/>
            </w:pPr>
            <w:r>
              <w:rPr>
                <w:rFonts w:ascii="Arial" w:eastAsia="Arial" w:hAnsi="Arial" w:cs="Arial"/>
                <w:color w:val="000000"/>
                <w:sz w:val="18"/>
              </w:rPr>
              <w:t>Radian Guaranty</w:t>
            </w:r>
          </w:p>
        </w:tc>
        <w:tc>
          <w:tcPr>
            <w:tcW w:w="105" w:type="dxa"/>
            <w:tcBorders>
              <w:top w:val="single" w:sz="8" w:space="0" w:color="C7C9C7"/>
              <w:left w:val="nil"/>
              <w:bottom w:val="nil"/>
              <w:right w:val="nil"/>
            </w:tcBorders>
            <w:tcMar>
              <w:top w:w="0" w:type="dxa"/>
              <w:left w:w="0" w:type="dxa"/>
              <w:bottom w:w="0" w:type="dxa"/>
              <w:right w:w="0" w:type="dxa"/>
            </w:tcMar>
            <w:vAlign w:val="bottom"/>
          </w:tcPr>
          <w:p w14:paraId="3135A808" w14:textId="77777777" w:rsidR="001614AC" w:rsidRDefault="001614AC">
            <w:pPr>
              <w:keepNext/>
            </w:pPr>
          </w:p>
        </w:tc>
        <w:tc>
          <w:tcPr>
            <w:tcW w:w="160" w:type="dxa"/>
            <w:tcBorders>
              <w:top w:val="single" w:sz="8" w:space="0" w:color="C7C9C7"/>
              <w:left w:val="nil"/>
              <w:bottom w:val="single" w:sz="8" w:space="0" w:color="E9E9E9"/>
              <w:right w:val="nil"/>
            </w:tcBorders>
            <w:tcMar>
              <w:top w:w="0" w:type="dxa"/>
              <w:left w:w="53" w:type="dxa"/>
              <w:bottom w:w="0" w:type="dxa"/>
              <w:right w:w="0" w:type="dxa"/>
            </w:tcMar>
            <w:vAlign w:val="bottom"/>
          </w:tcPr>
          <w:p w14:paraId="727C1A96" w14:textId="77777777" w:rsidR="001614AC" w:rsidRDefault="004468F9">
            <w:pPr>
              <w:keepNext/>
              <w:spacing w:before="55" w:after="30" w:line="288" w:lineRule="auto"/>
            </w:pPr>
            <w:r>
              <w:rPr>
                <w:rFonts w:ascii="Arial" w:eastAsia="Arial" w:hAnsi="Arial" w:cs="Arial"/>
                <w:color w:val="000000"/>
                <w:sz w:val="18"/>
              </w:rPr>
              <w:t>$</w:t>
            </w:r>
          </w:p>
        </w:tc>
        <w:tc>
          <w:tcPr>
            <w:tcW w:w="1225" w:type="dxa"/>
            <w:tcBorders>
              <w:top w:val="single" w:sz="8" w:space="0" w:color="C7C9C7"/>
              <w:left w:val="nil"/>
              <w:bottom w:val="single" w:sz="8" w:space="0" w:color="E9E9E9"/>
              <w:right w:val="nil"/>
            </w:tcBorders>
            <w:tcMar>
              <w:top w:w="0" w:type="dxa"/>
              <w:left w:w="0" w:type="dxa"/>
              <w:bottom w:w="0" w:type="dxa"/>
              <w:right w:w="0" w:type="dxa"/>
            </w:tcMar>
            <w:vAlign w:val="bottom"/>
          </w:tcPr>
          <w:p w14:paraId="1E14EAF9" w14:textId="77777777" w:rsidR="001614AC" w:rsidRDefault="004468F9">
            <w:pPr>
              <w:keepNext/>
              <w:spacing w:before="55" w:after="30" w:line="288" w:lineRule="auto"/>
              <w:jc w:val="right"/>
            </w:pPr>
            <w:r>
              <w:rPr>
                <w:rFonts w:ascii="Arial" w:eastAsia="Arial" w:hAnsi="Arial" w:cs="Arial"/>
                <w:color w:val="000000"/>
                <w:sz w:val="18"/>
              </w:rPr>
              <w:t>595,981 </w:t>
            </w:r>
          </w:p>
        </w:tc>
        <w:tc>
          <w:tcPr>
            <w:tcW w:w="100" w:type="dxa"/>
            <w:tcBorders>
              <w:top w:val="single" w:sz="8" w:space="0" w:color="C7C9C7"/>
              <w:left w:val="nil"/>
              <w:bottom w:val="single" w:sz="8" w:space="0" w:color="E9E9E9"/>
              <w:right w:val="nil"/>
            </w:tcBorders>
            <w:tcMar>
              <w:top w:w="0" w:type="dxa"/>
              <w:left w:w="0" w:type="dxa"/>
              <w:bottom w:w="0" w:type="dxa"/>
              <w:right w:w="15" w:type="dxa"/>
            </w:tcMar>
            <w:vAlign w:val="bottom"/>
          </w:tcPr>
          <w:p w14:paraId="23871D50" w14:textId="77777777" w:rsidR="001614AC" w:rsidRDefault="001614AC">
            <w:pPr>
              <w:keepNext/>
              <w:spacing w:before="55" w:after="30" w:line="288" w:lineRule="auto"/>
              <w:jc w:val="right"/>
            </w:pPr>
          </w:p>
        </w:tc>
        <w:tc>
          <w:tcPr>
            <w:tcW w:w="105" w:type="dxa"/>
            <w:tcBorders>
              <w:top w:val="single" w:sz="8" w:space="0" w:color="C7C9C7"/>
              <w:left w:val="nil"/>
              <w:bottom w:val="nil"/>
              <w:right w:val="nil"/>
            </w:tcBorders>
            <w:tcMar>
              <w:top w:w="0" w:type="dxa"/>
              <w:left w:w="0" w:type="dxa"/>
              <w:bottom w:w="0" w:type="dxa"/>
              <w:right w:w="0" w:type="dxa"/>
            </w:tcMar>
            <w:vAlign w:val="bottom"/>
          </w:tcPr>
          <w:p w14:paraId="117C4B26" w14:textId="77777777" w:rsidR="001614AC" w:rsidRDefault="001614AC">
            <w:pPr>
              <w:keepNext/>
            </w:pPr>
          </w:p>
        </w:tc>
        <w:tc>
          <w:tcPr>
            <w:tcW w:w="160" w:type="dxa"/>
            <w:tcBorders>
              <w:top w:val="single" w:sz="8" w:space="0" w:color="C7C9C7"/>
              <w:left w:val="nil"/>
              <w:bottom w:val="single" w:sz="8" w:space="0" w:color="E9E9E9"/>
              <w:right w:val="nil"/>
            </w:tcBorders>
            <w:tcMar>
              <w:top w:w="0" w:type="dxa"/>
              <w:left w:w="53" w:type="dxa"/>
              <w:bottom w:w="0" w:type="dxa"/>
              <w:right w:w="0" w:type="dxa"/>
            </w:tcMar>
            <w:vAlign w:val="bottom"/>
          </w:tcPr>
          <w:p w14:paraId="685BB669" w14:textId="77777777" w:rsidR="001614AC" w:rsidRDefault="004468F9">
            <w:pPr>
              <w:keepNext/>
              <w:spacing w:before="55" w:after="30" w:line="288" w:lineRule="auto"/>
            </w:pPr>
            <w:r>
              <w:rPr>
                <w:rFonts w:ascii="Arial" w:eastAsia="Arial" w:hAnsi="Arial" w:cs="Arial"/>
                <w:color w:val="000000"/>
                <w:sz w:val="18"/>
              </w:rPr>
              <w:t>$</w:t>
            </w:r>
          </w:p>
        </w:tc>
        <w:tc>
          <w:tcPr>
            <w:tcW w:w="1225" w:type="dxa"/>
            <w:tcBorders>
              <w:top w:val="single" w:sz="8" w:space="0" w:color="C7C9C7"/>
              <w:left w:val="nil"/>
              <w:bottom w:val="single" w:sz="8" w:space="0" w:color="E9E9E9"/>
              <w:right w:val="nil"/>
            </w:tcBorders>
            <w:tcMar>
              <w:top w:w="0" w:type="dxa"/>
              <w:left w:w="0" w:type="dxa"/>
              <w:bottom w:w="0" w:type="dxa"/>
              <w:right w:w="0" w:type="dxa"/>
            </w:tcMar>
            <w:vAlign w:val="bottom"/>
          </w:tcPr>
          <w:p w14:paraId="2171D089" w14:textId="77777777" w:rsidR="001614AC" w:rsidRDefault="004468F9">
            <w:pPr>
              <w:keepNext/>
              <w:spacing w:before="55" w:after="30" w:line="288" w:lineRule="auto"/>
              <w:jc w:val="right"/>
            </w:pPr>
            <w:r>
              <w:rPr>
                <w:rFonts w:ascii="Arial" w:eastAsia="Arial" w:hAnsi="Arial" w:cs="Arial"/>
                <w:color w:val="000000"/>
                <w:sz w:val="18"/>
              </w:rPr>
              <w:t>481,484 </w:t>
            </w:r>
          </w:p>
        </w:tc>
        <w:tc>
          <w:tcPr>
            <w:tcW w:w="100" w:type="dxa"/>
            <w:tcBorders>
              <w:top w:val="single" w:sz="8" w:space="0" w:color="C7C9C7"/>
              <w:left w:val="nil"/>
              <w:bottom w:val="single" w:sz="8" w:space="0" w:color="E9E9E9"/>
              <w:right w:val="nil"/>
            </w:tcBorders>
            <w:tcMar>
              <w:top w:w="0" w:type="dxa"/>
              <w:left w:w="0" w:type="dxa"/>
              <w:bottom w:w="0" w:type="dxa"/>
              <w:right w:w="15" w:type="dxa"/>
            </w:tcMar>
            <w:vAlign w:val="bottom"/>
          </w:tcPr>
          <w:p w14:paraId="2659CAF3" w14:textId="77777777" w:rsidR="001614AC" w:rsidRDefault="001614AC">
            <w:pPr>
              <w:keepNext/>
              <w:spacing w:before="55" w:after="30" w:line="288" w:lineRule="auto"/>
              <w:jc w:val="right"/>
            </w:pPr>
          </w:p>
        </w:tc>
      </w:tr>
      <w:tr w:rsidR="001614AC" w14:paraId="5B29C889" w14:textId="77777777">
        <w:trPr>
          <w:cantSplit/>
        </w:trPr>
        <w:tc>
          <w:tcPr>
            <w:tcW w:w="6900" w:type="dxa"/>
            <w:tcBorders>
              <w:top w:val="single" w:sz="8" w:space="0" w:color="E9E9E9"/>
              <w:left w:val="nil"/>
              <w:bottom w:val="single" w:sz="8" w:space="0" w:color="E9E9E9"/>
              <w:right w:val="nil"/>
            </w:tcBorders>
            <w:tcMar>
              <w:top w:w="0" w:type="dxa"/>
              <w:left w:w="53" w:type="dxa"/>
              <w:bottom w:w="0" w:type="dxa"/>
              <w:right w:w="53" w:type="dxa"/>
            </w:tcMar>
            <w:vAlign w:val="bottom"/>
          </w:tcPr>
          <w:p w14:paraId="6349FCC6" w14:textId="77777777" w:rsidR="001614AC" w:rsidRDefault="004468F9">
            <w:pPr>
              <w:keepNext/>
              <w:spacing w:before="55" w:after="30" w:line="288" w:lineRule="auto"/>
            </w:pPr>
            <w:r>
              <w:rPr>
                <w:rFonts w:ascii="Arial" w:eastAsia="Arial" w:hAnsi="Arial" w:cs="Arial"/>
                <w:color w:val="000000"/>
                <w:sz w:val="18"/>
              </w:rPr>
              <w:t>Radian Reinsurance</w:t>
            </w:r>
          </w:p>
        </w:tc>
        <w:tc>
          <w:tcPr>
            <w:tcW w:w="105" w:type="dxa"/>
            <w:tcBorders>
              <w:top w:val="nil"/>
              <w:left w:val="nil"/>
              <w:bottom w:val="nil"/>
              <w:right w:val="nil"/>
            </w:tcBorders>
            <w:tcMar>
              <w:top w:w="0" w:type="dxa"/>
              <w:left w:w="0" w:type="dxa"/>
              <w:bottom w:w="0" w:type="dxa"/>
              <w:right w:w="0" w:type="dxa"/>
            </w:tcMar>
            <w:vAlign w:val="bottom"/>
          </w:tcPr>
          <w:p w14:paraId="28732B05" w14:textId="77777777" w:rsidR="001614AC" w:rsidRDefault="001614AC">
            <w:pPr>
              <w:keepNext/>
            </w:pPr>
          </w:p>
        </w:tc>
        <w:tc>
          <w:tcPr>
            <w:tcW w:w="138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654638A7" w14:textId="77777777" w:rsidR="001614AC" w:rsidRDefault="004468F9">
            <w:pPr>
              <w:keepNext/>
              <w:spacing w:before="55" w:after="30" w:line="288" w:lineRule="auto"/>
              <w:jc w:val="right"/>
            </w:pPr>
            <w:r>
              <w:rPr>
                <w:rFonts w:ascii="Arial" w:eastAsia="Arial" w:hAnsi="Arial" w:cs="Arial"/>
                <w:color w:val="000000"/>
                <w:sz w:val="18"/>
              </w:rPr>
              <w:t>364,783 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51F856B4" w14:textId="77777777" w:rsidR="001614AC" w:rsidRDefault="001614AC">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3F2310C8" w14:textId="77777777" w:rsidR="001614AC" w:rsidRDefault="001614AC">
            <w:pPr>
              <w:keepNext/>
            </w:pPr>
          </w:p>
        </w:tc>
        <w:tc>
          <w:tcPr>
            <w:tcW w:w="138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3F4796E2" w14:textId="77777777" w:rsidR="001614AC" w:rsidRDefault="004468F9">
            <w:pPr>
              <w:keepNext/>
              <w:spacing w:before="55" w:after="30" w:line="288" w:lineRule="auto"/>
              <w:jc w:val="right"/>
            </w:pPr>
            <w:r>
              <w:rPr>
                <w:rFonts w:ascii="Arial" w:eastAsia="Arial" w:hAnsi="Arial" w:cs="Arial"/>
                <w:color w:val="000000"/>
                <w:sz w:val="18"/>
              </w:rPr>
              <w:t>360,704 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387427DB" w14:textId="77777777" w:rsidR="001614AC" w:rsidRDefault="001614AC">
            <w:pPr>
              <w:keepNext/>
              <w:spacing w:before="55" w:after="30" w:line="288" w:lineRule="auto"/>
              <w:jc w:val="right"/>
            </w:pPr>
          </w:p>
        </w:tc>
      </w:tr>
      <w:tr w:rsidR="001614AC" w14:paraId="589499F9" w14:textId="77777777">
        <w:trPr>
          <w:cantSplit/>
        </w:trPr>
        <w:tc>
          <w:tcPr>
            <w:tcW w:w="6900" w:type="dxa"/>
            <w:tcBorders>
              <w:top w:val="single" w:sz="8" w:space="0" w:color="E9E9E9"/>
              <w:left w:val="nil"/>
              <w:bottom w:val="single" w:sz="8" w:space="0" w:color="E9E9E9"/>
              <w:right w:val="nil"/>
            </w:tcBorders>
            <w:tcMar>
              <w:top w:w="0" w:type="dxa"/>
              <w:left w:w="53" w:type="dxa"/>
              <w:bottom w:w="0" w:type="dxa"/>
              <w:right w:w="53" w:type="dxa"/>
            </w:tcMar>
            <w:vAlign w:val="bottom"/>
          </w:tcPr>
          <w:p w14:paraId="6CFF10A6" w14:textId="77777777" w:rsidR="001614AC" w:rsidRDefault="004468F9">
            <w:pPr>
              <w:keepNext/>
              <w:spacing w:before="55" w:after="30" w:line="288" w:lineRule="auto"/>
            </w:pPr>
            <w:r>
              <w:rPr>
                <w:rFonts w:ascii="Arial" w:eastAsia="Arial" w:hAnsi="Arial" w:cs="Arial"/>
                <w:color w:val="000000"/>
                <w:sz w:val="18"/>
              </w:rPr>
              <w:t>Other Mortgage Subsidiaries</w:t>
            </w:r>
          </w:p>
        </w:tc>
        <w:tc>
          <w:tcPr>
            <w:tcW w:w="105" w:type="dxa"/>
            <w:tcBorders>
              <w:top w:val="nil"/>
              <w:left w:val="nil"/>
              <w:bottom w:val="nil"/>
              <w:right w:val="nil"/>
            </w:tcBorders>
            <w:tcMar>
              <w:top w:w="0" w:type="dxa"/>
              <w:left w:w="0" w:type="dxa"/>
              <w:bottom w:w="0" w:type="dxa"/>
              <w:right w:w="0" w:type="dxa"/>
            </w:tcMar>
            <w:vAlign w:val="bottom"/>
          </w:tcPr>
          <w:p w14:paraId="102EAB31" w14:textId="77777777" w:rsidR="001614AC" w:rsidRDefault="001614AC">
            <w:pPr>
              <w:keepNext/>
            </w:pPr>
          </w:p>
        </w:tc>
        <w:tc>
          <w:tcPr>
            <w:tcW w:w="138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696A2614" w14:textId="77777777" w:rsidR="001614AC" w:rsidRDefault="004468F9">
            <w:pPr>
              <w:keepNext/>
              <w:spacing w:before="55" w:after="30" w:line="288" w:lineRule="auto"/>
              <w:jc w:val="right"/>
            </w:pPr>
            <w:r>
              <w:rPr>
                <w:rFonts w:ascii="Arial" w:eastAsia="Arial" w:hAnsi="Arial" w:cs="Arial"/>
                <w:color w:val="000000"/>
                <w:sz w:val="18"/>
              </w:rPr>
              <w:t>42,331 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2843BEB5" w14:textId="77777777" w:rsidR="001614AC" w:rsidRDefault="001614AC">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49F7FFBE" w14:textId="77777777" w:rsidR="001614AC" w:rsidRDefault="001614AC">
            <w:pPr>
              <w:keepNext/>
            </w:pPr>
          </w:p>
        </w:tc>
        <w:tc>
          <w:tcPr>
            <w:tcW w:w="138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4A1AFBA2" w14:textId="77777777" w:rsidR="001614AC" w:rsidRDefault="004468F9">
            <w:pPr>
              <w:keepNext/>
              <w:spacing w:before="55" w:after="30" w:line="288" w:lineRule="auto"/>
              <w:jc w:val="right"/>
            </w:pPr>
            <w:r>
              <w:rPr>
                <w:rFonts w:ascii="Arial" w:eastAsia="Arial" w:hAnsi="Arial" w:cs="Arial"/>
                <w:color w:val="000000"/>
                <w:sz w:val="18"/>
              </w:rPr>
              <w:t>41,327 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08344701" w14:textId="77777777" w:rsidR="001614AC" w:rsidRDefault="001614AC">
            <w:pPr>
              <w:keepNext/>
              <w:spacing w:before="55" w:after="30" w:line="288" w:lineRule="auto"/>
              <w:jc w:val="right"/>
            </w:pPr>
          </w:p>
        </w:tc>
      </w:tr>
      <w:tr w:rsidR="001614AC" w14:paraId="19BCAEF5" w14:textId="77777777">
        <w:trPr>
          <w:cantSplit/>
        </w:trPr>
        <w:tc>
          <w:tcPr>
            <w:tcW w:w="6900" w:type="dxa"/>
            <w:tcBorders>
              <w:top w:val="single" w:sz="8" w:space="0" w:color="E9E9E9"/>
              <w:left w:val="nil"/>
              <w:bottom w:val="single" w:sz="8" w:space="0" w:color="E9E9E9"/>
              <w:right w:val="nil"/>
            </w:tcBorders>
            <w:tcMar>
              <w:top w:w="0" w:type="dxa"/>
              <w:left w:w="53" w:type="dxa"/>
              <w:bottom w:w="0" w:type="dxa"/>
              <w:right w:w="53" w:type="dxa"/>
            </w:tcMar>
            <w:vAlign w:val="bottom"/>
          </w:tcPr>
          <w:p w14:paraId="57E3D087" w14:textId="77777777" w:rsidR="001614AC" w:rsidRDefault="004468F9">
            <w:pPr>
              <w:spacing w:before="55" w:after="30" w:line="288" w:lineRule="auto"/>
            </w:pPr>
            <w:r>
              <w:rPr>
                <w:rFonts w:ascii="Arial" w:eastAsia="Arial" w:hAnsi="Arial" w:cs="Arial"/>
                <w:color w:val="000000"/>
                <w:sz w:val="18"/>
              </w:rPr>
              <w:t>Radian Title Insurance</w:t>
            </w:r>
          </w:p>
        </w:tc>
        <w:tc>
          <w:tcPr>
            <w:tcW w:w="105" w:type="dxa"/>
            <w:tcBorders>
              <w:top w:val="nil"/>
              <w:left w:val="nil"/>
              <w:bottom w:val="nil"/>
              <w:right w:val="nil"/>
            </w:tcBorders>
            <w:tcMar>
              <w:top w:w="0" w:type="dxa"/>
              <w:left w:w="0" w:type="dxa"/>
              <w:bottom w:w="0" w:type="dxa"/>
              <w:right w:w="0" w:type="dxa"/>
            </w:tcMar>
            <w:vAlign w:val="bottom"/>
          </w:tcPr>
          <w:p w14:paraId="59C3BA89" w14:textId="77777777" w:rsidR="001614AC" w:rsidRDefault="001614AC"/>
        </w:tc>
        <w:tc>
          <w:tcPr>
            <w:tcW w:w="138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44D7FE66" w14:textId="77777777" w:rsidR="001614AC" w:rsidRDefault="004468F9">
            <w:pPr>
              <w:spacing w:before="55" w:after="30" w:line="288" w:lineRule="auto"/>
              <w:jc w:val="right"/>
            </w:pPr>
            <w:r>
              <w:rPr>
                <w:rFonts w:ascii="Arial" w:eastAsia="Arial" w:hAnsi="Arial" w:cs="Arial"/>
                <w:color w:val="000000"/>
                <w:sz w:val="18"/>
              </w:rPr>
              <w:t>31,627 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2D4766B9" w14:textId="77777777" w:rsidR="001614AC" w:rsidRDefault="001614AC">
            <w:pPr>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273C8E9E" w14:textId="77777777" w:rsidR="001614AC" w:rsidRDefault="001614AC"/>
        </w:tc>
        <w:tc>
          <w:tcPr>
            <w:tcW w:w="138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5937FAD8" w14:textId="77777777" w:rsidR="001614AC" w:rsidRDefault="004468F9">
            <w:pPr>
              <w:spacing w:before="55" w:after="30" w:line="288" w:lineRule="auto"/>
              <w:jc w:val="right"/>
            </w:pPr>
            <w:r>
              <w:rPr>
                <w:rFonts w:ascii="Arial" w:eastAsia="Arial" w:hAnsi="Arial" w:cs="Arial"/>
                <w:color w:val="000000"/>
                <w:sz w:val="18"/>
              </w:rPr>
              <w:t>28,849 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539F1A31" w14:textId="77777777" w:rsidR="001614AC" w:rsidRDefault="001614AC">
            <w:pPr>
              <w:spacing w:before="55" w:after="30" w:line="288" w:lineRule="auto"/>
              <w:jc w:val="right"/>
            </w:pPr>
          </w:p>
        </w:tc>
      </w:tr>
    </w:tbl>
    <w:p w14:paraId="7690A8B8" w14:textId="77777777" w:rsidR="001614AC" w:rsidRDefault="004468F9">
      <w:pPr>
        <w:spacing w:before="200" w:after="100" w:line="288" w:lineRule="auto"/>
        <w:ind w:firstLine="450"/>
        <w:rPr>
          <w:rFonts w:ascii="Arial" w:eastAsia="Arial" w:hAnsi="Arial" w:cs="Arial"/>
          <w:b/>
          <w:color w:val="4D6B80"/>
          <w:sz w:val="18"/>
        </w:rPr>
      </w:pPr>
      <w:r>
        <w:rPr>
          <w:rFonts w:ascii="Arial" w:eastAsia="Arial" w:hAnsi="Arial" w:cs="Arial"/>
          <w:sz w:val="18"/>
        </w:rPr>
        <w:t>State insurance regulations include various capital requirements and dividend restrictions based on our insurance subsidiaries’ statutory financial position and results of operations, as described below. As of June 30, 2021, the amount of restricted net as</w:t>
      </w:r>
      <w:r>
        <w:rPr>
          <w:rFonts w:ascii="Arial" w:eastAsia="Arial" w:hAnsi="Arial" w:cs="Arial"/>
          <w:sz w:val="18"/>
        </w:rPr>
        <w:t xml:space="preserve">sets held by our consolidated insurance subsidiaries (which represents our equity investment in those insurance subsidiaries) totaled </w:t>
      </w:r>
      <w:r>
        <w:rPr>
          <w:rFonts w:ascii="Arial" w:eastAsia="Arial" w:hAnsi="Arial" w:cs="Arial"/>
          <w:sz w:val="18"/>
          <w:shd w:val="clear" w:color="auto" w:fill="FFFFFF"/>
        </w:rPr>
        <w:t>$4.6 billion</w:t>
      </w:r>
      <w:r>
        <w:rPr>
          <w:rFonts w:ascii="Arial" w:eastAsia="Arial" w:hAnsi="Arial" w:cs="Arial"/>
          <w:sz w:val="18"/>
        </w:rPr>
        <w:t xml:space="preserve"> of our consolidated net assets.</w:t>
      </w:r>
    </w:p>
    <w:p w14:paraId="26A59222" w14:textId="77777777" w:rsidR="001614AC" w:rsidRDefault="004468F9">
      <w:pPr>
        <w:spacing w:before="100" w:after="100" w:line="288" w:lineRule="auto"/>
        <w:ind w:firstLine="450"/>
        <w:rPr>
          <w:rFonts w:ascii="Arial" w:eastAsia="Arial" w:hAnsi="Arial" w:cs="Arial"/>
          <w:b/>
          <w:color w:val="4D6B80"/>
          <w:sz w:val="18"/>
        </w:rPr>
      </w:pPr>
      <w:r>
        <w:rPr>
          <w:rFonts w:ascii="Arial" w:eastAsia="Arial" w:hAnsi="Arial" w:cs="Arial"/>
          <w:sz w:val="18"/>
        </w:rPr>
        <w:t>In light of Radian Guaranty’s negative unassigned surplus related to operatin</w:t>
      </w:r>
      <w:r>
        <w:rPr>
          <w:rFonts w:ascii="Arial" w:eastAsia="Arial" w:hAnsi="Arial" w:cs="Arial"/>
          <w:sz w:val="18"/>
        </w:rPr>
        <w:t>g losses in prior periods and the ongoing need to set aside contingency reserves, which totaled $3.6 billion as of June 30, 2021, we do not anticipate that Radian Guaranty will be permitted under applicable insurance laws to pay ordinary dividends or other</w:t>
      </w:r>
      <w:r>
        <w:rPr>
          <w:rFonts w:ascii="Arial" w:eastAsia="Arial" w:hAnsi="Arial" w:cs="Arial"/>
          <w:sz w:val="18"/>
        </w:rPr>
        <w:t xml:space="preserve"> distributions to Radian Group for the foreseeable future without the prior approval from the Pennsylvania Insurance Department. </w:t>
      </w:r>
    </w:p>
    <w:p w14:paraId="38E3DC6C" w14:textId="77777777" w:rsidR="001614AC" w:rsidRDefault="004468F9">
      <w:pPr>
        <w:spacing w:before="100" w:after="100" w:line="288" w:lineRule="auto"/>
        <w:ind w:firstLine="450"/>
        <w:rPr>
          <w:b/>
          <w:color w:val="4D6B80"/>
          <w:sz w:val="18"/>
          <w:shd w:val="clear" w:color="auto" w:fill="FFFF00"/>
        </w:rPr>
      </w:pPr>
      <w:r>
        <w:rPr>
          <w:rFonts w:ascii="Arial" w:eastAsia="Arial" w:hAnsi="Arial" w:cs="Arial"/>
          <w:sz w:val="18"/>
        </w:rPr>
        <w:t>Under state insurance regulations, Radian Guaranty is required to maintain minimum surplus levels and, in certain states, a ma</w:t>
      </w:r>
      <w:r>
        <w:rPr>
          <w:rFonts w:ascii="Arial" w:eastAsia="Arial" w:hAnsi="Arial" w:cs="Arial"/>
          <w:sz w:val="18"/>
        </w:rPr>
        <w:t>ximum ratio of net RIF relative to statutory capital, or Risk-to-capital. There are 16 RBC States that currently impose a Statutory RBC Requirement. The most common Statutory RBC Requirement is that a mortgage insurer’s Risk-to-capital may not exceed 25 to</w:t>
      </w:r>
      <w:r>
        <w:rPr>
          <w:rFonts w:ascii="Arial" w:eastAsia="Arial" w:hAnsi="Arial" w:cs="Arial"/>
          <w:sz w:val="18"/>
        </w:rPr>
        <w:t xml:space="preserve"> 1. In certain of the RBC States, a mortgage insurer must satisfy a MPP Requirement. Radian Guaranty was in compliance with all applicable Statutory RBC Requirements and MPP Requirements in each of the RBC States as of June 30, 2021. Radian Guaranty’s Risk</w:t>
      </w:r>
      <w:r>
        <w:rPr>
          <w:rFonts w:ascii="Arial" w:eastAsia="Arial" w:hAnsi="Arial" w:cs="Arial"/>
          <w:sz w:val="18"/>
        </w:rPr>
        <w:t xml:space="preserve">-to-capital was </w:t>
      </w:r>
      <w:r>
        <w:rPr>
          <w:rFonts w:ascii="Arial" w:eastAsia="Arial" w:hAnsi="Arial" w:cs="Arial"/>
          <w:sz w:val="18"/>
          <w:shd w:val="clear" w:color="auto" w:fill="FFFFFF"/>
        </w:rPr>
        <w:t>11.4</w:t>
      </w:r>
      <w:r>
        <w:rPr>
          <w:rFonts w:ascii="Arial" w:eastAsia="Arial" w:hAnsi="Arial" w:cs="Arial"/>
          <w:sz w:val="18"/>
        </w:rPr>
        <w:t>:1 and 12.7:1 as of June 30, 2021 and December 31, 2020, respectively. For purposes of the Risk-to-capital requirements imposed by certain states, statutory capital is defined as the sum of statutory policyholders’ surplus plus statutor</w:t>
      </w:r>
      <w:r>
        <w:rPr>
          <w:rFonts w:ascii="Arial" w:eastAsia="Arial" w:hAnsi="Arial" w:cs="Arial"/>
          <w:sz w:val="18"/>
        </w:rPr>
        <w:t>y contingency reserves. Our other mortgage insurance and title insurance subsidiaries were also in compliance with all statutory and counterparty capital requirements as of June 30, 2021.</w:t>
      </w:r>
    </w:p>
    <w:p w14:paraId="188BEC4F" w14:textId="77777777" w:rsidR="001614AC" w:rsidRDefault="004468F9">
      <w:pPr>
        <w:spacing w:before="100" w:after="100" w:line="288" w:lineRule="auto"/>
        <w:ind w:firstLine="450"/>
        <w:rPr>
          <w:b/>
          <w:color w:val="4D6B80"/>
          <w:sz w:val="22"/>
          <w:shd w:val="clear" w:color="auto" w:fill="FFFF00"/>
        </w:rPr>
      </w:pPr>
      <w:r>
        <w:rPr>
          <w:rFonts w:ascii="Arial" w:eastAsia="Arial" w:hAnsi="Arial" w:cs="Arial"/>
          <w:sz w:val="18"/>
        </w:rPr>
        <w:t>In addition, in order to be eligible to insure loans purchased by th</w:t>
      </w:r>
      <w:r>
        <w:rPr>
          <w:rFonts w:ascii="Arial" w:eastAsia="Arial" w:hAnsi="Arial" w:cs="Arial"/>
          <w:sz w:val="18"/>
        </w:rPr>
        <w:t>e GSEs, mortgage insurers such as Radian Guaranty must meet the GSEs’ eligibility requirements, or PMIERs. At June 30, 2021, Radian Guaranty is an approved mortgage insurer under the PMIERs and is in compliance with the current PMIERs financial requirement</w:t>
      </w:r>
      <w:r>
        <w:rPr>
          <w:rFonts w:ascii="Arial" w:eastAsia="Arial" w:hAnsi="Arial" w:cs="Arial"/>
          <w:sz w:val="18"/>
        </w:rPr>
        <w:t>s. Under the PMIERs there are increased financial requirements for loans in default, including as a result of natural disasters and pandemics. As a result, increases in defaults related to the COVID-19 pandemic have subjected Radian Guaranty to an increase</w:t>
      </w:r>
      <w:r>
        <w:rPr>
          <w:rFonts w:ascii="Arial" w:eastAsia="Arial" w:hAnsi="Arial" w:cs="Arial"/>
          <w:sz w:val="18"/>
        </w:rPr>
        <w:t xml:space="preserve"> in Minimum Required Assets under the PMIERs, and if these continue or increase, would continue to negatively impact our results of operations and could impact our compliance with the PMIERs. See Note 1 for discussion about the elevated risks and uncertain</w:t>
      </w:r>
      <w:r>
        <w:rPr>
          <w:rFonts w:ascii="Arial" w:eastAsia="Arial" w:hAnsi="Arial" w:cs="Arial"/>
          <w:sz w:val="18"/>
        </w:rPr>
        <w:t>ties associated with the COVID-19 pandemic and Note 16 of Notes to Consolidated Financial Statements in our 2020 Form 10-K for additional information regarding the PMIERs, including the benefit provided by the Disaster Related Capital Charge.</w:t>
      </w:r>
    </w:p>
    <w:p w14:paraId="4AF55AB4" w14:textId="77777777" w:rsidR="001614AC" w:rsidRDefault="004468F9">
      <w:pPr>
        <w:spacing w:before="100" w:after="100" w:line="288" w:lineRule="auto"/>
        <w:ind w:firstLine="450"/>
        <w:rPr>
          <w:rFonts w:ascii="Arial" w:eastAsia="Arial" w:hAnsi="Arial" w:cs="Arial"/>
          <w:b/>
          <w:color w:val="4D6B80"/>
          <w:sz w:val="18"/>
        </w:rPr>
      </w:pPr>
      <w:r>
        <w:rPr>
          <w:rFonts w:ascii="Arial" w:eastAsia="Arial" w:hAnsi="Arial" w:cs="Arial"/>
          <w:sz w:val="18"/>
        </w:rPr>
        <w:lastRenderedPageBreak/>
        <w:t>Effective Apr</w:t>
      </w:r>
      <w:r>
        <w:rPr>
          <w:rFonts w:ascii="Arial" w:eastAsia="Arial" w:hAnsi="Arial" w:cs="Arial"/>
          <w:sz w:val="18"/>
        </w:rPr>
        <w:t>il 1, 2021, the Pennsylvania Insurance Department approved the termination of the 2020 Surplus Note via a conversion to Radian Guaranty’s gross paid-in and contributed surplus account. This conversion had no effect on Radian Guaranty’s total statutory poli</w:t>
      </w:r>
      <w:r>
        <w:rPr>
          <w:rFonts w:ascii="Arial" w:eastAsia="Arial" w:hAnsi="Arial" w:cs="Arial"/>
          <w:sz w:val="18"/>
        </w:rPr>
        <w:t xml:space="preserve">cyholders’ surplus, Risk-to-capital or PMIERs Cushion. </w:t>
      </w:r>
    </w:p>
    <w:p w14:paraId="41A59A96" w14:textId="77777777" w:rsidR="001614AC" w:rsidRDefault="004468F9">
      <w:pPr>
        <w:spacing w:before="100" w:line="288" w:lineRule="auto"/>
        <w:ind w:firstLine="450"/>
        <w:rPr>
          <w:rFonts w:ascii="Arial" w:eastAsia="Arial" w:hAnsi="Arial" w:cs="Arial"/>
          <w:b/>
          <w:color w:val="4D6B80"/>
          <w:sz w:val="18"/>
        </w:rPr>
      </w:pPr>
      <w:r>
        <w:rPr>
          <w:rFonts w:ascii="Arial" w:eastAsia="Arial" w:hAnsi="Arial" w:cs="Arial"/>
          <w:sz w:val="18"/>
        </w:rPr>
        <w:t>For a description of our compliance with statutory and other regulations for our mortgage insurance and title insurance businesses, including statutory capital requirements and divided restrictions, s</w:t>
      </w:r>
      <w:r>
        <w:rPr>
          <w:rFonts w:ascii="Arial" w:eastAsia="Arial" w:hAnsi="Arial" w:cs="Arial"/>
          <w:sz w:val="18"/>
        </w:rPr>
        <w:t>ee Note 16 of Notes to Consolidated Financial Statements in our 2020 Form 10-K.</w:t>
      </w:r>
    </w:p>
    <w:p w14:paraId="09283540" w14:textId="77777777" w:rsidR="001614AC" w:rsidRDefault="001614AC">
      <w:pPr>
        <w:spacing w:before="100" w:line="288" w:lineRule="auto"/>
        <w:ind w:firstLine="450"/>
        <w:rPr>
          <w:rFonts w:ascii="Arial" w:eastAsia="Arial" w:hAnsi="Arial" w:cs="Arial"/>
          <w:b/>
          <w:color w:val="4D6B80"/>
          <w:sz w:val="18"/>
        </w:rPr>
        <w:sectPr w:rsidR="001614AC">
          <w:headerReference w:type="default" r:id="rId39"/>
          <w:type w:val="continuous"/>
          <w:pgSz w:w="12240" w:h="15840"/>
          <w:pgMar w:top="1260" w:right="1080" w:bottom="1080" w:left="1080" w:header="270" w:footer="270" w:gutter="0"/>
          <w:cols w:space="708"/>
        </w:sectPr>
      </w:pPr>
    </w:p>
    <w:p w14:paraId="668F9A09" w14:textId="77777777" w:rsidR="001614AC" w:rsidRDefault="004468F9">
      <w:pPr>
        <w:keepNext/>
        <w:tabs>
          <w:tab w:val="left" w:pos="1160"/>
        </w:tabs>
        <w:spacing w:after="180" w:line="288" w:lineRule="auto"/>
        <w:rPr>
          <w:rFonts w:ascii="Arial" w:eastAsia="Arial" w:hAnsi="Arial" w:cs="Arial"/>
          <w:color w:val="00BAB3"/>
          <w:sz w:val="34"/>
        </w:rPr>
      </w:pPr>
      <w:bookmarkStart w:id="28" w:name="Section29"/>
      <w:bookmarkEnd w:id="28"/>
      <w:r>
        <w:rPr>
          <w:rFonts w:ascii="Arial" w:eastAsia="Arial" w:hAnsi="Arial" w:cs="Arial"/>
          <w:color w:val="00BAB3"/>
          <w:sz w:val="34"/>
        </w:rPr>
        <w:lastRenderedPageBreak/>
        <w:t>Item 2.</w:t>
      </w:r>
      <w:r>
        <w:rPr>
          <w:rFonts w:ascii="Arial" w:eastAsia="Arial" w:hAnsi="Arial" w:cs="Arial"/>
          <w:color w:val="00BAB3"/>
          <w:sz w:val="34"/>
        </w:rPr>
        <w:tab/>
        <w:t>Management’s Discussion and Analysis of Financial Condition and Results of Operations</w:t>
      </w:r>
    </w:p>
    <w:p w14:paraId="2E15378B" w14:textId="77777777" w:rsidR="001614AC" w:rsidRDefault="004468F9">
      <w:pPr>
        <w:spacing w:before="100" w:after="100" w:line="288" w:lineRule="auto"/>
        <w:ind w:firstLine="495"/>
        <w:rPr>
          <w:rFonts w:ascii="Arial" w:eastAsia="Arial" w:hAnsi="Arial" w:cs="Arial"/>
          <w:sz w:val="18"/>
        </w:rPr>
      </w:pPr>
      <w:r>
        <w:rPr>
          <w:rFonts w:ascii="Arial" w:eastAsia="Arial" w:hAnsi="Arial" w:cs="Arial"/>
          <w:sz w:val="18"/>
        </w:rPr>
        <w:t>The disclosures in this quarterly report are complementary to those made in our 2020 Form 10-K and should be read in conjunction with our unaudi</w:t>
      </w:r>
      <w:r>
        <w:rPr>
          <w:rFonts w:ascii="Arial" w:eastAsia="Arial" w:hAnsi="Arial" w:cs="Arial"/>
          <w:sz w:val="18"/>
        </w:rPr>
        <w:t xml:space="preserve">ted condensed consolidated financial statements and the notes thereto included in this report, as well as our audited financial statements, notes thereto and Management’s Discussion and Analysis of Financial Condition and Results of Operations included in </w:t>
      </w:r>
      <w:r>
        <w:rPr>
          <w:rFonts w:ascii="Arial" w:eastAsia="Arial" w:hAnsi="Arial" w:cs="Arial"/>
          <w:sz w:val="18"/>
        </w:rPr>
        <w:t>our 2020 Form 10-K.</w:t>
      </w:r>
    </w:p>
    <w:p w14:paraId="7F009507" w14:textId="77777777" w:rsidR="001614AC" w:rsidRDefault="004468F9">
      <w:pPr>
        <w:keepNext/>
        <w:spacing w:before="100" w:after="100" w:line="288" w:lineRule="auto"/>
        <w:ind w:firstLine="495"/>
        <w:rPr>
          <w:rFonts w:ascii="Arial" w:eastAsia="Arial" w:hAnsi="Arial" w:cs="Arial"/>
          <w:sz w:val="18"/>
          <w:shd w:val="clear" w:color="auto" w:fill="B6B6B6"/>
        </w:rPr>
      </w:pPr>
      <w:r>
        <w:rPr>
          <w:rFonts w:ascii="Arial" w:eastAsia="Arial" w:hAnsi="Arial" w:cs="Arial"/>
          <w:sz w:val="18"/>
        </w:rPr>
        <w:t>The following analysis of our financial condition and results of operations for the three and six months ended June 30, 2021 provides information that evaluates our financial condition as of June 30, 2021 compared with December 31, 2020</w:t>
      </w:r>
      <w:r>
        <w:rPr>
          <w:rFonts w:ascii="Arial" w:eastAsia="Arial" w:hAnsi="Arial" w:cs="Arial"/>
          <w:sz w:val="18"/>
        </w:rPr>
        <w:t xml:space="preserve"> and our results of operations for the three and six months ended June 30, 2021, compared to the same period last year. Certain terms and acronyms used throughout this report are defined in the Glossary of Abbreviations and Acronyms included as part of thi</w:t>
      </w:r>
      <w:r>
        <w:rPr>
          <w:rFonts w:ascii="Arial" w:eastAsia="Arial" w:hAnsi="Arial" w:cs="Arial"/>
          <w:sz w:val="18"/>
        </w:rPr>
        <w:t>s report. In addition, investors should review the “Cautionary Note Regarding Forward-Looking Statements—Safe Harbor Provisions” above, and “Item 1A. Risk Factors” in our 2020 Form 10-K for a discussion of those risks and uncertainties that have the potent</w:t>
      </w:r>
      <w:r>
        <w:rPr>
          <w:rFonts w:ascii="Arial" w:eastAsia="Arial" w:hAnsi="Arial" w:cs="Arial"/>
          <w:sz w:val="18"/>
        </w:rPr>
        <w:t>ial to adversely affect our business, financial condition, results of operations, cash flows or prospects. Our results of operations for interim periods are not necessarily indicative of results to be expected for the full year or for any other period. See</w:t>
      </w:r>
      <w:r>
        <w:rPr>
          <w:rFonts w:ascii="Arial" w:eastAsia="Arial" w:hAnsi="Arial" w:cs="Arial"/>
          <w:sz w:val="18"/>
        </w:rPr>
        <w:t xml:space="preserve"> “Overview” and Note 1 of Notes to Unaudited Condensed Consolidated Financial Statements for additional information.</w:t>
      </w:r>
    </w:p>
    <w:p w14:paraId="54621CF6" w14:textId="77777777" w:rsidR="001614AC" w:rsidRDefault="004468F9">
      <w:pPr>
        <w:spacing w:before="200" w:after="160" w:line="288" w:lineRule="auto"/>
        <w:ind w:left="360" w:hanging="360"/>
        <w:rPr>
          <w:rFonts w:ascii="Arial" w:eastAsia="Arial" w:hAnsi="Arial" w:cs="Arial"/>
          <w:b/>
          <w:color w:val="4D6B80"/>
          <w:sz w:val="30"/>
        </w:rPr>
      </w:pPr>
      <w:r>
        <w:rPr>
          <w:rFonts w:ascii="Arial" w:eastAsia="Arial" w:hAnsi="Arial" w:cs="Arial"/>
          <w:b/>
          <w:color w:val="4D6B80"/>
          <w:sz w:val="30"/>
        </w:rPr>
        <w:t>Index to Item 2</w:t>
      </w:r>
    </w:p>
    <w:tbl>
      <w:tblPr>
        <w:tblW w:w="102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70"/>
        <w:gridCol w:w="612"/>
      </w:tblGrid>
      <w:tr w:rsidR="001614AC" w14:paraId="63C294CD" w14:textId="77777777">
        <w:trPr>
          <w:cantSplit/>
          <w:trHeight w:hRule="exact" w:val="285"/>
        </w:trPr>
        <w:tc>
          <w:tcPr>
            <w:tcW w:w="9480" w:type="dxa"/>
            <w:tcBorders>
              <w:top w:val="nil"/>
              <w:left w:val="nil"/>
              <w:bottom w:val="nil"/>
              <w:right w:val="nil"/>
            </w:tcBorders>
            <w:shd w:val="clear" w:color="auto" w:fill="F4F4F4"/>
            <w:tcMar>
              <w:top w:w="0" w:type="dxa"/>
              <w:left w:w="53" w:type="dxa"/>
              <w:bottom w:w="0" w:type="dxa"/>
              <w:right w:w="53" w:type="dxa"/>
            </w:tcMar>
            <w:vAlign w:val="center"/>
          </w:tcPr>
          <w:p w14:paraId="52FDE71A" w14:textId="77777777" w:rsidR="001614AC" w:rsidRDefault="004468F9">
            <w:pPr>
              <w:keepNext/>
              <w:spacing w:line="288" w:lineRule="auto"/>
            </w:pPr>
            <w:r>
              <w:rPr>
                <w:rFonts w:ascii="Arial" w:eastAsia="Arial" w:hAnsi="Arial" w:cs="Arial"/>
                <w:b/>
                <w:color w:val="000000"/>
                <w:sz w:val="18"/>
              </w:rPr>
              <w:t>Item</w:t>
            </w:r>
          </w:p>
        </w:tc>
        <w:tc>
          <w:tcPr>
            <w:tcW w:w="600" w:type="dxa"/>
            <w:tcBorders>
              <w:top w:val="nil"/>
              <w:left w:val="nil"/>
              <w:bottom w:val="nil"/>
              <w:right w:val="nil"/>
            </w:tcBorders>
            <w:shd w:val="clear" w:color="auto" w:fill="F4F4F4"/>
            <w:tcMar>
              <w:top w:w="0" w:type="dxa"/>
              <w:left w:w="53" w:type="dxa"/>
              <w:bottom w:w="0" w:type="dxa"/>
              <w:right w:w="53" w:type="dxa"/>
            </w:tcMar>
            <w:vAlign w:val="center"/>
          </w:tcPr>
          <w:p w14:paraId="7197B333" w14:textId="77777777" w:rsidR="001614AC" w:rsidRDefault="004468F9">
            <w:pPr>
              <w:keepNext/>
              <w:spacing w:line="288" w:lineRule="auto"/>
              <w:jc w:val="right"/>
            </w:pPr>
            <w:r>
              <w:rPr>
                <w:rFonts w:ascii="Arial" w:eastAsia="Arial" w:hAnsi="Arial" w:cs="Arial"/>
                <w:b/>
                <w:color w:val="000000"/>
                <w:sz w:val="18"/>
              </w:rPr>
              <w:t>Page</w:t>
            </w:r>
          </w:p>
        </w:tc>
      </w:tr>
      <w:tr w:rsidR="001614AC" w14:paraId="2B543A19" w14:textId="77777777">
        <w:trPr>
          <w:cantSplit/>
          <w:trHeight w:hRule="exact" w:val="315"/>
        </w:trPr>
        <w:tc>
          <w:tcPr>
            <w:tcW w:w="9480" w:type="dxa"/>
            <w:tcBorders>
              <w:top w:val="nil"/>
              <w:left w:val="nil"/>
              <w:bottom w:val="single" w:sz="8" w:space="0" w:color="F4F4F4"/>
              <w:right w:val="nil"/>
            </w:tcBorders>
            <w:tcMar>
              <w:top w:w="0" w:type="dxa"/>
              <w:left w:w="53" w:type="dxa"/>
              <w:bottom w:w="0" w:type="dxa"/>
              <w:right w:w="53" w:type="dxa"/>
            </w:tcMar>
            <w:vAlign w:val="center"/>
          </w:tcPr>
          <w:p w14:paraId="3AD35E41" w14:textId="77777777" w:rsidR="001614AC" w:rsidRDefault="004468F9">
            <w:pPr>
              <w:keepNext/>
              <w:spacing w:line="288" w:lineRule="auto"/>
              <w:rPr>
                <w:rFonts w:ascii="Arial" w:eastAsia="Arial" w:hAnsi="Arial" w:cs="Arial"/>
                <w:color w:val="668092"/>
                <w:sz w:val="18"/>
              </w:rPr>
            </w:pPr>
            <w:hyperlink w:anchor="Section30" w:history="1">
              <w:r>
                <w:rPr>
                  <w:rFonts w:ascii="Arial" w:eastAsia="Arial" w:hAnsi="Arial" w:cs="Arial"/>
                  <w:color w:val="668092"/>
                  <w:sz w:val="18"/>
                  <w:u w:val="single"/>
                </w:rPr>
                <w:t>Overview</w:t>
              </w:r>
            </w:hyperlink>
          </w:p>
        </w:tc>
        <w:tc>
          <w:tcPr>
            <w:tcW w:w="600" w:type="dxa"/>
            <w:tcBorders>
              <w:top w:val="nil"/>
              <w:left w:val="nil"/>
              <w:bottom w:val="single" w:sz="8" w:space="0" w:color="F4F4F4"/>
              <w:right w:val="nil"/>
            </w:tcBorders>
            <w:tcMar>
              <w:top w:w="0" w:type="dxa"/>
              <w:left w:w="53" w:type="dxa"/>
              <w:bottom w:w="0" w:type="dxa"/>
              <w:right w:w="53" w:type="dxa"/>
            </w:tcMar>
            <w:vAlign w:val="center"/>
          </w:tcPr>
          <w:p w14:paraId="59D3BF06" w14:textId="77777777" w:rsidR="001614AC" w:rsidRDefault="004468F9">
            <w:pPr>
              <w:keepNext/>
              <w:spacing w:line="288" w:lineRule="auto"/>
              <w:jc w:val="right"/>
              <w:rPr>
                <w:rFonts w:ascii="Arial" w:eastAsia="Arial" w:hAnsi="Arial" w:cs="Arial"/>
                <w:color w:val="668092"/>
                <w:sz w:val="18"/>
              </w:rPr>
            </w:pPr>
            <w:r>
              <w:rPr>
                <w:rFonts w:ascii="Arial" w:eastAsia="Arial" w:hAnsi="Arial" w:cs="Arial"/>
                <w:color w:val="668092"/>
                <w:sz w:val="18"/>
                <w:u w:val="single"/>
              </w:rPr>
              <w:fldChar w:fldCharType="begin"/>
            </w:r>
            <w:r>
              <w:rPr>
                <w:rFonts w:ascii="Arial" w:eastAsia="Arial" w:hAnsi="Arial" w:cs="Arial"/>
                <w:color w:val="668092"/>
                <w:sz w:val="18"/>
                <w:u w:val="single"/>
              </w:rPr>
              <w:instrText xml:space="preserve"> PAGEREF  Section30 \h</w:instrText>
            </w:r>
            <w:r>
              <w:rPr>
                <w:rFonts w:ascii="Arial" w:eastAsia="Arial" w:hAnsi="Arial" w:cs="Arial"/>
                <w:color w:val="668092"/>
                <w:sz w:val="18"/>
                <w:u w:val="single"/>
              </w:rPr>
            </w:r>
            <w:r>
              <w:rPr>
                <w:rFonts w:ascii="Arial" w:eastAsia="Arial" w:hAnsi="Arial" w:cs="Arial"/>
                <w:color w:val="668092"/>
                <w:sz w:val="18"/>
                <w:u w:val="single"/>
              </w:rPr>
              <w:fldChar w:fldCharType="separate"/>
            </w:r>
            <w:r>
              <w:rPr>
                <w:rFonts w:ascii="Arial" w:eastAsia="Arial" w:hAnsi="Arial" w:cs="Arial"/>
                <w:color w:val="668092"/>
                <w:sz w:val="18"/>
                <w:u w:val="single"/>
              </w:rPr>
              <w:t>47</w:t>
            </w:r>
            <w:r>
              <w:rPr>
                <w:rFonts w:ascii="Arial" w:eastAsia="Arial" w:hAnsi="Arial" w:cs="Arial"/>
                <w:color w:val="668092"/>
                <w:sz w:val="18"/>
                <w:u w:val="single"/>
              </w:rPr>
              <w:fldChar w:fldCharType="end"/>
            </w:r>
          </w:p>
        </w:tc>
      </w:tr>
      <w:tr w:rsidR="001614AC" w14:paraId="7B1D5126" w14:textId="77777777">
        <w:trPr>
          <w:cantSplit/>
          <w:trHeight w:hRule="exact" w:val="315"/>
        </w:trPr>
        <w:tc>
          <w:tcPr>
            <w:tcW w:w="9480" w:type="dxa"/>
            <w:tcBorders>
              <w:top w:val="single" w:sz="8" w:space="0" w:color="F4F4F4"/>
              <w:left w:val="nil"/>
              <w:bottom w:val="single" w:sz="8" w:space="0" w:color="F4F4F4"/>
              <w:right w:val="nil"/>
            </w:tcBorders>
            <w:tcMar>
              <w:top w:w="0" w:type="dxa"/>
              <w:left w:w="53" w:type="dxa"/>
              <w:bottom w:w="0" w:type="dxa"/>
              <w:right w:w="53" w:type="dxa"/>
            </w:tcMar>
            <w:vAlign w:val="center"/>
          </w:tcPr>
          <w:p w14:paraId="5945A0A8" w14:textId="77777777" w:rsidR="001614AC" w:rsidRDefault="004468F9">
            <w:pPr>
              <w:keepNext/>
              <w:spacing w:line="288" w:lineRule="auto"/>
              <w:rPr>
                <w:rFonts w:ascii="Arial" w:eastAsia="Arial" w:hAnsi="Arial" w:cs="Arial"/>
                <w:color w:val="668092"/>
                <w:sz w:val="18"/>
              </w:rPr>
            </w:pPr>
            <w:hyperlink w:anchor="Section31" w:history="1">
              <w:r>
                <w:rPr>
                  <w:rFonts w:ascii="Arial" w:eastAsia="Arial" w:hAnsi="Arial" w:cs="Arial"/>
                  <w:color w:val="668092"/>
                  <w:sz w:val="18"/>
                  <w:u w:val="single"/>
                </w:rPr>
                <w:t>Key Factors Affecting Our Results</w:t>
              </w:r>
            </w:hyperlink>
          </w:p>
        </w:tc>
        <w:tc>
          <w:tcPr>
            <w:tcW w:w="600" w:type="dxa"/>
            <w:tcBorders>
              <w:top w:val="single" w:sz="8" w:space="0" w:color="F4F4F4"/>
              <w:left w:val="nil"/>
              <w:bottom w:val="single" w:sz="8" w:space="0" w:color="F4F4F4"/>
              <w:right w:val="nil"/>
            </w:tcBorders>
            <w:tcMar>
              <w:top w:w="0" w:type="dxa"/>
              <w:left w:w="53" w:type="dxa"/>
              <w:bottom w:w="0" w:type="dxa"/>
              <w:right w:w="53" w:type="dxa"/>
            </w:tcMar>
            <w:vAlign w:val="center"/>
          </w:tcPr>
          <w:p w14:paraId="5F31231F" w14:textId="77777777" w:rsidR="001614AC" w:rsidRDefault="004468F9">
            <w:pPr>
              <w:keepNext/>
              <w:spacing w:line="288" w:lineRule="auto"/>
              <w:jc w:val="right"/>
              <w:rPr>
                <w:rFonts w:ascii="Arial" w:eastAsia="Arial" w:hAnsi="Arial" w:cs="Arial"/>
                <w:color w:val="668092"/>
                <w:sz w:val="18"/>
              </w:rPr>
            </w:pPr>
            <w:r>
              <w:rPr>
                <w:rFonts w:ascii="Arial" w:eastAsia="Arial" w:hAnsi="Arial" w:cs="Arial"/>
                <w:color w:val="668092"/>
                <w:sz w:val="18"/>
                <w:u w:val="single"/>
              </w:rPr>
              <w:fldChar w:fldCharType="begin"/>
            </w:r>
            <w:r>
              <w:rPr>
                <w:rFonts w:ascii="Arial" w:eastAsia="Arial" w:hAnsi="Arial" w:cs="Arial"/>
                <w:color w:val="668092"/>
                <w:sz w:val="18"/>
                <w:u w:val="single"/>
              </w:rPr>
              <w:instrText xml:space="preserve"> PAGEREF  Section31 \h</w:instrText>
            </w:r>
            <w:r>
              <w:rPr>
                <w:rFonts w:ascii="Arial" w:eastAsia="Arial" w:hAnsi="Arial" w:cs="Arial"/>
                <w:color w:val="668092"/>
                <w:sz w:val="18"/>
                <w:u w:val="single"/>
              </w:rPr>
            </w:r>
            <w:r>
              <w:rPr>
                <w:rFonts w:ascii="Arial" w:eastAsia="Arial" w:hAnsi="Arial" w:cs="Arial"/>
                <w:color w:val="668092"/>
                <w:sz w:val="18"/>
                <w:u w:val="single"/>
              </w:rPr>
              <w:fldChar w:fldCharType="separate"/>
            </w:r>
            <w:r>
              <w:rPr>
                <w:rFonts w:ascii="Arial" w:eastAsia="Arial" w:hAnsi="Arial" w:cs="Arial"/>
                <w:color w:val="668092"/>
                <w:sz w:val="18"/>
                <w:u w:val="single"/>
              </w:rPr>
              <w:t>51</w:t>
            </w:r>
            <w:r>
              <w:rPr>
                <w:rFonts w:ascii="Arial" w:eastAsia="Arial" w:hAnsi="Arial" w:cs="Arial"/>
                <w:color w:val="668092"/>
                <w:sz w:val="18"/>
                <w:u w:val="single"/>
              </w:rPr>
              <w:fldChar w:fldCharType="end"/>
            </w:r>
          </w:p>
        </w:tc>
      </w:tr>
      <w:tr w:rsidR="001614AC" w14:paraId="0611932E" w14:textId="77777777">
        <w:trPr>
          <w:cantSplit/>
          <w:trHeight w:hRule="exact" w:val="315"/>
        </w:trPr>
        <w:tc>
          <w:tcPr>
            <w:tcW w:w="9480" w:type="dxa"/>
            <w:tcBorders>
              <w:top w:val="single" w:sz="8" w:space="0" w:color="F4F4F4"/>
              <w:left w:val="nil"/>
              <w:bottom w:val="single" w:sz="8" w:space="0" w:color="F4F4F4"/>
              <w:right w:val="nil"/>
            </w:tcBorders>
            <w:tcMar>
              <w:top w:w="0" w:type="dxa"/>
              <w:left w:w="53" w:type="dxa"/>
              <w:bottom w:w="0" w:type="dxa"/>
              <w:right w:w="53" w:type="dxa"/>
            </w:tcMar>
            <w:vAlign w:val="center"/>
          </w:tcPr>
          <w:p w14:paraId="2EBF066F" w14:textId="77777777" w:rsidR="001614AC" w:rsidRDefault="004468F9">
            <w:pPr>
              <w:keepNext/>
              <w:spacing w:line="288" w:lineRule="auto"/>
              <w:rPr>
                <w:rFonts w:ascii="Arial" w:eastAsia="Arial" w:hAnsi="Arial" w:cs="Arial"/>
                <w:color w:val="668092"/>
                <w:sz w:val="18"/>
              </w:rPr>
            </w:pPr>
            <w:hyperlink w:anchor="Section32" w:history="1">
              <w:r>
                <w:rPr>
                  <w:rFonts w:ascii="Arial" w:eastAsia="Arial" w:hAnsi="Arial" w:cs="Arial"/>
                  <w:color w:val="668092"/>
                  <w:sz w:val="18"/>
                  <w:u w:val="single"/>
                </w:rPr>
                <w:t>Mortgage Insurance Portfolio</w:t>
              </w:r>
            </w:hyperlink>
          </w:p>
        </w:tc>
        <w:tc>
          <w:tcPr>
            <w:tcW w:w="600" w:type="dxa"/>
            <w:tcBorders>
              <w:top w:val="single" w:sz="8" w:space="0" w:color="F4F4F4"/>
              <w:left w:val="nil"/>
              <w:bottom w:val="single" w:sz="8" w:space="0" w:color="F4F4F4"/>
              <w:right w:val="nil"/>
            </w:tcBorders>
            <w:tcMar>
              <w:top w:w="0" w:type="dxa"/>
              <w:left w:w="53" w:type="dxa"/>
              <w:bottom w:w="0" w:type="dxa"/>
              <w:right w:w="53" w:type="dxa"/>
            </w:tcMar>
            <w:vAlign w:val="center"/>
          </w:tcPr>
          <w:p w14:paraId="71668BE4" w14:textId="77777777" w:rsidR="001614AC" w:rsidRDefault="004468F9">
            <w:pPr>
              <w:keepNext/>
              <w:spacing w:line="288" w:lineRule="auto"/>
              <w:jc w:val="right"/>
              <w:rPr>
                <w:rFonts w:ascii="Arial" w:eastAsia="Arial" w:hAnsi="Arial" w:cs="Arial"/>
                <w:color w:val="668092"/>
                <w:sz w:val="18"/>
              </w:rPr>
            </w:pPr>
            <w:r>
              <w:rPr>
                <w:rFonts w:ascii="Arial" w:eastAsia="Arial" w:hAnsi="Arial" w:cs="Arial"/>
                <w:color w:val="668092"/>
                <w:sz w:val="18"/>
                <w:u w:val="single"/>
              </w:rPr>
              <w:fldChar w:fldCharType="begin"/>
            </w:r>
            <w:r>
              <w:rPr>
                <w:rFonts w:ascii="Arial" w:eastAsia="Arial" w:hAnsi="Arial" w:cs="Arial"/>
                <w:color w:val="668092"/>
                <w:sz w:val="18"/>
                <w:u w:val="single"/>
              </w:rPr>
              <w:instrText xml:space="preserve"> PAGEREF  Section32 \h</w:instrText>
            </w:r>
            <w:r>
              <w:rPr>
                <w:rFonts w:ascii="Arial" w:eastAsia="Arial" w:hAnsi="Arial" w:cs="Arial"/>
                <w:color w:val="668092"/>
                <w:sz w:val="18"/>
                <w:u w:val="single"/>
              </w:rPr>
            </w:r>
            <w:r>
              <w:rPr>
                <w:rFonts w:ascii="Arial" w:eastAsia="Arial" w:hAnsi="Arial" w:cs="Arial"/>
                <w:color w:val="668092"/>
                <w:sz w:val="18"/>
                <w:u w:val="single"/>
              </w:rPr>
              <w:fldChar w:fldCharType="separate"/>
            </w:r>
            <w:r>
              <w:rPr>
                <w:rFonts w:ascii="Arial" w:eastAsia="Arial" w:hAnsi="Arial" w:cs="Arial"/>
                <w:color w:val="668092"/>
                <w:sz w:val="18"/>
                <w:u w:val="single"/>
              </w:rPr>
              <w:t>51</w:t>
            </w:r>
            <w:r>
              <w:rPr>
                <w:rFonts w:ascii="Arial" w:eastAsia="Arial" w:hAnsi="Arial" w:cs="Arial"/>
                <w:color w:val="668092"/>
                <w:sz w:val="18"/>
                <w:u w:val="single"/>
              </w:rPr>
              <w:fldChar w:fldCharType="end"/>
            </w:r>
          </w:p>
        </w:tc>
      </w:tr>
      <w:tr w:rsidR="001614AC" w14:paraId="349513D8" w14:textId="77777777">
        <w:trPr>
          <w:cantSplit/>
          <w:trHeight w:hRule="exact" w:val="315"/>
        </w:trPr>
        <w:tc>
          <w:tcPr>
            <w:tcW w:w="9480" w:type="dxa"/>
            <w:tcBorders>
              <w:top w:val="single" w:sz="8" w:space="0" w:color="F4F4F4"/>
              <w:left w:val="nil"/>
              <w:bottom w:val="single" w:sz="8" w:space="0" w:color="F4F4F4"/>
              <w:right w:val="nil"/>
            </w:tcBorders>
            <w:tcMar>
              <w:top w:w="0" w:type="dxa"/>
              <w:left w:w="53" w:type="dxa"/>
              <w:bottom w:w="0" w:type="dxa"/>
              <w:right w:w="53" w:type="dxa"/>
            </w:tcMar>
            <w:vAlign w:val="center"/>
          </w:tcPr>
          <w:p w14:paraId="6B480E2C" w14:textId="77777777" w:rsidR="001614AC" w:rsidRDefault="004468F9">
            <w:pPr>
              <w:keepNext/>
              <w:spacing w:line="288" w:lineRule="auto"/>
              <w:rPr>
                <w:rFonts w:ascii="Arial" w:eastAsia="Arial" w:hAnsi="Arial" w:cs="Arial"/>
                <w:color w:val="668092"/>
                <w:sz w:val="18"/>
              </w:rPr>
            </w:pPr>
            <w:hyperlink w:anchor="Section33" w:history="1">
              <w:r>
                <w:rPr>
                  <w:rFonts w:ascii="Arial" w:eastAsia="Arial" w:hAnsi="Arial" w:cs="Arial"/>
                  <w:color w:val="668092"/>
                  <w:sz w:val="18"/>
                  <w:u w:val="single"/>
                </w:rPr>
                <w:t>Results of Operations—Consolidated</w:t>
              </w:r>
            </w:hyperlink>
          </w:p>
        </w:tc>
        <w:tc>
          <w:tcPr>
            <w:tcW w:w="600" w:type="dxa"/>
            <w:tcBorders>
              <w:top w:val="single" w:sz="8" w:space="0" w:color="F4F4F4"/>
              <w:left w:val="nil"/>
              <w:bottom w:val="single" w:sz="8" w:space="0" w:color="F4F4F4"/>
              <w:right w:val="nil"/>
            </w:tcBorders>
            <w:tcMar>
              <w:top w:w="0" w:type="dxa"/>
              <w:left w:w="53" w:type="dxa"/>
              <w:bottom w:w="0" w:type="dxa"/>
              <w:right w:w="53" w:type="dxa"/>
            </w:tcMar>
            <w:vAlign w:val="center"/>
          </w:tcPr>
          <w:p w14:paraId="46548C3E" w14:textId="77777777" w:rsidR="001614AC" w:rsidRDefault="004468F9">
            <w:pPr>
              <w:keepNext/>
              <w:spacing w:line="288" w:lineRule="auto"/>
              <w:jc w:val="right"/>
              <w:rPr>
                <w:rFonts w:ascii="Arial" w:eastAsia="Arial" w:hAnsi="Arial" w:cs="Arial"/>
                <w:color w:val="668092"/>
                <w:sz w:val="18"/>
              </w:rPr>
            </w:pPr>
            <w:r>
              <w:rPr>
                <w:rFonts w:ascii="Arial" w:eastAsia="Arial" w:hAnsi="Arial" w:cs="Arial"/>
                <w:color w:val="668092"/>
                <w:sz w:val="18"/>
                <w:u w:val="single"/>
              </w:rPr>
              <w:fldChar w:fldCharType="begin"/>
            </w:r>
            <w:r>
              <w:rPr>
                <w:rFonts w:ascii="Arial" w:eastAsia="Arial" w:hAnsi="Arial" w:cs="Arial"/>
                <w:color w:val="668092"/>
                <w:sz w:val="18"/>
                <w:u w:val="single"/>
              </w:rPr>
              <w:instrText xml:space="preserve"> PAGEREF  Section33 \h</w:instrText>
            </w:r>
            <w:r>
              <w:rPr>
                <w:rFonts w:ascii="Arial" w:eastAsia="Arial" w:hAnsi="Arial" w:cs="Arial"/>
                <w:color w:val="668092"/>
                <w:sz w:val="18"/>
                <w:u w:val="single"/>
              </w:rPr>
            </w:r>
            <w:r>
              <w:rPr>
                <w:rFonts w:ascii="Arial" w:eastAsia="Arial" w:hAnsi="Arial" w:cs="Arial"/>
                <w:color w:val="668092"/>
                <w:sz w:val="18"/>
                <w:u w:val="single"/>
              </w:rPr>
              <w:fldChar w:fldCharType="separate"/>
            </w:r>
            <w:r>
              <w:rPr>
                <w:rFonts w:ascii="Arial" w:eastAsia="Arial" w:hAnsi="Arial" w:cs="Arial"/>
                <w:color w:val="668092"/>
                <w:sz w:val="18"/>
                <w:u w:val="single"/>
              </w:rPr>
              <w:t>56</w:t>
            </w:r>
            <w:r>
              <w:rPr>
                <w:rFonts w:ascii="Arial" w:eastAsia="Arial" w:hAnsi="Arial" w:cs="Arial"/>
                <w:color w:val="668092"/>
                <w:sz w:val="18"/>
                <w:u w:val="single"/>
              </w:rPr>
              <w:fldChar w:fldCharType="end"/>
            </w:r>
          </w:p>
        </w:tc>
      </w:tr>
      <w:tr w:rsidR="001614AC" w14:paraId="47875A23" w14:textId="77777777">
        <w:trPr>
          <w:cantSplit/>
          <w:trHeight w:hRule="exact" w:val="315"/>
        </w:trPr>
        <w:tc>
          <w:tcPr>
            <w:tcW w:w="9480" w:type="dxa"/>
            <w:tcBorders>
              <w:top w:val="single" w:sz="8" w:space="0" w:color="F4F4F4"/>
              <w:left w:val="nil"/>
              <w:bottom w:val="single" w:sz="8" w:space="0" w:color="F4F4F4"/>
              <w:right w:val="nil"/>
            </w:tcBorders>
            <w:tcMar>
              <w:top w:w="0" w:type="dxa"/>
              <w:left w:w="53" w:type="dxa"/>
              <w:bottom w:w="0" w:type="dxa"/>
              <w:right w:w="53" w:type="dxa"/>
            </w:tcMar>
            <w:vAlign w:val="center"/>
          </w:tcPr>
          <w:p w14:paraId="56271FD5" w14:textId="77777777" w:rsidR="001614AC" w:rsidRDefault="004468F9">
            <w:pPr>
              <w:keepNext/>
              <w:spacing w:line="288" w:lineRule="auto"/>
              <w:rPr>
                <w:rFonts w:ascii="Arial" w:eastAsia="Arial" w:hAnsi="Arial" w:cs="Arial"/>
                <w:color w:val="668092"/>
                <w:sz w:val="18"/>
              </w:rPr>
            </w:pPr>
            <w:hyperlink w:anchor="Section34" w:history="1">
              <w:r>
                <w:rPr>
                  <w:rFonts w:ascii="Arial" w:eastAsia="Arial" w:hAnsi="Arial" w:cs="Arial"/>
                  <w:color w:val="668092"/>
                  <w:sz w:val="18"/>
                  <w:u w:val="single"/>
                </w:rPr>
                <w:t>Results of Operations—Mortgage</w:t>
              </w:r>
            </w:hyperlink>
          </w:p>
        </w:tc>
        <w:tc>
          <w:tcPr>
            <w:tcW w:w="600" w:type="dxa"/>
            <w:tcBorders>
              <w:top w:val="single" w:sz="8" w:space="0" w:color="F4F4F4"/>
              <w:left w:val="nil"/>
              <w:bottom w:val="single" w:sz="8" w:space="0" w:color="F4F4F4"/>
              <w:right w:val="nil"/>
            </w:tcBorders>
            <w:tcMar>
              <w:top w:w="0" w:type="dxa"/>
              <w:left w:w="53" w:type="dxa"/>
              <w:bottom w:w="0" w:type="dxa"/>
              <w:right w:w="53" w:type="dxa"/>
            </w:tcMar>
            <w:vAlign w:val="center"/>
          </w:tcPr>
          <w:p w14:paraId="35FD0A77" w14:textId="77777777" w:rsidR="001614AC" w:rsidRDefault="004468F9">
            <w:pPr>
              <w:keepNext/>
              <w:spacing w:line="288" w:lineRule="auto"/>
              <w:jc w:val="right"/>
              <w:rPr>
                <w:rFonts w:ascii="Arial" w:eastAsia="Arial" w:hAnsi="Arial" w:cs="Arial"/>
                <w:color w:val="668092"/>
                <w:sz w:val="18"/>
              </w:rPr>
            </w:pPr>
            <w:r>
              <w:rPr>
                <w:rFonts w:ascii="Arial" w:eastAsia="Arial" w:hAnsi="Arial" w:cs="Arial"/>
                <w:color w:val="668092"/>
                <w:sz w:val="18"/>
                <w:u w:val="single"/>
              </w:rPr>
              <w:fldChar w:fldCharType="begin"/>
            </w:r>
            <w:r>
              <w:rPr>
                <w:rFonts w:ascii="Arial" w:eastAsia="Arial" w:hAnsi="Arial" w:cs="Arial"/>
                <w:color w:val="668092"/>
                <w:sz w:val="18"/>
                <w:u w:val="single"/>
              </w:rPr>
              <w:instrText xml:space="preserve"> PAGEREF  Section34 \h</w:instrText>
            </w:r>
            <w:r>
              <w:rPr>
                <w:rFonts w:ascii="Arial" w:eastAsia="Arial" w:hAnsi="Arial" w:cs="Arial"/>
                <w:color w:val="668092"/>
                <w:sz w:val="18"/>
                <w:u w:val="single"/>
              </w:rPr>
            </w:r>
            <w:r>
              <w:rPr>
                <w:rFonts w:ascii="Arial" w:eastAsia="Arial" w:hAnsi="Arial" w:cs="Arial"/>
                <w:color w:val="668092"/>
                <w:sz w:val="18"/>
                <w:u w:val="single"/>
              </w:rPr>
              <w:fldChar w:fldCharType="separate"/>
            </w:r>
            <w:r>
              <w:rPr>
                <w:rFonts w:ascii="Arial" w:eastAsia="Arial" w:hAnsi="Arial" w:cs="Arial"/>
                <w:color w:val="668092"/>
                <w:sz w:val="18"/>
                <w:u w:val="single"/>
              </w:rPr>
              <w:t>61</w:t>
            </w:r>
            <w:r>
              <w:rPr>
                <w:rFonts w:ascii="Arial" w:eastAsia="Arial" w:hAnsi="Arial" w:cs="Arial"/>
                <w:color w:val="668092"/>
                <w:sz w:val="18"/>
                <w:u w:val="single"/>
              </w:rPr>
              <w:fldChar w:fldCharType="end"/>
            </w:r>
          </w:p>
        </w:tc>
      </w:tr>
      <w:tr w:rsidR="001614AC" w14:paraId="2C0FC97D" w14:textId="77777777">
        <w:trPr>
          <w:cantSplit/>
          <w:trHeight w:hRule="exact" w:val="315"/>
        </w:trPr>
        <w:tc>
          <w:tcPr>
            <w:tcW w:w="9480" w:type="dxa"/>
            <w:tcBorders>
              <w:top w:val="single" w:sz="8" w:space="0" w:color="F4F4F4"/>
              <w:left w:val="nil"/>
              <w:bottom w:val="single" w:sz="8" w:space="0" w:color="F4F4F4"/>
              <w:right w:val="nil"/>
            </w:tcBorders>
            <w:tcMar>
              <w:top w:w="0" w:type="dxa"/>
              <w:left w:w="53" w:type="dxa"/>
              <w:bottom w:w="0" w:type="dxa"/>
              <w:right w:w="53" w:type="dxa"/>
            </w:tcMar>
            <w:vAlign w:val="center"/>
          </w:tcPr>
          <w:p w14:paraId="2E99C190" w14:textId="77777777" w:rsidR="001614AC" w:rsidRDefault="004468F9">
            <w:pPr>
              <w:keepNext/>
              <w:spacing w:line="288" w:lineRule="auto"/>
              <w:rPr>
                <w:rFonts w:ascii="Arial" w:eastAsia="Arial" w:hAnsi="Arial" w:cs="Arial"/>
                <w:color w:val="668092"/>
                <w:sz w:val="18"/>
              </w:rPr>
            </w:pPr>
            <w:hyperlink w:anchor="Section35" w:history="1">
              <w:r>
                <w:rPr>
                  <w:rFonts w:ascii="Arial" w:eastAsia="Arial" w:hAnsi="Arial" w:cs="Arial"/>
                  <w:color w:val="668092"/>
                  <w:sz w:val="18"/>
                  <w:u w:val="single"/>
                </w:rPr>
                <w:t>Results of Operations—</w:t>
              </w:r>
            </w:hyperlink>
            <w:hyperlink w:anchor="Section35" w:history="1">
              <w:r>
                <w:rPr>
                  <w:rFonts w:ascii="Arial" w:eastAsia="Arial" w:hAnsi="Arial" w:cs="Arial"/>
                  <w:color w:val="668092"/>
                  <w:sz w:val="18"/>
                  <w:u w:val="single"/>
                </w:rPr>
                <w:t>homegenius</w:t>
              </w:r>
            </w:hyperlink>
          </w:p>
        </w:tc>
        <w:tc>
          <w:tcPr>
            <w:tcW w:w="600" w:type="dxa"/>
            <w:tcBorders>
              <w:top w:val="single" w:sz="8" w:space="0" w:color="F4F4F4"/>
              <w:left w:val="nil"/>
              <w:bottom w:val="single" w:sz="8" w:space="0" w:color="F4F4F4"/>
              <w:right w:val="nil"/>
            </w:tcBorders>
            <w:tcMar>
              <w:top w:w="0" w:type="dxa"/>
              <w:left w:w="53" w:type="dxa"/>
              <w:bottom w:w="0" w:type="dxa"/>
              <w:right w:w="53" w:type="dxa"/>
            </w:tcMar>
            <w:vAlign w:val="center"/>
          </w:tcPr>
          <w:p w14:paraId="5BA38AC7" w14:textId="77777777" w:rsidR="001614AC" w:rsidRDefault="004468F9">
            <w:pPr>
              <w:keepNext/>
              <w:spacing w:line="288" w:lineRule="auto"/>
              <w:jc w:val="right"/>
              <w:rPr>
                <w:rFonts w:ascii="Arial" w:eastAsia="Arial" w:hAnsi="Arial" w:cs="Arial"/>
                <w:color w:val="668092"/>
                <w:sz w:val="18"/>
              </w:rPr>
            </w:pPr>
            <w:r>
              <w:rPr>
                <w:rFonts w:ascii="Arial" w:eastAsia="Arial" w:hAnsi="Arial" w:cs="Arial"/>
                <w:color w:val="668092"/>
                <w:sz w:val="18"/>
                <w:u w:val="single"/>
              </w:rPr>
              <w:fldChar w:fldCharType="begin"/>
            </w:r>
            <w:r>
              <w:rPr>
                <w:rFonts w:ascii="Arial" w:eastAsia="Arial" w:hAnsi="Arial" w:cs="Arial"/>
                <w:color w:val="668092"/>
                <w:sz w:val="18"/>
                <w:u w:val="single"/>
              </w:rPr>
              <w:instrText xml:space="preserve"> PAGEREF  Section35 \h</w:instrText>
            </w:r>
            <w:r>
              <w:rPr>
                <w:rFonts w:ascii="Arial" w:eastAsia="Arial" w:hAnsi="Arial" w:cs="Arial"/>
                <w:color w:val="668092"/>
                <w:sz w:val="18"/>
                <w:u w:val="single"/>
              </w:rPr>
            </w:r>
            <w:r>
              <w:rPr>
                <w:rFonts w:ascii="Arial" w:eastAsia="Arial" w:hAnsi="Arial" w:cs="Arial"/>
                <w:color w:val="668092"/>
                <w:sz w:val="18"/>
                <w:u w:val="single"/>
              </w:rPr>
              <w:fldChar w:fldCharType="separate"/>
            </w:r>
            <w:r>
              <w:rPr>
                <w:rFonts w:ascii="Arial" w:eastAsia="Arial" w:hAnsi="Arial" w:cs="Arial"/>
                <w:color w:val="668092"/>
                <w:sz w:val="18"/>
                <w:u w:val="single"/>
              </w:rPr>
              <w:t>66</w:t>
            </w:r>
            <w:r>
              <w:rPr>
                <w:rFonts w:ascii="Arial" w:eastAsia="Arial" w:hAnsi="Arial" w:cs="Arial"/>
                <w:color w:val="668092"/>
                <w:sz w:val="18"/>
                <w:u w:val="single"/>
              </w:rPr>
              <w:fldChar w:fldCharType="end"/>
            </w:r>
          </w:p>
        </w:tc>
      </w:tr>
      <w:tr w:rsidR="001614AC" w14:paraId="3D1165C5" w14:textId="77777777">
        <w:trPr>
          <w:cantSplit/>
          <w:trHeight w:hRule="exact" w:val="315"/>
        </w:trPr>
        <w:tc>
          <w:tcPr>
            <w:tcW w:w="9480" w:type="dxa"/>
            <w:tcBorders>
              <w:top w:val="single" w:sz="8" w:space="0" w:color="F4F4F4"/>
              <w:left w:val="nil"/>
              <w:bottom w:val="single" w:sz="8" w:space="0" w:color="F4F4F4"/>
              <w:right w:val="nil"/>
            </w:tcBorders>
            <w:tcMar>
              <w:top w:w="0" w:type="dxa"/>
              <w:left w:w="53" w:type="dxa"/>
              <w:bottom w:w="0" w:type="dxa"/>
              <w:right w:w="53" w:type="dxa"/>
            </w:tcMar>
            <w:vAlign w:val="center"/>
          </w:tcPr>
          <w:p w14:paraId="74B1880A" w14:textId="77777777" w:rsidR="001614AC" w:rsidRDefault="004468F9">
            <w:pPr>
              <w:keepNext/>
              <w:spacing w:line="288" w:lineRule="auto"/>
              <w:rPr>
                <w:rFonts w:ascii="Arial" w:eastAsia="Arial" w:hAnsi="Arial" w:cs="Arial"/>
                <w:color w:val="668092"/>
                <w:sz w:val="18"/>
              </w:rPr>
            </w:pPr>
            <w:hyperlink w:anchor="Section36" w:history="1">
              <w:r>
                <w:rPr>
                  <w:rFonts w:ascii="Arial" w:eastAsia="Arial" w:hAnsi="Arial" w:cs="Arial"/>
                  <w:color w:val="668092"/>
                  <w:sz w:val="18"/>
                  <w:u w:val="single"/>
                </w:rPr>
                <w:t>Results of Operations—All Other</w:t>
              </w:r>
            </w:hyperlink>
          </w:p>
        </w:tc>
        <w:tc>
          <w:tcPr>
            <w:tcW w:w="600" w:type="dxa"/>
            <w:tcBorders>
              <w:top w:val="single" w:sz="8" w:space="0" w:color="F4F4F4"/>
              <w:left w:val="nil"/>
              <w:bottom w:val="single" w:sz="8" w:space="0" w:color="F4F4F4"/>
              <w:right w:val="nil"/>
            </w:tcBorders>
            <w:tcMar>
              <w:top w:w="0" w:type="dxa"/>
              <w:left w:w="53" w:type="dxa"/>
              <w:bottom w:w="0" w:type="dxa"/>
              <w:right w:w="53" w:type="dxa"/>
            </w:tcMar>
            <w:vAlign w:val="center"/>
          </w:tcPr>
          <w:p w14:paraId="59BCDA59" w14:textId="77777777" w:rsidR="001614AC" w:rsidRDefault="004468F9">
            <w:pPr>
              <w:keepNext/>
              <w:spacing w:line="288" w:lineRule="auto"/>
              <w:jc w:val="right"/>
              <w:rPr>
                <w:rFonts w:ascii="Arial" w:eastAsia="Arial" w:hAnsi="Arial" w:cs="Arial"/>
                <w:color w:val="668092"/>
                <w:sz w:val="18"/>
              </w:rPr>
            </w:pPr>
            <w:r>
              <w:rPr>
                <w:rFonts w:ascii="Arial" w:eastAsia="Arial" w:hAnsi="Arial" w:cs="Arial"/>
                <w:color w:val="668092"/>
                <w:sz w:val="18"/>
                <w:u w:val="single"/>
              </w:rPr>
              <w:fldChar w:fldCharType="begin"/>
            </w:r>
            <w:r>
              <w:rPr>
                <w:rFonts w:ascii="Arial" w:eastAsia="Arial" w:hAnsi="Arial" w:cs="Arial"/>
                <w:color w:val="668092"/>
                <w:sz w:val="18"/>
                <w:u w:val="single"/>
              </w:rPr>
              <w:instrText xml:space="preserve"> PAGEREF  Section36 \h</w:instrText>
            </w:r>
            <w:r>
              <w:rPr>
                <w:rFonts w:ascii="Arial" w:eastAsia="Arial" w:hAnsi="Arial" w:cs="Arial"/>
                <w:color w:val="668092"/>
                <w:sz w:val="18"/>
                <w:u w:val="single"/>
              </w:rPr>
            </w:r>
            <w:r>
              <w:rPr>
                <w:rFonts w:ascii="Arial" w:eastAsia="Arial" w:hAnsi="Arial" w:cs="Arial"/>
                <w:color w:val="668092"/>
                <w:sz w:val="18"/>
                <w:u w:val="single"/>
              </w:rPr>
              <w:fldChar w:fldCharType="separate"/>
            </w:r>
            <w:r>
              <w:rPr>
                <w:rFonts w:ascii="Arial" w:eastAsia="Arial" w:hAnsi="Arial" w:cs="Arial"/>
                <w:color w:val="668092"/>
                <w:sz w:val="18"/>
                <w:u w:val="single"/>
              </w:rPr>
              <w:t>67</w:t>
            </w:r>
            <w:r>
              <w:rPr>
                <w:rFonts w:ascii="Arial" w:eastAsia="Arial" w:hAnsi="Arial" w:cs="Arial"/>
                <w:color w:val="668092"/>
                <w:sz w:val="18"/>
                <w:u w:val="single"/>
              </w:rPr>
              <w:fldChar w:fldCharType="end"/>
            </w:r>
          </w:p>
        </w:tc>
      </w:tr>
      <w:tr w:rsidR="001614AC" w14:paraId="34C99031" w14:textId="77777777">
        <w:trPr>
          <w:cantSplit/>
          <w:trHeight w:hRule="exact" w:val="315"/>
        </w:trPr>
        <w:tc>
          <w:tcPr>
            <w:tcW w:w="9480" w:type="dxa"/>
            <w:tcBorders>
              <w:top w:val="single" w:sz="8" w:space="0" w:color="F4F4F4"/>
              <w:left w:val="nil"/>
              <w:bottom w:val="single" w:sz="8" w:space="0" w:color="F4F4F4"/>
              <w:right w:val="nil"/>
            </w:tcBorders>
            <w:tcMar>
              <w:top w:w="0" w:type="dxa"/>
              <w:left w:w="53" w:type="dxa"/>
              <w:bottom w:w="0" w:type="dxa"/>
              <w:right w:w="53" w:type="dxa"/>
            </w:tcMar>
            <w:vAlign w:val="center"/>
          </w:tcPr>
          <w:p w14:paraId="5F79FD72" w14:textId="77777777" w:rsidR="001614AC" w:rsidRDefault="004468F9">
            <w:pPr>
              <w:keepNext/>
              <w:spacing w:line="288" w:lineRule="auto"/>
              <w:rPr>
                <w:rFonts w:ascii="Arial" w:eastAsia="Arial" w:hAnsi="Arial" w:cs="Arial"/>
                <w:color w:val="668092"/>
                <w:sz w:val="18"/>
              </w:rPr>
            </w:pPr>
            <w:hyperlink w:anchor="Section37" w:history="1">
              <w:r>
                <w:rPr>
                  <w:rFonts w:ascii="Arial" w:eastAsia="Arial" w:hAnsi="Arial" w:cs="Arial"/>
                  <w:color w:val="668092"/>
                  <w:sz w:val="18"/>
                  <w:u w:val="single"/>
                </w:rPr>
                <w:t>Liquidity and Capital Resources</w:t>
              </w:r>
            </w:hyperlink>
          </w:p>
        </w:tc>
        <w:tc>
          <w:tcPr>
            <w:tcW w:w="600" w:type="dxa"/>
            <w:tcBorders>
              <w:top w:val="single" w:sz="8" w:space="0" w:color="F4F4F4"/>
              <w:left w:val="nil"/>
              <w:bottom w:val="single" w:sz="8" w:space="0" w:color="F4F4F4"/>
              <w:right w:val="nil"/>
            </w:tcBorders>
            <w:tcMar>
              <w:top w:w="0" w:type="dxa"/>
              <w:left w:w="53" w:type="dxa"/>
              <w:bottom w:w="0" w:type="dxa"/>
              <w:right w:w="53" w:type="dxa"/>
            </w:tcMar>
            <w:vAlign w:val="center"/>
          </w:tcPr>
          <w:p w14:paraId="65FCF82C" w14:textId="77777777" w:rsidR="001614AC" w:rsidRDefault="004468F9">
            <w:pPr>
              <w:keepNext/>
              <w:spacing w:line="288" w:lineRule="auto"/>
              <w:jc w:val="right"/>
              <w:rPr>
                <w:rFonts w:ascii="Arial" w:eastAsia="Arial" w:hAnsi="Arial" w:cs="Arial"/>
                <w:color w:val="668092"/>
                <w:sz w:val="18"/>
              </w:rPr>
            </w:pPr>
            <w:r>
              <w:rPr>
                <w:rFonts w:ascii="Arial" w:eastAsia="Arial" w:hAnsi="Arial" w:cs="Arial"/>
                <w:color w:val="668092"/>
                <w:sz w:val="18"/>
                <w:u w:val="single"/>
              </w:rPr>
              <w:fldChar w:fldCharType="begin"/>
            </w:r>
            <w:r>
              <w:rPr>
                <w:rFonts w:ascii="Arial" w:eastAsia="Arial" w:hAnsi="Arial" w:cs="Arial"/>
                <w:color w:val="668092"/>
                <w:sz w:val="18"/>
                <w:u w:val="single"/>
              </w:rPr>
              <w:instrText xml:space="preserve"> PAGEREF  Section37 \h</w:instrText>
            </w:r>
            <w:r>
              <w:rPr>
                <w:rFonts w:ascii="Arial" w:eastAsia="Arial" w:hAnsi="Arial" w:cs="Arial"/>
                <w:color w:val="668092"/>
                <w:sz w:val="18"/>
                <w:u w:val="single"/>
              </w:rPr>
            </w:r>
            <w:r>
              <w:rPr>
                <w:rFonts w:ascii="Arial" w:eastAsia="Arial" w:hAnsi="Arial" w:cs="Arial"/>
                <w:color w:val="668092"/>
                <w:sz w:val="18"/>
                <w:u w:val="single"/>
              </w:rPr>
              <w:fldChar w:fldCharType="separate"/>
            </w:r>
            <w:r>
              <w:rPr>
                <w:rFonts w:ascii="Arial" w:eastAsia="Arial" w:hAnsi="Arial" w:cs="Arial"/>
                <w:color w:val="668092"/>
                <w:sz w:val="18"/>
                <w:u w:val="single"/>
              </w:rPr>
              <w:t>68</w:t>
            </w:r>
            <w:r>
              <w:rPr>
                <w:rFonts w:ascii="Arial" w:eastAsia="Arial" w:hAnsi="Arial" w:cs="Arial"/>
                <w:color w:val="668092"/>
                <w:sz w:val="18"/>
                <w:u w:val="single"/>
              </w:rPr>
              <w:fldChar w:fldCharType="end"/>
            </w:r>
          </w:p>
        </w:tc>
      </w:tr>
      <w:tr w:rsidR="001614AC" w14:paraId="670965F4" w14:textId="77777777">
        <w:trPr>
          <w:cantSplit/>
          <w:trHeight w:hRule="exact" w:val="315"/>
        </w:trPr>
        <w:tc>
          <w:tcPr>
            <w:tcW w:w="9480" w:type="dxa"/>
            <w:tcBorders>
              <w:top w:val="single" w:sz="8" w:space="0" w:color="F4F4F4"/>
              <w:left w:val="nil"/>
              <w:bottom w:val="single" w:sz="8" w:space="0" w:color="F4F4F4"/>
              <w:right w:val="nil"/>
            </w:tcBorders>
            <w:tcMar>
              <w:top w:w="0" w:type="dxa"/>
              <w:left w:w="53" w:type="dxa"/>
              <w:bottom w:w="0" w:type="dxa"/>
              <w:right w:w="53" w:type="dxa"/>
            </w:tcMar>
            <w:vAlign w:val="center"/>
          </w:tcPr>
          <w:p w14:paraId="33AD8A55" w14:textId="77777777" w:rsidR="001614AC" w:rsidRDefault="004468F9">
            <w:pPr>
              <w:spacing w:line="288" w:lineRule="auto"/>
              <w:rPr>
                <w:rFonts w:ascii="Arial" w:eastAsia="Arial" w:hAnsi="Arial" w:cs="Arial"/>
                <w:color w:val="668092"/>
                <w:sz w:val="18"/>
              </w:rPr>
            </w:pPr>
            <w:hyperlink w:anchor="Section38" w:history="1">
              <w:r>
                <w:rPr>
                  <w:rFonts w:ascii="Arial" w:eastAsia="Arial" w:hAnsi="Arial" w:cs="Arial"/>
                  <w:color w:val="668092"/>
                  <w:sz w:val="18"/>
                  <w:u w:val="single"/>
                </w:rPr>
                <w:t>Critical Accounting Estimates</w:t>
              </w:r>
            </w:hyperlink>
          </w:p>
        </w:tc>
        <w:tc>
          <w:tcPr>
            <w:tcW w:w="600" w:type="dxa"/>
            <w:tcBorders>
              <w:top w:val="single" w:sz="8" w:space="0" w:color="F4F4F4"/>
              <w:left w:val="nil"/>
              <w:bottom w:val="single" w:sz="8" w:space="0" w:color="F4F4F4"/>
              <w:right w:val="nil"/>
            </w:tcBorders>
            <w:tcMar>
              <w:top w:w="0" w:type="dxa"/>
              <w:left w:w="53" w:type="dxa"/>
              <w:bottom w:w="0" w:type="dxa"/>
              <w:right w:w="53" w:type="dxa"/>
            </w:tcMar>
            <w:vAlign w:val="center"/>
          </w:tcPr>
          <w:p w14:paraId="23A0B340" w14:textId="77777777" w:rsidR="001614AC" w:rsidRDefault="004468F9">
            <w:pPr>
              <w:spacing w:line="288" w:lineRule="auto"/>
              <w:jc w:val="right"/>
              <w:rPr>
                <w:rFonts w:ascii="Arial" w:eastAsia="Arial" w:hAnsi="Arial" w:cs="Arial"/>
                <w:color w:val="668092"/>
                <w:sz w:val="18"/>
              </w:rPr>
            </w:pPr>
            <w:r>
              <w:rPr>
                <w:rFonts w:ascii="Arial" w:eastAsia="Arial" w:hAnsi="Arial" w:cs="Arial"/>
                <w:color w:val="668092"/>
                <w:sz w:val="18"/>
                <w:u w:val="single"/>
              </w:rPr>
              <w:fldChar w:fldCharType="begin"/>
            </w:r>
            <w:r>
              <w:rPr>
                <w:rFonts w:ascii="Arial" w:eastAsia="Arial" w:hAnsi="Arial" w:cs="Arial"/>
                <w:color w:val="668092"/>
                <w:sz w:val="18"/>
                <w:u w:val="single"/>
              </w:rPr>
              <w:instrText xml:space="preserve"> PAGEREF  Section38 \h</w:instrText>
            </w:r>
            <w:r>
              <w:rPr>
                <w:rFonts w:ascii="Arial" w:eastAsia="Arial" w:hAnsi="Arial" w:cs="Arial"/>
                <w:color w:val="668092"/>
                <w:sz w:val="18"/>
                <w:u w:val="single"/>
              </w:rPr>
            </w:r>
            <w:r>
              <w:rPr>
                <w:rFonts w:ascii="Arial" w:eastAsia="Arial" w:hAnsi="Arial" w:cs="Arial"/>
                <w:color w:val="668092"/>
                <w:sz w:val="18"/>
                <w:u w:val="single"/>
              </w:rPr>
              <w:fldChar w:fldCharType="separate"/>
            </w:r>
            <w:r>
              <w:rPr>
                <w:rFonts w:ascii="Arial" w:eastAsia="Arial" w:hAnsi="Arial" w:cs="Arial"/>
                <w:color w:val="668092"/>
                <w:sz w:val="18"/>
                <w:u w:val="single"/>
              </w:rPr>
              <w:t>72</w:t>
            </w:r>
            <w:r>
              <w:rPr>
                <w:rFonts w:ascii="Arial" w:eastAsia="Arial" w:hAnsi="Arial" w:cs="Arial"/>
                <w:color w:val="668092"/>
                <w:sz w:val="18"/>
                <w:u w:val="single"/>
              </w:rPr>
              <w:fldChar w:fldCharType="end"/>
            </w:r>
          </w:p>
        </w:tc>
      </w:tr>
    </w:tbl>
    <w:p w14:paraId="6E993B52" w14:textId="77777777" w:rsidR="001614AC" w:rsidRDefault="001614AC">
      <w:pPr>
        <w:spacing w:line="288" w:lineRule="auto"/>
        <w:rPr>
          <w:rFonts w:ascii="Arial" w:eastAsia="Arial" w:hAnsi="Arial" w:cs="Arial"/>
          <w:sz w:val="18"/>
        </w:rPr>
      </w:pPr>
    </w:p>
    <w:p w14:paraId="0785B865" w14:textId="77777777" w:rsidR="001614AC" w:rsidRDefault="001614AC">
      <w:pPr>
        <w:spacing w:line="288" w:lineRule="auto"/>
        <w:rPr>
          <w:rFonts w:ascii="Arial" w:eastAsia="Arial" w:hAnsi="Arial" w:cs="Arial"/>
          <w:sz w:val="18"/>
        </w:rPr>
        <w:sectPr w:rsidR="001614AC">
          <w:headerReference w:type="default" r:id="rId40"/>
          <w:headerReference w:type="first" r:id="rId41"/>
          <w:footerReference w:type="first" r:id="rId42"/>
          <w:pgSz w:w="12240" w:h="15840"/>
          <w:pgMar w:top="1260" w:right="1080" w:bottom="1080" w:left="1080" w:header="270" w:footer="270" w:gutter="0"/>
          <w:cols w:space="708"/>
          <w:titlePg/>
        </w:sectPr>
      </w:pPr>
    </w:p>
    <w:p w14:paraId="2FFFBB0E" w14:textId="77777777" w:rsidR="001614AC" w:rsidRDefault="004468F9">
      <w:pPr>
        <w:keepNext/>
        <w:spacing w:before="200" w:after="160" w:line="288" w:lineRule="auto"/>
        <w:ind w:left="360" w:hanging="360"/>
        <w:rPr>
          <w:rFonts w:ascii="Arial" w:eastAsia="Arial" w:hAnsi="Arial" w:cs="Arial"/>
          <w:b/>
          <w:color w:val="4D6B80"/>
          <w:sz w:val="30"/>
        </w:rPr>
      </w:pPr>
      <w:bookmarkStart w:id="29" w:name="Section30"/>
      <w:bookmarkEnd w:id="29"/>
      <w:r>
        <w:rPr>
          <w:rFonts w:ascii="Arial" w:eastAsia="Arial" w:hAnsi="Arial" w:cs="Arial"/>
          <w:b/>
          <w:color w:val="4D6B80"/>
          <w:sz w:val="30"/>
        </w:rPr>
        <w:t xml:space="preserve">Overview </w:t>
      </w:r>
    </w:p>
    <w:p w14:paraId="00B7E30E" w14:textId="77777777" w:rsidR="001614AC" w:rsidRDefault="004468F9">
      <w:pPr>
        <w:spacing w:before="100" w:after="100" w:line="288" w:lineRule="auto"/>
        <w:ind w:firstLine="450"/>
        <w:rPr>
          <w:rFonts w:ascii="Arial" w:eastAsia="Arial" w:hAnsi="Arial" w:cs="Arial"/>
          <w:b/>
          <w:color w:val="4D6B80"/>
          <w:sz w:val="18"/>
        </w:rPr>
      </w:pPr>
      <w:r>
        <w:rPr>
          <w:rFonts w:ascii="Arial" w:eastAsia="Arial" w:hAnsi="Arial" w:cs="Arial"/>
          <w:sz w:val="18"/>
        </w:rPr>
        <w:t xml:space="preserve">We are a diversified mortgage and real estate business with two reportable business segments—Mortgage and homegenius. Our Mortgage segment provides credit-related insurance coverage, principally through private mortgage insurance on residential first-lien </w:t>
      </w:r>
      <w:r>
        <w:rPr>
          <w:rFonts w:ascii="Arial" w:eastAsia="Arial" w:hAnsi="Arial" w:cs="Arial"/>
          <w:sz w:val="18"/>
        </w:rPr>
        <w:t>mortgage loans, as well as other credit risk management, contract underwriting and fulfillment solutions, to mortgage lending institutions and mortgage credit investors. Our homegenius segment offers a broad array of title, valuation, asset management, Saa</w:t>
      </w:r>
      <w:r>
        <w:rPr>
          <w:rFonts w:ascii="Arial" w:eastAsia="Arial" w:hAnsi="Arial" w:cs="Arial"/>
          <w:sz w:val="18"/>
        </w:rPr>
        <w:t>S and other real estate services to mortgage lenders, mortgage and real estate investors, GSEs, real estate brokers and agents. Our homegenius segment was previously named “Real Estate” and during the second quarter of 2021 we renamed it “homegenius” to al</w:t>
      </w:r>
      <w:r>
        <w:rPr>
          <w:rFonts w:ascii="Arial" w:eastAsia="Arial" w:hAnsi="Arial" w:cs="Arial"/>
          <w:sz w:val="18"/>
        </w:rPr>
        <w:t xml:space="preserve">ign with updates to our branding strategy for the segment’s products and services. As further discussed in Note 4 of Notes to Unaudited Condensed Consolidated Financial Statements, the homegenius segment name change had no impact on the composition of our </w:t>
      </w:r>
      <w:r>
        <w:rPr>
          <w:rFonts w:ascii="Arial" w:eastAsia="Arial" w:hAnsi="Arial" w:cs="Arial"/>
          <w:sz w:val="18"/>
        </w:rPr>
        <w:t>segments or on our previously reported historical financial position, results of operations, cash flow or segment level results.</w:t>
      </w:r>
    </w:p>
    <w:p w14:paraId="298E30D5" w14:textId="77777777" w:rsidR="001614AC" w:rsidRDefault="004468F9">
      <w:pPr>
        <w:keepNext/>
        <w:spacing w:before="180" w:after="140" w:line="288" w:lineRule="auto"/>
        <w:rPr>
          <w:rFonts w:ascii="Arial" w:eastAsia="Arial" w:hAnsi="Arial" w:cs="Arial"/>
          <w:b/>
          <w:color w:val="002B49"/>
          <w:sz w:val="26"/>
        </w:rPr>
      </w:pPr>
      <w:r>
        <w:rPr>
          <w:rFonts w:ascii="Arial" w:eastAsia="Arial" w:hAnsi="Arial" w:cs="Arial"/>
          <w:b/>
          <w:color w:val="002B49"/>
          <w:sz w:val="26"/>
        </w:rPr>
        <w:t>Current Operating Environment</w:t>
      </w:r>
    </w:p>
    <w:p w14:paraId="4EF41D51" w14:textId="77777777" w:rsidR="001614AC" w:rsidRDefault="004468F9">
      <w:pPr>
        <w:spacing w:before="100" w:after="100" w:line="288" w:lineRule="auto"/>
        <w:ind w:firstLine="450"/>
        <w:rPr>
          <w:rFonts w:ascii="Arial" w:eastAsia="Arial" w:hAnsi="Arial" w:cs="Arial"/>
          <w:b/>
          <w:color w:val="4D6B80"/>
          <w:sz w:val="18"/>
        </w:rPr>
      </w:pPr>
      <w:r>
        <w:rPr>
          <w:rFonts w:ascii="Arial" w:eastAsia="Arial" w:hAnsi="Arial" w:cs="Arial"/>
          <w:sz w:val="18"/>
        </w:rPr>
        <w:t>As a seller of mortgage credit protection and other mortgage and credit risk management solutions</w:t>
      </w:r>
      <w:r>
        <w:rPr>
          <w:rFonts w:ascii="Arial" w:eastAsia="Arial" w:hAnsi="Arial" w:cs="Arial"/>
          <w:sz w:val="18"/>
        </w:rPr>
        <w:t>, our Mortgage business results are subject to macroeconomic conditions and other events that impact the housing, real estate and housing finance markets, the credit performance of our underlying insured assets and our future business opportunities, includ</w:t>
      </w:r>
      <w:r>
        <w:rPr>
          <w:rFonts w:ascii="Arial" w:eastAsia="Arial" w:hAnsi="Arial" w:cs="Arial"/>
          <w:sz w:val="18"/>
        </w:rPr>
        <w:t>ing the current global pandemic as well as seasonal fluctuations that specifically affect the mortgage origination environment. The macroeconomic conditions, seasonality and other events that impact the housing, mortgage finance and related real estate mar</w:t>
      </w:r>
      <w:r>
        <w:rPr>
          <w:rFonts w:ascii="Arial" w:eastAsia="Arial" w:hAnsi="Arial" w:cs="Arial"/>
          <w:sz w:val="18"/>
        </w:rPr>
        <w:t>kets also affect the demand for our products and services offered through our homegenius segment.</w:t>
      </w:r>
    </w:p>
    <w:p w14:paraId="06158BC7" w14:textId="77777777" w:rsidR="001614AC" w:rsidRDefault="004468F9">
      <w:pPr>
        <w:spacing w:before="100" w:after="100" w:line="288" w:lineRule="auto"/>
        <w:ind w:firstLine="450"/>
        <w:rPr>
          <w:b/>
          <w:color w:val="4D6B80"/>
        </w:rPr>
      </w:pPr>
      <w:r>
        <w:rPr>
          <w:rFonts w:ascii="Arial" w:eastAsia="Arial" w:hAnsi="Arial" w:cs="Arial"/>
          <w:sz w:val="18"/>
        </w:rPr>
        <w:lastRenderedPageBreak/>
        <w:t>The unprecedented and continually evolving social and economic impacts associated with the COVID-19 pandemic on the U.S. and global economies generally, and i</w:t>
      </w:r>
      <w:r>
        <w:rPr>
          <w:rFonts w:ascii="Arial" w:eastAsia="Arial" w:hAnsi="Arial" w:cs="Arial"/>
          <w:sz w:val="18"/>
        </w:rPr>
        <w:t>n particular on the U.S. housing, real estate and housing finance markets, had a negative effect on our business and our financial results for the second quarter of 2020, and since then to a lesser extent. See “—COVID-19 Impacts” below for further discussi</w:t>
      </w:r>
      <w:r>
        <w:rPr>
          <w:rFonts w:ascii="Arial" w:eastAsia="Arial" w:hAnsi="Arial" w:cs="Arial"/>
          <w:sz w:val="18"/>
        </w:rPr>
        <w:t>on of the impacts on our business associated with the COVID-19 pandemic, including an increase in our new defaults and in our Minimum Required Assets under the PMIERs financial requirements.</w:t>
      </w:r>
    </w:p>
    <w:p w14:paraId="039FF6E9" w14:textId="77777777" w:rsidR="001614AC" w:rsidRDefault="004468F9">
      <w:pPr>
        <w:spacing w:before="100" w:after="100" w:line="288" w:lineRule="auto"/>
        <w:ind w:firstLine="450"/>
        <w:rPr>
          <w:rFonts w:ascii="Arial" w:eastAsia="Arial" w:hAnsi="Arial" w:cs="Arial"/>
          <w:b/>
          <w:color w:val="4D6B80"/>
          <w:sz w:val="18"/>
        </w:rPr>
      </w:pPr>
      <w:r>
        <w:rPr>
          <w:rFonts w:ascii="Arial" w:eastAsia="Arial" w:hAnsi="Arial" w:cs="Arial"/>
          <w:sz w:val="18"/>
        </w:rPr>
        <w:t>Despite the effects of the COVID-19 pandemic, we wrote record lev</w:t>
      </w:r>
      <w:r>
        <w:rPr>
          <w:rFonts w:ascii="Arial" w:eastAsia="Arial" w:hAnsi="Arial" w:cs="Arial"/>
          <w:sz w:val="18"/>
        </w:rPr>
        <w:t>els of NIW in 2020, totaling $105.0 billion. In the first half of 2021 we wrote NIW of $41.8 billion, a decrease of 1% compared to our NIW in the first half of 2020. We continue to believe that the long-term housing market fundamentals and outlook remain p</w:t>
      </w:r>
      <w:r>
        <w:rPr>
          <w:rFonts w:ascii="Arial" w:eastAsia="Arial" w:hAnsi="Arial" w:cs="Arial"/>
          <w:sz w:val="18"/>
        </w:rPr>
        <w:t>ositive, including low interest rates, demographics supporting growth in the population of first-time homebuyers and a relatively constrained supply of homes available for sale. However, the low interest rate environment in recent periods has also resulted</w:t>
      </w:r>
      <w:r>
        <w:rPr>
          <w:rFonts w:ascii="Arial" w:eastAsia="Arial" w:hAnsi="Arial" w:cs="Arial"/>
          <w:sz w:val="18"/>
        </w:rPr>
        <w:t xml:space="preserve"> in an increase in policy cancellations associated with the high level of refinance activity, which has reduced our Persistency Rate, and in turn contributed to a reduction in our IIF, particularly as a result of a decline in our Single Premium Policies. T</w:t>
      </w:r>
      <w:r>
        <w:rPr>
          <w:rFonts w:ascii="Arial" w:eastAsia="Arial" w:hAnsi="Arial" w:cs="Arial"/>
          <w:sz w:val="18"/>
        </w:rPr>
        <w:t>his refinance activity has moderated in the three months ended June 30, 2021, and if this trend continues in the second half of 2021 we would expect the Persistency Rate for our portfolio to increase. See “Mortgage Insurance Portfolio” for additional detai</w:t>
      </w:r>
      <w:r>
        <w:rPr>
          <w:rFonts w:ascii="Arial" w:eastAsia="Arial" w:hAnsi="Arial" w:cs="Arial"/>
          <w:sz w:val="18"/>
        </w:rPr>
        <w:t>ls on our NIW and IIF.</w:t>
      </w:r>
    </w:p>
    <w:p w14:paraId="2AD0032A" w14:textId="77777777" w:rsidR="001614AC" w:rsidRDefault="004468F9">
      <w:pPr>
        <w:spacing w:before="100" w:after="100" w:line="288" w:lineRule="auto"/>
        <w:ind w:firstLine="450"/>
        <w:rPr>
          <w:rFonts w:ascii="Arial" w:eastAsia="Arial" w:hAnsi="Arial" w:cs="Arial"/>
          <w:b/>
          <w:color w:val="4D6B80"/>
          <w:sz w:val="18"/>
          <w:shd w:val="clear" w:color="auto" w:fill="D9C6F9"/>
        </w:rPr>
      </w:pPr>
      <w:r>
        <w:rPr>
          <w:rFonts w:ascii="Arial" w:eastAsia="Arial" w:hAnsi="Arial" w:cs="Arial"/>
          <w:sz w:val="18"/>
        </w:rPr>
        <w:t>In recent years, Radian and other participants in the private mortgage insurance industry have engaged in a range of risk distribution transactions and strategies and implemented enhanced risk-based pricing frameworks, which we belie</w:t>
      </w:r>
      <w:r>
        <w:rPr>
          <w:rFonts w:ascii="Arial" w:eastAsia="Arial" w:hAnsi="Arial" w:cs="Arial"/>
          <w:sz w:val="18"/>
        </w:rPr>
        <w:t>ve have helped increase the financial strength and flexibility of the mortgage insurance industry by mitigating credit risk and financial volatility through varying economic cycles. As of June 30, 2021, 71% of our primary RIF is subject to a form of risk d</w:t>
      </w:r>
      <w:r>
        <w:rPr>
          <w:rFonts w:ascii="Arial" w:eastAsia="Arial" w:hAnsi="Arial" w:cs="Arial"/>
          <w:sz w:val="18"/>
        </w:rPr>
        <w:t>istribution and our estimated reinsurance recoverables related to our mortgage insurance portfolio were $74.0 million. Our use of risk distribution structures has reduced our required capital and enhanced our projected return on capital, and we expect thes</w:t>
      </w:r>
      <w:r>
        <w:rPr>
          <w:rFonts w:ascii="Arial" w:eastAsia="Arial" w:hAnsi="Arial" w:cs="Arial"/>
          <w:sz w:val="18"/>
        </w:rPr>
        <w:t>e structures to provide a level of protection in periods of economic stress.</w:t>
      </w:r>
    </w:p>
    <w:p w14:paraId="091636C8" w14:textId="77777777" w:rsidR="001614AC" w:rsidRDefault="004468F9">
      <w:pPr>
        <w:keepNext/>
        <w:spacing w:before="180" w:after="140" w:line="288" w:lineRule="auto"/>
        <w:rPr>
          <w:rFonts w:ascii="Arial" w:eastAsia="Arial" w:hAnsi="Arial" w:cs="Arial"/>
          <w:b/>
          <w:color w:val="002B49"/>
          <w:sz w:val="26"/>
        </w:rPr>
      </w:pPr>
      <w:r>
        <w:rPr>
          <w:rFonts w:ascii="Arial" w:eastAsia="Arial" w:hAnsi="Arial" w:cs="Arial"/>
          <w:b/>
          <w:color w:val="002B49"/>
          <w:sz w:val="26"/>
        </w:rPr>
        <w:t>COVID-19 Impacts</w:t>
      </w:r>
    </w:p>
    <w:p w14:paraId="344045F0" w14:textId="77777777" w:rsidR="001614AC" w:rsidRDefault="004468F9">
      <w:pPr>
        <w:spacing w:before="100" w:after="100" w:line="288" w:lineRule="auto"/>
        <w:ind w:firstLine="450"/>
        <w:rPr>
          <w:rFonts w:ascii="Arial" w:eastAsia="Arial" w:hAnsi="Arial" w:cs="Arial"/>
          <w:b/>
          <w:color w:val="4D6B80"/>
          <w:sz w:val="18"/>
        </w:rPr>
      </w:pPr>
      <w:r>
        <w:rPr>
          <w:rFonts w:ascii="Arial" w:eastAsia="Arial" w:hAnsi="Arial" w:cs="Arial"/>
          <w:sz w:val="18"/>
        </w:rPr>
        <w:t>The COVID-19 pandemic has created periods of significant economic disruption, high unemployment, volatility and disruption in financial markets, and required adju</w:t>
      </w:r>
      <w:r>
        <w:rPr>
          <w:rFonts w:ascii="Arial" w:eastAsia="Arial" w:hAnsi="Arial" w:cs="Arial"/>
          <w:sz w:val="18"/>
        </w:rPr>
        <w:t>stments in the housing finance system and real estate markets. In addition, the pandemic has resulted in travel restrictions, temporary business shutdowns, and stay-at-home, quarantine, and similar orders, all of which contributed to a rapid and significan</w:t>
      </w:r>
      <w:r>
        <w:rPr>
          <w:rFonts w:ascii="Arial" w:eastAsia="Arial" w:hAnsi="Arial" w:cs="Arial"/>
          <w:sz w:val="18"/>
        </w:rPr>
        <w:t>t rise in unemployment that peaked in the second quarter of 2020. Since then, businesses have been reopened, and unemployment levels have declined from their peak, but numerous operating limitations such as social distancing and extensive health and safety</w:t>
      </w:r>
      <w:r>
        <w:rPr>
          <w:rFonts w:ascii="Arial" w:eastAsia="Arial" w:hAnsi="Arial" w:cs="Arial"/>
          <w:sz w:val="18"/>
        </w:rPr>
        <w:t xml:space="preserve"> measures continue to limit operations. As a result, unemployment levels remain elevated compared to pre-pandemic levels, and may remain elevated or may rise if the current economic disruption is prolonged, especially in light of the recent spread of COVID</w:t>
      </w:r>
      <w:r>
        <w:rPr>
          <w:rFonts w:ascii="Arial" w:eastAsia="Arial" w:hAnsi="Arial" w:cs="Arial"/>
          <w:sz w:val="18"/>
        </w:rPr>
        <w:t>-19 variants.</w:t>
      </w:r>
    </w:p>
    <w:p w14:paraId="20C7D345" w14:textId="77777777" w:rsidR="001614AC" w:rsidRDefault="004468F9">
      <w:pPr>
        <w:spacing w:before="100" w:after="100" w:line="288" w:lineRule="auto"/>
        <w:ind w:firstLine="450"/>
        <w:rPr>
          <w:rFonts w:ascii="Arial" w:eastAsia="Arial" w:hAnsi="Arial" w:cs="Arial"/>
          <w:b/>
          <w:color w:val="4D6B80"/>
          <w:sz w:val="18"/>
        </w:rPr>
      </w:pPr>
      <w:r>
        <w:rPr>
          <w:rFonts w:ascii="Arial" w:eastAsia="Arial" w:hAnsi="Arial" w:cs="Arial"/>
          <w:sz w:val="18"/>
        </w:rPr>
        <w:t>As a result of the COVID-19 pandemic and its impact on the economy, including the significant increase in unemployment, we experienced a material increase in new defaults in 2020, substantially all of which related to defaults of loans subjec</w:t>
      </w:r>
      <w:r>
        <w:rPr>
          <w:rFonts w:ascii="Arial" w:eastAsia="Arial" w:hAnsi="Arial" w:cs="Arial"/>
          <w:sz w:val="18"/>
        </w:rPr>
        <w:t>t to forbearance programs implemented in response to the COVID-19 pandemic. The increase in the number of new mortgage defaults resulting from the COVID-19 pandemic has had a negative effect on our results of operations and our reserve for losses beginning</w:t>
      </w:r>
      <w:r>
        <w:rPr>
          <w:rFonts w:ascii="Arial" w:eastAsia="Arial" w:hAnsi="Arial" w:cs="Arial"/>
          <w:sz w:val="18"/>
        </w:rPr>
        <w:t xml:space="preserve"> in the second quarter of 2020. See Note 11 of Notes to Unaudited Condensed Consolidated Financial Statements for additional information on our reserve for losses. </w:t>
      </w:r>
    </w:p>
    <w:p w14:paraId="2D00B1B2" w14:textId="77777777" w:rsidR="001614AC" w:rsidRDefault="004468F9">
      <w:pPr>
        <w:spacing w:before="100" w:after="100" w:line="288" w:lineRule="auto"/>
        <w:ind w:firstLine="450"/>
        <w:rPr>
          <w:rFonts w:ascii="Arial" w:eastAsia="Arial" w:hAnsi="Arial" w:cs="Arial"/>
          <w:b/>
          <w:color w:val="4D6B80"/>
          <w:sz w:val="18"/>
        </w:rPr>
      </w:pPr>
      <w:r>
        <w:rPr>
          <w:rFonts w:ascii="Arial" w:eastAsia="Arial" w:hAnsi="Arial" w:cs="Arial"/>
          <w:sz w:val="18"/>
        </w:rPr>
        <w:t>Our primary default rate was 4.0% at June 30, 2021, down from a peak of 6.5% at June 30, 20</w:t>
      </w:r>
      <w:r>
        <w:rPr>
          <w:rFonts w:ascii="Arial" w:eastAsia="Arial" w:hAnsi="Arial" w:cs="Arial"/>
          <w:sz w:val="18"/>
        </w:rPr>
        <w:t>20, which was elevated by the material increase in new defaults in the three months ended June 30, 2020. Favorable trends in the number of new defaults and Cures were the primary drivers of the decline in our default inventory and default rate, compared to</w:t>
      </w:r>
      <w:r>
        <w:rPr>
          <w:rFonts w:ascii="Arial" w:eastAsia="Arial" w:hAnsi="Arial" w:cs="Arial"/>
          <w:sz w:val="18"/>
        </w:rPr>
        <w:t xml:space="preserve"> their peaks at June 30, 2020. The number, timing and duration of new defaults and, in turn, the number of defaults that ultimately result in claims will depend on a variety of factors, including the scope, severity and duration of the COVID-19 pandemic, t</w:t>
      </w:r>
      <w:r>
        <w:rPr>
          <w:rFonts w:ascii="Arial" w:eastAsia="Arial" w:hAnsi="Arial" w:cs="Arial"/>
          <w:sz w:val="18"/>
        </w:rPr>
        <w:t>he resulting impact on the economy, including with respect to unemployment and housing prices, and the effectiveness of forbearance and other government efforts such as financial stimulus programs, to provide long-term economic and individual relief to ass</w:t>
      </w:r>
      <w:r>
        <w:rPr>
          <w:rFonts w:ascii="Arial" w:eastAsia="Arial" w:hAnsi="Arial" w:cs="Arial"/>
          <w:sz w:val="18"/>
        </w:rPr>
        <w:t>ist homeowners. Consequently, the number and rate of total defaults is difficult to predict and will depend on the foregoing and other factors, including the number and timing of Cures and claims paid and the net impact on IIF from our Persistency Rate and</w:t>
      </w:r>
      <w:r>
        <w:rPr>
          <w:rFonts w:ascii="Arial" w:eastAsia="Arial" w:hAnsi="Arial" w:cs="Arial"/>
          <w:sz w:val="18"/>
        </w:rPr>
        <w:t xml:space="preserve"> future NIW. See “Item 1A. Risk Factors” in our 2020 Form 10-K for additional discussion of these factors and other risks and uncertainties.</w:t>
      </w:r>
    </w:p>
    <w:p w14:paraId="0EADB2EA" w14:textId="77777777" w:rsidR="001614AC" w:rsidRDefault="004468F9">
      <w:pPr>
        <w:spacing w:before="100" w:after="100" w:line="288" w:lineRule="auto"/>
        <w:ind w:firstLine="450"/>
        <w:rPr>
          <w:rFonts w:ascii="Calibri" w:eastAsia="Calibri" w:hAnsi="Calibri" w:cs="Calibri"/>
          <w:b/>
          <w:color w:val="4D6B80"/>
          <w:sz w:val="22"/>
          <w:shd w:val="clear" w:color="auto" w:fill="D9C6F9"/>
        </w:rPr>
      </w:pPr>
      <w:r>
        <w:rPr>
          <w:rFonts w:ascii="Arial" w:eastAsia="Arial" w:hAnsi="Arial" w:cs="Arial"/>
          <w:sz w:val="18"/>
        </w:rPr>
        <w:t xml:space="preserve">The increase in new defaults resulting from the COVID-19 pandemic may affect our ability to remain </w:t>
      </w:r>
      <w:r>
        <w:rPr>
          <w:rFonts w:ascii="Arial" w:eastAsia="Arial" w:hAnsi="Arial" w:cs="Arial"/>
          <w:sz w:val="18"/>
        </w:rPr>
        <w:t>compliant with the PMIERs financial requirements. Once two missed payments have occurred on an insured loan, the PMIERs characterize the loan as “non-performing” and require us to establish an increased Minimum Required Asset factor for that loan regardles</w:t>
      </w:r>
      <w:r>
        <w:rPr>
          <w:rFonts w:ascii="Arial" w:eastAsia="Arial" w:hAnsi="Arial" w:cs="Arial"/>
          <w:sz w:val="18"/>
        </w:rPr>
        <w:t>s of the reason for the missed payments. During the COVID-19 Crisis Period, pursuant to the COVID-19 Amendment that amends the PMIERs, a Disaster Related Capital Charge that effectively reduces the Minimum Required Asset factor by 70% has been applied nati</w:t>
      </w:r>
      <w:r>
        <w:rPr>
          <w:rFonts w:ascii="Arial" w:eastAsia="Arial" w:hAnsi="Arial" w:cs="Arial"/>
          <w:sz w:val="18"/>
        </w:rPr>
        <w:t xml:space="preserve">onwide to all COVID-19 Defaulted Loans for no longer than three calendar months beginning with the month the loan becomes non-performing (i.e., missed two monthly payments), or if greater, the period of time that the loan is subject to a forbearance plan, </w:t>
      </w:r>
      <w:r>
        <w:rPr>
          <w:rFonts w:ascii="Arial" w:eastAsia="Arial" w:hAnsi="Arial" w:cs="Arial"/>
          <w:sz w:val="18"/>
        </w:rPr>
        <w:t>repayment plan or loan modification trial period granted in response to a financial hardship related to COVID-19. Under the terms of the COVID-19 Amendment, the COVID-19 Crisis Period ended March 31, 2021. As a result, after March 31, 2021 the Disaster Rel</w:t>
      </w:r>
      <w:r>
        <w:rPr>
          <w:rFonts w:ascii="Arial" w:eastAsia="Arial" w:hAnsi="Arial" w:cs="Arial"/>
          <w:sz w:val="18"/>
        </w:rPr>
        <w:t xml:space="preserve">ated Capital Charge will no longer be applied to all new defaults, and instead will be </w:t>
      </w:r>
      <w:r>
        <w:rPr>
          <w:rFonts w:ascii="Arial" w:eastAsia="Arial" w:hAnsi="Arial" w:cs="Arial"/>
          <w:sz w:val="18"/>
        </w:rPr>
        <w:lastRenderedPageBreak/>
        <w:t>applied only to new defaults if they are subject to a COVID-19 forbearance plan, regardless of whether the forbearance plan was entered into before or after the expirati</w:t>
      </w:r>
      <w:r>
        <w:rPr>
          <w:rFonts w:ascii="Arial" w:eastAsia="Arial" w:hAnsi="Arial" w:cs="Arial"/>
          <w:sz w:val="18"/>
        </w:rPr>
        <w:t>on of the COVID-19 Crisis Period. See “—COVID-19 Amendment to PMIERs” below for more information.</w:t>
      </w:r>
    </w:p>
    <w:p w14:paraId="38B565CB" w14:textId="77777777" w:rsidR="001614AC" w:rsidRDefault="004468F9">
      <w:pPr>
        <w:spacing w:before="100" w:after="100" w:line="288" w:lineRule="auto"/>
        <w:ind w:firstLine="450"/>
        <w:rPr>
          <w:rFonts w:ascii="Arial" w:eastAsia="Arial" w:hAnsi="Arial" w:cs="Arial"/>
          <w:b/>
          <w:color w:val="4D6B80"/>
          <w:sz w:val="18"/>
        </w:rPr>
      </w:pPr>
      <w:r>
        <w:rPr>
          <w:rFonts w:ascii="Arial" w:eastAsia="Arial" w:hAnsi="Arial" w:cs="Arial"/>
          <w:sz w:val="18"/>
        </w:rPr>
        <w:t>The application of the Disaster Related Capital Charge has significantly reduced the total amount of assets that Radian Guaranty otherwise would be required t</w:t>
      </w:r>
      <w:r>
        <w:rPr>
          <w:rFonts w:ascii="Arial" w:eastAsia="Arial" w:hAnsi="Arial" w:cs="Arial"/>
          <w:sz w:val="18"/>
        </w:rPr>
        <w:t>o hold against COVID-19 Defaulted Loans under the PMIERs. Nonetheless, even after giving effect to the Disaster Related Capital Charge, since March 31, 2020, the overall volume of new defaults resulting from the pandemic has resulted in an increase in Radi</w:t>
      </w:r>
      <w:r>
        <w:rPr>
          <w:rFonts w:ascii="Arial" w:eastAsia="Arial" w:hAnsi="Arial" w:cs="Arial"/>
          <w:sz w:val="18"/>
        </w:rPr>
        <w:t>an Guaranty’s Minimum Required Assets and negatively impacted Radian Guaranty’s PMIERs Cushion as of June 30, 2021. While we expect Radian Guaranty to continue to maintain its eligibility status with the GSEs, there are possible scenarios in which the numb</w:t>
      </w:r>
      <w:r>
        <w:rPr>
          <w:rFonts w:ascii="Arial" w:eastAsia="Arial" w:hAnsi="Arial" w:cs="Arial"/>
          <w:sz w:val="18"/>
        </w:rPr>
        <w:t>er of new defaults could impact Radian Guaranty’s ability to comply with the PMIERs financial requirements. See “Item 1A. Risk Factors—</w:t>
      </w:r>
      <w:r>
        <w:rPr>
          <w:rFonts w:ascii="Arial" w:eastAsia="Arial" w:hAnsi="Arial" w:cs="Arial"/>
          <w:i/>
          <w:sz w:val="18"/>
        </w:rPr>
        <w:t>Radian Guaranty may fail to maintain its eligibility status with the GSEs, and the additional capital required to support</w:t>
      </w:r>
      <w:r>
        <w:rPr>
          <w:rFonts w:ascii="Arial" w:eastAsia="Arial" w:hAnsi="Arial" w:cs="Arial"/>
          <w:i/>
          <w:sz w:val="18"/>
        </w:rPr>
        <w:t xml:space="preserve"> Radian Guaranty’s eligibility could reduce our available liquidity</w:t>
      </w:r>
      <w:r>
        <w:rPr>
          <w:rFonts w:ascii="Arial" w:eastAsia="Arial" w:hAnsi="Arial" w:cs="Arial"/>
          <w:sz w:val="18"/>
        </w:rPr>
        <w:t xml:space="preserve">” in our 2020 Form 10-K. </w:t>
      </w:r>
    </w:p>
    <w:p w14:paraId="220EEBB9" w14:textId="77777777" w:rsidR="001614AC" w:rsidRDefault="004468F9">
      <w:pPr>
        <w:spacing w:before="100" w:after="100" w:line="288" w:lineRule="auto"/>
        <w:ind w:firstLine="450"/>
        <w:rPr>
          <w:rFonts w:ascii="Arial" w:eastAsia="Arial" w:hAnsi="Arial" w:cs="Arial"/>
          <w:b/>
          <w:color w:val="4D6B80"/>
          <w:sz w:val="18"/>
        </w:rPr>
      </w:pPr>
      <w:r>
        <w:rPr>
          <w:rFonts w:ascii="Arial" w:eastAsia="Arial" w:hAnsi="Arial" w:cs="Arial"/>
          <w:sz w:val="18"/>
        </w:rPr>
        <w:t>As further described in this report, as a result of the COVID-19 pandemic, we have experienced increased financial requirements under the PMIERs, lower Persistency</w:t>
      </w:r>
      <w:r>
        <w:rPr>
          <w:rFonts w:ascii="Arial" w:eastAsia="Arial" w:hAnsi="Arial" w:cs="Arial"/>
          <w:sz w:val="18"/>
        </w:rPr>
        <w:t xml:space="preserve"> Rates due to a low interest rate environment and increased reserves for losses due to higher new defaults. Although we are uncertain of the ultimate magnitude or duration of the business and economic impacts of the COVID-19 pandemic, we expect that certai</w:t>
      </w:r>
      <w:r>
        <w:rPr>
          <w:rFonts w:ascii="Arial" w:eastAsia="Arial" w:hAnsi="Arial" w:cs="Arial"/>
          <w:sz w:val="18"/>
        </w:rPr>
        <w:t>n future developments, such as anticipated increases in our claims paid once current foreclosure moratoriums are lifted, will have an adverse impact on aspects of our business in future periods. See Note 1 of Notes to Unaudited Condensed Consolidated Finan</w:t>
      </w:r>
      <w:r>
        <w:rPr>
          <w:rFonts w:ascii="Arial" w:eastAsia="Arial" w:hAnsi="Arial" w:cs="Arial"/>
          <w:sz w:val="18"/>
        </w:rPr>
        <w:t>cial Statements in this report and “Item 1A. Risk Factors—</w:t>
      </w:r>
      <w:r>
        <w:rPr>
          <w:rFonts w:ascii="Arial" w:eastAsia="Arial" w:hAnsi="Arial" w:cs="Arial"/>
          <w:i/>
          <w:sz w:val="18"/>
        </w:rPr>
        <w:t>The COVID-19 pandemic has adversely impacted us, and its ultimate impact on our business and financial results will depend on future developments, which are highly uncertain and cannot be predicted,</w:t>
      </w:r>
      <w:r>
        <w:rPr>
          <w:rFonts w:ascii="Arial" w:eastAsia="Arial" w:hAnsi="Arial" w:cs="Arial"/>
          <w:i/>
          <w:sz w:val="18"/>
        </w:rPr>
        <w:t xml:space="preserve"> including the scope, severity and duration of the pandemic and actions taken by governmental authorities in response to the pandemic</w:t>
      </w:r>
      <w:r>
        <w:rPr>
          <w:rFonts w:ascii="Arial" w:eastAsia="Arial" w:hAnsi="Arial" w:cs="Arial"/>
          <w:sz w:val="18"/>
        </w:rPr>
        <w:t>” in our 2020 Form 10-K for additional information.</w:t>
      </w:r>
    </w:p>
    <w:p w14:paraId="3175DCEB" w14:textId="77777777" w:rsidR="001614AC" w:rsidRDefault="004468F9">
      <w:pPr>
        <w:keepNext/>
        <w:spacing w:before="180" w:after="140" w:line="288" w:lineRule="auto"/>
        <w:rPr>
          <w:rFonts w:ascii="Arial" w:eastAsia="Arial" w:hAnsi="Arial" w:cs="Arial"/>
          <w:b/>
          <w:color w:val="002B49"/>
          <w:sz w:val="26"/>
        </w:rPr>
      </w:pPr>
      <w:r>
        <w:rPr>
          <w:rFonts w:ascii="Arial" w:eastAsia="Arial" w:hAnsi="Arial" w:cs="Arial"/>
          <w:b/>
          <w:color w:val="002B49"/>
          <w:sz w:val="26"/>
        </w:rPr>
        <w:t xml:space="preserve">Legislative and Regulatory Developments </w:t>
      </w:r>
    </w:p>
    <w:p w14:paraId="11A8EC81" w14:textId="77777777" w:rsidR="001614AC" w:rsidRDefault="004468F9">
      <w:pPr>
        <w:spacing w:before="100" w:after="100" w:line="288" w:lineRule="auto"/>
        <w:ind w:firstLine="450"/>
        <w:rPr>
          <w:rFonts w:ascii="Arial" w:eastAsia="Arial" w:hAnsi="Arial" w:cs="Arial"/>
          <w:b/>
          <w:color w:val="4D6B80"/>
          <w:sz w:val="18"/>
        </w:rPr>
      </w:pPr>
      <w:r>
        <w:rPr>
          <w:rFonts w:ascii="Arial" w:eastAsia="Arial" w:hAnsi="Arial" w:cs="Arial"/>
          <w:sz w:val="18"/>
        </w:rPr>
        <w:t>We are subject to comprehensiv</w:t>
      </w:r>
      <w:r>
        <w:rPr>
          <w:rFonts w:ascii="Arial" w:eastAsia="Arial" w:hAnsi="Arial" w:cs="Arial"/>
          <w:sz w:val="18"/>
        </w:rPr>
        <w:t>e regulation by both federal and state regulatory authorities. For a description of significant state and federal regulations and other requirements of the GSEs that are applicable to our businesses, as well as legislative and regulatory developments affec</w:t>
      </w:r>
      <w:r>
        <w:rPr>
          <w:rFonts w:ascii="Arial" w:eastAsia="Arial" w:hAnsi="Arial" w:cs="Arial"/>
          <w:sz w:val="18"/>
        </w:rPr>
        <w:t>ting the housing finance industry, see “Item 1. Business—Regulation” in our 2020 Form 10-K. Except as discussed below, there were no significant regulatory developments impacting our businesses from those discussed in our 2020 Form 10-K.</w:t>
      </w:r>
    </w:p>
    <w:p w14:paraId="1885CF22" w14:textId="77777777" w:rsidR="001614AC" w:rsidRDefault="004468F9">
      <w:pPr>
        <w:keepNext/>
        <w:spacing w:before="160" w:after="120" w:line="288" w:lineRule="auto"/>
        <w:rPr>
          <w:rFonts w:ascii="Arial" w:eastAsia="Arial" w:hAnsi="Arial" w:cs="Arial"/>
          <w:b/>
          <w:color w:val="4D6B80"/>
          <w:sz w:val="22"/>
          <w:shd w:val="clear" w:color="auto" w:fill="FFFF00"/>
        </w:rPr>
      </w:pPr>
      <w:r>
        <w:rPr>
          <w:rFonts w:ascii="Arial" w:eastAsia="Arial" w:hAnsi="Arial" w:cs="Arial"/>
          <w:b/>
          <w:color w:val="4D6B80"/>
          <w:sz w:val="22"/>
        </w:rPr>
        <w:t>COVID-19 Amendment</w:t>
      </w:r>
      <w:r>
        <w:rPr>
          <w:rFonts w:ascii="Arial" w:eastAsia="Arial" w:hAnsi="Arial" w:cs="Arial"/>
          <w:b/>
          <w:color w:val="4D6B80"/>
          <w:sz w:val="22"/>
        </w:rPr>
        <w:t xml:space="preserve"> to PMIERs </w:t>
      </w:r>
    </w:p>
    <w:p w14:paraId="6067FCA7" w14:textId="77777777" w:rsidR="001614AC" w:rsidRDefault="004468F9">
      <w:pPr>
        <w:spacing w:before="100" w:after="100" w:line="288" w:lineRule="auto"/>
        <w:ind w:firstLine="450"/>
        <w:rPr>
          <w:rFonts w:ascii="Arial" w:eastAsia="Arial" w:hAnsi="Arial" w:cs="Arial"/>
          <w:b/>
          <w:color w:val="4D6B80"/>
          <w:sz w:val="18"/>
        </w:rPr>
      </w:pPr>
      <w:r>
        <w:rPr>
          <w:rFonts w:ascii="Arial" w:eastAsia="Arial" w:hAnsi="Arial" w:cs="Arial"/>
          <w:sz w:val="18"/>
        </w:rPr>
        <w:t>In 2020, in response to the COVID-19 pandemic, the GSEs issued guidelines (“National Emergency Guidelines”) that became effective June 30, 2020 and, among other things, adopted the COVID-19 Amendment to the PMIERs to apply a Disaster Related Ca</w:t>
      </w:r>
      <w:r>
        <w:rPr>
          <w:rFonts w:ascii="Arial" w:eastAsia="Arial" w:hAnsi="Arial" w:cs="Arial"/>
          <w:sz w:val="18"/>
        </w:rPr>
        <w:t xml:space="preserve">pital Charge nationwide to certain non-performing loans that we refer to as COVID-19 Defaulted Loans, which comprise non-performing loans that either: (i) have an Initial Missed Payment (discussed below) occurring during the COVID-19 Crisis Period or (ii) </w:t>
      </w:r>
      <w:r>
        <w:rPr>
          <w:rFonts w:ascii="Arial" w:eastAsia="Arial" w:hAnsi="Arial" w:cs="Arial"/>
          <w:sz w:val="18"/>
        </w:rPr>
        <w:t xml:space="preserve">are subject to a forbearance plan granted in response to a financial hardship related to COVID-19 (which is assumed under the COVID-19 Amendment to be the case for any loan that has an Initial Missed Payment occurring during the COVID-19 Crisis Period and </w:t>
      </w:r>
      <w:r>
        <w:rPr>
          <w:rFonts w:ascii="Arial" w:eastAsia="Arial" w:hAnsi="Arial" w:cs="Arial"/>
          <w:sz w:val="18"/>
        </w:rPr>
        <w:t>is subject to a forbearance plan), the terms of which are materially consistent with the terms of forbearance plans offered by the GSEs. The Disaster Related Capital Charge effectively reduces the Minimum Required Asset factor that applies to COVID-19 Defa</w:t>
      </w:r>
      <w:r>
        <w:rPr>
          <w:rFonts w:ascii="Arial" w:eastAsia="Arial" w:hAnsi="Arial" w:cs="Arial"/>
          <w:sz w:val="18"/>
        </w:rPr>
        <w:t>ulted Loans in recognition of the fact that these loans generally have a higher likelihood of curing. Under the COVID-19 Amendment, the Disaster Related Capital Charge applies for three calendar months beginning with the month the loan becomes non-performi</w:t>
      </w:r>
      <w:r>
        <w:rPr>
          <w:rFonts w:ascii="Arial" w:eastAsia="Arial" w:hAnsi="Arial" w:cs="Arial"/>
          <w:sz w:val="18"/>
        </w:rPr>
        <w:t>ng (i.e., missed two monthly payments), or if greater, the period of time that the loan is subject to a forbearance plan, repayment plan or loan modification trial period granted in response to a financial hardship related to COVID-19.</w:t>
      </w:r>
    </w:p>
    <w:p w14:paraId="10548071" w14:textId="77777777" w:rsidR="001614AC" w:rsidRDefault="004468F9">
      <w:pPr>
        <w:spacing w:before="100" w:after="100" w:line="288" w:lineRule="auto"/>
        <w:ind w:firstLine="450"/>
        <w:rPr>
          <w:rFonts w:ascii="Arial" w:eastAsia="Arial" w:hAnsi="Arial" w:cs="Arial"/>
          <w:b/>
          <w:color w:val="4D6B80"/>
          <w:sz w:val="18"/>
        </w:rPr>
      </w:pPr>
      <w:r>
        <w:rPr>
          <w:rFonts w:ascii="Arial" w:eastAsia="Arial" w:hAnsi="Arial" w:cs="Arial"/>
          <w:sz w:val="18"/>
        </w:rPr>
        <w:t>Under the terms of t</w:t>
      </w:r>
      <w:r>
        <w:rPr>
          <w:rFonts w:ascii="Arial" w:eastAsia="Arial" w:hAnsi="Arial" w:cs="Arial"/>
          <w:sz w:val="18"/>
        </w:rPr>
        <w:t>he COVID-19 Amendment, the COVID-19 Crisis Period ended March 31, 2021. As a result, as of April 1, 2021 the Disaster Related Capital Charge is no longer applied to all new defaults, and instead is applied only to new defaults if they are subject to a COVI</w:t>
      </w:r>
      <w:r>
        <w:rPr>
          <w:rFonts w:ascii="Arial" w:eastAsia="Arial" w:hAnsi="Arial" w:cs="Arial"/>
          <w:sz w:val="18"/>
        </w:rPr>
        <w:t>D-19 forbearance plan, regardless of whether the forbearance plan was entered into before or after the expiration of the COVID-19 Crisis Period. The Disaster Related Capital Charge will continue to be applied to these COVID-19 Defaulted Loans for as long a</w:t>
      </w:r>
      <w:r>
        <w:rPr>
          <w:rFonts w:ascii="Arial" w:eastAsia="Arial" w:hAnsi="Arial" w:cs="Arial"/>
          <w:sz w:val="18"/>
        </w:rPr>
        <w:t>s they remain in the COVID-19 forbearance plan. With respect to defaults that occurred during the COVID-19 Crisis Period, the Disaster Related Capital Charge will continue to apply until: (i) they fail to enter a COVID-19 forbearance program within three c</w:t>
      </w:r>
      <w:r>
        <w:rPr>
          <w:rFonts w:ascii="Arial" w:eastAsia="Arial" w:hAnsi="Arial" w:cs="Arial"/>
          <w:sz w:val="18"/>
        </w:rPr>
        <w:t xml:space="preserve">alendar months beginning with the month the loan becomes non-performing (i.e., missed two monthly payments) or (ii) for defaults subject to a COVID-19 forbearance plan, repayment plan or loan modification trial period, they exit the program, plan or trial </w:t>
      </w:r>
      <w:r>
        <w:rPr>
          <w:rFonts w:ascii="Arial" w:eastAsia="Arial" w:hAnsi="Arial" w:cs="Arial"/>
          <w:sz w:val="18"/>
        </w:rPr>
        <w:t>period without curing the default status. Given the ongoing improvement in new default trends, we do not expect the expiration of the COVID-19 Crisis Period to have a material impact on our business, results of operations or financial condition.</w:t>
      </w:r>
    </w:p>
    <w:p w14:paraId="14D02680" w14:textId="77777777" w:rsidR="001614AC" w:rsidRDefault="004468F9">
      <w:pPr>
        <w:spacing w:before="100" w:after="100" w:line="288" w:lineRule="auto"/>
        <w:ind w:firstLine="450"/>
        <w:rPr>
          <w:rFonts w:ascii="Arial" w:eastAsia="Arial" w:hAnsi="Arial" w:cs="Arial"/>
          <w:b/>
          <w:color w:val="4D6B80"/>
          <w:sz w:val="18"/>
        </w:rPr>
      </w:pPr>
      <w:r>
        <w:rPr>
          <w:rFonts w:ascii="Arial" w:eastAsia="Arial" w:hAnsi="Arial" w:cs="Arial"/>
          <w:sz w:val="18"/>
        </w:rPr>
        <w:t>Further, p</w:t>
      </w:r>
      <w:r>
        <w:rPr>
          <w:rFonts w:ascii="Arial" w:eastAsia="Arial" w:hAnsi="Arial" w:cs="Arial"/>
          <w:sz w:val="18"/>
        </w:rPr>
        <w:t>ursuant to the National Emergency Guidelines, through June 30, 2021, certain capital preservation measures were instituted that required the consent of the GSEs for private mortgage insurers, including Radian Guaranty, to: (i) pay dividends or make payment</w:t>
      </w:r>
      <w:r>
        <w:rPr>
          <w:rFonts w:ascii="Arial" w:eastAsia="Arial" w:hAnsi="Arial" w:cs="Arial"/>
          <w:sz w:val="18"/>
        </w:rPr>
        <w:t xml:space="preserve">s of principal or increase payments of interest beyond those commitments made prior to June 30, 2020 associated with the Surplus Notes; (ii) make any other payments, unless related to expenses incurred in the normal </w:t>
      </w:r>
      <w:r>
        <w:rPr>
          <w:rFonts w:ascii="Arial" w:eastAsia="Arial" w:hAnsi="Arial" w:cs="Arial"/>
          <w:sz w:val="18"/>
        </w:rPr>
        <w:lastRenderedPageBreak/>
        <w:t>course of business or to commitments mad</w:t>
      </w:r>
      <w:r>
        <w:rPr>
          <w:rFonts w:ascii="Arial" w:eastAsia="Arial" w:hAnsi="Arial" w:cs="Arial"/>
          <w:sz w:val="18"/>
        </w:rPr>
        <w:t>e prior to June 30, 2020; (iii) pledge or transfer asset(s) to any affiliate or investor; or (iv) enter into any new arrangements or alter any existing arrangements under tax-sharing and intercompany expense-sharing agreements other than renewals and exten</w:t>
      </w:r>
      <w:r>
        <w:rPr>
          <w:rFonts w:ascii="Arial" w:eastAsia="Arial" w:hAnsi="Arial" w:cs="Arial"/>
          <w:sz w:val="18"/>
        </w:rPr>
        <w:t>sions of agreements in effect prior to June 30, 2020 (collectively, the “Capital Preservation Actions”). Effective July 1, 2021, the National Emergency Guidelines were modified to extend the capital preservation measures through December 31, 2021 and to pr</w:t>
      </w:r>
      <w:r>
        <w:rPr>
          <w:rFonts w:ascii="Arial" w:eastAsia="Arial" w:hAnsi="Arial" w:cs="Arial"/>
          <w:sz w:val="18"/>
        </w:rPr>
        <w:t>ovide an exception that would permit Radian Guaranty and the other private mortgage insurers to pay dividends and take the other Capital Preservation Actions without the GSEs’ prior consent as long as the private mortgage insurer’s PMIERs Cushion remains a</w:t>
      </w:r>
      <w:r>
        <w:rPr>
          <w:rFonts w:ascii="Arial" w:eastAsia="Arial" w:hAnsi="Arial" w:cs="Arial"/>
          <w:sz w:val="18"/>
        </w:rPr>
        <w:t xml:space="preserve">bove an applicable threshold, as further described below. From July 1, 2021 through September 30, 2021, a private mortgage insurer may pay dividends or take the other Capital Preservation Actions without the prior consent of the GSEs as long as its PMIERs </w:t>
      </w:r>
      <w:r>
        <w:rPr>
          <w:rFonts w:ascii="Arial" w:eastAsia="Arial" w:hAnsi="Arial" w:cs="Arial"/>
          <w:sz w:val="18"/>
        </w:rPr>
        <w:t>Cushion is 50% or greater than its Minimum Required Assets and taking such actions would not cause its PMIERs cushion to fall below 50% of its Minimum Required Assets as of the end of the quarter ending September 30, 2021. From October 1, 2021 through Dece</w:t>
      </w:r>
      <w:r>
        <w:rPr>
          <w:rFonts w:ascii="Arial" w:eastAsia="Arial" w:hAnsi="Arial" w:cs="Arial"/>
          <w:sz w:val="18"/>
        </w:rPr>
        <w:t xml:space="preserve">mber 30, 2021, a private mortgage insurer may pay dividends or take the other Capital Preservation Actions without the prior consent of the GSEs as long as its PMIERs Cushion is 15% or greater than its Minimum Required Assets and taking such actions would </w:t>
      </w:r>
      <w:r>
        <w:rPr>
          <w:rFonts w:ascii="Arial" w:eastAsia="Arial" w:hAnsi="Arial" w:cs="Arial"/>
          <w:sz w:val="18"/>
        </w:rPr>
        <w:t>not cause its PMIERs Cushion to fall below 15% of its Minimum Required Assets as of the end of the quarter ending December 31, 2021.</w:t>
      </w:r>
    </w:p>
    <w:p w14:paraId="1061BFDD" w14:textId="77777777" w:rsidR="001614AC" w:rsidRDefault="004468F9">
      <w:pPr>
        <w:spacing w:before="100" w:after="100" w:line="288" w:lineRule="auto"/>
        <w:ind w:firstLine="450"/>
        <w:rPr>
          <w:rFonts w:ascii="Arial" w:eastAsia="Arial" w:hAnsi="Arial" w:cs="Arial"/>
          <w:b/>
          <w:color w:val="4D6B80"/>
          <w:sz w:val="18"/>
        </w:rPr>
      </w:pPr>
      <w:r>
        <w:rPr>
          <w:rFonts w:ascii="Arial" w:eastAsia="Arial" w:hAnsi="Arial" w:cs="Arial"/>
          <w:sz w:val="18"/>
        </w:rPr>
        <w:t>For additional information on the risks associated with the expiration of the COVID-19 Crisis Period and the capital preser</w:t>
      </w:r>
      <w:r>
        <w:rPr>
          <w:rFonts w:ascii="Arial" w:eastAsia="Arial" w:hAnsi="Arial" w:cs="Arial"/>
          <w:sz w:val="18"/>
        </w:rPr>
        <w:t>vation measures, see “Item 1A. Risk Factors—</w:t>
      </w:r>
      <w:r>
        <w:rPr>
          <w:rFonts w:ascii="Arial" w:eastAsia="Arial" w:hAnsi="Arial" w:cs="Arial"/>
          <w:i/>
          <w:sz w:val="18"/>
        </w:rPr>
        <w:t>Radian Guaranty may fail to maintain its eligibility status with the GSEs, and the additional capital required to support Radian Guaranty’s eligibility could reduce our available liquidity</w:t>
      </w:r>
      <w:r>
        <w:rPr>
          <w:rFonts w:ascii="Arial" w:eastAsia="Arial" w:hAnsi="Arial" w:cs="Arial"/>
          <w:sz w:val="18"/>
        </w:rPr>
        <w:t>” and “</w:t>
      </w:r>
      <w:r>
        <w:rPr>
          <w:rFonts w:ascii="Arial" w:eastAsia="Arial" w:hAnsi="Arial" w:cs="Arial"/>
          <w:i/>
          <w:sz w:val="18"/>
        </w:rPr>
        <w:t>Radian Group’s so</w:t>
      </w:r>
      <w:r>
        <w:rPr>
          <w:rFonts w:ascii="Arial" w:eastAsia="Arial" w:hAnsi="Arial" w:cs="Arial"/>
          <w:i/>
          <w:sz w:val="18"/>
        </w:rPr>
        <w:t>urces of liquidity may be insufficient to fund its obligations</w:t>
      </w:r>
      <w:r>
        <w:rPr>
          <w:rFonts w:ascii="Arial" w:eastAsia="Arial" w:hAnsi="Arial" w:cs="Arial"/>
          <w:sz w:val="18"/>
        </w:rPr>
        <w:t>” in our 2020 Form 10-K.</w:t>
      </w:r>
    </w:p>
    <w:p w14:paraId="110A4014" w14:textId="77777777" w:rsidR="001614AC" w:rsidRDefault="004468F9">
      <w:pPr>
        <w:keepNext/>
        <w:spacing w:before="160" w:after="120" w:line="288" w:lineRule="auto"/>
        <w:rPr>
          <w:rFonts w:ascii="Arial" w:eastAsia="Arial" w:hAnsi="Arial" w:cs="Arial"/>
          <w:b/>
          <w:color w:val="4D6B80"/>
          <w:sz w:val="22"/>
          <w:shd w:val="clear" w:color="auto" w:fill="FFFF00"/>
        </w:rPr>
      </w:pPr>
      <w:r>
        <w:rPr>
          <w:rFonts w:ascii="Arial" w:eastAsia="Arial" w:hAnsi="Arial" w:cs="Arial"/>
          <w:b/>
          <w:color w:val="4D6B80"/>
          <w:sz w:val="22"/>
        </w:rPr>
        <w:t>Change in FHFA Leadership</w:t>
      </w:r>
    </w:p>
    <w:p w14:paraId="5148FAFC" w14:textId="77777777" w:rsidR="001614AC" w:rsidRDefault="004468F9">
      <w:pPr>
        <w:spacing w:before="100" w:after="100" w:line="288" w:lineRule="auto"/>
        <w:ind w:firstLine="450"/>
        <w:rPr>
          <w:rFonts w:ascii="Arial" w:eastAsia="Arial" w:hAnsi="Arial" w:cs="Arial"/>
          <w:b/>
          <w:color w:val="4D6B80"/>
          <w:sz w:val="18"/>
        </w:rPr>
      </w:pPr>
      <w:r>
        <w:rPr>
          <w:rFonts w:ascii="Arial" w:eastAsia="Arial" w:hAnsi="Arial" w:cs="Arial"/>
          <w:sz w:val="18"/>
        </w:rPr>
        <w:t>On June 23, 2021, following a U.S. Supreme Court decision that determined that the FHFA director may be removed by the President other than for</w:t>
      </w:r>
      <w:r>
        <w:rPr>
          <w:rFonts w:ascii="Arial" w:eastAsia="Arial" w:hAnsi="Arial" w:cs="Arial"/>
          <w:sz w:val="18"/>
        </w:rPr>
        <w:t xml:space="preserve"> cause, President Biden removed FHFA director Dr. Mark Calabria, who was appointed under the Trump Administration, and appointed Sandra Thompson as acting director of the FHFA. As discussed under “Item 1A. Risk Factors—</w:t>
      </w:r>
      <w:r>
        <w:rPr>
          <w:rFonts w:ascii="Arial" w:eastAsia="Arial" w:hAnsi="Arial" w:cs="Arial"/>
          <w:i/>
          <w:sz w:val="18"/>
        </w:rPr>
        <w:t>Changes in the charters, business pra</w:t>
      </w:r>
      <w:r>
        <w:rPr>
          <w:rFonts w:ascii="Arial" w:eastAsia="Arial" w:hAnsi="Arial" w:cs="Arial"/>
          <w:i/>
          <w:sz w:val="18"/>
        </w:rPr>
        <w:t>ctices, or role of the GSEs in the U.S. housing market generally, could significantly impact our businesses</w:t>
      </w:r>
      <w:r>
        <w:rPr>
          <w:rFonts w:ascii="Arial" w:eastAsia="Arial" w:hAnsi="Arial" w:cs="Arial"/>
          <w:sz w:val="18"/>
        </w:rPr>
        <w:t xml:space="preserve">” in our 2020 Form 10-K, a change in leadership at the FHFA could alter the policy priorities at the FHFA and modify the GSEs’ business practices in </w:t>
      </w:r>
      <w:r>
        <w:rPr>
          <w:rFonts w:ascii="Arial" w:eastAsia="Arial" w:hAnsi="Arial" w:cs="Arial"/>
          <w:sz w:val="18"/>
        </w:rPr>
        <w:t xml:space="preserve">ways that have a significant impact on our businesses. </w:t>
      </w:r>
    </w:p>
    <w:p w14:paraId="77D16677" w14:textId="77777777" w:rsidR="001614AC" w:rsidRDefault="004468F9">
      <w:pPr>
        <w:keepNext/>
        <w:spacing w:before="160" w:after="120" w:line="288" w:lineRule="auto"/>
        <w:rPr>
          <w:rFonts w:ascii="Arial" w:eastAsia="Arial" w:hAnsi="Arial" w:cs="Arial"/>
          <w:b/>
          <w:color w:val="4D6B80"/>
          <w:sz w:val="22"/>
          <w:shd w:val="clear" w:color="auto" w:fill="B6B6B6"/>
        </w:rPr>
      </w:pPr>
      <w:r>
        <w:rPr>
          <w:rFonts w:ascii="Arial" w:eastAsia="Arial" w:hAnsi="Arial" w:cs="Arial"/>
          <w:b/>
          <w:color w:val="4D6B80"/>
          <w:sz w:val="22"/>
        </w:rPr>
        <w:t>Qualified Mortgage (QM) Requirements - Ability to Repay Requirements</w:t>
      </w:r>
    </w:p>
    <w:p w14:paraId="3754EA07" w14:textId="77777777" w:rsidR="001614AC" w:rsidRDefault="004468F9">
      <w:pPr>
        <w:spacing w:before="100" w:after="100" w:line="288" w:lineRule="auto"/>
        <w:ind w:firstLine="450"/>
        <w:rPr>
          <w:rFonts w:ascii="Arial" w:eastAsia="Arial" w:hAnsi="Arial" w:cs="Arial"/>
          <w:b/>
          <w:color w:val="4D6B80"/>
          <w:sz w:val="18"/>
        </w:rPr>
      </w:pPr>
      <w:r>
        <w:rPr>
          <w:rFonts w:ascii="Arial" w:eastAsia="Arial" w:hAnsi="Arial" w:cs="Arial"/>
          <w:sz w:val="18"/>
        </w:rPr>
        <w:t xml:space="preserve">Under the Dodd-Frank Act, mortgage lenders must make a reasonable and good faith determination that, at the time the loan is </w:t>
      </w:r>
      <w:r>
        <w:rPr>
          <w:rFonts w:ascii="Arial" w:eastAsia="Arial" w:hAnsi="Arial" w:cs="Arial"/>
          <w:sz w:val="18"/>
        </w:rPr>
        <w:t>consummated, the consumer has a reasonable ability to repay the loan (the “Ability to Repay Rule”). The Dodd-Frank Act provides that a creditor may presume that a borrower will be able to repay a loan if the loan has certain low-risk characteristics that m</w:t>
      </w:r>
      <w:r>
        <w:rPr>
          <w:rFonts w:ascii="Arial" w:eastAsia="Arial" w:hAnsi="Arial" w:cs="Arial"/>
          <w:sz w:val="18"/>
        </w:rPr>
        <w:t>eet the definition of a qualified mortgage, or QM (the “QM Rule”). This QM presumption is generally rebuttable; however, loans that are deemed to have the lowest risk profiles are granted a safe harbor from liability (“QM Safe Harbor”) related to the borro</w:t>
      </w:r>
      <w:r>
        <w:rPr>
          <w:rFonts w:ascii="Arial" w:eastAsia="Arial" w:hAnsi="Arial" w:cs="Arial"/>
          <w:sz w:val="18"/>
        </w:rPr>
        <w:t>wer’s ability to repay the loan. In implementing the QM Rule, the Consumer Financial Protection Bureau (“CFPB”) established rigorous underwriting and product feature requirements for loans to be deemed QMs (“Original QM Definition”), including that the bor</w:t>
      </w:r>
      <w:r>
        <w:rPr>
          <w:rFonts w:ascii="Arial" w:eastAsia="Arial" w:hAnsi="Arial" w:cs="Arial"/>
          <w:sz w:val="18"/>
        </w:rPr>
        <w:t>rower does not exceed a 43% debt-to-income ratio after giving effect to the loan. As part of the Original QM Definition, the CFPB also created a special exemption for the GSEs, which is generally referred to as the “QM Patch,” that allows any loan that mee</w:t>
      </w:r>
      <w:r>
        <w:rPr>
          <w:rFonts w:ascii="Arial" w:eastAsia="Arial" w:hAnsi="Arial" w:cs="Arial"/>
          <w:sz w:val="18"/>
        </w:rPr>
        <w:t xml:space="preserve">ts the GSE underwriting and product feature requirements to be deemed to be a QM, regardless of whether the loan exceeds the 43% debt-to-income ratio. The QM Patch expired on July 1, 2021. </w:t>
      </w:r>
    </w:p>
    <w:p w14:paraId="4FA2DFB1" w14:textId="77777777" w:rsidR="001614AC" w:rsidRDefault="004468F9">
      <w:pPr>
        <w:spacing w:before="100" w:after="100" w:line="288" w:lineRule="auto"/>
        <w:ind w:firstLine="450"/>
        <w:rPr>
          <w:rFonts w:ascii="Arial" w:eastAsia="Arial" w:hAnsi="Arial" w:cs="Arial"/>
          <w:b/>
          <w:color w:val="4D6B80"/>
          <w:sz w:val="18"/>
        </w:rPr>
      </w:pPr>
      <w:r>
        <w:rPr>
          <w:rFonts w:ascii="Arial" w:eastAsia="Arial" w:hAnsi="Arial" w:cs="Arial"/>
          <w:sz w:val="18"/>
        </w:rPr>
        <w:t>In December 2020, the CFPB finalized two new definitions of QM. On</w:t>
      </w:r>
      <w:r>
        <w:rPr>
          <w:rFonts w:ascii="Arial" w:eastAsia="Arial" w:hAnsi="Arial" w:cs="Arial"/>
          <w:sz w:val="18"/>
        </w:rPr>
        <w:t>e of these new QM definitions (the “New General QM Definition”) is intended to replace the underwriting focused approach of the Original QM Definition, including the 43% debt-to-income ratio limitation, with a new pricing-based approach to QM. Under the Ne</w:t>
      </w:r>
      <w:r>
        <w:rPr>
          <w:rFonts w:ascii="Arial" w:eastAsia="Arial" w:hAnsi="Arial" w:cs="Arial"/>
          <w:sz w:val="18"/>
        </w:rPr>
        <w:t>w General QM Definition, certain underwriting considerations are retained, but QM status generally is achieved if the loan is priced at no greater than 2.25% above the Average Prime Offer Rate (“APOR”). Loans priced at or less than 1.5% above APOR are subj</w:t>
      </w:r>
      <w:r>
        <w:rPr>
          <w:rFonts w:ascii="Arial" w:eastAsia="Arial" w:hAnsi="Arial" w:cs="Arial"/>
          <w:sz w:val="18"/>
        </w:rPr>
        <w:t>ect to the QM Safe Harbor, while all other QM loans would receive the general rebuttable presumption that the loans met the ability to repay standard. Separately, the CFPB created another new QM definition (“Seasoned QM”) for first-lien, fixed-rate loans t</w:t>
      </w:r>
      <w:r>
        <w:rPr>
          <w:rFonts w:ascii="Arial" w:eastAsia="Arial" w:hAnsi="Arial" w:cs="Arial"/>
          <w:sz w:val="18"/>
        </w:rPr>
        <w:t>hat meet certain performance requirements over a 36-month seasoning period and are held in the lender’s portfolio until the end of the seasoning period. Both new QM definitions became effective on March 1, 2021. The New General QM Definition originally had</w:t>
      </w:r>
      <w:r>
        <w:rPr>
          <w:rFonts w:ascii="Arial" w:eastAsia="Arial" w:hAnsi="Arial" w:cs="Arial"/>
          <w:sz w:val="18"/>
        </w:rPr>
        <w:t xml:space="preserve"> a mandatory compliance date of July 1, 2021, after which the Original QM Definition and QM Patch would no longer apply. The CFPB recently issued a rule delaying the mandatory compliance deadline for the New General QM Definition until October 1, 2022, the</w:t>
      </w:r>
      <w:r>
        <w:rPr>
          <w:rFonts w:ascii="Arial" w:eastAsia="Arial" w:hAnsi="Arial" w:cs="Arial"/>
          <w:sz w:val="18"/>
        </w:rPr>
        <w:t>reby preserving the Original QM Definition and QM Patch until such date.</w:t>
      </w:r>
    </w:p>
    <w:p w14:paraId="366C5847" w14:textId="77777777" w:rsidR="001614AC" w:rsidRDefault="004468F9">
      <w:pPr>
        <w:spacing w:before="100" w:after="100" w:line="288" w:lineRule="auto"/>
        <w:ind w:firstLine="450"/>
        <w:rPr>
          <w:rFonts w:ascii="Arial" w:eastAsia="Arial" w:hAnsi="Arial" w:cs="Arial"/>
          <w:b/>
          <w:color w:val="4D6B80"/>
          <w:sz w:val="18"/>
        </w:rPr>
      </w:pPr>
      <w:r>
        <w:rPr>
          <w:rFonts w:ascii="Arial" w:eastAsia="Arial" w:hAnsi="Arial" w:cs="Arial"/>
          <w:sz w:val="18"/>
        </w:rPr>
        <w:t>On April 8, 2021, the GSEs announced that for loan applications received on or after July 1, 2021 they will only purchase loans satisfying the New General QM Definition. As a result, even though the CFPB has delayed the mandatory compliance date for the Ne</w:t>
      </w:r>
      <w:r>
        <w:rPr>
          <w:rFonts w:ascii="Arial" w:eastAsia="Arial" w:hAnsi="Arial" w:cs="Arial"/>
          <w:sz w:val="18"/>
        </w:rPr>
        <w:t>w General QM Definition until October 1, 2022, for GSE-acquired loans with applications received on or after July 1, 2021, the QM Patch effectively will be limited to loans that satisfy the New General QM Definition. We expect that this decision by the GSE</w:t>
      </w:r>
      <w:r>
        <w:rPr>
          <w:rFonts w:ascii="Arial" w:eastAsia="Arial" w:hAnsi="Arial" w:cs="Arial"/>
          <w:sz w:val="18"/>
        </w:rPr>
        <w:t>s will reduce the number of loans that otherwise would be designated QM compared to those receiving QM designation under the QM Patch, although not materially. For more information regarding the CFPB’s proposed New General QM Definition and the risks it ma</w:t>
      </w:r>
      <w:r>
        <w:rPr>
          <w:rFonts w:ascii="Arial" w:eastAsia="Arial" w:hAnsi="Arial" w:cs="Arial"/>
          <w:sz w:val="18"/>
        </w:rPr>
        <w:t>y present for us, see “Item 1A. Risk Factors—</w:t>
      </w:r>
      <w:r>
        <w:rPr>
          <w:rFonts w:ascii="Arial" w:eastAsia="Arial" w:hAnsi="Arial" w:cs="Arial"/>
          <w:i/>
          <w:sz w:val="18"/>
        </w:rPr>
        <w:t xml:space="preserve">A decrease in the volume of mortgage </w:t>
      </w:r>
      <w:r>
        <w:rPr>
          <w:rFonts w:ascii="Arial" w:eastAsia="Arial" w:hAnsi="Arial" w:cs="Arial"/>
          <w:i/>
          <w:sz w:val="18"/>
        </w:rPr>
        <w:lastRenderedPageBreak/>
        <w:t>originations could result in fewer opportunities for us to write new mortgage insurance business and conduct our Real Estate business</w:t>
      </w:r>
      <w:r>
        <w:rPr>
          <w:rFonts w:ascii="Arial" w:eastAsia="Arial" w:hAnsi="Arial" w:cs="Arial"/>
          <w:sz w:val="18"/>
        </w:rPr>
        <w:t>” in our 2020 Form 10-K.</w:t>
      </w:r>
    </w:p>
    <w:p w14:paraId="75836080" w14:textId="77777777" w:rsidR="001614AC" w:rsidRDefault="004468F9">
      <w:pPr>
        <w:keepNext/>
        <w:spacing w:before="180" w:after="140" w:line="288" w:lineRule="auto"/>
        <w:rPr>
          <w:rFonts w:ascii="Arial" w:eastAsia="Arial" w:hAnsi="Arial" w:cs="Arial"/>
          <w:b/>
          <w:color w:val="002B49"/>
          <w:sz w:val="26"/>
        </w:rPr>
      </w:pPr>
      <w:r>
        <w:rPr>
          <w:rFonts w:ascii="Arial" w:eastAsia="Arial" w:hAnsi="Arial" w:cs="Arial"/>
          <w:b/>
          <w:color w:val="002B49"/>
          <w:sz w:val="26"/>
        </w:rPr>
        <w:t>Recent Company D</w:t>
      </w:r>
      <w:r>
        <w:rPr>
          <w:rFonts w:ascii="Arial" w:eastAsia="Arial" w:hAnsi="Arial" w:cs="Arial"/>
          <w:b/>
          <w:color w:val="002B49"/>
          <w:sz w:val="26"/>
        </w:rPr>
        <w:t>evelopments</w:t>
      </w:r>
    </w:p>
    <w:p w14:paraId="4C19FDFE" w14:textId="77777777" w:rsidR="001614AC" w:rsidRDefault="004468F9">
      <w:pPr>
        <w:spacing w:before="100" w:after="100" w:line="288" w:lineRule="auto"/>
        <w:ind w:firstLine="450"/>
        <w:rPr>
          <w:rFonts w:ascii="Arial" w:eastAsia="Arial" w:hAnsi="Arial" w:cs="Arial"/>
          <w:b/>
          <w:color w:val="4D6B80"/>
          <w:sz w:val="18"/>
        </w:rPr>
      </w:pPr>
      <w:r>
        <w:rPr>
          <w:rFonts w:ascii="Arial" w:eastAsia="Arial" w:hAnsi="Arial" w:cs="Arial"/>
          <w:sz w:val="18"/>
        </w:rPr>
        <w:t>During the second quarter of 2021, we introduced “homegenius” as the new name for our former Real Estate segment. We renamed the segment “homegenius” to align with updates to our branding strategy for the segment’s products and services. Our ho</w:t>
      </w:r>
      <w:r>
        <w:rPr>
          <w:rFonts w:ascii="Arial" w:eastAsia="Arial" w:hAnsi="Arial" w:cs="Arial"/>
          <w:sz w:val="18"/>
        </w:rPr>
        <w:t>megenius business segment encompasses a suite of existing and emerging digital products and services that leverage big data and analytics and are powered by advanced technology to serve real estate agents, lenders, investors and consumers across the real e</w:t>
      </w:r>
      <w:r>
        <w:rPr>
          <w:rFonts w:ascii="Arial" w:eastAsia="Arial" w:hAnsi="Arial" w:cs="Arial"/>
          <w:sz w:val="18"/>
        </w:rPr>
        <w:t>state ecosystem. We expect the homegenius segment to contribute to the future growth and results of operations of the Company.</w:t>
      </w:r>
    </w:p>
    <w:p w14:paraId="1C31DDE8" w14:textId="77777777" w:rsidR="001614AC" w:rsidRDefault="004468F9">
      <w:pPr>
        <w:spacing w:before="100" w:line="288" w:lineRule="auto"/>
        <w:ind w:firstLine="450"/>
        <w:rPr>
          <w:rFonts w:ascii="Arial" w:eastAsia="Arial" w:hAnsi="Arial" w:cs="Arial"/>
          <w:b/>
          <w:color w:val="4D6B80"/>
          <w:sz w:val="18"/>
        </w:rPr>
      </w:pPr>
      <w:r>
        <w:rPr>
          <w:rFonts w:ascii="Arial" w:eastAsia="Arial" w:hAnsi="Arial" w:cs="Arial"/>
          <w:sz w:val="18"/>
        </w:rPr>
        <w:t>During the second quarter of 2021, in response to the COVID-19 pandemic and Radian’s successful transition to a virtual work envi</w:t>
      </w:r>
      <w:r>
        <w:rPr>
          <w:rFonts w:ascii="Arial" w:eastAsia="Arial" w:hAnsi="Arial" w:cs="Arial"/>
          <w:sz w:val="18"/>
        </w:rPr>
        <w:t xml:space="preserve">ronment, we made the decision to exit, and to actively market for sublease, all office space in our current corporate headquarters. As part of this change, we also entered into a new lease with reduced square footage at another Philadelphia area location, </w:t>
      </w:r>
      <w:r>
        <w:rPr>
          <w:rFonts w:ascii="Arial" w:eastAsia="Arial" w:hAnsi="Arial" w:cs="Arial"/>
          <w:sz w:val="18"/>
        </w:rPr>
        <w:t>which will offer flexible, virtual and hybrid work arrangements to our employees and upon opening we intend to designate as our new corporate headquarters location. See Note 9 of Notes to Unaudited Condensed Consolidated Financial Statements for additional</w:t>
      </w:r>
      <w:r>
        <w:rPr>
          <w:rFonts w:ascii="Arial" w:eastAsia="Arial" w:hAnsi="Arial" w:cs="Arial"/>
          <w:sz w:val="18"/>
        </w:rPr>
        <w:t xml:space="preserve"> information, including details on related impairments.</w:t>
      </w:r>
    </w:p>
    <w:p w14:paraId="401ABE96" w14:textId="77777777" w:rsidR="001614AC" w:rsidRDefault="001614AC">
      <w:pPr>
        <w:spacing w:before="100" w:line="288" w:lineRule="auto"/>
        <w:ind w:firstLine="450"/>
        <w:rPr>
          <w:rFonts w:ascii="Arial" w:eastAsia="Arial" w:hAnsi="Arial" w:cs="Arial"/>
          <w:b/>
          <w:color w:val="4D6B80"/>
          <w:sz w:val="30"/>
        </w:rPr>
        <w:sectPr w:rsidR="001614AC">
          <w:headerReference w:type="default" r:id="rId43"/>
          <w:type w:val="continuous"/>
          <w:pgSz w:w="12240" w:h="15840"/>
          <w:pgMar w:top="1260" w:right="1080" w:bottom="1080" w:left="1080" w:header="270" w:footer="270" w:gutter="0"/>
          <w:cols w:space="708"/>
        </w:sectPr>
      </w:pPr>
    </w:p>
    <w:p w14:paraId="5D0E47E6" w14:textId="77777777" w:rsidR="001614AC" w:rsidRDefault="004468F9">
      <w:pPr>
        <w:keepNext/>
        <w:spacing w:before="200" w:after="160" w:line="288" w:lineRule="auto"/>
        <w:ind w:left="360" w:hanging="360"/>
        <w:rPr>
          <w:rFonts w:ascii="Arial" w:eastAsia="Arial" w:hAnsi="Arial" w:cs="Arial"/>
          <w:b/>
          <w:color w:val="4D6B80"/>
          <w:sz w:val="30"/>
        </w:rPr>
      </w:pPr>
      <w:bookmarkStart w:id="30" w:name="Section31"/>
      <w:bookmarkEnd w:id="30"/>
      <w:r>
        <w:rPr>
          <w:rFonts w:ascii="Arial" w:eastAsia="Arial" w:hAnsi="Arial" w:cs="Arial"/>
          <w:b/>
          <w:color w:val="4D6B80"/>
          <w:sz w:val="30"/>
        </w:rPr>
        <w:t>Key Factors Affecting Our Results</w:t>
      </w:r>
    </w:p>
    <w:p w14:paraId="07E9205E" w14:textId="77777777" w:rsidR="001614AC" w:rsidRDefault="004468F9">
      <w:pPr>
        <w:spacing w:before="100" w:line="288" w:lineRule="auto"/>
        <w:ind w:firstLine="450"/>
        <w:rPr>
          <w:rFonts w:ascii="Arial" w:eastAsia="Arial" w:hAnsi="Arial" w:cs="Arial"/>
          <w:b/>
          <w:color w:val="4D6B80"/>
          <w:sz w:val="18"/>
        </w:rPr>
      </w:pPr>
      <w:r>
        <w:rPr>
          <w:rFonts w:ascii="Arial" w:eastAsia="Arial" w:hAnsi="Arial" w:cs="Arial"/>
          <w:sz w:val="18"/>
        </w:rPr>
        <w:t>The key factors affecting our results are discussed in our 2020 Form 10-K. There have been no material changes to these key factors.</w:t>
      </w:r>
    </w:p>
    <w:p w14:paraId="158B7983" w14:textId="77777777" w:rsidR="001614AC" w:rsidRDefault="001614AC">
      <w:pPr>
        <w:spacing w:before="100" w:line="288" w:lineRule="auto"/>
        <w:ind w:firstLine="450"/>
        <w:rPr>
          <w:rFonts w:ascii="Arial" w:eastAsia="Arial" w:hAnsi="Arial" w:cs="Arial"/>
          <w:b/>
          <w:color w:val="4D6B80"/>
          <w:sz w:val="30"/>
        </w:rPr>
        <w:sectPr w:rsidR="001614AC">
          <w:headerReference w:type="default" r:id="rId44"/>
          <w:type w:val="continuous"/>
          <w:pgSz w:w="12240" w:h="15840"/>
          <w:pgMar w:top="1260" w:right="1080" w:bottom="1080" w:left="1080" w:header="270" w:footer="270" w:gutter="0"/>
          <w:cols w:space="708"/>
        </w:sectPr>
      </w:pPr>
    </w:p>
    <w:p w14:paraId="22C15562" w14:textId="77777777" w:rsidR="001614AC" w:rsidRDefault="004468F9">
      <w:pPr>
        <w:keepNext/>
        <w:spacing w:before="200" w:after="160" w:line="288" w:lineRule="auto"/>
        <w:ind w:left="360" w:hanging="360"/>
        <w:rPr>
          <w:rFonts w:ascii="Arial" w:eastAsia="Arial" w:hAnsi="Arial" w:cs="Arial"/>
          <w:b/>
          <w:color w:val="4D6B80"/>
          <w:sz w:val="30"/>
        </w:rPr>
      </w:pPr>
      <w:bookmarkStart w:id="31" w:name="Section32"/>
      <w:bookmarkEnd w:id="31"/>
      <w:r>
        <w:rPr>
          <w:rFonts w:ascii="Arial" w:eastAsia="Arial" w:hAnsi="Arial" w:cs="Arial"/>
          <w:b/>
          <w:color w:val="4D6B80"/>
          <w:sz w:val="30"/>
        </w:rPr>
        <w:t>Mortgage Insurance Portfolio</w:t>
      </w:r>
    </w:p>
    <w:tbl>
      <w:tblPr>
        <w:tblW w:w="102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82"/>
      </w:tblGrid>
      <w:tr w:rsidR="001614AC" w14:paraId="767DB6B5" w14:textId="77777777">
        <w:trPr>
          <w:cantSplit/>
          <w:trHeight w:hRule="exact" w:val="345"/>
        </w:trPr>
        <w:tc>
          <w:tcPr>
            <w:tcW w:w="10080" w:type="dxa"/>
            <w:tcBorders>
              <w:top w:val="nil"/>
              <w:left w:val="nil"/>
              <w:bottom w:val="single" w:sz="12" w:space="0" w:color="99AAB6"/>
              <w:right w:val="nil"/>
            </w:tcBorders>
            <w:tcMar>
              <w:top w:w="0" w:type="dxa"/>
              <w:left w:w="53" w:type="dxa"/>
              <w:bottom w:w="0" w:type="dxa"/>
              <w:right w:w="53" w:type="dxa"/>
            </w:tcMar>
            <w:vAlign w:val="bottom"/>
          </w:tcPr>
          <w:p w14:paraId="6DF54C51" w14:textId="77777777" w:rsidR="001614AC" w:rsidRDefault="004468F9">
            <w:pPr>
              <w:spacing w:before="75" w:after="30" w:line="288" w:lineRule="auto"/>
              <w:rPr>
                <w:rFonts w:ascii="Arial" w:eastAsia="Arial" w:hAnsi="Arial" w:cs="Arial"/>
                <w:b/>
                <w:sz w:val="20"/>
              </w:rPr>
            </w:pPr>
            <w:r>
              <w:rPr>
                <w:rFonts w:ascii="Arial" w:eastAsia="Arial" w:hAnsi="Arial" w:cs="Arial"/>
                <w:b/>
                <w:sz w:val="20"/>
              </w:rPr>
              <w:t xml:space="preserve">IIF by origination vintage </w:t>
            </w:r>
            <w:r>
              <w:rPr>
                <w:rFonts w:ascii="Arial" w:eastAsia="Arial" w:hAnsi="Arial" w:cs="Arial"/>
                <w:b/>
                <w:sz w:val="20"/>
                <w:vertAlign w:val="superscript"/>
              </w:rPr>
              <w:t>(1)</w:t>
            </w:r>
          </w:p>
        </w:tc>
      </w:tr>
    </w:tbl>
    <w:p w14:paraId="4FD7448D" w14:textId="77777777" w:rsidR="001614AC" w:rsidRDefault="004468F9">
      <w:pPr>
        <w:keepNext/>
        <w:spacing w:line="288" w:lineRule="auto"/>
        <w:rPr>
          <w:rFonts w:ascii="Arial" w:eastAsia="Arial" w:hAnsi="Arial" w:cs="Arial"/>
          <w:b/>
          <w:color w:val="4D6B80"/>
          <w:sz w:val="18"/>
        </w:rPr>
      </w:pPr>
      <w:r>
        <w:rPr>
          <w:rFonts w:ascii="Arial" w:eastAsia="Arial" w:hAnsi="Arial" w:cs="Arial"/>
          <w:b/>
          <w:noProof/>
          <w:color w:val="4D6B80"/>
          <w:sz w:val="18"/>
        </w:rPr>
        <w:drawing>
          <wp:inline distT="0" distB="0" distL="0" distR="0" wp14:anchorId="6703416D" wp14:editId="02F1D01D">
            <wp:extent cx="3000375" cy="2381250"/>
            <wp:effectExtent l="0" t="0" r="0" b="0"/>
            <wp:docPr id="100002" name="Picture 100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2" name=""/>
                    <pic:cNvPicPr>
                      <a:picLocks noChangeAspect="1"/>
                    </pic:cNvPicPr>
                  </pic:nvPicPr>
                  <pic:blipFill>
                    <a:blip r:embed="rId45"/>
                    <a:stretch>
                      <a:fillRect/>
                    </a:stretch>
                  </pic:blipFill>
                  <pic:spPr>
                    <a:xfrm>
                      <a:off x="0" y="0"/>
                      <a:ext cx="3000375" cy="2381250"/>
                    </a:xfrm>
                    <a:prstGeom prst="rect">
                      <a:avLst/>
                    </a:prstGeom>
                  </pic:spPr>
                </pic:pic>
              </a:graphicData>
            </a:graphic>
          </wp:inline>
        </w:drawing>
      </w:r>
    </w:p>
    <w:tbl>
      <w:tblPr>
        <w:tblW w:w="5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
        <w:gridCol w:w="1147"/>
        <w:gridCol w:w="613"/>
        <w:gridCol w:w="553"/>
        <w:gridCol w:w="158"/>
        <w:gridCol w:w="640"/>
        <w:gridCol w:w="553"/>
        <w:gridCol w:w="158"/>
        <w:gridCol w:w="613"/>
        <w:gridCol w:w="553"/>
        <w:gridCol w:w="158"/>
      </w:tblGrid>
      <w:tr w:rsidR="001614AC" w14:paraId="64B1CF64" w14:textId="77777777">
        <w:trPr>
          <w:cantSplit/>
          <w:trHeight w:hRule="exact" w:val="240"/>
        </w:trPr>
        <w:tc>
          <w:tcPr>
            <w:tcW w:w="255" w:type="dxa"/>
            <w:tcBorders>
              <w:top w:val="nil"/>
              <w:left w:val="nil"/>
              <w:bottom w:val="nil"/>
              <w:right w:val="nil"/>
            </w:tcBorders>
            <w:tcMar>
              <w:top w:w="0" w:type="dxa"/>
              <w:left w:w="0" w:type="dxa"/>
              <w:bottom w:w="0" w:type="dxa"/>
              <w:right w:w="0" w:type="dxa"/>
            </w:tcMar>
            <w:vAlign w:val="bottom"/>
          </w:tcPr>
          <w:p w14:paraId="106DA660" w14:textId="77777777" w:rsidR="001614AC" w:rsidRDefault="001614AC">
            <w:pPr>
              <w:keepNext/>
            </w:pPr>
          </w:p>
        </w:tc>
        <w:tc>
          <w:tcPr>
            <w:tcW w:w="1215" w:type="dxa"/>
            <w:tcBorders>
              <w:top w:val="nil"/>
              <w:left w:val="nil"/>
              <w:bottom w:val="nil"/>
              <w:right w:val="nil"/>
            </w:tcBorders>
            <w:tcMar>
              <w:top w:w="0" w:type="dxa"/>
              <w:left w:w="0" w:type="dxa"/>
              <w:bottom w:w="0" w:type="dxa"/>
              <w:right w:w="0" w:type="dxa"/>
            </w:tcMar>
            <w:vAlign w:val="bottom"/>
          </w:tcPr>
          <w:p w14:paraId="5994597C" w14:textId="77777777" w:rsidR="001614AC" w:rsidRDefault="001614AC">
            <w:pPr>
              <w:keepNext/>
            </w:pPr>
          </w:p>
        </w:tc>
        <w:tc>
          <w:tcPr>
            <w:tcW w:w="3855" w:type="dxa"/>
            <w:gridSpan w:val="9"/>
            <w:tcBorders>
              <w:top w:val="nil"/>
              <w:left w:val="nil"/>
              <w:bottom w:val="nil"/>
              <w:right w:val="single" w:sz="8" w:space="0" w:color="FFFFFF"/>
            </w:tcBorders>
            <w:tcMar>
              <w:top w:w="0" w:type="dxa"/>
              <w:left w:w="53" w:type="dxa"/>
              <w:bottom w:w="0" w:type="dxa"/>
              <w:right w:w="53" w:type="dxa"/>
            </w:tcMar>
          </w:tcPr>
          <w:p w14:paraId="2B39D51F" w14:textId="77777777" w:rsidR="001614AC" w:rsidRDefault="004468F9">
            <w:pPr>
              <w:keepNext/>
              <w:spacing w:before="75" w:after="30" w:line="288" w:lineRule="auto"/>
              <w:jc w:val="center"/>
            </w:pPr>
            <w:r>
              <w:rPr>
                <w:rFonts w:ascii="Arial" w:eastAsia="Arial" w:hAnsi="Arial" w:cs="Arial"/>
                <w:b/>
                <w:color w:val="000000"/>
                <w:sz w:val="16"/>
              </w:rPr>
              <w:t>Insurance in Force as of:</w:t>
            </w:r>
          </w:p>
        </w:tc>
      </w:tr>
      <w:tr w:rsidR="001614AC" w14:paraId="5507F3B0" w14:textId="77777777">
        <w:trPr>
          <w:cantSplit/>
          <w:trHeight w:hRule="exact" w:val="495"/>
        </w:trPr>
        <w:tc>
          <w:tcPr>
            <w:tcW w:w="255" w:type="dxa"/>
            <w:tcBorders>
              <w:top w:val="nil"/>
              <w:left w:val="nil"/>
              <w:bottom w:val="nil"/>
              <w:right w:val="nil"/>
            </w:tcBorders>
            <w:tcMar>
              <w:top w:w="0" w:type="dxa"/>
              <w:left w:w="0" w:type="dxa"/>
              <w:bottom w:w="0" w:type="dxa"/>
              <w:right w:w="0" w:type="dxa"/>
            </w:tcMar>
            <w:vAlign w:val="bottom"/>
          </w:tcPr>
          <w:p w14:paraId="146E13F6" w14:textId="77777777" w:rsidR="001614AC" w:rsidRDefault="001614AC">
            <w:pPr>
              <w:keepNext/>
            </w:pPr>
          </w:p>
        </w:tc>
        <w:tc>
          <w:tcPr>
            <w:tcW w:w="1215" w:type="dxa"/>
            <w:tcBorders>
              <w:top w:val="nil"/>
              <w:left w:val="nil"/>
              <w:bottom w:val="single" w:sz="8" w:space="0" w:color="C7C9C7"/>
              <w:right w:val="nil"/>
            </w:tcBorders>
            <w:tcMar>
              <w:top w:w="0" w:type="dxa"/>
              <w:left w:w="53" w:type="dxa"/>
              <w:bottom w:w="0" w:type="dxa"/>
              <w:right w:w="53" w:type="dxa"/>
            </w:tcMar>
            <w:vAlign w:val="bottom"/>
          </w:tcPr>
          <w:p w14:paraId="5E0075AB" w14:textId="77777777" w:rsidR="001614AC" w:rsidRDefault="004468F9">
            <w:pPr>
              <w:keepNext/>
              <w:spacing w:before="75" w:line="288" w:lineRule="auto"/>
            </w:pPr>
            <w:r>
              <w:rPr>
                <w:rFonts w:ascii="Arial" w:eastAsia="Arial" w:hAnsi="Arial" w:cs="Arial"/>
                <w:color w:val="8B8886"/>
                <w:sz w:val="14"/>
              </w:rPr>
              <w:t>Vintage written in:</w:t>
            </w:r>
          </w:p>
          <w:p w14:paraId="52AF0EE4" w14:textId="77777777" w:rsidR="001614AC" w:rsidRDefault="004468F9">
            <w:pPr>
              <w:spacing w:after="30" w:line="288" w:lineRule="auto"/>
            </w:pPr>
            <w:r>
              <w:rPr>
                <w:rFonts w:ascii="Arial" w:eastAsia="Arial" w:hAnsi="Arial" w:cs="Arial"/>
                <w:color w:val="8B8886"/>
                <w:sz w:val="14"/>
              </w:rPr>
              <w:t>($ in billions)</w:t>
            </w:r>
          </w:p>
        </w:tc>
        <w:tc>
          <w:tcPr>
            <w:tcW w:w="1275" w:type="dxa"/>
            <w:gridSpan w:val="3"/>
            <w:tcBorders>
              <w:top w:val="nil"/>
              <w:left w:val="nil"/>
              <w:bottom w:val="single" w:sz="8" w:space="0" w:color="C7C9C7"/>
              <w:right w:val="nil"/>
            </w:tcBorders>
            <w:shd w:val="clear" w:color="auto" w:fill="F4F4F4"/>
            <w:tcMar>
              <w:top w:w="0" w:type="dxa"/>
              <w:left w:w="53" w:type="dxa"/>
              <w:bottom w:w="0" w:type="dxa"/>
              <w:right w:w="53" w:type="dxa"/>
            </w:tcMar>
            <w:vAlign w:val="center"/>
          </w:tcPr>
          <w:p w14:paraId="20DB1EA4" w14:textId="77777777" w:rsidR="001614AC" w:rsidRDefault="004468F9">
            <w:pPr>
              <w:keepNext/>
              <w:spacing w:line="288" w:lineRule="auto"/>
              <w:jc w:val="center"/>
            </w:pPr>
            <w:r>
              <w:rPr>
                <w:rFonts w:ascii="Arial" w:eastAsia="Arial" w:hAnsi="Arial" w:cs="Arial"/>
                <w:b/>
                <w:color w:val="000000"/>
                <w:sz w:val="18"/>
              </w:rPr>
              <w:t>June 30,</w:t>
            </w:r>
            <w:r>
              <w:br/>
            </w:r>
            <w:r>
              <w:rPr>
                <w:rFonts w:ascii="Arial" w:eastAsia="Arial" w:hAnsi="Arial" w:cs="Arial"/>
                <w:b/>
                <w:color w:val="000000"/>
                <w:sz w:val="18"/>
              </w:rPr>
              <w:t>2021</w:t>
            </w:r>
          </w:p>
        </w:tc>
        <w:tc>
          <w:tcPr>
            <w:tcW w:w="1305" w:type="dxa"/>
            <w:gridSpan w:val="3"/>
            <w:tcBorders>
              <w:top w:val="nil"/>
              <w:left w:val="single" w:sz="8" w:space="0" w:color="FFFFFF"/>
              <w:bottom w:val="single" w:sz="8" w:space="0" w:color="C7C9C7"/>
              <w:right w:val="nil"/>
            </w:tcBorders>
            <w:shd w:val="clear" w:color="auto" w:fill="F4F4F4"/>
            <w:tcMar>
              <w:top w:w="0" w:type="dxa"/>
              <w:left w:w="53" w:type="dxa"/>
              <w:bottom w:w="0" w:type="dxa"/>
              <w:right w:w="53" w:type="dxa"/>
            </w:tcMar>
            <w:vAlign w:val="center"/>
          </w:tcPr>
          <w:p w14:paraId="11333CF1" w14:textId="77777777" w:rsidR="001614AC" w:rsidRDefault="004468F9">
            <w:pPr>
              <w:keepNext/>
              <w:spacing w:line="288" w:lineRule="auto"/>
              <w:jc w:val="center"/>
            </w:pPr>
            <w:r>
              <w:rPr>
                <w:rFonts w:ascii="Arial" w:eastAsia="Arial" w:hAnsi="Arial" w:cs="Arial"/>
                <w:b/>
                <w:color w:val="000000"/>
                <w:sz w:val="18"/>
              </w:rPr>
              <w:t>December 31, 2020</w:t>
            </w:r>
          </w:p>
        </w:tc>
        <w:tc>
          <w:tcPr>
            <w:tcW w:w="1275" w:type="dxa"/>
            <w:gridSpan w:val="3"/>
            <w:tcBorders>
              <w:top w:val="nil"/>
              <w:left w:val="single" w:sz="8" w:space="0" w:color="FFFFFF"/>
              <w:bottom w:val="nil"/>
              <w:right w:val="single" w:sz="8" w:space="0" w:color="FFFFFF"/>
            </w:tcBorders>
            <w:shd w:val="clear" w:color="auto" w:fill="F4F4F4"/>
            <w:tcMar>
              <w:top w:w="0" w:type="dxa"/>
              <w:left w:w="53" w:type="dxa"/>
              <w:bottom w:w="0" w:type="dxa"/>
              <w:right w:w="53" w:type="dxa"/>
            </w:tcMar>
            <w:vAlign w:val="center"/>
          </w:tcPr>
          <w:p w14:paraId="75B5A856" w14:textId="77777777" w:rsidR="001614AC" w:rsidRDefault="004468F9">
            <w:pPr>
              <w:keepNext/>
              <w:spacing w:line="288" w:lineRule="auto"/>
              <w:jc w:val="center"/>
            </w:pPr>
            <w:r>
              <w:rPr>
                <w:rFonts w:ascii="Arial" w:eastAsia="Arial" w:hAnsi="Arial" w:cs="Arial"/>
                <w:b/>
                <w:color w:val="000000"/>
                <w:sz w:val="18"/>
              </w:rPr>
              <w:t>June 30,</w:t>
            </w:r>
            <w:r>
              <w:br/>
            </w:r>
            <w:r>
              <w:rPr>
                <w:rFonts w:ascii="Arial" w:eastAsia="Arial" w:hAnsi="Arial" w:cs="Arial"/>
                <w:b/>
                <w:color w:val="000000"/>
                <w:sz w:val="18"/>
              </w:rPr>
              <w:t>2020</w:t>
            </w:r>
          </w:p>
        </w:tc>
      </w:tr>
      <w:tr w:rsidR="001614AC" w14:paraId="52B593D9" w14:textId="77777777">
        <w:trPr>
          <w:cantSplit/>
          <w:trHeight w:hRule="exact" w:val="300"/>
        </w:trPr>
        <w:tc>
          <w:tcPr>
            <w:tcW w:w="255" w:type="dxa"/>
            <w:tcBorders>
              <w:top w:val="nil"/>
              <w:left w:val="nil"/>
              <w:bottom w:val="nil"/>
              <w:right w:val="nil"/>
            </w:tcBorders>
            <w:tcMar>
              <w:top w:w="0" w:type="dxa"/>
              <w:left w:w="53" w:type="dxa"/>
              <w:bottom w:w="0" w:type="dxa"/>
              <w:right w:w="53" w:type="dxa"/>
            </w:tcMar>
            <w:vAlign w:val="center"/>
          </w:tcPr>
          <w:p w14:paraId="2D1C77F0" w14:textId="77777777" w:rsidR="001614AC" w:rsidRDefault="004468F9">
            <w:pPr>
              <w:keepNext/>
              <w:spacing w:line="288" w:lineRule="auto"/>
              <w:jc w:val="right"/>
              <w:rPr>
                <w:rFonts w:ascii="Wingdings" w:eastAsia="Wingdings" w:hAnsi="Wingdings" w:cs="Wingdings"/>
                <w:color w:val="00BAB3"/>
                <w:sz w:val="20"/>
              </w:rPr>
            </w:pPr>
            <w:r>
              <w:rPr>
                <w:rFonts w:ascii="Wingdings 2" w:eastAsia="Wingdings 2" w:hAnsi="Wingdings 2" w:cs="Wingdings 2"/>
                <w:color w:val="00BAB3"/>
                <w:sz w:val="20"/>
              </w:rPr>
              <w:t>¢</w:t>
            </w:r>
          </w:p>
        </w:tc>
        <w:tc>
          <w:tcPr>
            <w:tcW w:w="1215" w:type="dxa"/>
            <w:tcBorders>
              <w:top w:val="single" w:sz="8" w:space="0" w:color="C7C9C7"/>
              <w:left w:val="nil"/>
              <w:bottom w:val="single" w:sz="8" w:space="0" w:color="E9E9E9"/>
              <w:right w:val="nil"/>
            </w:tcBorders>
            <w:tcMar>
              <w:top w:w="0" w:type="dxa"/>
              <w:left w:w="53" w:type="dxa"/>
              <w:bottom w:w="0" w:type="dxa"/>
              <w:right w:w="53" w:type="dxa"/>
            </w:tcMar>
            <w:vAlign w:val="center"/>
          </w:tcPr>
          <w:p w14:paraId="3831F33A" w14:textId="77777777" w:rsidR="001614AC" w:rsidRDefault="004468F9">
            <w:pPr>
              <w:keepNext/>
              <w:spacing w:line="288" w:lineRule="auto"/>
            </w:pPr>
            <w:r>
              <w:rPr>
                <w:rFonts w:ascii="Arial" w:eastAsia="Arial" w:hAnsi="Arial" w:cs="Arial"/>
                <w:b/>
                <w:color w:val="000000"/>
                <w:sz w:val="16"/>
              </w:rPr>
              <w:t>2021</w:t>
            </w:r>
          </w:p>
        </w:tc>
        <w:tc>
          <w:tcPr>
            <w:tcW w:w="615" w:type="dxa"/>
            <w:tcBorders>
              <w:top w:val="nil"/>
              <w:left w:val="nil"/>
              <w:bottom w:val="single" w:sz="8" w:space="0" w:color="E9E9E9"/>
              <w:right w:val="nil"/>
            </w:tcBorders>
            <w:tcMar>
              <w:top w:w="0" w:type="dxa"/>
              <w:left w:w="53" w:type="dxa"/>
              <w:bottom w:w="0" w:type="dxa"/>
              <w:right w:w="53" w:type="dxa"/>
            </w:tcMar>
            <w:vAlign w:val="center"/>
          </w:tcPr>
          <w:p w14:paraId="6F4CC505" w14:textId="77777777" w:rsidR="001614AC" w:rsidRDefault="004468F9">
            <w:pPr>
              <w:keepNext/>
              <w:spacing w:line="288" w:lineRule="auto"/>
              <w:jc w:val="right"/>
            </w:pPr>
            <w:r>
              <w:rPr>
                <w:rFonts w:ascii="Arial" w:eastAsia="Arial" w:hAnsi="Arial" w:cs="Arial"/>
                <w:color w:val="000000"/>
                <w:sz w:val="16"/>
              </w:rPr>
              <w:t>$41.0</w:t>
            </w:r>
          </w:p>
        </w:tc>
        <w:tc>
          <w:tcPr>
            <w:tcW w:w="560" w:type="dxa"/>
            <w:tcBorders>
              <w:top w:val="single" w:sz="8" w:space="0" w:color="C7C9C7"/>
              <w:left w:val="nil"/>
              <w:bottom w:val="single" w:sz="8" w:space="0" w:color="E9E9E9"/>
              <w:right w:val="nil"/>
            </w:tcBorders>
            <w:tcMar>
              <w:top w:w="0" w:type="dxa"/>
              <w:left w:w="53" w:type="dxa"/>
              <w:bottom w:w="0" w:type="dxa"/>
              <w:right w:w="0" w:type="dxa"/>
            </w:tcMar>
            <w:vAlign w:val="center"/>
          </w:tcPr>
          <w:p w14:paraId="6F2F3F8F" w14:textId="77777777" w:rsidR="001614AC" w:rsidRDefault="004468F9">
            <w:pPr>
              <w:keepNext/>
              <w:spacing w:line="288" w:lineRule="auto"/>
              <w:jc w:val="right"/>
            </w:pPr>
            <w:r>
              <w:rPr>
                <w:rFonts w:ascii="Arial" w:eastAsia="Arial" w:hAnsi="Arial" w:cs="Arial"/>
                <w:color w:val="000000"/>
                <w:sz w:val="16"/>
              </w:rPr>
              <w:t>17.3 </w:t>
            </w:r>
          </w:p>
        </w:tc>
        <w:tc>
          <w:tcPr>
            <w:tcW w:w="100" w:type="dxa"/>
            <w:tcBorders>
              <w:top w:val="single" w:sz="8" w:space="0" w:color="C7C9C7"/>
              <w:left w:val="nil"/>
              <w:bottom w:val="single" w:sz="8" w:space="0" w:color="E9E9E9"/>
              <w:right w:val="nil"/>
            </w:tcBorders>
            <w:tcMar>
              <w:top w:w="0" w:type="dxa"/>
              <w:left w:w="0" w:type="dxa"/>
              <w:bottom w:w="0" w:type="dxa"/>
              <w:right w:w="15" w:type="dxa"/>
            </w:tcMar>
            <w:vAlign w:val="center"/>
          </w:tcPr>
          <w:p w14:paraId="02A63CC6" w14:textId="77777777" w:rsidR="001614AC" w:rsidRDefault="004468F9">
            <w:pPr>
              <w:keepNext/>
              <w:spacing w:line="288" w:lineRule="auto"/>
              <w:jc w:val="right"/>
            </w:pPr>
            <w:r>
              <w:rPr>
                <w:rFonts w:ascii="Arial" w:eastAsia="Arial" w:hAnsi="Arial" w:cs="Arial"/>
                <w:color w:val="000000"/>
                <w:sz w:val="16"/>
              </w:rPr>
              <w:t>%</w:t>
            </w:r>
          </w:p>
        </w:tc>
        <w:tc>
          <w:tcPr>
            <w:tcW w:w="645" w:type="dxa"/>
            <w:tcBorders>
              <w:top w:val="nil"/>
              <w:left w:val="nil"/>
              <w:bottom w:val="single" w:sz="8" w:space="0" w:color="E9E9E9"/>
              <w:right w:val="nil"/>
            </w:tcBorders>
            <w:tcMar>
              <w:top w:w="0" w:type="dxa"/>
              <w:left w:w="53" w:type="dxa"/>
              <w:bottom w:w="0" w:type="dxa"/>
              <w:right w:w="53" w:type="dxa"/>
            </w:tcMar>
            <w:vAlign w:val="center"/>
          </w:tcPr>
          <w:p w14:paraId="3E763A17" w14:textId="77777777" w:rsidR="001614AC" w:rsidRDefault="004468F9">
            <w:pPr>
              <w:keepNext/>
              <w:spacing w:line="288" w:lineRule="auto"/>
              <w:jc w:val="right"/>
            </w:pPr>
            <w:r>
              <w:rPr>
                <w:rFonts w:ascii="Arial" w:eastAsia="Arial" w:hAnsi="Arial" w:cs="Arial"/>
                <w:color w:val="000000"/>
                <w:sz w:val="16"/>
              </w:rPr>
              <w:t>$—</w:t>
            </w:r>
          </w:p>
        </w:tc>
        <w:tc>
          <w:tcPr>
            <w:tcW w:w="560" w:type="dxa"/>
            <w:tcBorders>
              <w:top w:val="single" w:sz="8" w:space="0" w:color="C7C9C7"/>
              <w:left w:val="nil"/>
              <w:bottom w:val="single" w:sz="8" w:space="0" w:color="E9E9E9"/>
              <w:right w:val="nil"/>
            </w:tcBorders>
            <w:tcMar>
              <w:top w:w="0" w:type="dxa"/>
              <w:left w:w="53" w:type="dxa"/>
              <w:bottom w:w="0" w:type="dxa"/>
              <w:right w:w="0" w:type="dxa"/>
            </w:tcMar>
            <w:vAlign w:val="center"/>
          </w:tcPr>
          <w:p w14:paraId="589F6D1B" w14:textId="77777777" w:rsidR="001614AC" w:rsidRDefault="004468F9">
            <w:pPr>
              <w:keepNext/>
              <w:spacing w:line="288" w:lineRule="auto"/>
              <w:jc w:val="right"/>
            </w:pPr>
            <w:r>
              <w:rPr>
                <w:rFonts w:ascii="Arial" w:eastAsia="Arial" w:hAnsi="Arial" w:cs="Arial"/>
                <w:color w:val="000000"/>
                <w:sz w:val="16"/>
              </w:rPr>
              <w:t>— </w:t>
            </w:r>
          </w:p>
        </w:tc>
        <w:tc>
          <w:tcPr>
            <w:tcW w:w="100" w:type="dxa"/>
            <w:tcBorders>
              <w:top w:val="single" w:sz="8" w:space="0" w:color="C7C9C7"/>
              <w:left w:val="nil"/>
              <w:bottom w:val="single" w:sz="8" w:space="0" w:color="E9E9E9"/>
              <w:right w:val="nil"/>
            </w:tcBorders>
            <w:tcMar>
              <w:top w:w="0" w:type="dxa"/>
              <w:left w:w="0" w:type="dxa"/>
              <w:bottom w:w="0" w:type="dxa"/>
              <w:right w:w="15" w:type="dxa"/>
            </w:tcMar>
            <w:vAlign w:val="center"/>
          </w:tcPr>
          <w:p w14:paraId="7729931A" w14:textId="77777777" w:rsidR="001614AC" w:rsidRDefault="004468F9">
            <w:pPr>
              <w:keepNext/>
              <w:spacing w:line="288" w:lineRule="auto"/>
              <w:jc w:val="right"/>
            </w:pPr>
            <w:r>
              <w:rPr>
                <w:rFonts w:ascii="Arial" w:eastAsia="Arial" w:hAnsi="Arial" w:cs="Arial"/>
                <w:color w:val="000000"/>
                <w:sz w:val="16"/>
              </w:rPr>
              <w:t>%</w:t>
            </w:r>
          </w:p>
        </w:tc>
        <w:tc>
          <w:tcPr>
            <w:tcW w:w="615" w:type="dxa"/>
            <w:tcBorders>
              <w:top w:val="single" w:sz="8" w:space="0" w:color="C7C9C7"/>
              <w:left w:val="nil"/>
              <w:bottom w:val="single" w:sz="8" w:space="0" w:color="E9E9E9"/>
              <w:right w:val="nil"/>
            </w:tcBorders>
            <w:tcMar>
              <w:top w:w="0" w:type="dxa"/>
              <w:left w:w="53" w:type="dxa"/>
              <w:bottom w:w="0" w:type="dxa"/>
              <w:right w:w="53" w:type="dxa"/>
            </w:tcMar>
            <w:vAlign w:val="center"/>
          </w:tcPr>
          <w:p w14:paraId="10FD34AC" w14:textId="77777777" w:rsidR="001614AC" w:rsidRDefault="004468F9">
            <w:pPr>
              <w:keepNext/>
              <w:spacing w:line="288" w:lineRule="auto"/>
              <w:jc w:val="right"/>
            </w:pPr>
            <w:r>
              <w:rPr>
                <w:rFonts w:ascii="Arial" w:eastAsia="Arial" w:hAnsi="Arial" w:cs="Arial"/>
                <w:color w:val="000000"/>
                <w:sz w:val="16"/>
              </w:rPr>
              <w:t>$—</w:t>
            </w:r>
          </w:p>
        </w:tc>
        <w:tc>
          <w:tcPr>
            <w:tcW w:w="560" w:type="dxa"/>
            <w:tcBorders>
              <w:top w:val="single" w:sz="8" w:space="0" w:color="C7C9C7"/>
              <w:left w:val="nil"/>
              <w:bottom w:val="single" w:sz="8" w:space="0" w:color="E9E9E9"/>
              <w:right w:val="nil"/>
            </w:tcBorders>
            <w:tcMar>
              <w:top w:w="0" w:type="dxa"/>
              <w:left w:w="53" w:type="dxa"/>
              <w:bottom w:w="0" w:type="dxa"/>
              <w:right w:w="0" w:type="dxa"/>
            </w:tcMar>
            <w:vAlign w:val="center"/>
          </w:tcPr>
          <w:p w14:paraId="5CDA776F" w14:textId="77777777" w:rsidR="001614AC" w:rsidRDefault="004468F9">
            <w:pPr>
              <w:keepNext/>
              <w:spacing w:line="288" w:lineRule="auto"/>
              <w:jc w:val="right"/>
            </w:pPr>
            <w:r>
              <w:rPr>
                <w:rFonts w:ascii="Arial" w:eastAsia="Arial" w:hAnsi="Arial" w:cs="Arial"/>
                <w:color w:val="000000"/>
                <w:sz w:val="16"/>
              </w:rPr>
              <w:t>— </w:t>
            </w:r>
          </w:p>
        </w:tc>
        <w:tc>
          <w:tcPr>
            <w:tcW w:w="100" w:type="dxa"/>
            <w:tcBorders>
              <w:top w:val="single" w:sz="8" w:space="0" w:color="C7C9C7"/>
              <w:left w:val="nil"/>
              <w:bottom w:val="single" w:sz="8" w:space="0" w:color="E9E9E9"/>
              <w:right w:val="single" w:sz="8" w:space="0" w:color="FFFFFF"/>
            </w:tcBorders>
            <w:tcMar>
              <w:top w:w="0" w:type="dxa"/>
              <w:left w:w="0" w:type="dxa"/>
              <w:bottom w:w="0" w:type="dxa"/>
              <w:right w:w="15" w:type="dxa"/>
            </w:tcMar>
            <w:vAlign w:val="center"/>
          </w:tcPr>
          <w:p w14:paraId="4424CC11" w14:textId="77777777" w:rsidR="001614AC" w:rsidRDefault="004468F9">
            <w:pPr>
              <w:keepNext/>
              <w:spacing w:line="288" w:lineRule="auto"/>
              <w:jc w:val="right"/>
            </w:pPr>
            <w:r>
              <w:rPr>
                <w:rFonts w:ascii="Arial" w:eastAsia="Arial" w:hAnsi="Arial" w:cs="Arial"/>
                <w:color w:val="000000"/>
                <w:sz w:val="16"/>
              </w:rPr>
              <w:t>%</w:t>
            </w:r>
          </w:p>
        </w:tc>
      </w:tr>
      <w:tr w:rsidR="001614AC" w14:paraId="3A6031DD" w14:textId="77777777">
        <w:trPr>
          <w:cantSplit/>
          <w:trHeight w:hRule="exact" w:val="300"/>
        </w:trPr>
        <w:tc>
          <w:tcPr>
            <w:tcW w:w="255" w:type="dxa"/>
            <w:tcBorders>
              <w:top w:val="nil"/>
              <w:left w:val="nil"/>
              <w:bottom w:val="nil"/>
              <w:right w:val="nil"/>
            </w:tcBorders>
            <w:tcMar>
              <w:top w:w="0" w:type="dxa"/>
              <w:left w:w="53" w:type="dxa"/>
              <w:bottom w:w="0" w:type="dxa"/>
              <w:right w:w="53" w:type="dxa"/>
            </w:tcMar>
            <w:vAlign w:val="center"/>
          </w:tcPr>
          <w:p w14:paraId="1AF5C659" w14:textId="77777777" w:rsidR="001614AC" w:rsidRDefault="004468F9">
            <w:pPr>
              <w:keepNext/>
              <w:spacing w:line="288" w:lineRule="auto"/>
              <w:jc w:val="right"/>
              <w:rPr>
                <w:rFonts w:ascii="Wingdings" w:eastAsia="Wingdings" w:hAnsi="Wingdings" w:cs="Wingdings"/>
                <w:color w:val="66D6D1"/>
                <w:sz w:val="20"/>
              </w:rPr>
            </w:pPr>
            <w:r>
              <w:rPr>
                <w:rFonts w:ascii="Wingdings 2" w:eastAsia="Wingdings 2" w:hAnsi="Wingdings 2" w:cs="Wingdings 2"/>
                <w:color w:val="66D6D1"/>
                <w:sz w:val="20"/>
              </w:rPr>
              <w:t>¢</w:t>
            </w:r>
          </w:p>
        </w:tc>
        <w:tc>
          <w:tcPr>
            <w:tcW w:w="1215" w:type="dxa"/>
            <w:tcBorders>
              <w:top w:val="single" w:sz="8" w:space="0" w:color="E9E9E9"/>
              <w:left w:val="nil"/>
              <w:bottom w:val="single" w:sz="8" w:space="0" w:color="E9E9E9"/>
              <w:right w:val="nil"/>
            </w:tcBorders>
            <w:tcMar>
              <w:top w:w="0" w:type="dxa"/>
              <w:left w:w="53" w:type="dxa"/>
              <w:bottom w:w="0" w:type="dxa"/>
              <w:right w:w="53" w:type="dxa"/>
            </w:tcMar>
            <w:vAlign w:val="center"/>
          </w:tcPr>
          <w:p w14:paraId="61C707FE" w14:textId="77777777" w:rsidR="001614AC" w:rsidRDefault="004468F9">
            <w:pPr>
              <w:keepNext/>
              <w:spacing w:line="288" w:lineRule="auto"/>
            </w:pPr>
            <w:r>
              <w:rPr>
                <w:rFonts w:ascii="Arial" w:eastAsia="Arial" w:hAnsi="Arial" w:cs="Arial"/>
                <w:b/>
                <w:color w:val="000000"/>
                <w:sz w:val="16"/>
              </w:rPr>
              <w:t>2020</w:t>
            </w:r>
          </w:p>
        </w:tc>
        <w:tc>
          <w:tcPr>
            <w:tcW w:w="615" w:type="dxa"/>
            <w:tcBorders>
              <w:top w:val="single" w:sz="8" w:space="0" w:color="E9E9E9"/>
              <w:left w:val="nil"/>
              <w:bottom w:val="single" w:sz="8" w:space="0" w:color="E9E9E9"/>
              <w:right w:val="nil"/>
            </w:tcBorders>
            <w:tcMar>
              <w:top w:w="0" w:type="dxa"/>
              <w:left w:w="53" w:type="dxa"/>
              <w:bottom w:w="0" w:type="dxa"/>
              <w:right w:w="53" w:type="dxa"/>
            </w:tcMar>
            <w:vAlign w:val="center"/>
          </w:tcPr>
          <w:p w14:paraId="2B8A75F0" w14:textId="77777777" w:rsidR="001614AC" w:rsidRDefault="004468F9">
            <w:pPr>
              <w:keepNext/>
              <w:spacing w:line="288" w:lineRule="auto"/>
              <w:jc w:val="right"/>
            </w:pPr>
            <w:r>
              <w:rPr>
                <w:rFonts w:ascii="Arial" w:eastAsia="Arial" w:hAnsi="Arial" w:cs="Arial"/>
                <w:color w:val="000000"/>
                <w:sz w:val="16"/>
              </w:rPr>
              <w:t>86.9</w:t>
            </w:r>
          </w:p>
        </w:tc>
        <w:tc>
          <w:tcPr>
            <w:tcW w:w="560" w:type="dxa"/>
            <w:tcBorders>
              <w:top w:val="single" w:sz="8" w:space="0" w:color="E9E9E9"/>
              <w:left w:val="nil"/>
              <w:bottom w:val="single" w:sz="8" w:space="0" w:color="E9E9E9"/>
              <w:right w:val="nil"/>
            </w:tcBorders>
            <w:tcMar>
              <w:top w:w="0" w:type="dxa"/>
              <w:left w:w="53" w:type="dxa"/>
              <w:bottom w:w="0" w:type="dxa"/>
              <w:right w:w="0" w:type="dxa"/>
            </w:tcMar>
            <w:vAlign w:val="center"/>
          </w:tcPr>
          <w:p w14:paraId="79DB49C8" w14:textId="77777777" w:rsidR="001614AC" w:rsidRDefault="004468F9">
            <w:pPr>
              <w:keepNext/>
              <w:spacing w:line="288" w:lineRule="auto"/>
              <w:jc w:val="right"/>
            </w:pPr>
            <w:r>
              <w:rPr>
                <w:rFonts w:ascii="Arial" w:eastAsia="Arial" w:hAnsi="Arial" w:cs="Arial"/>
                <w:color w:val="000000"/>
                <w:sz w:val="16"/>
              </w:rPr>
              <w:t>36.6 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center"/>
          </w:tcPr>
          <w:p w14:paraId="6CAA7670" w14:textId="77777777" w:rsidR="001614AC" w:rsidRDefault="001614AC">
            <w:pPr>
              <w:keepNext/>
              <w:spacing w:line="288" w:lineRule="auto"/>
              <w:jc w:val="right"/>
            </w:pPr>
          </w:p>
        </w:tc>
        <w:tc>
          <w:tcPr>
            <w:tcW w:w="645" w:type="dxa"/>
            <w:tcBorders>
              <w:top w:val="single" w:sz="8" w:space="0" w:color="E9E9E9"/>
              <w:left w:val="nil"/>
              <w:bottom w:val="single" w:sz="8" w:space="0" w:color="E9E9E9"/>
              <w:right w:val="nil"/>
            </w:tcBorders>
            <w:tcMar>
              <w:top w:w="0" w:type="dxa"/>
              <w:left w:w="53" w:type="dxa"/>
              <w:bottom w:w="0" w:type="dxa"/>
              <w:right w:w="53" w:type="dxa"/>
            </w:tcMar>
            <w:vAlign w:val="center"/>
          </w:tcPr>
          <w:p w14:paraId="628E9F65" w14:textId="77777777" w:rsidR="001614AC" w:rsidRDefault="004468F9">
            <w:pPr>
              <w:keepNext/>
              <w:spacing w:line="288" w:lineRule="auto"/>
              <w:jc w:val="right"/>
            </w:pPr>
            <w:r>
              <w:rPr>
                <w:rFonts w:ascii="Arial" w:eastAsia="Arial" w:hAnsi="Arial" w:cs="Arial"/>
                <w:color w:val="000000"/>
                <w:sz w:val="16"/>
              </w:rPr>
              <w:t>98.8</w:t>
            </w:r>
          </w:p>
        </w:tc>
        <w:tc>
          <w:tcPr>
            <w:tcW w:w="560" w:type="dxa"/>
            <w:tcBorders>
              <w:top w:val="single" w:sz="8" w:space="0" w:color="E9E9E9"/>
              <w:left w:val="nil"/>
              <w:bottom w:val="single" w:sz="8" w:space="0" w:color="E9E9E9"/>
              <w:right w:val="nil"/>
            </w:tcBorders>
            <w:tcMar>
              <w:top w:w="0" w:type="dxa"/>
              <w:left w:w="53" w:type="dxa"/>
              <w:bottom w:w="0" w:type="dxa"/>
              <w:right w:w="0" w:type="dxa"/>
            </w:tcMar>
            <w:vAlign w:val="center"/>
          </w:tcPr>
          <w:p w14:paraId="1485D783" w14:textId="77777777" w:rsidR="001614AC" w:rsidRDefault="004468F9">
            <w:pPr>
              <w:keepNext/>
              <w:spacing w:line="288" w:lineRule="auto"/>
              <w:jc w:val="right"/>
            </w:pPr>
            <w:r>
              <w:rPr>
                <w:rFonts w:ascii="Arial" w:eastAsia="Arial" w:hAnsi="Arial" w:cs="Arial"/>
                <w:color w:val="000000"/>
                <w:sz w:val="16"/>
              </w:rPr>
              <w:t>40.2 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center"/>
          </w:tcPr>
          <w:p w14:paraId="6DA96CB1" w14:textId="77777777" w:rsidR="001614AC" w:rsidRDefault="001614AC">
            <w:pPr>
              <w:keepNext/>
              <w:spacing w:line="288" w:lineRule="auto"/>
              <w:jc w:val="right"/>
            </w:pPr>
          </w:p>
        </w:tc>
        <w:tc>
          <w:tcPr>
            <w:tcW w:w="615" w:type="dxa"/>
            <w:tcBorders>
              <w:top w:val="single" w:sz="8" w:space="0" w:color="E9E9E9"/>
              <w:left w:val="nil"/>
              <w:bottom w:val="single" w:sz="8" w:space="0" w:color="E9E9E9"/>
              <w:right w:val="nil"/>
            </w:tcBorders>
            <w:tcMar>
              <w:top w:w="0" w:type="dxa"/>
              <w:left w:w="53" w:type="dxa"/>
              <w:bottom w:w="0" w:type="dxa"/>
              <w:right w:w="53" w:type="dxa"/>
            </w:tcMar>
            <w:vAlign w:val="center"/>
          </w:tcPr>
          <w:p w14:paraId="17BBB3AC" w14:textId="77777777" w:rsidR="001614AC" w:rsidRDefault="004468F9">
            <w:pPr>
              <w:keepNext/>
              <w:spacing w:line="288" w:lineRule="auto"/>
              <w:jc w:val="right"/>
            </w:pPr>
            <w:r>
              <w:rPr>
                <w:rFonts w:ascii="Arial" w:eastAsia="Arial" w:hAnsi="Arial" w:cs="Arial"/>
                <w:color w:val="000000"/>
                <w:sz w:val="16"/>
              </w:rPr>
              <w:t>41.5</w:t>
            </w:r>
          </w:p>
        </w:tc>
        <w:tc>
          <w:tcPr>
            <w:tcW w:w="560" w:type="dxa"/>
            <w:tcBorders>
              <w:top w:val="single" w:sz="8" w:space="0" w:color="E9E9E9"/>
              <w:left w:val="nil"/>
              <w:bottom w:val="single" w:sz="8" w:space="0" w:color="E9E9E9"/>
              <w:right w:val="nil"/>
            </w:tcBorders>
            <w:tcMar>
              <w:top w:w="0" w:type="dxa"/>
              <w:left w:w="53" w:type="dxa"/>
              <w:bottom w:w="0" w:type="dxa"/>
              <w:right w:w="0" w:type="dxa"/>
            </w:tcMar>
            <w:vAlign w:val="center"/>
          </w:tcPr>
          <w:p w14:paraId="16E87A38" w14:textId="77777777" w:rsidR="001614AC" w:rsidRDefault="004468F9">
            <w:pPr>
              <w:keepNext/>
              <w:spacing w:line="288" w:lineRule="auto"/>
              <w:jc w:val="right"/>
            </w:pPr>
            <w:r>
              <w:rPr>
                <w:rFonts w:ascii="Arial" w:eastAsia="Arial" w:hAnsi="Arial" w:cs="Arial"/>
                <w:color w:val="000000"/>
                <w:sz w:val="16"/>
              </w:rPr>
              <w:t>17.2 </w:t>
            </w:r>
          </w:p>
        </w:tc>
        <w:tc>
          <w:tcPr>
            <w:tcW w:w="100" w:type="dxa"/>
            <w:tcBorders>
              <w:top w:val="single" w:sz="8" w:space="0" w:color="E9E9E9"/>
              <w:left w:val="nil"/>
              <w:bottom w:val="single" w:sz="8" w:space="0" w:color="E9E9E9"/>
              <w:right w:val="single" w:sz="8" w:space="0" w:color="FFFFFF"/>
            </w:tcBorders>
            <w:tcMar>
              <w:top w:w="0" w:type="dxa"/>
              <w:left w:w="0" w:type="dxa"/>
              <w:bottom w:w="0" w:type="dxa"/>
              <w:right w:w="15" w:type="dxa"/>
            </w:tcMar>
            <w:vAlign w:val="center"/>
          </w:tcPr>
          <w:p w14:paraId="6FA57AAD" w14:textId="77777777" w:rsidR="001614AC" w:rsidRDefault="001614AC">
            <w:pPr>
              <w:keepNext/>
              <w:spacing w:line="288" w:lineRule="auto"/>
              <w:jc w:val="right"/>
            </w:pPr>
          </w:p>
        </w:tc>
      </w:tr>
      <w:tr w:rsidR="001614AC" w14:paraId="13EBFD9A" w14:textId="77777777">
        <w:trPr>
          <w:cantSplit/>
          <w:trHeight w:hRule="exact" w:val="300"/>
        </w:trPr>
        <w:tc>
          <w:tcPr>
            <w:tcW w:w="255" w:type="dxa"/>
            <w:tcBorders>
              <w:top w:val="nil"/>
              <w:left w:val="nil"/>
              <w:bottom w:val="nil"/>
              <w:right w:val="nil"/>
            </w:tcBorders>
            <w:tcMar>
              <w:top w:w="0" w:type="dxa"/>
              <w:left w:w="53" w:type="dxa"/>
              <w:bottom w:w="0" w:type="dxa"/>
              <w:right w:w="53" w:type="dxa"/>
            </w:tcMar>
            <w:vAlign w:val="center"/>
          </w:tcPr>
          <w:p w14:paraId="1765BE3C" w14:textId="77777777" w:rsidR="001614AC" w:rsidRDefault="004468F9">
            <w:pPr>
              <w:keepNext/>
              <w:spacing w:line="288" w:lineRule="auto"/>
              <w:jc w:val="right"/>
              <w:rPr>
                <w:rFonts w:ascii="Wingdings" w:eastAsia="Wingdings" w:hAnsi="Wingdings" w:cs="Wingdings"/>
                <w:color w:val="99E3E1"/>
                <w:sz w:val="20"/>
              </w:rPr>
            </w:pPr>
            <w:r>
              <w:rPr>
                <w:rFonts w:ascii="Wingdings 2" w:eastAsia="Wingdings 2" w:hAnsi="Wingdings 2" w:cs="Wingdings 2"/>
                <w:color w:val="99E3E1"/>
                <w:sz w:val="20"/>
              </w:rPr>
              <w:t>¢</w:t>
            </w:r>
          </w:p>
        </w:tc>
        <w:tc>
          <w:tcPr>
            <w:tcW w:w="1215" w:type="dxa"/>
            <w:tcBorders>
              <w:top w:val="single" w:sz="8" w:space="0" w:color="E9E9E9"/>
              <w:left w:val="nil"/>
              <w:bottom w:val="single" w:sz="8" w:space="0" w:color="E9E9E9"/>
              <w:right w:val="nil"/>
            </w:tcBorders>
            <w:tcMar>
              <w:top w:w="0" w:type="dxa"/>
              <w:left w:w="53" w:type="dxa"/>
              <w:bottom w:w="0" w:type="dxa"/>
              <w:right w:w="53" w:type="dxa"/>
            </w:tcMar>
            <w:vAlign w:val="center"/>
          </w:tcPr>
          <w:p w14:paraId="353FBA32" w14:textId="77777777" w:rsidR="001614AC" w:rsidRDefault="004468F9">
            <w:pPr>
              <w:keepNext/>
              <w:spacing w:line="288" w:lineRule="auto"/>
            </w:pPr>
            <w:r>
              <w:rPr>
                <w:rFonts w:ascii="Arial" w:eastAsia="Arial" w:hAnsi="Arial" w:cs="Arial"/>
                <w:b/>
                <w:color w:val="000000"/>
                <w:sz w:val="16"/>
              </w:rPr>
              <w:t>201</w:t>
            </w:r>
            <w:r>
              <w:rPr>
                <w:rFonts w:ascii="Arial" w:eastAsia="Arial" w:hAnsi="Arial" w:cs="Arial"/>
                <w:b/>
                <w:color w:val="000000"/>
                <w:sz w:val="16"/>
              </w:rPr>
              <w:t>9</w:t>
            </w:r>
          </w:p>
        </w:tc>
        <w:tc>
          <w:tcPr>
            <w:tcW w:w="615" w:type="dxa"/>
            <w:tcBorders>
              <w:top w:val="single" w:sz="8" w:space="0" w:color="E9E9E9"/>
              <w:left w:val="nil"/>
              <w:bottom w:val="single" w:sz="8" w:space="0" w:color="E9E9E9"/>
              <w:right w:val="nil"/>
            </w:tcBorders>
            <w:tcMar>
              <w:top w:w="0" w:type="dxa"/>
              <w:left w:w="53" w:type="dxa"/>
              <w:bottom w:w="0" w:type="dxa"/>
              <w:right w:w="53" w:type="dxa"/>
            </w:tcMar>
            <w:vAlign w:val="center"/>
          </w:tcPr>
          <w:p w14:paraId="68D6E50E" w14:textId="77777777" w:rsidR="001614AC" w:rsidRDefault="004468F9">
            <w:pPr>
              <w:keepNext/>
              <w:spacing w:line="288" w:lineRule="auto"/>
              <w:jc w:val="right"/>
            </w:pPr>
            <w:r>
              <w:rPr>
                <w:rFonts w:ascii="Arial" w:eastAsia="Arial" w:hAnsi="Arial" w:cs="Arial"/>
                <w:color w:val="000000"/>
                <w:sz w:val="16"/>
              </w:rPr>
              <w:t>32.3</w:t>
            </w:r>
          </w:p>
        </w:tc>
        <w:tc>
          <w:tcPr>
            <w:tcW w:w="560" w:type="dxa"/>
            <w:tcBorders>
              <w:top w:val="single" w:sz="8" w:space="0" w:color="E9E9E9"/>
              <w:left w:val="nil"/>
              <w:bottom w:val="single" w:sz="8" w:space="0" w:color="E9E9E9"/>
              <w:right w:val="nil"/>
            </w:tcBorders>
            <w:tcMar>
              <w:top w:w="0" w:type="dxa"/>
              <w:left w:w="53" w:type="dxa"/>
              <w:bottom w:w="0" w:type="dxa"/>
              <w:right w:w="0" w:type="dxa"/>
            </w:tcMar>
            <w:vAlign w:val="center"/>
          </w:tcPr>
          <w:p w14:paraId="171E4293" w14:textId="77777777" w:rsidR="001614AC" w:rsidRDefault="004468F9">
            <w:pPr>
              <w:keepNext/>
              <w:spacing w:line="288" w:lineRule="auto"/>
              <w:jc w:val="right"/>
            </w:pPr>
            <w:r>
              <w:rPr>
                <w:rFonts w:ascii="Arial" w:eastAsia="Arial" w:hAnsi="Arial" w:cs="Arial"/>
                <w:color w:val="000000"/>
                <w:sz w:val="16"/>
              </w:rPr>
              <w:t>13.6 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center"/>
          </w:tcPr>
          <w:p w14:paraId="7EECB7DF" w14:textId="77777777" w:rsidR="001614AC" w:rsidRDefault="001614AC">
            <w:pPr>
              <w:keepNext/>
              <w:spacing w:line="288" w:lineRule="auto"/>
              <w:jc w:val="right"/>
            </w:pPr>
          </w:p>
        </w:tc>
        <w:tc>
          <w:tcPr>
            <w:tcW w:w="645" w:type="dxa"/>
            <w:tcBorders>
              <w:top w:val="single" w:sz="8" w:space="0" w:color="E9E9E9"/>
              <w:left w:val="nil"/>
              <w:bottom w:val="single" w:sz="8" w:space="0" w:color="E9E9E9"/>
              <w:right w:val="nil"/>
            </w:tcBorders>
            <w:tcMar>
              <w:top w:w="0" w:type="dxa"/>
              <w:left w:w="53" w:type="dxa"/>
              <w:bottom w:w="0" w:type="dxa"/>
              <w:right w:w="53" w:type="dxa"/>
            </w:tcMar>
            <w:vAlign w:val="center"/>
          </w:tcPr>
          <w:p w14:paraId="5A56E83C" w14:textId="77777777" w:rsidR="001614AC" w:rsidRDefault="004468F9">
            <w:pPr>
              <w:keepNext/>
              <w:spacing w:line="288" w:lineRule="auto"/>
              <w:jc w:val="right"/>
            </w:pPr>
            <w:r>
              <w:rPr>
                <w:rFonts w:ascii="Arial" w:eastAsia="Arial" w:hAnsi="Arial" w:cs="Arial"/>
                <w:color w:val="000000"/>
                <w:sz w:val="16"/>
              </w:rPr>
              <w:t>44.6</w:t>
            </w:r>
          </w:p>
        </w:tc>
        <w:tc>
          <w:tcPr>
            <w:tcW w:w="560" w:type="dxa"/>
            <w:tcBorders>
              <w:top w:val="single" w:sz="8" w:space="0" w:color="E9E9E9"/>
              <w:left w:val="nil"/>
              <w:bottom w:val="single" w:sz="8" w:space="0" w:color="E9E9E9"/>
              <w:right w:val="nil"/>
            </w:tcBorders>
            <w:tcMar>
              <w:top w:w="0" w:type="dxa"/>
              <w:left w:w="53" w:type="dxa"/>
              <w:bottom w:w="0" w:type="dxa"/>
              <w:right w:w="0" w:type="dxa"/>
            </w:tcMar>
            <w:vAlign w:val="center"/>
          </w:tcPr>
          <w:p w14:paraId="53183A4F" w14:textId="77777777" w:rsidR="001614AC" w:rsidRDefault="004468F9">
            <w:pPr>
              <w:keepNext/>
              <w:spacing w:line="288" w:lineRule="auto"/>
              <w:jc w:val="right"/>
            </w:pPr>
            <w:r>
              <w:rPr>
                <w:rFonts w:ascii="Arial" w:eastAsia="Arial" w:hAnsi="Arial" w:cs="Arial"/>
                <w:color w:val="000000"/>
                <w:sz w:val="16"/>
              </w:rPr>
              <w:t>18.1 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center"/>
          </w:tcPr>
          <w:p w14:paraId="6381D3D8" w14:textId="77777777" w:rsidR="001614AC" w:rsidRDefault="001614AC">
            <w:pPr>
              <w:keepNext/>
              <w:spacing w:line="288" w:lineRule="auto"/>
              <w:jc w:val="right"/>
            </w:pPr>
          </w:p>
        </w:tc>
        <w:tc>
          <w:tcPr>
            <w:tcW w:w="615" w:type="dxa"/>
            <w:tcBorders>
              <w:top w:val="single" w:sz="8" w:space="0" w:color="E9E9E9"/>
              <w:left w:val="nil"/>
              <w:bottom w:val="single" w:sz="8" w:space="0" w:color="E9E9E9"/>
              <w:right w:val="nil"/>
            </w:tcBorders>
            <w:tcMar>
              <w:top w:w="0" w:type="dxa"/>
              <w:left w:w="53" w:type="dxa"/>
              <w:bottom w:w="0" w:type="dxa"/>
              <w:right w:w="53" w:type="dxa"/>
            </w:tcMar>
            <w:vAlign w:val="center"/>
          </w:tcPr>
          <w:p w14:paraId="06A8FBEF" w14:textId="77777777" w:rsidR="001614AC" w:rsidRDefault="004468F9">
            <w:pPr>
              <w:keepNext/>
              <w:spacing w:line="288" w:lineRule="auto"/>
              <w:jc w:val="right"/>
            </w:pPr>
            <w:r>
              <w:rPr>
                <w:rFonts w:ascii="Arial" w:eastAsia="Arial" w:hAnsi="Arial" w:cs="Arial"/>
                <w:color w:val="000000"/>
                <w:sz w:val="16"/>
              </w:rPr>
              <w:t>58.4</w:t>
            </w:r>
          </w:p>
        </w:tc>
        <w:tc>
          <w:tcPr>
            <w:tcW w:w="560" w:type="dxa"/>
            <w:tcBorders>
              <w:top w:val="single" w:sz="8" w:space="0" w:color="E9E9E9"/>
              <w:left w:val="nil"/>
              <w:bottom w:val="single" w:sz="8" w:space="0" w:color="E9E9E9"/>
              <w:right w:val="nil"/>
            </w:tcBorders>
            <w:tcMar>
              <w:top w:w="0" w:type="dxa"/>
              <w:left w:w="53" w:type="dxa"/>
              <w:bottom w:w="0" w:type="dxa"/>
              <w:right w:w="0" w:type="dxa"/>
            </w:tcMar>
            <w:vAlign w:val="center"/>
          </w:tcPr>
          <w:p w14:paraId="1BD5B9F9" w14:textId="77777777" w:rsidR="001614AC" w:rsidRDefault="004468F9">
            <w:pPr>
              <w:keepNext/>
              <w:spacing w:line="288" w:lineRule="auto"/>
              <w:jc w:val="right"/>
            </w:pPr>
            <w:r>
              <w:rPr>
                <w:rFonts w:ascii="Arial" w:eastAsia="Arial" w:hAnsi="Arial" w:cs="Arial"/>
                <w:color w:val="000000"/>
                <w:sz w:val="16"/>
              </w:rPr>
              <w:t>24.2 </w:t>
            </w:r>
          </w:p>
        </w:tc>
        <w:tc>
          <w:tcPr>
            <w:tcW w:w="100" w:type="dxa"/>
            <w:tcBorders>
              <w:top w:val="single" w:sz="8" w:space="0" w:color="E9E9E9"/>
              <w:left w:val="nil"/>
              <w:bottom w:val="single" w:sz="8" w:space="0" w:color="E9E9E9"/>
              <w:right w:val="single" w:sz="8" w:space="0" w:color="FFFFFF"/>
            </w:tcBorders>
            <w:tcMar>
              <w:top w:w="0" w:type="dxa"/>
              <w:left w:w="0" w:type="dxa"/>
              <w:bottom w:w="0" w:type="dxa"/>
              <w:right w:w="15" w:type="dxa"/>
            </w:tcMar>
            <w:vAlign w:val="center"/>
          </w:tcPr>
          <w:p w14:paraId="714C3722" w14:textId="77777777" w:rsidR="001614AC" w:rsidRDefault="001614AC">
            <w:pPr>
              <w:keepNext/>
              <w:spacing w:line="288" w:lineRule="auto"/>
              <w:jc w:val="right"/>
            </w:pPr>
          </w:p>
        </w:tc>
      </w:tr>
      <w:tr w:rsidR="001614AC" w14:paraId="4BBC8D9A" w14:textId="77777777">
        <w:trPr>
          <w:cantSplit/>
          <w:trHeight w:hRule="exact" w:val="300"/>
        </w:trPr>
        <w:tc>
          <w:tcPr>
            <w:tcW w:w="255" w:type="dxa"/>
            <w:tcBorders>
              <w:top w:val="nil"/>
              <w:left w:val="nil"/>
              <w:bottom w:val="nil"/>
              <w:right w:val="nil"/>
            </w:tcBorders>
            <w:tcMar>
              <w:top w:w="0" w:type="dxa"/>
              <w:left w:w="53" w:type="dxa"/>
              <w:bottom w:w="0" w:type="dxa"/>
              <w:right w:w="53" w:type="dxa"/>
            </w:tcMar>
            <w:vAlign w:val="center"/>
          </w:tcPr>
          <w:p w14:paraId="5F6CC64C" w14:textId="77777777" w:rsidR="001614AC" w:rsidRDefault="004468F9">
            <w:pPr>
              <w:keepNext/>
              <w:spacing w:line="288" w:lineRule="auto"/>
              <w:jc w:val="right"/>
              <w:rPr>
                <w:rFonts w:ascii="Wingdings" w:eastAsia="Wingdings" w:hAnsi="Wingdings" w:cs="Wingdings"/>
                <w:color w:val="CCD5DB"/>
                <w:sz w:val="20"/>
              </w:rPr>
            </w:pPr>
            <w:r>
              <w:rPr>
                <w:rFonts w:ascii="Wingdings 2" w:eastAsia="Wingdings 2" w:hAnsi="Wingdings 2" w:cs="Wingdings 2"/>
                <w:color w:val="CCD5DB"/>
                <w:sz w:val="20"/>
              </w:rPr>
              <w:t>¢</w:t>
            </w:r>
          </w:p>
        </w:tc>
        <w:tc>
          <w:tcPr>
            <w:tcW w:w="1215" w:type="dxa"/>
            <w:tcBorders>
              <w:top w:val="single" w:sz="8" w:space="0" w:color="E9E9E9"/>
              <w:left w:val="nil"/>
              <w:bottom w:val="single" w:sz="8" w:space="0" w:color="E9E9E9"/>
              <w:right w:val="nil"/>
            </w:tcBorders>
            <w:tcMar>
              <w:top w:w="0" w:type="dxa"/>
              <w:left w:w="53" w:type="dxa"/>
              <w:bottom w:w="0" w:type="dxa"/>
              <w:right w:w="53" w:type="dxa"/>
            </w:tcMar>
            <w:vAlign w:val="center"/>
          </w:tcPr>
          <w:p w14:paraId="6B004B24" w14:textId="77777777" w:rsidR="001614AC" w:rsidRDefault="004468F9">
            <w:pPr>
              <w:keepNext/>
              <w:spacing w:line="288" w:lineRule="auto"/>
            </w:pPr>
            <w:r>
              <w:rPr>
                <w:rFonts w:ascii="Arial" w:eastAsia="Arial" w:hAnsi="Arial" w:cs="Arial"/>
                <w:b/>
                <w:color w:val="000000"/>
                <w:sz w:val="16"/>
              </w:rPr>
              <w:t>201</w:t>
            </w:r>
            <w:r>
              <w:rPr>
                <w:rFonts w:ascii="Arial" w:eastAsia="Arial" w:hAnsi="Arial" w:cs="Arial"/>
                <w:b/>
                <w:color w:val="000000"/>
                <w:sz w:val="16"/>
              </w:rPr>
              <w:t>8</w:t>
            </w:r>
          </w:p>
        </w:tc>
        <w:tc>
          <w:tcPr>
            <w:tcW w:w="615" w:type="dxa"/>
            <w:tcBorders>
              <w:top w:val="single" w:sz="8" w:space="0" w:color="E9E9E9"/>
              <w:left w:val="nil"/>
              <w:bottom w:val="single" w:sz="8" w:space="0" w:color="E9E9E9"/>
              <w:right w:val="nil"/>
            </w:tcBorders>
            <w:tcMar>
              <w:top w:w="0" w:type="dxa"/>
              <w:left w:w="53" w:type="dxa"/>
              <w:bottom w:w="0" w:type="dxa"/>
              <w:right w:w="53" w:type="dxa"/>
            </w:tcMar>
            <w:vAlign w:val="center"/>
          </w:tcPr>
          <w:p w14:paraId="054F95C0" w14:textId="77777777" w:rsidR="001614AC" w:rsidRDefault="004468F9">
            <w:pPr>
              <w:keepNext/>
              <w:spacing w:line="288" w:lineRule="auto"/>
              <w:jc w:val="right"/>
            </w:pPr>
            <w:r>
              <w:rPr>
                <w:rFonts w:ascii="Arial" w:eastAsia="Arial" w:hAnsi="Arial" w:cs="Arial"/>
                <w:color w:val="000000"/>
                <w:sz w:val="16"/>
              </w:rPr>
              <w:t>16.7</w:t>
            </w:r>
          </w:p>
        </w:tc>
        <w:tc>
          <w:tcPr>
            <w:tcW w:w="560" w:type="dxa"/>
            <w:tcBorders>
              <w:top w:val="single" w:sz="8" w:space="0" w:color="E9E9E9"/>
              <w:left w:val="nil"/>
              <w:bottom w:val="single" w:sz="8" w:space="0" w:color="E9E9E9"/>
              <w:right w:val="nil"/>
            </w:tcBorders>
            <w:tcMar>
              <w:top w:w="0" w:type="dxa"/>
              <w:left w:w="53" w:type="dxa"/>
              <w:bottom w:w="0" w:type="dxa"/>
              <w:right w:w="0" w:type="dxa"/>
            </w:tcMar>
            <w:vAlign w:val="center"/>
          </w:tcPr>
          <w:p w14:paraId="593088FE" w14:textId="77777777" w:rsidR="001614AC" w:rsidRDefault="004468F9">
            <w:pPr>
              <w:keepNext/>
              <w:spacing w:line="288" w:lineRule="auto"/>
              <w:jc w:val="right"/>
            </w:pPr>
            <w:r>
              <w:rPr>
                <w:rFonts w:ascii="Arial" w:eastAsia="Arial" w:hAnsi="Arial" w:cs="Arial"/>
                <w:color w:val="000000"/>
                <w:sz w:val="16"/>
              </w:rPr>
              <w:t>7.1 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center"/>
          </w:tcPr>
          <w:p w14:paraId="3604527D" w14:textId="77777777" w:rsidR="001614AC" w:rsidRDefault="001614AC">
            <w:pPr>
              <w:keepNext/>
              <w:spacing w:line="288" w:lineRule="auto"/>
              <w:jc w:val="right"/>
            </w:pPr>
          </w:p>
        </w:tc>
        <w:tc>
          <w:tcPr>
            <w:tcW w:w="645" w:type="dxa"/>
            <w:tcBorders>
              <w:top w:val="single" w:sz="8" w:space="0" w:color="E9E9E9"/>
              <w:left w:val="nil"/>
              <w:bottom w:val="single" w:sz="8" w:space="0" w:color="E9E9E9"/>
              <w:right w:val="nil"/>
            </w:tcBorders>
            <w:tcMar>
              <w:top w:w="0" w:type="dxa"/>
              <w:left w:w="53" w:type="dxa"/>
              <w:bottom w:w="0" w:type="dxa"/>
              <w:right w:w="53" w:type="dxa"/>
            </w:tcMar>
            <w:vAlign w:val="center"/>
          </w:tcPr>
          <w:p w14:paraId="5EDD538F" w14:textId="77777777" w:rsidR="001614AC" w:rsidRDefault="004468F9">
            <w:pPr>
              <w:keepNext/>
              <w:spacing w:line="288" w:lineRule="auto"/>
              <w:jc w:val="right"/>
            </w:pPr>
            <w:r>
              <w:rPr>
                <w:rFonts w:ascii="Arial" w:eastAsia="Arial" w:hAnsi="Arial" w:cs="Arial"/>
                <w:color w:val="000000"/>
                <w:sz w:val="16"/>
              </w:rPr>
              <w:t>23.5</w:t>
            </w:r>
          </w:p>
        </w:tc>
        <w:tc>
          <w:tcPr>
            <w:tcW w:w="560" w:type="dxa"/>
            <w:tcBorders>
              <w:top w:val="single" w:sz="8" w:space="0" w:color="E9E9E9"/>
              <w:left w:val="nil"/>
              <w:bottom w:val="single" w:sz="8" w:space="0" w:color="E9E9E9"/>
              <w:right w:val="nil"/>
            </w:tcBorders>
            <w:tcMar>
              <w:top w:w="0" w:type="dxa"/>
              <w:left w:w="53" w:type="dxa"/>
              <w:bottom w:w="0" w:type="dxa"/>
              <w:right w:w="0" w:type="dxa"/>
            </w:tcMar>
            <w:vAlign w:val="center"/>
          </w:tcPr>
          <w:p w14:paraId="6BDB8018" w14:textId="77777777" w:rsidR="001614AC" w:rsidRDefault="004468F9">
            <w:pPr>
              <w:keepNext/>
              <w:spacing w:line="288" w:lineRule="auto"/>
              <w:jc w:val="right"/>
            </w:pPr>
            <w:r>
              <w:rPr>
                <w:rFonts w:ascii="Arial" w:eastAsia="Arial" w:hAnsi="Arial" w:cs="Arial"/>
                <w:color w:val="000000"/>
                <w:sz w:val="16"/>
              </w:rPr>
              <w:t>9.5 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center"/>
          </w:tcPr>
          <w:p w14:paraId="5ECE0F2E" w14:textId="77777777" w:rsidR="001614AC" w:rsidRDefault="001614AC">
            <w:pPr>
              <w:keepNext/>
              <w:spacing w:line="288" w:lineRule="auto"/>
              <w:jc w:val="right"/>
            </w:pPr>
          </w:p>
        </w:tc>
        <w:tc>
          <w:tcPr>
            <w:tcW w:w="615" w:type="dxa"/>
            <w:tcBorders>
              <w:top w:val="single" w:sz="8" w:space="0" w:color="E9E9E9"/>
              <w:left w:val="nil"/>
              <w:bottom w:val="single" w:sz="8" w:space="0" w:color="E9E9E9"/>
              <w:right w:val="nil"/>
            </w:tcBorders>
            <w:tcMar>
              <w:top w:w="0" w:type="dxa"/>
              <w:left w:w="53" w:type="dxa"/>
              <w:bottom w:w="0" w:type="dxa"/>
              <w:right w:w="53" w:type="dxa"/>
            </w:tcMar>
            <w:vAlign w:val="center"/>
          </w:tcPr>
          <w:p w14:paraId="2229384C" w14:textId="77777777" w:rsidR="001614AC" w:rsidRDefault="004468F9">
            <w:pPr>
              <w:keepNext/>
              <w:spacing w:line="288" w:lineRule="auto"/>
              <w:jc w:val="right"/>
            </w:pPr>
            <w:r>
              <w:rPr>
                <w:rFonts w:ascii="Arial" w:eastAsia="Arial" w:hAnsi="Arial" w:cs="Arial"/>
                <w:color w:val="000000"/>
                <w:sz w:val="16"/>
              </w:rPr>
              <w:t>33.1</w:t>
            </w:r>
          </w:p>
        </w:tc>
        <w:tc>
          <w:tcPr>
            <w:tcW w:w="560" w:type="dxa"/>
            <w:tcBorders>
              <w:top w:val="single" w:sz="8" w:space="0" w:color="E9E9E9"/>
              <w:left w:val="nil"/>
              <w:bottom w:val="single" w:sz="8" w:space="0" w:color="E9E9E9"/>
              <w:right w:val="nil"/>
            </w:tcBorders>
            <w:tcMar>
              <w:top w:w="0" w:type="dxa"/>
              <w:left w:w="53" w:type="dxa"/>
              <w:bottom w:w="0" w:type="dxa"/>
              <w:right w:w="0" w:type="dxa"/>
            </w:tcMar>
            <w:vAlign w:val="center"/>
          </w:tcPr>
          <w:p w14:paraId="22617442" w14:textId="77777777" w:rsidR="001614AC" w:rsidRDefault="004468F9">
            <w:pPr>
              <w:keepNext/>
              <w:spacing w:line="288" w:lineRule="auto"/>
              <w:jc w:val="right"/>
            </w:pPr>
            <w:r>
              <w:rPr>
                <w:rFonts w:ascii="Arial" w:eastAsia="Arial" w:hAnsi="Arial" w:cs="Arial"/>
                <w:color w:val="000000"/>
                <w:sz w:val="16"/>
              </w:rPr>
              <w:t>13.7 </w:t>
            </w:r>
          </w:p>
        </w:tc>
        <w:tc>
          <w:tcPr>
            <w:tcW w:w="100" w:type="dxa"/>
            <w:tcBorders>
              <w:top w:val="single" w:sz="8" w:space="0" w:color="E9E9E9"/>
              <w:left w:val="nil"/>
              <w:bottom w:val="single" w:sz="8" w:space="0" w:color="E9E9E9"/>
              <w:right w:val="single" w:sz="8" w:space="0" w:color="FFFFFF"/>
            </w:tcBorders>
            <w:tcMar>
              <w:top w:w="0" w:type="dxa"/>
              <w:left w:w="0" w:type="dxa"/>
              <w:bottom w:w="0" w:type="dxa"/>
              <w:right w:w="15" w:type="dxa"/>
            </w:tcMar>
            <w:vAlign w:val="center"/>
          </w:tcPr>
          <w:p w14:paraId="0FB5C7BE" w14:textId="77777777" w:rsidR="001614AC" w:rsidRDefault="001614AC">
            <w:pPr>
              <w:keepNext/>
              <w:spacing w:line="288" w:lineRule="auto"/>
              <w:jc w:val="right"/>
            </w:pPr>
          </w:p>
        </w:tc>
      </w:tr>
      <w:tr w:rsidR="001614AC" w14:paraId="2FB6442A" w14:textId="77777777">
        <w:trPr>
          <w:cantSplit/>
          <w:trHeight w:hRule="exact" w:val="300"/>
        </w:trPr>
        <w:tc>
          <w:tcPr>
            <w:tcW w:w="255" w:type="dxa"/>
            <w:tcBorders>
              <w:top w:val="nil"/>
              <w:left w:val="nil"/>
              <w:bottom w:val="nil"/>
              <w:right w:val="nil"/>
            </w:tcBorders>
            <w:tcMar>
              <w:top w:w="0" w:type="dxa"/>
              <w:left w:w="53" w:type="dxa"/>
              <w:bottom w:w="0" w:type="dxa"/>
              <w:right w:w="53" w:type="dxa"/>
            </w:tcMar>
            <w:vAlign w:val="center"/>
          </w:tcPr>
          <w:p w14:paraId="1B913506" w14:textId="77777777" w:rsidR="001614AC" w:rsidRDefault="004468F9">
            <w:pPr>
              <w:keepNext/>
              <w:spacing w:line="288" w:lineRule="auto"/>
              <w:jc w:val="right"/>
              <w:rPr>
                <w:rFonts w:ascii="Wingdings" w:eastAsia="Wingdings" w:hAnsi="Wingdings" w:cs="Wingdings"/>
                <w:color w:val="99AAB6"/>
                <w:sz w:val="20"/>
              </w:rPr>
            </w:pPr>
            <w:r>
              <w:rPr>
                <w:rFonts w:ascii="Wingdings 2" w:eastAsia="Wingdings 2" w:hAnsi="Wingdings 2" w:cs="Wingdings 2"/>
                <w:color w:val="99AAB6"/>
                <w:sz w:val="20"/>
              </w:rPr>
              <w:t>¢</w:t>
            </w:r>
          </w:p>
        </w:tc>
        <w:tc>
          <w:tcPr>
            <w:tcW w:w="1215" w:type="dxa"/>
            <w:tcBorders>
              <w:top w:val="single" w:sz="8" w:space="0" w:color="E9E9E9"/>
              <w:left w:val="nil"/>
              <w:bottom w:val="single" w:sz="8" w:space="0" w:color="E9E9E9"/>
              <w:right w:val="nil"/>
            </w:tcBorders>
            <w:tcMar>
              <w:top w:w="0" w:type="dxa"/>
              <w:left w:w="53" w:type="dxa"/>
              <w:bottom w:w="0" w:type="dxa"/>
              <w:right w:w="53" w:type="dxa"/>
            </w:tcMar>
            <w:vAlign w:val="center"/>
          </w:tcPr>
          <w:p w14:paraId="2CABE61F" w14:textId="77777777" w:rsidR="001614AC" w:rsidRDefault="004468F9">
            <w:pPr>
              <w:keepNext/>
              <w:spacing w:line="288" w:lineRule="auto"/>
            </w:pPr>
            <w:r>
              <w:rPr>
                <w:rFonts w:ascii="Arial" w:eastAsia="Arial" w:hAnsi="Arial" w:cs="Arial"/>
                <w:b/>
                <w:color w:val="000000"/>
                <w:sz w:val="16"/>
              </w:rPr>
              <w:t>2017</w:t>
            </w:r>
          </w:p>
        </w:tc>
        <w:tc>
          <w:tcPr>
            <w:tcW w:w="615" w:type="dxa"/>
            <w:tcBorders>
              <w:top w:val="single" w:sz="8" w:space="0" w:color="E9E9E9"/>
              <w:left w:val="nil"/>
              <w:bottom w:val="single" w:sz="8" w:space="0" w:color="E9E9E9"/>
              <w:right w:val="nil"/>
            </w:tcBorders>
            <w:tcMar>
              <w:top w:w="0" w:type="dxa"/>
              <w:left w:w="53" w:type="dxa"/>
              <w:bottom w:w="0" w:type="dxa"/>
              <w:right w:w="53" w:type="dxa"/>
            </w:tcMar>
            <w:vAlign w:val="center"/>
          </w:tcPr>
          <w:p w14:paraId="59A7FCEA" w14:textId="77777777" w:rsidR="001614AC" w:rsidRDefault="004468F9">
            <w:pPr>
              <w:keepNext/>
              <w:spacing w:line="288" w:lineRule="auto"/>
              <w:jc w:val="right"/>
            </w:pPr>
            <w:r>
              <w:rPr>
                <w:rFonts w:ascii="Arial" w:eastAsia="Arial" w:hAnsi="Arial" w:cs="Arial"/>
                <w:color w:val="000000"/>
                <w:sz w:val="16"/>
              </w:rPr>
              <w:t>15.2</w:t>
            </w:r>
          </w:p>
        </w:tc>
        <w:tc>
          <w:tcPr>
            <w:tcW w:w="560" w:type="dxa"/>
            <w:tcBorders>
              <w:top w:val="single" w:sz="8" w:space="0" w:color="E9E9E9"/>
              <w:left w:val="nil"/>
              <w:bottom w:val="single" w:sz="8" w:space="0" w:color="E9E9E9"/>
              <w:right w:val="nil"/>
            </w:tcBorders>
            <w:tcMar>
              <w:top w:w="0" w:type="dxa"/>
              <w:left w:w="53" w:type="dxa"/>
              <w:bottom w:w="0" w:type="dxa"/>
              <w:right w:w="0" w:type="dxa"/>
            </w:tcMar>
            <w:vAlign w:val="center"/>
          </w:tcPr>
          <w:p w14:paraId="1C9E8C0E" w14:textId="77777777" w:rsidR="001614AC" w:rsidRDefault="004468F9">
            <w:pPr>
              <w:keepNext/>
              <w:spacing w:line="288" w:lineRule="auto"/>
              <w:jc w:val="right"/>
            </w:pPr>
            <w:r>
              <w:rPr>
                <w:rFonts w:ascii="Arial" w:eastAsia="Arial" w:hAnsi="Arial" w:cs="Arial"/>
                <w:color w:val="000000"/>
                <w:sz w:val="16"/>
              </w:rPr>
              <w:t>6.4 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center"/>
          </w:tcPr>
          <w:p w14:paraId="096FAFE9" w14:textId="77777777" w:rsidR="001614AC" w:rsidRDefault="001614AC">
            <w:pPr>
              <w:keepNext/>
              <w:spacing w:line="288" w:lineRule="auto"/>
              <w:jc w:val="right"/>
            </w:pPr>
          </w:p>
        </w:tc>
        <w:tc>
          <w:tcPr>
            <w:tcW w:w="645" w:type="dxa"/>
            <w:tcBorders>
              <w:top w:val="single" w:sz="8" w:space="0" w:color="E9E9E9"/>
              <w:left w:val="nil"/>
              <w:bottom w:val="single" w:sz="8" w:space="0" w:color="E9E9E9"/>
              <w:right w:val="nil"/>
            </w:tcBorders>
            <w:tcMar>
              <w:top w:w="0" w:type="dxa"/>
              <w:left w:w="53" w:type="dxa"/>
              <w:bottom w:w="0" w:type="dxa"/>
              <w:right w:w="53" w:type="dxa"/>
            </w:tcMar>
            <w:vAlign w:val="center"/>
          </w:tcPr>
          <w:p w14:paraId="1CBC2150" w14:textId="77777777" w:rsidR="001614AC" w:rsidRDefault="004468F9">
            <w:pPr>
              <w:keepNext/>
              <w:spacing w:line="288" w:lineRule="auto"/>
              <w:jc w:val="right"/>
            </w:pPr>
            <w:r>
              <w:rPr>
                <w:rFonts w:ascii="Arial" w:eastAsia="Arial" w:hAnsi="Arial" w:cs="Arial"/>
                <w:color w:val="000000"/>
                <w:sz w:val="16"/>
              </w:rPr>
              <w:t>21.2</w:t>
            </w:r>
          </w:p>
        </w:tc>
        <w:tc>
          <w:tcPr>
            <w:tcW w:w="560" w:type="dxa"/>
            <w:tcBorders>
              <w:top w:val="single" w:sz="8" w:space="0" w:color="E9E9E9"/>
              <w:left w:val="nil"/>
              <w:bottom w:val="single" w:sz="8" w:space="0" w:color="E9E9E9"/>
              <w:right w:val="nil"/>
            </w:tcBorders>
            <w:tcMar>
              <w:top w:w="0" w:type="dxa"/>
              <w:left w:w="53" w:type="dxa"/>
              <w:bottom w:w="0" w:type="dxa"/>
              <w:right w:w="0" w:type="dxa"/>
            </w:tcMar>
            <w:vAlign w:val="center"/>
          </w:tcPr>
          <w:p w14:paraId="7856BF38" w14:textId="77777777" w:rsidR="001614AC" w:rsidRDefault="004468F9">
            <w:pPr>
              <w:keepNext/>
              <w:spacing w:line="288" w:lineRule="auto"/>
              <w:jc w:val="right"/>
            </w:pPr>
            <w:r>
              <w:rPr>
                <w:rFonts w:ascii="Arial" w:eastAsia="Arial" w:hAnsi="Arial" w:cs="Arial"/>
                <w:color w:val="000000"/>
                <w:sz w:val="16"/>
              </w:rPr>
              <w:t>8.6 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center"/>
          </w:tcPr>
          <w:p w14:paraId="32F2BA49" w14:textId="77777777" w:rsidR="001614AC" w:rsidRDefault="001614AC">
            <w:pPr>
              <w:keepNext/>
              <w:spacing w:line="288" w:lineRule="auto"/>
              <w:jc w:val="right"/>
            </w:pPr>
          </w:p>
        </w:tc>
        <w:tc>
          <w:tcPr>
            <w:tcW w:w="615" w:type="dxa"/>
            <w:tcBorders>
              <w:top w:val="single" w:sz="8" w:space="0" w:color="E9E9E9"/>
              <w:left w:val="nil"/>
              <w:bottom w:val="single" w:sz="8" w:space="0" w:color="E9E9E9"/>
              <w:right w:val="nil"/>
            </w:tcBorders>
            <w:tcMar>
              <w:top w:w="0" w:type="dxa"/>
              <w:left w:w="53" w:type="dxa"/>
              <w:bottom w:w="0" w:type="dxa"/>
              <w:right w:w="53" w:type="dxa"/>
            </w:tcMar>
            <w:vAlign w:val="center"/>
          </w:tcPr>
          <w:p w14:paraId="24E14E93" w14:textId="77777777" w:rsidR="001614AC" w:rsidRDefault="004468F9">
            <w:pPr>
              <w:keepNext/>
              <w:spacing w:line="288" w:lineRule="auto"/>
              <w:jc w:val="right"/>
            </w:pPr>
            <w:r>
              <w:rPr>
                <w:rFonts w:ascii="Arial" w:eastAsia="Arial" w:hAnsi="Arial" w:cs="Arial"/>
                <w:color w:val="000000"/>
                <w:sz w:val="16"/>
              </w:rPr>
              <w:t>30.4</w:t>
            </w:r>
          </w:p>
        </w:tc>
        <w:tc>
          <w:tcPr>
            <w:tcW w:w="560" w:type="dxa"/>
            <w:tcBorders>
              <w:top w:val="single" w:sz="8" w:space="0" w:color="E9E9E9"/>
              <w:left w:val="nil"/>
              <w:bottom w:val="single" w:sz="8" w:space="0" w:color="E9E9E9"/>
              <w:right w:val="nil"/>
            </w:tcBorders>
            <w:tcMar>
              <w:top w:w="0" w:type="dxa"/>
              <w:left w:w="53" w:type="dxa"/>
              <w:bottom w:w="0" w:type="dxa"/>
              <w:right w:w="0" w:type="dxa"/>
            </w:tcMar>
            <w:vAlign w:val="center"/>
          </w:tcPr>
          <w:p w14:paraId="72901EE3" w14:textId="77777777" w:rsidR="001614AC" w:rsidRDefault="004468F9">
            <w:pPr>
              <w:keepNext/>
              <w:spacing w:line="288" w:lineRule="auto"/>
              <w:jc w:val="right"/>
            </w:pPr>
            <w:r>
              <w:rPr>
                <w:rFonts w:ascii="Arial" w:eastAsia="Arial" w:hAnsi="Arial" w:cs="Arial"/>
                <w:color w:val="000000"/>
                <w:sz w:val="16"/>
              </w:rPr>
              <w:t>12.6 </w:t>
            </w:r>
          </w:p>
        </w:tc>
        <w:tc>
          <w:tcPr>
            <w:tcW w:w="100" w:type="dxa"/>
            <w:tcBorders>
              <w:top w:val="single" w:sz="8" w:space="0" w:color="E9E9E9"/>
              <w:left w:val="nil"/>
              <w:bottom w:val="single" w:sz="8" w:space="0" w:color="E9E9E9"/>
              <w:right w:val="single" w:sz="8" w:space="0" w:color="FFFFFF"/>
            </w:tcBorders>
            <w:tcMar>
              <w:top w:w="0" w:type="dxa"/>
              <w:left w:w="0" w:type="dxa"/>
              <w:bottom w:w="0" w:type="dxa"/>
              <w:right w:w="15" w:type="dxa"/>
            </w:tcMar>
            <w:vAlign w:val="center"/>
          </w:tcPr>
          <w:p w14:paraId="1DFDE13B" w14:textId="77777777" w:rsidR="001614AC" w:rsidRDefault="001614AC">
            <w:pPr>
              <w:keepNext/>
              <w:spacing w:line="288" w:lineRule="auto"/>
              <w:jc w:val="right"/>
            </w:pPr>
          </w:p>
        </w:tc>
      </w:tr>
      <w:tr w:rsidR="001614AC" w14:paraId="12E53FAF" w14:textId="77777777">
        <w:trPr>
          <w:cantSplit/>
          <w:trHeight w:hRule="exact" w:val="300"/>
        </w:trPr>
        <w:tc>
          <w:tcPr>
            <w:tcW w:w="255" w:type="dxa"/>
            <w:tcBorders>
              <w:top w:val="nil"/>
              <w:left w:val="nil"/>
              <w:bottom w:val="nil"/>
              <w:right w:val="nil"/>
            </w:tcBorders>
            <w:tcMar>
              <w:top w:w="0" w:type="dxa"/>
              <w:left w:w="53" w:type="dxa"/>
              <w:bottom w:w="0" w:type="dxa"/>
              <w:right w:w="53" w:type="dxa"/>
            </w:tcMar>
            <w:vAlign w:val="center"/>
          </w:tcPr>
          <w:p w14:paraId="7E61CDC7" w14:textId="77777777" w:rsidR="001614AC" w:rsidRDefault="004468F9">
            <w:pPr>
              <w:keepNext/>
              <w:spacing w:line="288" w:lineRule="auto"/>
              <w:jc w:val="right"/>
              <w:rPr>
                <w:rFonts w:ascii="Wingdings" w:eastAsia="Wingdings" w:hAnsi="Wingdings" w:cs="Wingdings"/>
                <w:color w:val="668092"/>
                <w:sz w:val="20"/>
              </w:rPr>
            </w:pPr>
            <w:r>
              <w:rPr>
                <w:rFonts w:ascii="Wingdings 2" w:eastAsia="Wingdings 2" w:hAnsi="Wingdings 2" w:cs="Wingdings 2"/>
                <w:color w:val="668092"/>
                <w:sz w:val="20"/>
              </w:rPr>
              <w:t>¢</w:t>
            </w:r>
          </w:p>
        </w:tc>
        <w:tc>
          <w:tcPr>
            <w:tcW w:w="1215" w:type="dxa"/>
            <w:tcBorders>
              <w:top w:val="single" w:sz="8" w:space="0" w:color="E9E9E9"/>
              <w:left w:val="nil"/>
              <w:bottom w:val="single" w:sz="8" w:space="0" w:color="E9E9E9"/>
              <w:right w:val="nil"/>
            </w:tcBorders>
            <w:tcMar>
              <w:top w:w="0" w:type="dxa"/>
              <w:left w:w="53" w:type="dxa"/>
              <w:bottom w:w="0" w:type="dxa"/>
              <w:right w:w="53" w:type="dxa"/>
            </w:tcMar>
            <w:vAlign w:val="center"/>
          </w:tcPr>
          <w:p w14:paraId="09205949" w14:textId="77777777" w:rsidR="001614AC" w:rsidRDefault="004468F9">
            <w:pPr>
              <w:keepNext/>
              <w:spacing w:line="288" w:lineRule="auto"/>
            </w:pPr>
            <w:r>
              <w:rPr>
                <w:rFonts w:ascii="Arial" w:eastAsia="Arial" w:hAnsi="Arial" w:cs="Arial"/>
                <w:b/>
                <w:color w:val="000000"/>
                <w:sz w:val="16"/>
              </w:rPr>
              <w:t>201</w:t>
            </w:r>
            <w:r>
              <w:rPr>
                <w:rFonts w:ascii="Arial" w:eastAsia="Arial" w:hAnsi="Arial" w:cs="Arial"/>
                <w:b/>
                <w:color w:val="000000"/>
                <w:sz w:val="16"/>
              </w:rPr>
              <w:t>6</w:t>
            </w:r>
          </w:p>
        </w:tc>
        <w:tc>
          <w:tcPr>
            <w:tcW w:w="615" w:type="dxa"/>
            <w:tcBorders>
              <w:top w:val="single" w:sz="8" w:space="0" w:color="E9E9E9"/>
              <w:left w:val="nil"/>
              <w:bottom w:val="single" w:sz="8" w:space="0" w:color="E9E9E9"/>
              <w:right w:val="nil"/>
            </w:tcBorders>
            <w:tcMar>
              <w:top w:w="0" w:type="dxa"/>
              <w:left w:w="53" w:type="dxa"/>
              <w:bottom w:w="0" w:type="dxa"/>
              <w:right w:w="53" w:type="dxa"/>
            </w:tcMar>
            <w:vAlign w:val="center"/>
          </w:tcPr>
          <w:p w14:paraId="390E0117" w14:textId="77777777" w:rsidR="001614AC" w:rsidRDefault="004468F9">
            <w:pPr>
              <w:keepNext/>
              <w:spacing w:line="288" w:lineRule="auto"/>
              <w:jc w:val="right"/>
            </w:pPr>
            <w:r>
              <w:rPr>
                <w:rFonts w:ascii="Arial" w:eastAsia="Arial" w:hAnsi="Arial" w:cs="Arial"/>
                <w:color w:val="000000"/>
                <w:sz w:val="16"/>
              </w:rPr>
              <w:t>13.0</w:t>
            </w:r>
          </w:p>
        </w:tc>
        <w:tc>
          <w:tcPr>
            <w:tcW w:w="560" w:type="dxa"/>
            <w:tcBorders>
              <w:top w:val="single" w:sz="8" w:space="0" w:color="E9E9E9"/>
              <w:left w:val="nil"/>
              <w:bottom w:val="single" w:sz="8" w:space="0" w:color="E9E9E9"/>
              <w:right w:val="nil"/>
            </w:tcBorders>
            <w:tcMar>
              <w:top w:w="0" w:type="dxa"/>
              <w:left w:w="53" w:type="dxa"/>
              <w:bottom w:w="0" w:type="dxa"/>
              <w:right w:w="0" w:type="dxa"/>
            </w:tcMar>
            <w:vAlign w:val="center"/>
          </w:tcPr>
          <w:p w14:paraId="694C9257" w14:textId="77777777" w:rsidR="001614AC" w:rsidRDefault="004468F9">
            <w:pPr>
              <w:keepNext/>
              <w:spacing w:line="288" w:lineRule="auto"/>
              <w:jc w:val="right"/>
            </w:pPr>
            <w:r>
              <w:rPr>
                <w:rFonts w:ascii="Arial" w:eastAsia="Arial" w:hAnsi="Arial" w:cs="Arial"/>
                <w:color w:val="000000"/>
                <w:sz w:val="16"/>
              </w:rPr>
              <w:t>5.5 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center"/>
          </w:tcPr>
          <w:p w14:paraId="3996FC48" w14:textId="77777777" w:rsidR="001614AC" w:rsidRDefault="001614AC">
            <w:pPr>
              <w:keepNext/>
              <w:spacing w:line="288" w:lineRule="auto"/>
              <w:jc w:val="right"/>
            </w:pPr>
          </w:p>
        </w:tc>
        <w:tc>
          <w:tcPr>
            <w:tcW w:w="645" w:type="dxa"/>
            <w:tcBorders>
              <w:top w:val="single" w:sz="8" w:space="0" w:color="E9E9E9"/>
              <w:left w:val="nil"/>
              <w:bottom w:val="single" w:sz="8" w:space="0" w:color="E9E9E9"/>
              <w:right w:val="nil"/>
            </w:tcBorders>
            <w:tcMar>
              <w:top w:w="0" w:type="dxa"/>
              <w:left w:w="53" w:type="dxa"/>
              <w:bottom w:w="0" w:type="dxa"/>
              <w:right w:w="53" w:type="dxa"/>
            </w:tcMar>
            <w:vAlign w:val="center"/>
          </w:tcPr>
          <w:p w14:paraId="7059267A" w14:textId="77777777" w:rsidR="001614AC" w:rsidRDefault="004468F9">
            <w:pPr>
              <w:keepNext/>
              <w:spacing w:line="288" w:lineRule="auto"/>
              <w:jc w:val="right"/>
            </w:pPr>
            <w:r>
              <w:rPr>
                <w:rFonts w:ascii="Arial" w:eastAsia="Arial" w:hAnsi="Arial" w:cs="Arial"/>
                <w:color w:val="000000"/>
                <w:sz w:val="16"/>
              </w:rPr>
              <w:t>17.5</w:t>
            </w:r>
          </w:p>
        </w:tc>
        <w:tc>
          <w:tcPr>
            <w:tcW w:w="560" w:type="dxa"/>
            <w:tcBorders>
              <w:top w:val="single" w:sz="8" w:space="0" w:color="E9E9E9"/>
              <w:left w:val="nil"/>
              <w:bottom w:val="single" w:sz="8" w:space="0" w:color="E9E9E9"/>
              <w:right w:val="nil"/>
            </w:tcBorders>
            <w:tcMar>
              <w:top w:w="0" w:type="dxa"/>
              <w:left w:w="53" w:type="dxa"/>
              <w:bottom w:w="0" w:type="dxa"/>
              <w:right w:w="0" w:type="dxa"/>
            </w:tcMar>
            <w:vAlign w:val="center"/>
          </w:tcPr>
          <w:p w14:paraId="27260BBC" w14:textId="77777777" w:rsidR="001614AC" w:rsidRDefault="004468F9">
            <w:pPr>
              <w:keepNext/>
              <w:spacing w:line="288" w:lineRule="auto"/>
              <w:jc w:val="right"/>
            </w:pPr>
            <w:r>
              <w:rPr>
                <w:rFonts w:ascii="Arial" w:eastAsia="Arial" w:hAnsi="Arial" w:cs="Arial"/>
                <w:color w:val="000000"/>
                <w:sz w:val="16"/>
              </w:rPr>
              <w:t>7.1 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center"/>
          </w:tcPr>
          <w:p w14:paraId="799CF70C" w14:textId="77777777" w:rsidR="001614AC" w:rsidRDefault="001614AC">
            <w:pPr>
              <w:keepNext/>
              <w:spacing w:line="288" w:lineRule="auto"/>
              <w:jc w:val="right"/>
            </w:pPr>
          </w:p>
        </w:tc>
        <w:tc>
          <w:tcPr>
            <w:tcW w:w="615" w:type="dxa"/>
            <w:tcBorders>
              <w:top w:val="single" w:sz="8" w:space="0" w:color="E9E9E9"/>
              <w:left w:val="nil"/>
              <w:bottom w:val="single" w:sz="8" w:space="0" w:color="E9E9E9"/>
              <w:right w:val="nil"/>
            </w:tcBorders>
            <w:tcMar>
              <w:top w:w="0" w:type="dxa"/>
              <w:left w:w="53" w:type="dxa"/>
              <w:bottom w:w="0" w:type="dxa"/>
              <w:right w:w="53" w:type="dxa"/>
            </w:tcMar>
            <w:vAlign w:val="center"/>
          </w:tcPr>
          <w:p w14:paraId="15BE79B4" w14:textId="77777777" w:rsidR="001614AC" w:rsidRDefault="004468F9">
            <w:pPr>
              <w:keepNext/>
              <w:spacing w:line="288" w:lineRule="auto"/>
              <w:jc w:val="right"/>
            </w:pPr>
            <w:r>
              <w:rPr>
                <w:rFonts w:ascii="Arial" w:eastAsia="Arial" w:hAnsi="Arial" w:cs="Arial"/>
                <w:color w:val="000000"/>
                <w:sz w:val="16"/>
              </w:rPr>
              <w:t>24.6</w:t>
            </w:r>
          </w:p>
        </w:tc>
        <w:tc>
          <w:tcPr>
            <w:tcW w:w="560" w:type="dxa"/>
            <w:tcBorders>
              <w:top w:val="single" w:sz="8" w:space="0" w:color="E9E9E9"/>
              <w:left w:val="nil"/>
              <w:bottom w:val="single" w:sz="8" w:space="0" w:color="E9E9E9"/>
              <w:right w:val="nil"/>
            </w:tcBorders>
            <w:tcMar>
              <w:top w:w="0" w:type="dxa"/>
              <w:left w:w="53" w:type="dxa"/>
              <w:bottom w:w="0" w:type="dxa"/>
              <w:right w:w="0" w:type="dxa"/>
            </w:tcMar>
            <w:vAlign w:val="center"/>
          </w:tcPr>
          <w:p w14:paraId="474FA90F" w14:textId="77777777" w:rsidR="001614AC" w:rsidRDefault="004468F9">
            <w:pPr>
              <w:keepNext/>
              <w:spacing w:line="288" w:lineRule="auto"/>
              <w:jc w:val="right"/>
            </w:pPr>
            <w:r>
              <w:rPr>
                <w:rFonts w:ascii="Arial" w:eastAsia="Arial" w:hAnsi="Arial" w:cs="Arial"/>
                <w:color w:val="000000"/>
                <w:sz w:val="16"/>
              </w:rPr>
              <w:t>10.2 </w:t>
            </w:r>
          </w:p>
        </w:tc>
        <w:tc>
          <w:tcPr>
            <w:tcW w:w="100" w:type="dxa"/>
            <w:tcBorders>
              <w:top w:val="single" w:sz="8" w:space="0" w:color="E9E9E9"/>
              <w:left w:val="nil"/>
              <w:bottom w:val="single" w:sz="8" w:space="0" w:color="E9E9E9"/>
              <w:right w:val="single" w:sz="8" w:space="0" w:color="FFFFFF"/>
            </w:tcBorders>
            <w:tcMar>
              <w:top w:w="0" w:type="dxa"/>
              <w:left w:w="0" w:type="dxa"/>
              <w:bottom w:w="0" w:type="dxa"/>
              <w:right w:w="15" w:type="dxa"/>
            </w:tcMar>
            <w:vAlign w:val="center"/>
          </w:tcPr>
          <w:p w14:paraId="561586E7" w14:textId="77777777" w:rsidR="001614AC" w:rsidRDefault="001614AC">
            <w:pPr>
              <w:keepNext/>
              <w:spacing w:line="288" w:lineRule="auto"/>
              <w:jc w:val="right"/>
            </w:pPr>
          </w:p>
        </w:tc>
      </w:tr>
      <w:tr w:rsidR="001614AC" w14:paraId="2D3514F9" w14:textId="77777777">
        <w:trPr>
          <w:cantSplit/>
          <w:trHeight w:hRule="exact" w:val="300"/>
        </w:trPr>
        <w:tc>
          <w:tcPr>
            <w:tcW w:w="255" w:type="dxa"/>
            <w:tcBorders>
              <w:top w:val="nil"/>
              <w:left w:val="nil"/>
              <w:bottom w:val="nil"/>
              <w:right w:val="nil"/>
            </w:tcBorders>
            <w:tcMar>
              <w:top w:w="0" w:type="dxa"/>
              <w:left w:w="53" w:type="dxa"/>
              <w:bottom w:w="0" w:type="dxa"/>
              <w:right w:w="53" w:type="dxa"/>
            </w:tcMar>
            <w:vAlign w:val="center"/>
          </w:tcPr>
          <w:p w14:paraId="7FC8E866" w14:textId="77777777" w:rsidR="001614AC" w:rsidRDefault="004468F9">
            <w:pPr>
              <w:keepNext/>
              <w:spacing w:line="288" w:lineRule="auto"/>
              <w:jc w:val="right"/>
              <w:rPr>
                <w:rFonts w:ascii="Wingdings" w:eastAsia="Wingdings" w:hAnsi="Wingdings" w:cs="Wingdings"/>
                <w:color w:val="33556D"/>
                <w:sz w:val="20"/>
              </w:rPr>
            </w:pPr>
            <w:r>
              <w:rPr>
                <w:rFonts w:ascii="Wingdings 2" w:eastAsia="Wingdings 2" w:hAnsi="Wingdings 2" w:cs="Wingdings 2"/>
                <w:color w:val="33556D"/>
                <w:sz w:val="20"/>
              </w:rPr>
              <w:t>¢</w:t>
            </w:r>
          </w:p>
        </w:tc>
        <w:tc>
          <w:tcPr>
            <w:tcW w:w="1215" w:type="dxa"/>
            <w:tcBorders>
              <w:top w:val="single" w:sz="8" w:space="0" w:color="E9E9E9"/>
              <w:left w:val="nil"/>
              <w:bottom w:val="single" w:sz="8" w:space="0" w:color="E9E9E9"/>
              <w:right w:val="nil"/>
            </w:tcBorders>
            <w:tcMar>
              <w:top w:w="0" w:type="dxa"/>
              <w:left w:w="53" w:type="dxa"/>
              <w:bottom w:w="0" w:type="dxa"/>
              <w:right w:w="53" w:type="dxa"/>
            </w:tcMar>
            <w:vAlign w:val="center"/>
          </w:tcPr>
          <w:p w14:paraId="59888A5D" w14:textId="77777777" w:rsidR="001614AC" w:rsidRDefault="004468F9">
            <w:pPr>
              <w:keepNext/>
              <w:spacing w:line="288" w:lineRule="auto"/>
            </w:pPr>
            <w:r>
              <w:rPr>
                <w:rFonts w:ascii="Arial" w:eastAsia="Arial" w:hAnsi="Arial" w:cs="Arial"/>
                <w:b/>
                <w:color w:val="000000"/>
                <w:sz w:val="16"/>
              </w:rPr>
              <w:t>2009 - 2015</w:t>
            </w:r>
          </w:p>
        </w:tc>
        <w:tc>
          <w:tcPr>
            <w:tcW w:w="615" w:type="dxa"/>
            <w:tcBorders>
              <w:top w:val="single" w:sz="8" w:space="0" w:color="E9E9E9"/>
              <w:left w:val="nil"/>
              <w:bottom w:val="single" w:sz="8" w:space="0" w:color="E9E9E9"/>
              <w:right w:val="nil"/>
            </w:tcBorders>
            <w:tcMar>
              <w:top w:w="0" w:type="dxa"/>
              <w:left w:w="53" w:type="dxa"/>
              <w:bottom w:w="0" w:type="dxa"/>
              <w:right w:w="53" w:type="dxa"/>
            </w:tcMar>
            <w:vAlign w:val="center"/>
          </w:tcPr>
          <w:p w14:paraId="6630EE9F" w14:textId="77777777" w:rsidR="001614AC" w:rsidRDefault="004468F9">
            <w:pPr>
              <w:keepNext/>
              <w:spacing w:line="288" w:lineRule="auto"/>
              <w:jc w:val="right"/>
            </w:pPr>
            <w:r>
              <w:rPr>
                <w:rFonts w:ascii="Arial" w:eastAsia="Arial" w:hAnsi="Arial" w:cs="Arial"/>
                <w:color w:val="000000"/>
                <w:sz w:val="16"/>
              </w:rPr>
              <w:t>19.1</w:t>
            </w:r>
          </w:p>
        </w:tc>
        <w:tc>
          <w:tcPr>
            <w:tcW w:w="560" w:type="dxa"/>
            <w:tcBorders>
              <w:top w:val="single" w:sz="8" w:space="0" w:color="E9E9E9"/>
              <w:left w:val="nil"/>
              <w:bottom w:val="single" w:sz="8" w:space="0" w:color="E9E9E9"/>
              <w:right w:val="nil"/>
            </w:tcBorders>
            <w:tcMar>
              <w:top w:w="0" w:type="dxa"/>
              <w:left w:w="53" w:type="dxa"/>
              <w:bottom w:w="0" w:type="dxa"/>
              <w:right w:w="0" w:type="dxa"/>
            </w:tcMar>
            <w:vAlign w:val="center"/>
          </w:tcPr>
          <w:p w14:paraId="7E3F259F" w14:textId="77777777" w:rsidR="001614AC" w:rsidRDefault="004468F9">
            <w:pPr>
              <w:keepNext/>
              <w:spacing w:line="288" w:lineRule="auto"/>
              <w:jc w:val="right"/>
            </w:pPr>
            <w:r>
              <w:rPr>
                <w:rFonts w:ascii="Arial" w:eastAsia="Arial" w:hAnsi="Arial" w:cs="Arial"/>
                <w:color w:val="000000"/>
                <w:sz w:val="16"/>
              </w:rPr>
              <w:t>8.0 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center"/>
          </w:tcPr>
          <w:p w14:paraId="57933920" w14:textId="77777777" w:rsidR="001614AC" w:rsidRDefault="001614AC">
            <w:pPr>
              <w:keepNext/>
              <w:spacing w:line="288" w:lineRule="auto"/>
              <w:jc w:val="right"/>
            </w:pPr>
          </w:p>
        </w:tc>
        <w:tc>
          <w:tcPr>
            <w:tcW w:w="645" w:type="dxa"/>
            <w:tcBorders>
              <w:top w:val="single" w:sz="8" w:space="0" w:color="E9E9E9"/>
              <w:left w:val="nil"/>
              <w:bottom w:val="single" w:sz="8" w:space="0" w:color="E9E9E9"/>
              <w:right w:val="nil"/>
            </w:tcBorders>
            <w:tcMar>
              <w:top w:w="0" w:type="dxa"/>
              <w:left w:w="53" w:type="dxa"/>
              <w:bottom w:w="0" w:type="dxa"/>
              <w:right w:w="53" w:type="dxa"/>
            </w:tcMar>
            <w:vAlign w:val="center"/>
          </w:tcPr>
          <w:p w14:paraId="46035DE9" w14:textId="77777777" w:rsidR="001614AC" w:rsidRDefault="004468F9">
            <w:pPr>
              <w:keepNext/>
              <w:spacing w:line="288" w:lineRule="auto"/>
              <w:jc w:val="right"/>
            </w:pPr>
            <w:r>
              <w:rPr>
                <w:rFonts w:ascii="Arial" w:eastAsia="Arial" w:hAnsi="Arial" w:cs="Arial"/>
                <w:color w:val="000000"/>
                <w:sz w:val="16"/>
              </w:rPr>
              <w:t>25.7</w:t>
            </w:r>
          </w:p>
        </w:tc>
        <w:tc>
          <w:tcPr>
            <w:tcW w:w="560" w:type="dxa"/>
            <w:tcBorders>
              <w:top w:val="single" w:sz="8" w:space="0" w:color="E9E9E9"/>
              <w:left w:val="nil"/>
              <w:bottom w:val="single" w:sz="8" w:space="0" w:color="E9E9E9"/>
              <w:right w:val="nil"/>
            </w:tcBorders>
            <w:tcMar>
              <w:top w:w="0" w:type="dxa"/>
              <w:left w:w="53" w:type="dxa"/>
              <w:bottom w:w="0" w:type="dxa"/>
              <w:right w:w="0" w:type="dxa"/>
            </w:tcMar>
            <w:vAlign w:val="center"/>
          </w:tcPr>
          <w:p w14:paraId="0A3692F5" w14:textId="77777777" w:rsidR="001614AC" w:rsidRDefault="004468F9">
            <w:pPr>
              <w:keepNext/>
              <w:spacing w:line="288" w:lineRule="auto"/>
              <w:jc w:val="right"/>
            </w:pPr>
            <w:r>
              <w:rPr>
                <w:rFonts w:ascii="Arial" w:eastAsia="Arial" w:hAnsi="Arial" w:cs="Arial"/>
                <w:color w:val="000000"/>
                <w:sz w:val="16"/>
              </w:rPr>
              <w:t>10.5 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center"/>
          </w:tcPr>
          <w:p w14:paraId="6AB07647" w14:textId="77777777" w:rsidR="001614AC" w:rsidRDefault="001614AC">
            <w:pPr>
              <w:keepNext/>
              <w:spacing w:line="288" w:lineRule="auto"/>
              <w:jc w:val="right"/>
            </w:pPr>
          </w:p>
        </w:tc>
        <w:tc>
          <w:tcPr>
            <w:tcW w:w="615" w:type="dxa"/>
            <w:tcBorders>
              <w:top w:val="single" w:sz="8" w:space="0" w:color="E9E9E9"/>
              <w:left w:val="nil"/>
              <w:bottom w:val="single" w:sz="8" w:space="0" w:color="E9E9E9"/>
              <w:right w:val="nil"/>
            </w:tcBorders>
            <w:tcMar>
              <w:top w:w="0" w:type="dxa"/>
              <w:left w:w="53" w:type="dxa"/>
              <w:bottom w:w="0" w:type="dxa"/>
              <w:right w:w="53" w:type="dxa"/>
            </w:tcMar>
            <w:vAlign w:val="center"/>
          </w:tcPr>
          <w:p w14:paraId="0EB66141" w14:textId="77777777" w:rsidR="001614AC" w:rsidRDefault="004468F9">
            <w:pPr>
              <w:keepNext/>
              <w:spacing w:line="288" w:lineRule="auto"/>
              <w:jc w:val="right"/>
            </w:pPr>
            <w:r>
              <w:rPr>
                <w:rFonts w:ascii="Arial" w:eastAsia="Arial" w:hAnsi="Arial" w:cs="Arial"/>
                <w:color w:val="000000"/>
                <w:sz w:val="16"/>
              </w:rPr>
              <w:t>36.1</w:t>
            </w:r>
          </w:p>
        </w:tc>
        <w:tc>
          <w:tcPr>
            <w:tcW w:w="560" w:type="dxa"/>
            <w:tcBorders>
              <w:top w:val="single" w:sz="8" w:space="0" w:color="E9E9E9"/>
              <w:left w:val="nil"/>
              <w:bottom w:val="single" w:sz="8" w:space="0" w:color="E9E9E9"/>
              <w:right w:val="nil"/>
            </w:tcBorders>
            <w:tcMar>
              <w:top w:w="0" w:type="dxa"/>
              <w:left w:w="53" w:type="dxa"/>
              <w:bottom w:w="0" w:type="dxa"/>
              <w:right w:w="0" w:type="dxa"/>
            </w:tcMar>
            <w:vAlign w:val="center"/>
          </w:tcPr>
          <w:p w14:paraId="05BDBDD4" w14:textId="77777777" w:rsidR="001614AC" w:rsidRDefault="004468F9">
            <w:pPr>
              <w:keepNext/>
              <w:spacing w:line="288" w:lineRule="auto"/>
              <w:jc w:val="right"/>
            </w:pPr>
            <w:r>
              <w:rPr>
                <w:rFonts w:ascii="Arial" w:eastAsia="Arial" w:hAnsi="Arial" w:cs="Arial"/>
                <w:color w:val="000000"/>
                <w:sz w:val="16"/>
              </w:rPr>
              <w:t>15.0 </w:t>
            </w:r>
          </w:p>
        </w:tc>
        <w:tc>
          <w:tcPr>
            <w:tcW w:w="100" w:type="dxa"/>
            <w:tcBorders>
              <w:top w:val="single" w:sz="8" w:space="0" w:color="E9E9E9"/>
              <w:left w:val="nil"/>
              <w:bottom w:val="single" w:sz="8" w:space="0" w:color="E9E9E9"/>
              <w:right w:val="single" w:sz="8" w:space="0" w:color="FFFFFF"/>
            </w:tcBorders>
            <w:tcMar>
              <w:top w:w="0" w:type="dxa"/>
              <w:left w:w="0" w:type="dxa"/>
              <w:bottom w:w="0" w:type="dxa"/>
              <w:right w:w="15" w:type="dxa"/>
            </w:tcMar>
            <w:vAlign w:val="center"/>
          </w:tcPr>
          <w:p w14:paraId="5B281EDE" w14:textId="77777777" w:rsidR="001614AC" w:rsidRDefault="001614AC">
            <w:pPr>
              <w:keepNext/>
              <w:spacing w:line="288" w:lineRule="auto"/>
              <w:jc w:val="right"/>
            </w:pPr>
          </w:p>
        </w:tc>
      </w:tr>
      <w:tr w:rsidR="001614AC" w14:paraId="1C844E5B" w14:textId="77777777">
        <w:trPr>
          <w:cantSplit/>
          <w:trHeight w:hRule="exact" w:val="300"/>
        </w:trPr>
        <w:tc>
          <w:tcPr>
            <w:tcW w:w="255" w:type="dxa"/>
            <w:tcBorders>
              <w:top w:val="nil"/>
              <w:left w:val="nil"/>
              <w:bottom w:val="nil"/>
              <w:right w:val="nil"/>
            </w:tcBorders>
            <w:tcMar>
              <w:top w:w="0" w:type="dxa"/>
              <w:left w:w="53" w:type="dxa"/>
              <w:bottom w:w="0" w:type="dxa"/>
              <w:right w:w="53" w:type="dxa"/>
            </w:tcMar>
            <w:vAlign w:val="center"/>
          </w:tcPr>
          <w:p w14:paraId="687264A1" w14:textId="77777777" w:rsidR="001614AC" w:rsidRDefault="004468F9">
            <w:pPr>
              <w:keepNext/>
              <w:spacing w:line="288" w:lineRule="auto"/>
              <w:jc w:val="right"/>
              <w:rPr>
                <w:rFonts w:ascii="Wingdings" w:eastAsia="Wingdings" w:hAnsi="Wingdings" w:cs="Wingdings"/>
                <w:color w:val="002B49"/>
                <w:sz w:val="20"/>
              </w:rPr>
            </w:pPr>
            <w:r>
              <w:rPr>
                <w:rFonts w:ascii="Wingdings 2" w:eastAsia="Wingdings 2" w:hAnsi="Wingdings 2" w:cs="Wingdings 2"/>
                <w:color w:val="002B49"/>
                <w:sz w:val="20"/>
              </w:rPr>
              <w:t>¢</w:t>
            </w:r>
          </w:p>
        </w:tc>
        <w:tc>
          <w:tcPr>
            <w:tcW w:w="1215" w:type="dxa"/>
            <w:tcBorders>
              <w:top w:val="single" w:sz="8" w:space="0" w:color="E9E9E9"/>
              <w:left w:val="nil"/>
              <w:bottom w:val="single" w:sz="8" w:space="0" w:color="C7C9C7"/>
              <w:right w:val="nil"/>
            </w:tcBorders>
            <w:tcMar>
              <w:top w:w="0" w:type="dxa"/>
              <w:left w:w="53" w:type="dxa"/>
              <w:bottom w:w="0" w:type="dxa"/>
              <w:right w:w="53" w:type="dxa"/>
            </w:tcMar>
            <w:vAlign w:val="center"/>
          </w:tcPr>
          <w:p w14:paraId="078B5BF8" w14:textId="77777777" w:rsidR="001614AC" w:rsidRDefault="004468F9">
            <w:pPr>
              <w:keepNext/>
              <w:spacing w:line="288" w:lineRule="auto"/>
              <w:rPr>
                <w:rFonts w:ascii="Arial" w:eastAsia="Arial" w:hAnsi="Arial" w:cs="Arial"/>
                <w:b/>
                <w:sz w:val="16"/>
              </w:rPr>
            </w:pPr>
            <w:r>
              <w:rPr>
                <w:rFonts w:ascii="Arial" w:eastAsia="Arial" w:hAnsi="Arial" w:cs="Arial"/>
                <w:b/>
                <w:sz w:val="16"/>
              </w:rPr>
              <w:t>200</w:t>
            </w:r>
            <w:r>
              <w:rPr>
                <w:rFonts w:ascii="Arial" w:eastAsia="Arial" w:hAnsi="Arial" w:cs="Arial"/>
                <w:b/>
                <w:sz w:val="16"/>
              </w:rPr>
              <w:t xml:space="preserve">8 &amp; Prior </w:t>
            </w:r>
            <w:r>
              <w:rPr>
                <w:rFonts w:ascii="Arial" w:eastAsia="Arial" w:hAnsi="Arial" w:cs="Arial"/>
                <w:b/>
                <w:sz w:val="16"/>
                <w:vertAlign w:val="superscript"/>
              </w:rPr>
              <w:t>(2)</w:t>
            </w:r>
          </w:p>
        </w:tc>
        <w:tc>
          <w:tcPr>
            <w:tcW w:w="615" w:type="dxa"/>
            <w:tcBorders>
              <w:top w:val="single" w:sz="8" w:space="0" w:color="E9E9E9"/>
              <w:left w:val="nil"/>
              <w:bottom w:val="single" w:sz="8" w:space="0" w:color="C7C9C7"/>
              <w:right w:val="nil"/>
            </w:tcBorders>
            <w:tcMar>
              <w:top w:w="0" w:type="dxa"/>
              <w:left w:w="53" w:type="dxa"/>
              <w:bottom w:w="0" w:type="dxa"/>
              <w:right w:w="53" w:type="dxa"/>
            </w:tcMar>
            <w:vAlign w:val="center"/>
          </w:tcPr>
          <w:p w14:paraId="0853E6A7" w14:textId="77777777" w:rsidR="001614AC" w:rsidRDefault="004468F9">
            <w:pPr>
              <w:keepNext/>
              <w:spacing w:line="288" w:lineRule="auto"/>
              <w:jc w:val="right"/>
            </w:pPr>
            <w:r>
              <w:rPr>
                <w:rFonts w:ascii="Arial" w:eastAsia="Arial" w:hAnsi="Arial" w:cs="Arial"/>
                <w:color w:val="000000"/>
                <w:sz w:val="16"/>
              </w:rPr>
              <w:t>13.1</w:t>
            </w:r>
          </w:p>
        </w:tc>
        <w:tc>
          <w:tcPr>
            <w:tcW w:w="560" w:type="dxa"/>
            <w:tcBorders>
              <w:top w:val="single" w:sz="8" w:space="0" w:color="E9E9E9"/>
              <w:left w:val="nil"/>
              <w:bottom w:val="single" w:sz="8" w:space="0" w:color="C7C9C7"/>
              <w:right w:val="nil"/>
            </w:tcBorders>
            <w:tcMar>
              <w:top w:w="0" w:type="dxa"/>
              <w:left w:w="53" w:type="dxa"/>
              <w:bottom w:w="0" w:type="dxa"/>
              <w:right w:w="0" w:type="dxa"/>
            </w:tcMar>
            <w:vAlign w:val="center"/>
          </w:tcPr>
          <w:p w14:paraId="15C458EE" w14:textId="77777777" w:rsidR="001614AC" w:rsidRDefault="004468F9">
            <w:pPr>
              <w:keepNext/>
              <w:spacing w:line="288" w:lineRule="auto"/>
              <w:jc w:val="right"/>
            </w:pPr>
            <w:r>
              <w:rPr>
                <w:rFonts w:ascii="Arial" w:eastAsia="Arial" w:hAnsi="Arial" w:cs="Arial"/>
                <w:color w:val="000000"/>
                <w:sz w:val="16"/>
              </w:rPr>
              <w:t>5.5 </w:t>
            </w:r>
          </w:p>
        </w:tc>
        <w:tc>
          <w:tcPr>
            <w:tcW w:w="100" w:type="dxa"/>
            <w:tcBorders>
              <w:top w:val="single" w:sz="8" w:space="0" w:color="E9E9E9"/>
              <w:left w:val="nil"/>
              <w:bottom w:val="single" w:sz="8" w:space="0" w:color="C7C9C7"/>
              <w:right w:val="nil"/>
            </w:tcBorders>
            <w:tcMar>
              <w:top w:w="0" w:type="dxa"/>
              <w:left w:w="0" w:type="dxa"/>
              <w:bottom w:w="0" w:type="dxa"/>
              <w:right w:w="15" w:type="dxa"/>
            </w:tcMar>
            <w:vAlign w:val="center"/>
          </w:tcPr>
          <w:p w14:paraId="28946825" w14:textId="77777777" w:rsidR="001614AC" w:rsidRDefault="001614AC">
            <w:pPr>
              <w:keepNext/>
              <w:spacing w:line="288" w:lineRule="auto"/>
              <w:jc w:val="right"/>
            </w:pPr>
          </w:p>
        </w:tc>
        <w:tc>
          <w:tcPr>
            <w:tcW w:w="645" w:type="dxa"/>
            <w:tcBorders>
              <w:top w:val="single" w:sz="8" w:space="0" w:color="E9E9E9"/>
              <w:left w:val="nil"/>
              <w:bottom w:val="single" w:sz="8" w:space="0" w:color="C7C9C7"/>
              <w:right w:val="nil"/>
            </w:tcBorders>
            <w:tcMar>
              <w:top w:w="0" w:type="dxa"/>
              <w:left w:w="53" w:type="dxa"/>
              <w:bottom w:w="0" w:type="dxa"/>
              <w:right w:w="53" w:type="dxa"/>
            </w:tcMar>
            <w:vAlign w:val="center"/>
          </w:tcPr>
          <w:p w14:paraId="606C2A6E" w14:textId="77777777" w:rsidR="001614AC" w:rsidRDefault="004468F9">
            <w:pPr>
              <w:keepNext/>
              <w:spacing w:line="288" w:lineRule="auto"/>
              <w:jc w:val="right"/>
            </w:pPr>
            <w:r>
              <w:rPr>
                <w:rFonts w:ascii="Arial" w:eastAsia="Arial" w:hAnsi="Arial" w:cs="Arial"/>
                <w:color w:val="000000"/>
                <w:sz w:val="16"/>
              </w:rPr>
              <w:t>14.8</w:t>
            </w:r>
          </w:p>
        </w:tc>
        <w:tc>
          <w:tcPr>
            <w:tcW w:w="560" w:type="dxa"/>
            <w:tcBorders>
              <w:top w:val="single" w:sz="8" w:space="0" w:color="E9E9E9"/>
              <w:left w:val="nil"/>
              <w:bottom w:val="single" w:sz="8" w:space="0" w:color="C7C9C7"/>
              <w:right w:val="nil"/>
            </w:tcBorders>
            <w:tcMar>
              <w:top w:w="0" w:type="dxa"/>
              <w:left w:w="53" w:type="dxa"/>
              <w:bottom w:w="0" w:type="dxa"/>
              <w:right w:w="0" w:type="dxa"/>
            </w:tcMar>
            <w:vAlign w:val="center"/>
          </w:tcPr>
          <w:p w14:paraId="30A4B9BE" w14:textId="77777777" w:rsidR="001614AC" w:rsidRDefault="004468F9">
            <w:pPr>
              <w:keepNext/>
              <w:spacing w:line="288" w:lineRule="auto"/>
              <w:jc w:val="right"/>
            </w:pPr>
            <w:r>
              <w:rPr>
                <w:rFonts w:ascii="Arial" w:eastAsia="Arial" w:hAnsi="Arial" w:cs="Arial"/>
                <w:color w:val="000000"/>
                <w:sz w:val="16"/>
              </w:rPr>
              <w:t>6.0 </w:t>
            </w:r>
          </w:p>
        </w:tc>
        <w:tc>
          <w:tcPr>
            <w:tcW w:w="100" w:type="dxa"/>
            <w:tcBorders>
              <w:top w:val="single" w:sz="8" w:space="0" w:color="E9E9E9"/>
              <w:left w:val="nil"/>
              <w:bottom w:val="single" w:sz="8" w:space="0" w:color="C7C9C7"/>
              <w:right w:val="nil"/>
            </w:tcBorders>
            <w:tcMar>
              <w:top w:w="0" w:type="dxa"/>
              <w:left w:w="0" w:type="dxa"/>
              <w:bottom w:w="0" w:type="dxa"/>
              <w:right w:w="15" w:type="dxa"/>
            </w:tcMar>
            <w:vAlign w:val="center"/>
          </w:tcPr>
          <w:p w14:paraId="3A768A8F" w14:textId="77777777" w:rsidR="001614AC" w:rsidRDefault="001614AC">
            <w:pPr>
              <w:keepNext/>
              <w:spacing w:line="288" w:lineRule="auto"/>
              <w:jc w:val="right"/>
            </w:pPr>
          </w:p>
        </w:tc>
        <w:tc>
          <w:tcPr>
            <w:tcW w:w="615" w:type="dxa"/>
            <w:tcBorders>
              <w:top w:val="single" w:sz="8" w:space="0" w:color="E9E9E9"/>
              <w:left w:val="nil"/>
              <w:bottom w:val="single" w:sz="8" w:space="0" w:color="C7C9C7"/>
              <w:right w:val="nil"/>
            </w:tcBorders>
            <w:tcMar>
              <w:top w:w="0" w:type="dxa"/>
              <w:left w:w="53" w:type="dxa"/>
              <w:bottom w:w="0" w:type="dxa"/>
              <w:right w:w="53" w:type="dxa"/>
            </w:tcMar>
            <w:vAlign w:val="center"/>
          </w:tcPr>
          <w:p w14:paraId="70AE764C" w14:textId="77777777" w:rsidR="001614AC" w:rsidRDefault="004468F9">
            <w:pPr>
              <w:keepNext/>
              <w:spacing w:line="288" w:lineRule="auto"/>
              <w:jc w:val="right"/>
            </w:pPr>
            <w:r>
              <w:rPr>
                <w:rFonts w:ascii="Arial" w:eastAsia="Arial" w:hAnsi="Arial" w:cs="Arial"/>
                <w:color w:val="000000"/>
                <w:sz w:val="16"/>
              </w:rPr>
              <w:t>17.2</w:t>
            </w:r>
          </w:p>
        </w:tc>
        <w:tc>
          <w:tcPr>
            <w:tcW w:w="560" w:type="dxa"/>
            <w:tcBorders>
              <w:top w:val="single" w:sz="8" w:space="0" w:color="E9E9E9"/>
              <w:left w:val="nil"/>
              <w:bottom w:val="single" w:sz="8" w:space="0" w:color="C7C9C7"/>
              <w:right w:val="nil"/>
            </w:tcBorders>
            <w:tcMar>
              <w:top w:w="0" w:type="dxa"/>
              <w:left w:w="53" w:type="dxa"/>
              <w:bottom w:w="0" w:type="dxa"/>
              <w:right w:w="0" w:type="dxa"/>
            </w:tcMar>
            <w:vAlign w:val="center"/>
          </w:tcPr>
          <w:p w14:paraId="6FFD4674" w14:textId="77777777" w:rsidR="001614AC" w:rsidRDefault="004468F9">
            <w:pPr>
              <w:keepNext/>
              <w:spacing w:line="288" w:lineRule="auto"/>
              <w:jc w:val="right"/>
            </w:pPr>
            <w:r>
              <w:rPr>
                <w:rFonts w:ascii="Arial" w:eastAsia="Arial" w:hAnsi="Arial" w:cs="Arial"/>
                <w:color w:val="000000"/>
                <w:sz w:val="16"/>
              </w:rPr>
              <w:t>7.1 </w:t>
            </w:r>
          </w:p>
        </w:tc>
        <w:tc>
          <w:tcPr>
            <w:tcW w:w="100" w:type="dxa"/>
            <w:tcBorders>
              <w:top w:val="single" w:sz="8" w:space="0" w:color="E9E9E9"/>
              <w:left w:val="nil"/>
              <w:bottom w:val="single" w:sz="8" w:space="0" w:color="C7C9C7"/>
              <w:right w:val="single" w:sz="8" w:space="0" w:color="FFFFFF"/>
            </w:tcBorders>
            <w:tcMar>
              <w:top w:w="0" w:type="dxa"/>
              <w:left w:w="0" w:type="dxa"/>
              <w:bottom w:w="0" w:type="dxa"/>
              <w:right w:w="15" w:type="dxa"/>
            </w:tcMar>
            <w:vAlign w:val="center"/>
          </w:tcPr>
          <w:p w14:paraId="6284D24A" w14:textId="77777777" w:rsidR="001614AC" w:rsidRDefault="001614AC">
            <w:pPr>
              <w:keepNext/>
              <w:spacing w:line="288" w:lineRule="auto"/>
              <w:jc w:val="right"/>
            </w:pPr>
          </w:p>
        </w:tc>
      </w:tr>
      <w:tr w:rsidR="001614AC" w14:paraId="295BEC63" w14:textId="77777777">
        <w:trPr>
          <w:cantSplit/>
          <w:trHeight w:hRule="exact" w:val="300"/>
        </w:trPr>
        <w:tc>
          <w:tcPr>
            <w:tcW w:w="255" w:type="dxa"/>
            <w:tcBorders>
              <w:top w:val="nil"/>
              <w:left w:val="nil"/>
              <w:bottom w:val="single" w:sz="8" w:space="0" w:color="FFFFFF"/>
              <w:right w:val="nil"/>
            </w:tcBorders>
            <w:tcMar>
              <w:top w:w="0" w:type="dxa"/>
              <w:left w:w="0" w:type="dxa"/>
              <w:bottom w:w="0" w:type="dxa"/>
              <w:right w:w="0" w:type="dxa"/>
            </w:tcMar>
            <w:vAlign w:val="bottom"/>
          </w:tcPr>
          <w:p w14:paraId="1ABEBB00" w14:textId="77777777" w:rsidR="001614AC" w:rsidRDefault="001614AC">
            <w:pPr>
              <w:keepNext/>
            </w:pPr>
          </w:p>
        </w:tc>
        <w:tc>
          <w:tcPr>
            <w:tcW w:w="1215" w:type="dxa"/>
            <w:tcBorders>
              <w:top w:val="single" w:sz="8" w:space="0" w:color="C7C9C7"/>
              <w:left w:val="single" w:sz="8" w:space="0" w:color="F4F4F4"/>
              <w:bottom w:val="single" w:sz="8" w:space="0" w:color="FFFFFF"/>
              <w:right w:val="nil"/>
            </w:tcBorders>
            <w:shd w:val="clear" w:color="auto" w:fill="F4F4F4"/>
            <w:tcMar>
              <w:top w:w="0" w:type="dxa"/>
              <w:left w:w="53" w:type="dxa"/>
              <w:bottom w:w="0" w:type="dxa"/>
              <w:right w:w="53" w:type="dxa"/>
            </w:tcMar>
            <w:vAlign w:val="center"/>
          </w:tcPr>
          <w:p w14:paraId="22189C7C" w14:textId="77777777" w:rsidR="001614AC" w:rsidRDefault="004468F9">
            <w:pPr>
              <w:keepNext/>
              <w:spacing w:line="288" w:lineRule="auto"/>
            </w:pPr>
            <w:r>
              <w:rPr>
                <w:rFonts w:ascii="Arial" w:eastAsia="Arial" w:hAnsi="Arial" w:cs="Arial"/>
                <w:b/>
                <w:color w:val="000000"/>
                <w:sz w:val="16"/>
              </w:rPr>
              <w:t>Total</w:t>
            </w:r>
          </w:p>
        </w:tc>
        <w:tc>
          <w:tcPr>
            <w:tcW w:w="615" w:type="dxa"/>
            <w:tcBorders>
              <w:top w:val="single" w:sz="8" w:space="0" w:color="C7C9C7"/>
              <w:left w:val="single" w:sz="8" w:space="0" w:color="FFFFFF"/>
              <w:bottom w:val="single" w:sz="8" w:space="0" w:color="FFFFFF"/>
              <w:right w:val="nil"/>
            </w:tcBorders>
            <w:shd w:val="clear" w:color="auto" w:fill="F4F4F4"/>
            <w:tcMar>
              <w:top w:w="0" w:type="dxa"/>
              <w:left w:w="53" w:type="dxa"/>
              <w:bottom w:w="0" w:type="dxa"/>
              <w:right w:w="53" w:type="dxa"/>
            </w:tcMar>
            <w:vAlign w:val="center"/>
          </w:tcPr>
          <w:p w14:paraId="2537FE57" w14:textId="77777777" w:rsidR="001614AC" w:rsidRDefault="004468F9">
            <w:pPr>
              <w:keepNext/>
              <w:spacing w:line="288" w:lineRule="auto"/>
              <w:jc w:val="right"/>
            </w:pPr>
            <w:r>
              <w:rPr>
                <w:rFonts w:ascii="Arial" w:eastAsia="Arial" w:hAnsi="Arial" w:cs="Arial"/>
                <w:color w:val="000000"/>
                <w:sz w:val="16"/>
              </w:rPr>
              <w:t>$237.3</w:t>
            </w:r>
          </w:p>
        </w:tc>
        <w:tc>
          <w:tcPr>
            <w:tcW w:w="560" w:type="dxa"/>
            <w:tcBorders>
              <w:top w:val="single" w:sz="8" w:space="0" w:color="C7C9C7"/>
              <w:left w:val="single" w:sz="8" w:space="0" w:color="F4F4F4"/>
              <w:bottom w:val="single" w:sz="8" w:space="0" w:color="FFFFFF"/>
              <w:right w:val="nil"/>
            </w:tcBorders>
            <w:shd w:val="clear" w:color="auto" w:fill="F4F4F4"/>
            <w:tcMar>
              <w:top w:w="0" w:type="dxa"/>
              <w:left w:w="53" w:type="dxa"/>
              <w:bottom w:w="0" w:type="dxa"/>
              <w:right w:w="0" w:type="dxa"/>
            </w:tcMar>
            <w:vAlign w:val="center"/>
          </w:tcPr>
          <w:p w14:paraId="70251968" w14:textId="77777777" w:rsidR="001614AC" w:rsidRDefault="004468F9">
            <w:pPr>
              <w:keepNext/>
              <w:spacing w:line="288" w:lineRule="auto"/>
              <w:jc w:val="right"/>
            </w:pPr>
            <w:r>
              <w:rPr>
                <w:rFonts w:ascii="Arial" w:eastAsia="Arial" w:hAnsi="Arial" w:cs="Arial"/>
                <w:color w:val="000000"/>
                <w:sz w:val="16"/>
              </w:rPr>
              <w:t>100.0 </w:t>
            </w:r>
          </w:p>
        </w:tc>
        <w:tc>
          <w:tcPr>
            <w:tcW w:w="100" w:type="dxa"/>
            <w:tcBorders>
              <w:top w:val="single" w:sz="8" w:space="0" w:color="C7C9C7"/>
              <w:left w:val="nil"/>
              <w:bottom w:val="single" w:sz="8" w:space="0" w:color="FFFFFF"/>
              <w:right w:val="nil"/>
            </w:tcBorders>
            <w:shd w:val="clear" w:color="auto" w:fill="F4F4F4"/>
            <w:tcMar>
              <w:top w:w="0" w:type="dxa"/>
              <w:left w:w="0" w:type="dxa"/>
              <w:bottom w:w="0" w:type="dxa"/>
              <w:right w:w="15" w:type="dxa"/>
            </w:tcMar>
            <w:vAlign w:val="center"/>
          </w:tcPr>
          <w:p w14:paraId="5A4CA7C3" w14:textId="77777777" w:rsidR="001614AC" w:rsidRDefault="004468F9">
            <w:pPr>
              <w:keepNext/>
              <w:spacing w:line="288" w:lineRule="auto"/>
              <w:jc w:val="right"/>
            </w:pPr>
            <w:r>
              <w:rPr>
                <w:rFonts w:ascii="Arial" w:eastAsia="Arial" w:hAnsi="Arial" w:cs="Arial"/>
                <w:color w:val="000000"/>
                <w:sz w:val="16"/>
              </w:rPr>
              <w:t>%</w:t>
            </w:r>
          </w:p>
        </w:tc>
        <w:tc>
          <w:tcPr>
            <w:tcW w:w="645" w:type="dxa"/>
            <w:tcBorders>
              <w:top w:val="single" w:sz="8" w:space="0" w:color="C7C9C7"/>
              <w:left w:val="single" w:sz="8" w:space="0" w:color="FFFFFF"/>
              <w:bottom w:val="single" w:sz="8" w:space="0" w:color="FFFFFF"/>
              <w:right w:val="nil"/>
            </w:tcBorders>
            <w:shd w:val="clear" w:color="auto" w:fill="F4F4F4"/>
            <w:tcMar>
              <w:top w:w="0" w:type="dxa"/>
              <w:left w:w="53" w:type="dxa"/>
              <w:bottom w:w="0" w:type="dxa"/>
              <w:right w:w="53" w:type="dxa"/>
            </w:tcMar>
            <w:vAlign w:val="center"/>
          </w:tcPr>
          <w:p w14:paraId="49CCBCC8" w14:textId="77777777" w:rsidR="001614AC" w:rsidRDefault="004468F9">
            <w:pPr>
              <w:keepNext/>
              <w:spacing w:line="288" w:lineRule="auto"/>
              <w:jc w:val="right"/>
            </w:pPr>
            <w:r>
              <w:rPr>
                <w:rFonts w:ascii="Arial" w:eastAsia="Arial" w:hAnsi="Arial" w:cs="Arial"/>
                <w:color w:val="000000"/>
                <w:sz w:val="16"/>
              </w:rPr>
              <w:t>$246.1</w:t>
            </w:r>
          </w:p>
        </w:tc>
        <w:tc>
          <w:tcPr>
            <w:tcW w:w="560" w:type="dxa"/>
            <w:tcBorders>
              <w:top w:val="single" w:sz="8" w:space="0" w:color="C7C9C7"/>
              <w:left w:val="single" w:sz="8" w:space="0" w:color="F4F4F4"/>
              <w:bottom w:val="single" w:sz="8" w:space="0" w:color="FFFFFF"/>
              <w:right w:val="nil"/>
            </w:tcBorders>
            <w:shd w:val="clear" w:color="auto" w:fill="F4F4F4"/>
            <w:tcMar>
              <w:top w:w="0" w:type="dxa"/>
              <w:left w:w="53" w:type="dxa"/>
              <w:bottom w:w="0" w:type="dxa"/>
              <w:right w:w="0" w:type="dxa"/>
            </w:tcMar>
            <w:vAlign w:val="center"/>
          </w:tcPr>
          <w:p w14:paraId="4E730F6F" w14:textId="77777777" w:rsidR="001614AC" w:rsidRDefault="004468F9">
            <w:pPr>
              <w:keepNext/>
              <w:spacing w:line="288" w:lineRule="auto"/>
              <w:jc w:val="right"/>
            </w:pPr>
            <w:r>
              <w:rPr>
                <w:rFonts w:ascii="Arial" w:eastAsia="Arial" w:hAnsi="Arial" w:cs="Arial"/>
                <w:color w:val="000000"/>
                <w:sz w:val="16"/>
              </w:rPr>
              <w:t>100.0 </w:t>
            </w:r>
          </w:p>
        </w:tc>
        <w:tc>
          <w:tcPr>
            <w:tcW w:w="100" w:type="dxa"/>
            <w:tcBorders>
              <w:top w:val="single" w:sz="8" w:space="0" w:color="C7C9C7"/>
              <w:left w:val="nil"/>
              <w:bottom w:val="single" w:sz="8" w:space="0" w:color="FFFFFF"/>
              <w:right w:val="nil"/>
            </w:tcBorders>
            <w:shd w:val="clear" w:color="auto" w:fill="F4F4F4"/>
            <w:tcMar>
              <w:top w:w="0" w:type="dxa"/>
              <w:left w:w="0" w:type="dxa"/>
              <w:bottom w:w="0" w:type="dxa"/>
              <w:right w:w="15" w:type="dxa"/>
            </w:tcMar>
            <w:vAlign w:val="center"/>
          </w:tcPr>
          <w:p w14:paraId="2F23F9CE" w14:textId="77777777" w:rsidR="001614AC" w:rsidRDefault="004468F9">
            <w:pPr>
              <w:keepNext/>
              <w:spacing w:line="288" w:lineRule="auto"/>
              <w:jc w:val="right"/>
            </w:pPr>
            <w:r>
              <w:rPr>
                <w:rFonts w:ascii="Arial" w:eastAsia="Arial" w:hAnsi="Arial" w:cs="Arial"/>
                <w:color w:val="000000"/>
                <w:sz w:val="16"/>
              </w:rPr>
              <w:t>%</w:t>
            </w:r>
          </w:p>
        </w:tc>
        <w:tc>
          <w:tcPr>
            <w:tcW w:w="615" w:type="dxa"/>
            <w:tcBorders>
              <w:top w:val="single" w:sz="8" w:space="0" w:color="C7C9C7"/>
              <w:left w:val="single" w:sz="8" w:space="0" w:color="FFFFFF"/>
              <w:bottom w:val="single" w:sz="8" w:space="0" w:color="FFFFFF"/>
              <w:right w:val="nil"/>
            </w:tcBorders>
            <w:shd w:val="clear" w:color="auto" w:fill="F4F4F4"/>
            <w:tcMar>
              <w:top w:w="0" w:type="dxa"/>
              <w:left w:w="53" w:type="dxa"/>
              <w:bottom w:w="0" w:type="dxa"/>
              <w:right w:w="53" w:type="dxa"/>
            </w:tcMar>
            <w:vAlign w:val="center"/>
          </w:tcPr>
          <w:p w14:paraId="12331D92" w14:textId="77777777" w:rsidR="001614AC" w:rsidRDefault="004468F9">
            <w:pPr>
              <w:keepNext/>
              <w:spacing w:line="288" w:lineRule="auto"/>
              <w:jc w:val="right"/>
            </w:pPr>
            <w:r>
              <w:rPr>
                <w:rFonts w:ascii="Arial" w:eastAsia="Arial" w:hAnsi="Arial" w:cs="Arial"/>
                <w:color w:val="000000"/>
                <w:sz w:val="16"/>
              </w:rPr>
              <w:t>$241.3</w:t>
            </w:r>
          </w:p>
        </w:tc>
        <w:tc>
          <w:tcPr>
            <w:tcW w:w="560" w:type="dxa"/>
            <w:tcBorders>
              <w:top w:val="single" w:sz="8" w:space="0" w:color="C7C9C7"/>
              <w:left w:val="single" w:sz="8" w:space="0" w:color="F4F4F4"/>
              <w:bottom w:val="single" w:sz="8" w:space="0" w:color="FFFFFF"/>
              <w:right w:val="nil"/>
            </w:tcBorders>
            <w:shd w:val="clear" w:color="auto" w:fill="F4F4F4"/>
            <w:tcMar>
              <w:top w:w="0" w:type="dxa"/>
              <w:left w:w="53" w:type="dxa"/>
              <w:bottom w:w="0" w:type="dxa"/>
              <w:right w:w="0" w:type="dxa"/>
            </w:tcMar>
            <w:vAlign w:val="center"/>
          </w:tcPr>
          <w:p w14:paraId="4E021353" w14:textId="77777777" w:rsidR="001614AC" w:rsidRDefault="004468F9">
            <w:pPr>
              <w:keepNext/>
              <w:spacing w:line="288" w:lineRule="auto"/>
              <w:jc w:val="right"/>
            </w:pPr>
            <w:r>
              <w:rPr>
                <w:rFonts w:ascii="Arial" w:eastAsia="Arial" w:hAnsi="Arial" w:cs="Arial"/>
                <w:color w:val="000000"/>
                <w:sz w:val="16"/>
              </w:rPr>
              <w:t>100.0 </w:t>
            </w:r>
          </w:p>
        </w:tc>
        <w:tc>
          <w:tcPr>
            <w:tcW w:w="100" w:type="dxa"/>
            <w:tcBorders>
              <w:top w:val="single" w:sz="8" w:space="0" w:color="C7C9C7"/>
              <w:left w:val="nil"/>
              <w:bottom w:val="single" w:sz="8" w:space="0" w:color="FFFFFF"/>
              <w:right w:val="single" w:sz="8" w:space="0" w:color="FFFFFF"/>
            </w:tcBorders>
            <w:shd w:val="clear" w:color="auto" w:fill="F4F4F4"/>
            <w:tcMar>
              <w:top w:w="0" w:type="dxa"/>
              <w:left w:w="0" w:type="dxa"/>
              <w:bottom w:w="0" w:type="dxa"/>
              <w:right w:w="15" w:type="dxa"/>
            </w:tcMar>
            <w:vAlign w:val="center"/>
          </w:tcPr>
          <w:p w14:paraId="40AC3437" w14:textId="77777777" w:rsidR="001614AC" w:rsidRDefault="004468F9">
            <w:pPr>
              <w:keepNext/>
              <w:spacing w:line="288" w:lineRule="auto"/>
              <w:jc w:val="right"/>
            </w:pPr>
            <w:r>
              <w:rPr>
                <w:rFonts w:ascii="Arial" w:eastAsia="Arial" w:hAnsi="Arial" w:cs="Arial"/>
                <w:color w:val="000000"/>
                <w:sz w:val="16"/>
              </w:rPr>
              <w:t>%</w:t>
            </w:r>
          </w:p>
        </w:tc>
      </w:tr>
      <w:tr w:rsidR="001614AC" w14:paraId="134A3FDC" w14:textId="77777777">
        <w:trPr>
          <w:cantSplit/>
          <w:trHeight w:hRule="exact" w:val="240"/>
        </w:trPr>
        <w:tc>
          <w:tcPr>
            <w:tcW w:w="255" w:type="dxa"/>
            <w:tcBorders>
              <w:top w:val="single" w:sz="8" w:space="0" w:color="FFFFFF"/>
              <w:left w:val="nil"/>
              <w:bottom w:val="nil"/>
              <w:right w:val="nil"/>
            </w:tcBorders>
            <w:tcMar>
              <w:top w:w="0" w:type="dxa"/>
              <w:left w:w="0" w:type="dxa"/>
              <w:bottom w:w="0" w:type="dxa"/>
              <w:right w:w="0" w:type="dxa"/>
            </w:tcMar>
            <w:vAlign w:val="bottom"/>
          </w:tcPr>
          <w:p w14:paraId="4688539A" w14:textId="77777777" w:rsidR="001614AC" w:rsidRDefault="001614AC"/>
        </w:tc>
        <w:tc>
          <w:tcPr>
            <w:tcW w:w="1215" w:type="dxa"/>
            <w:tcBorders>
              <w:top w:val="single" w:sz="8" w:space="0" w:color="FFFFFF"/>
              <w:left w:val="nil"/>
              <w:bottom w:val="nil"/>
              <w:right w:val="nil"/>
            </w:tcBorders>
            <w:tcMar>
              <w:top w:w="0" w:type="dxa"/>
              <w:left w:w="0" w:type="dxa"/>
              <w:bottom w:w="0" w:type="dxa"/>
              <w:right w:w="0" w:type="dxa"/>
            </w:tcMar>
            <w:vAlign w:val="bottom"/>
          </w:tcPr>
          <w:p w14:paraId="76FC1947" w14:textId="77777777" w:rsidR="001614AC" w:rsidRDefault="001614AC"/>
        </w:tc>
        <w:tc>
          <w:tcPr>
            <w:tcW w:w="615" w:type="dxa"/>
            <w:tcBorders>
              <w:top w:val="single" w:sz="8" w:space="0" w:color="FFFFFF"/>
              <w:left w:val="nil"/>
              <w:bottom w:val="nil"/>
              <w:right w:val="nil"/>
            </w:tcBorders>
            <w:tcMar>
              <w:top w:w="0" w:type="dxa"/>
              <w:left w:w="0" w:type="dxa"/>
              <w:bottom w:w="0" w:type="dxa"/>
              <w:right w:w="0" w:type="dxa"/>
            </w:tcMar>
            <w:vAlign w:val="bottom"/>
          </w:tcPr>
          <w:p w14:paraId="4062ACEF" w14:textId="77777777" w:rsidR="001614AC" w:rsidRDefault="001614AC"/>
        </w:tc>
        <w:tc>
          <w:tcPr>
            <w:tcW w:w="660" w:type="dxa"/>
            <w:gridSpan w:val="2"/>
            <w:tcBorders>
              <w:top w:val="single" w:sz="8" w:space="0" w:color="FFFFFF"/>
              <w:left w:val="nil"/>
              <w:bottom w:val="nil"/>
              <w:right w:val="nil"/>
            </w:tcBorders>
            <w:tcMar>
              <w:top w:w="0" w:type="dxa"/>
              <w:left w:w="0" w:type="dxa"/>
              <w:bottom w:w="0" w:type="dxa"/>
              <w:right w:w="0" w:type="dxa"/>
            </w:tcMar>
            <w:vAlign w:val="bottom"/>
          </w:tcPr>
          <w:p w14:paraId="24911548" w14:textId="77777777" w:rsidR="001614AC" w:rsidRDefault="001614AC"/>
        </w:tc>
        <w:tc>
          <w:tcPr>
            <w:tcW w:w="645" w:type="dxa"/>
            <w:tcBorders>
              <w:top w:val="single" w:sz="8" w:space="0" w:color="FFFFFF"/>
              <w:left w:val="nil"/>
              <w:bottom w:val="nil"/>
              <w:right w:val="nil"/>
            </w:tcBorders>
            <w:tcMar>
              <w:top w:w="0" w:type="dxa"/>
              <w:left w:w="0" w:type="dxa"/>
              <w:bottom w:w="0" w:type="dxa"/>
              <w:right w:w="0" w:type="dxa"/>
            </w:tcMar>
            <w:vAlign w:val="bottom"/>
          </w:tcPr>
          <w:p w14:paraId="6CEA376E" w14:textId="77777777" w:rsidR="001614AC" w:rsidRDefault="001614AC"/>
        </w:tc>
        <w:tc>
          <w:tcPr>
            <w:tcW w:w="660" w:type="dxa"/>
            <w:gridSpan w:val="2"/>
            <w:tcBorders>
              <w:top w:val="single" w:sz="8" w:space="0" w:color="FFFFFF"/>
              <w:left w:val="nil"/>
              <w:bottom w:val="nil"/>
              <w:right w:val="nil"/>
            </w:tcBorders>
            <w:tcMar>
              <w:top w:w="0" w:type="dxa"/>
              <w:left w:w="0" w:type="dxa"/>
              <w:bottom w:w="0" w:type="dxa"/>
              <w:right w:w="0" w:type="dxa"/>
            </w:tcMar>
            <w:vAlign w:val="bottom"/>
          </w:tcPr>
          <w:p w14:paraId="705D73B7" w14:textId="77777777" w:rsidR="001614AC" w:rsidRDefault="001614AC"/>
        </w:tc>
        <w:tc>
          <w:tcPr>
            <w:tcW w:w="615" w:type="dxa"/>
            <w:tcBorders>
              <w:top w:val="single" w:sz="8" w:space="0" w:color="FFFFFF"/>
              <w:left w:val="nil"/>
              <w:bottom w:val="nil"/>
              <w:right w:val="nil"/>
            </w:tcBorders>
            <w:tcMar>
              <w:top w:w="0" w:type="dxa"/>
              <w:left w:w="0" w:type="dxa"/>
              <w:bottom w:w="0" w:type="dxa"/>
              <w:right w:w="0" w:type="dxa"/>
            </w:tcMar>
            <w:vAlign w:val="bottom"/>
          </w:tcPr>
          <w:p w14:paraId="4C2D1DF4" w14:textId="77777777" w:rsidR="001614AC" w:rsidRDefault="001614AC"/>
        </w:tc>
        <w:tc>
          <w:tcPr>
            <w:tcW w:w="660" w:type="dxa"/>
            <w:gridSpan w:val="2"/>
            <w:tcBorders>
              <w:top w:val="single" w:sz="8" w:space="0" w:color="FFFFFF"/>
              <w:left w:val="nil"/>
              <w:bottom w:val="nil"/>
              <w:right w:val="single" w:sz="8" w:space="0" w:color="FFFFFF"/>
            </w:tcBorders>
            <w:tcMar>
              <w:top w:w="0" w:type="dxa"/>
              <w:left w:w="0" w:type="dxa"/>
              <w:bottom w:w="0" w:type="dxa"/>
              <w:right w:w="0" w:type="dxa"/>
            </w:tcMar>
            <w:vAlign w:val="bottom"/>
          </w:tcPr>
          <w:p w14:paraId="79E2F7D3" w14:textId="77777777" w:rsidR="001614AC" w:rsidRDefault="001614AC"/>
        </w:tc>
      </w:tr>
    </w:tbl>
    <w:p w14:paraId="2280851C" w14:textId="77777777" w:rsidR="001614AC" w:rsidRDefault="001614AC">
      <w:pPr>
        <w:keepNext/>
        <w:spacing w:line="288" w:lineRule="auto"/>
        <w:rPr>
          <w:rFonts w:ascii="Arial" w:eastAsia="Arial" w:hAnsi="Arial" w:cs="Arial"/>
          <w:b/>
          <w:color w:val="8B8886"/>
          <w:sz w:val="10"/>
        </w:rPr>
      </w:pPr>
    </w:p>
    <w:tbl>
      <w:tblPr>
        <w:tblW w:w="102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66"/>
      </w:tblGrid>
      <w:tr w:rsidR="001614AC" w14:paraId="27E45E85" w14:textId="77777777">
        <w:trPr>
          <w:cantSplit/>
          <w:trHeight w:hRule="exact" w:val="135"/>
        </w:trPr>
        <w:tc>
          <w:tcPr>
            <w:tcW w:w="10065" w:type="dxa"/>
            <w:tcBorders>
              <w:top w:val="nil"/>
              <w:left w:val="nil"/>
              <w:bottom w:val="single" w:sz="8" w:space="0" w:color="C7C9C7"/>
              <w:right w:val="nil"/>
            </w:tcBorders>
            <w:tcMar>
              <w:top w:w="0" w:type="dxa"/>
              <w:left w:w="0" w:type="dxa"/>
              <w:bottom w:w="0" w:type="dxa"/>
              <w:right w:w="0" w:type="dxa"/>
            </w:tcMar>
            <w:vAlign w:val="bottom"/>
          </w:tcPr>
          <w:p w14:paraId="377F40C4" w14:textId="77777777" w:rsidR="001614AC" w:rsidRDefault="001614AC"/>
        </w:tc>
      </w:tr>
    </w:tbl>
    <w:p w14:paraId="7F0ADA72" w14:textId="77777777" w:rsidR="001614AC" w:rsidRDefault="004468F9" w:rsidP="004468F9">
      <w:pPr>
        <w:numPr>
          <w:ilvl w:val="0"/>
          <w:numId w:val="27"/>
        </w:numPr>
        <w:spacing w:line="288" w:lineRule="auto"/>
        <w:ind w:left="360"/>
        <w:rPr>
          <w:rFonts w:ascii="Arial" w:eastAsia="Arial" w:hAnsi="Arial" w:cs="Arial"/>
          <w:b/>
          <w:color w:val="64615D"/>
          <w:sz w:val="16"/>
        </w:rPr>
      </w:pPr>
      <w:r>
        <w:rPr>
          <w:rFonts w:ascii="Arial" w:eastAsia="Arial" w:hAnsi="Arial" w:cs="Arial"/>
          <w:color w:val="64615D"/>
          <w:sz w:val="16"/>
        </w:rPr>
        <w:t xml:space="preserve">Policy years represent the original policy years, and have not been </w:t>
      </w:r>
      <w:r>
        <w:rPr>
          <w:rFonts w:ascii="Arial" w:eastAsia="Arial" w:hAnsi="Arial" w:cs="Arial"/>
          <w:color w:val="64615D"/>
          <w:sz w:val="16"/>
        </w:rPr>
        <w:t>adjusted to reflect subsequent refinancing activity under HARP.</w:t>
      </w:r>
    </w:p>
    <w:p w14:paraId="5E6B4837" w14:textId="77777777" w:rsidR="001614AC" w:rsidRDefault="004468F9" w:rsidP="004468F9">
      <w:pPr>
        <w:numPr>
          <w:ilvl w:val="0"/>
          <w:numId w:val="27"/>
        </w:numPr>
        <w:spacing w:line="288" w:lineRule="auto"/>
        <w:ind w:left="360"/>
        <w:rPr>
          <w:rFonts w:ascii="Arial" w:eastAsia="Arial" w:hAnsi="Arial" w:cs="Arial"/>
          <w:b/>
          <w:color w:val="64615D"/>
          <w:sz w:val="16"/>
        </w:rPr>
      </w:pPr>
      <w:r>
        <w:rPr>
          <w:rFonts w:ascii="Arial" w:eastAsia="Arial" w:hAnsi="Arial" w:cs="Arial"/>
          <w:color w:val="64615D"/>
          <w:sz w:val="16"/>
        </w:rPr>
        <w:t>Adjusted to reflect subsequent refinancing activity under HARP, these percentages would decrease to 3.5%, 3.7% and 4.2% as of June 30, 2021, December 31, 2020 and June 30, 2020, respectively.</w:t>
      </w:r>
    </w:p>
    <w:p w14:paraId="54BE491C" w14:textId="77777777" w:rsidR="001614AC" w:rsidRDefault="004468F9">
      <w:pPr>
        <w:keepNext/>
        <w:spacing w:before="180" w:after="140" w:line="288" w:lineRule="auto"/>
        <w:rPr>
          <w:rFonts w:ascii="Arial" w:eastAsia="Arial" w:hAnsi="Arial" w:cs="Arial"/>
          <w:b/>
          <w:color w:val="002B49"/>
          <w:sz w:val="26"/>
          <w:shd w:val="clear" w:color="auto" w:fill="B6B6B6"/>
        </w:rPr>
      </w:pPr>
      <w:r>
        <w:rPr>
          <w:rFonts w:ascii="Arial" w:eastAsia="Arial" w:hAnsi="Arial" w:cs="Arial"/>
          <w:b/>
          <w:color w:val="002B49"/>
          <w:sz w:val="26"/>
        </w:rPr>
        <w:t>New Insurance Written</w:t>
      </w:r>
    </w:p>
    <w:p w14:paraId="23079CED" w14:textId="77777777" w:rsidR="001614AC" w:rsidRDefault="004468F9">
      <w:pPr>
        <w:spacing w:before="100" w:after="100" w:line="288" w:lineRule="auto"/>
        <w:ind w:firstLine="450"/>
        <w:rPr>
          <w:rFonts w:ascii="Arial" w:eastAsia="Arial" w:hAnsi="Arial" w:cs="Arial"/>
          <w:b/>
          <w:color w:val="64615D"/>
          <w:sz w:val="22"/>
        </w:rPr>
      </w:pPr>
      <w:r>
        <w:rPr>
          <w:rFonts w:ascii="Arial" w:eastAsia="Arial" w:hAnsi="Arial" w:cs="Arial"/>
          <w:sz w:val="18"/>
        </w:rPr>
        <w:t>A key component of our current business strategy is to write profitable NIW. We wrote $21.7 billion and $41.8 billion of primary new mortgage insurance in the three and six months ended June 30, 2021, respectively, compared to $25.5 b</w:t>
      </w:r>
      <w:r>
        <w:rPr>
          <w:rFonts w:ascii="Arial" w:eastAsia="Arial" w:hAnsi="Arial" w:cs="Arial"/>
          <w:sz w:val="18"/>
        </w:rPr>
        <w:t>illion and $42.1 billion of NIW in the three and six months ended June 30, 2020, respectively. As shown in the chart above, IIF decreased to $237.3 billion at June 30, 2021, from $246.1 billion at December 31, 2020, driven by a lower Persistency Rate, part</w:t>
      </w:r>
      <w:r>
        <w:rPr>
          <w:rFonts w:ascii="Arial" w:eastAsia="Arial" w:hAnsi="Arial" w:cs="Arial"/>
          <w:sz w:val="18"/>
        </w:rPr>
        <w:t>ially offset by our NIW for the first six months of 2021.</w:t>
      </w:r>
    </w:p>
    <w:p w14:paraId="761BFD32" w14:textId="77777777" w:rsidR="001614AC" w:rsidRDefault="004468F9">
      <w:pPr>
        <w:spacing w:before="100" w:after="100" w:line="288" w:lineRule="auto"/>
        <w:ind w:firstLine="450"/>
        <w:rPr>
          <w:rFonts w:ascii="Arial" w:eastAsia="Arial" w:hAnsi="Arial" w:cs="Arial"/>
          <w:b/>
          <w:color w:val="64615D"/>
          <w:sz w:val="18"/>
        </w:rPr>
      </w:pPr>
      <w:r>
        <w:rPr>
          <w:rFonts w:ascii="Arial" w:eastAsia="Arial" w:hAnsi="Arial" w:cs="Arial"/>
          <w:sz w:val="18"/>
        </w:rPr>
        <w:t xml:space="preserve">Our NIW decreased by 14.9% and 0.9% for the three and six months ended June 30, 2021, respectively, compared to the same periods in 2020, due to our lower market share partially offset by increases </w:t>
      </w:r>
      <w:r>
        <w:rPr>
          <w:rFonts w:ascii="Arial" w:eastAsia="Arial" w:hAnsi="Arial" w:cs="Arial"/>
          <w:sz w:val="18"/>
        </w:rPr>
        <w:t>in purchase mortgage originations. According to industry forecasts, total mortgage origination volume was higher for the three and six months ended June 30, 2021, as compared to the comparable period in 2020, due to a strong purchase market and, for the si</w:t>
      </w:r>
      <w:r>
        <w:rPr>
          <w:rFonts w:ascii="Arial" w:eastAsia="Arial" w:hAnsi="Arial" w:cs="Arial"/>
          <w:sz w:val="18"/>
        </w:rPr>
        <w:t>x months ended June 30, 2021, an increase in refinance originations resulting from the low interest rate environment.</w:t>
      </w:r>
    </w:p>
    <w:p w14:paraId="2ACD63D9" w14:textId="77777777" w:rsidR="001614AC" w:rsidRDefault="004468F9">
      <w:pPr>
        <w:spacing w:before="100" w:after="100" w:line="288" w:lineRule="auto"/>
        <w:ind w:firstLine="450"/>
        <w:rPr>
          <w:rFonts w:ascii="Arial" w:eastAsia="Arial" w:hAnsi="Arial" w:cs="Arial"/>
          <w:b/>
          <w:color w:val="64615D"/>
          <w:sz w:val="18"/>
        </w:rPr>
      </w:pPr>
      <w:r>
        <w:rPr>
          <w:rFonts w:ascii="Arial" w:eastAsia="Arial" w:hAnsi="Arial" w:cs="Arial"/>
          <w:sz w:val="18"/>
        </w:rPr>
        <w:t>Although it is difficult to project future volumes, recent market projections for 2021 estimate total mortgage originations of approximate</w:t>
      </w:r>
      <w:r>
        <w:rPr>
          <w:rFonts w:ascii="Arial" w:eastAsia="Arial" w:hAnsi="Arial" w:cs="Arial"/>
          <w:sz w:val="18"/>
        </w:rPr>
        <w:t xml:space="preserve">ly $3.9 trillion, which would represent a decline in the total annual mortgage origination market of 5-10% as compared to 2020, with a private mortgage insurance market of $550 to $600 billion. This outlook anticipates a decrease in refinance originations </w:t>
      </w:r>
      <w:r>
        <w:rPr>
          <w:rFonts w:ascii="Arial" w:eastAsia="Arial" w:hAnsi="Arial" w:cs="Arial"/>
          <w:sz w:val="18"/>
        </w:rPr>
        <w:t>in the second half of 2021. While expectations for refinance volume vary, there is consensus around a large purchase market driven by increased home sales, which is a positive for mortgage insurers given the higher likelihood that purchase loans will utili</w:t>
      </w:r>
      <w:r>
        <w:rPr>
          <w:rFonts w:ascii="Arial" w:eastAsia="Arial" w:hAnsi="Arial" w:cs="Arial"/>
          <w:sz w:val="18"/>
        </w:rPr>
        <w:t>ze private mortgage insurance as compared to refinance loans. If refinance volume declines, we would expect the Persistency Rate for our portfolio to increase, benefiting the size of our IIF portfolio. See "Overview—COVID-19 Impacts” above and “Item 1A. Ri</w:t>
      </w:r>
      <w:r>
        <w:rPr>
          <w:rFonts w:ascii="Arial" w:eastAsia="Arial" w:hAnsi="Arial" w:cs="Arial"/>
          <w:sz w:val="18"/>
        </w:rPr>
        <w:t>sk Factors” in our 2020 Form 10-K for more information.</w:t>
      </w:r>
    </w:p>
    <w:p w14:paraId="247C38E7" w14:textId="77777777" w:rsidR="001614AC" w:rsidRDefault="004468F9">
      <w:pPr>
        <w:spacing w:before="100" w:after="100" w:line="288" w:lineRule="auto"/>
        <w:ind w:firstLine="450"/>
        <w:rPr>
          <w:rFonts w:ascii="Arial" w:eastAsia="Arial" w:hAnsi="Arial" w:cs="Arial"/>
          <w:b/>
          <w:color w:val="64615D"/>
          <w:sz w:val="18"/>
        </w:rPr>
      </w:pPr>
      <w:r>
        <w:rPr>
          <w:rFonts w:ascii="Arial" w:eastAsia="Arial" w:hAnsi="Arial" w:cs="Arial"/>
          <w:sz w:val="18"/>
        </w:rPr>
        <w:t xml:space="preserve">NIW for direct Single Premiums include policies written on an individual basis (as each loan is originated) and on an aggregated basis (in which each individual loan in a group of loans is insured in </w:t>
      </w:r>
      <w:r>
        <w:rPr>
          <w:rFonts w:ascii="Arial" w:eastAsia="Arial" w:hAnsi="Arial" w:cs="Arial"/>
          <w:sz w:val="18"/>
        </w:rPr>
        <w:t xml:space="preserve">a single transaction, typically after the loans have been originated). The following table provides selected information as of and for the periods indicated related to our mortgage insurance NIW. </w:t>
      </w:r>
    </w:p>
    <w:tbl>
      <w:tblPr>
        <w:tblW w:w="102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33"/>
        <w:gridCol w:w="105"/>
        <w:gridCol w:w="160"/>
        <w:gridCol w:w="741"/>
        <w:gridCol w:w="176"/>
        <w:gridCol w:w="112"/>
        <w:gridCol w:w="160"/>
        <w:gridCol w:w="741"/>
        <w:gridCol w:w="176"/>
        <w:gridCol w:w="112"/>
        <w:gridCol w:w="160"/>
        <w:gridCol w:w="741"/>
        <w:gridCol w:w="176"/>
        <w:gridCol w:w="112"/>
        <w:gridCol w:w="160"/>
        <w:gridCol w:w="741"/>
        <w:gridCol w:w="176"/>
      </w:tblGrid>
      <w:tr w:rsidR="001614AC" w14:paraId="2468F6E8" w14:textId="77777777">
        <w:trPr>
          <w:cantSplit/>
        </w:trPr>
        <w:tc>
          <w:tcPr>
            <w:tcW w:w="10080" w:type="dxa"/>
            <w:gridSpan w:val="17"/>
            <w:tcBorders>
              <w:top w:val="nil"/>
              <w:left w:val="nil"/>
              <w:bottom w:val="single" w:sz="12" w:space="0" w:color="99AAB6"/>
              <w:right w:val="nil"/>
            </w:tcBorders>
            <w:tcMar>
              <w:top w:w="0" w:type="dxa"/>
              <w:left w:w="53" w:type="dxa"/>
              <w:bottom w:w="0" w:type="dxa"/>
              <w:right w:w="53" w:type="dxa"/>
            </w:tcMar>
            <w:vAlign w:val="bottom"/>
          </w:tcPr>
          <w:p w14:paraId="4C9FAAD1" w14:textId="77777777" w:rsidR="001614AC" w:rsidRDefault="004468F9">
            <w:pPr>
              <w:keepNext/>
              <w:spacing w:before="75" w:after="30" w:line="288" w:lineRule="auto"/>
            </w:pPr>
            <w:r>
              <w:rPr>
                <w:rFonts w:ascii="Arial" w:eastAsia="Arial" w:hAnsi="Arial" w:cs="Arial"/>
                <w:b/>
                <w:color w:val="000000"/>
                <w:sz w:val="20"/>
              </w:rPr>
              <w:lastRenderedPageBreak/>
              <w:t>NIW</w:t>
            </w:r>
          </w:p>
        </w:tc>
      </w:tr>
      <w:tr w:rsidR="001614AC" w14:paraId="444B903F" w14:textId="77777777">
        <w:trPr>
          <w:cantSplit/>
          <w:trHeight w:hRule="exact" w:val="135"/>
        </w:trPr>
        <w:tc>
          <w:tcPr>
            <w:tcW w:w="5640" w:type="dxa"/>
            <w:tcBorders>
              <w:top w:val="nil"/>
              <w:left w:val="nil"/>
              <w:bottom w:val="nil"/>
              <w:right w:val="nil"/>
            </w:tcBorders>
            <w:tcMar>
              <w:top w:w="0" w:type="dxa"/>
              <w:left w:w="0" w:type="dxa"/>
              <w:bottom w:w="0" w:type="dxa"/>
              <w:right w:w="0" w:type="dxa"/>
            </w:tcMar>
            <w:vAlign w:val="bottom"/>
          </w:tcPr>
          <w:p w14:paraId="69D4FA18" w14:textId="77777777" w:rsidR="001614AC" w:rsidRDefault="001614AC">
            <w:pPr>
              <w:keepNext/>
            </w:pPr>
          </w:p>
        </w:tc>
        <w:tc>
          <w:tcPr>
            <w:tcW w:w="105" w:type="dxa"/>
            <w:tcBorders>
              <w:top w:val="single" w:sz="12" w:space="0" w:color="99AAB6"/>
              <w:left w:val="nil"/>
              <w:bottom w:val="nil"/>
              <w:right w:val="nil"/>
            </w:tcBorders>
            <w:tcMar>
              <w:top w:w="0" w:type="dxa"/>
              <w:left w:w="0" w:type="dxa"/>
              <w:bottom w:w="0" w:type="dxa"/>
              <w:right w:w="0" w:type="dxa"/>
            </w:tcMar>
            <w:vAlign w:val="bottom"/>
          </w:tcPr>
          <w:p w14:paraId="2A8B666D" w14:textId="77777777" w:rsidR="001614AC" w:rsidRDefault="001614AC">
            <w:pPr>
              <w:keepNext/>
            </w:pPr>
          </w:p>
        </w:tc>
        <w:tc>
          <w:tcPr>
            <w:tcW w:w="1005" w:type="dxa"/>
            <w:gridSpan w:val="3"/>
            <w:tcBorders>
              <w:top w:val="single" w:sz="12" w:space="0" w:color="99AAB6"/>
              <w:left w:val="nil"/>
              <w:bottom w:val="nil"/>
              <w:right w:val="nil"/>
            </w:tcBorders>
            <w:tcMar>
              <w:top w:w="0" w:type="dxa"/>
              <w:left w:w="0" w:type="dxa"/>
              <w:bottom w:w="0" w:type="dxa"/>
              <w:right w:w="0" w:type="dxa"/>
            </w:tcMar>
            <w:vAlign w:val="bottom"/>
          </w:tcPr>
          <w:p w14:paraId="40E5392B" w14:textId="77777777" w:rsidR="001614AC" w:rsidRDefault="001614AC">
            <w:pPr>
              <w:keepNext/>
            </w:pPr>
          </w:p>
        </w:tc>
        <w:tc>
          <w:tcPr>
            <w:tcW w:w="105" w:type="dxa"/>
            <w:tcBorders>
              <w:top w:val="single" w:sz="12" w:space="0" w:color="99AAB6"/>
              <w:left w:val="nil"/>
              <w:bottom w:val="nil"/>
              <w:right w:val="nil"/>
            </w:tcBorders>
            <w:tcMar>
              <w:top w:w="0" w:type="dxa"/>
              <w:left w:w="0" w:type="dxa"/>
              <w:bottom w:w="0" w:type="dxa"/>
              <w:right w:w="0" w:type="dxa"/>
            </w:tcMar>
            <w:vAlign w:val="bottom"/>
          </w:tcPr>
          <w:p w14:paraId="34CEEABB" w14:textId="77777777" w:rsidR="001614AC" w:rsidRDefault="001614AC">
            <w:pPr>
              <w:keepNext/>
            </w:pPr>
          </w:p>
        </w:tc>
        <w:tc>
          <w:tcPr>
            <w:tcW w:w="1005" w:type="dxa"/>
            <w:gridSpan w:val="3"/>
            <w:tcBorders>
              <w:top w:val="single" w:sz="12" w:space="0" w:color="99AAB6"/>
              <w:left w:val="nil"/>
              <w:bottom w:val="nil"/>
              <w:right w:val="nil"/>
            </w:tcBorders>
            <w:tcMar>
              <w:top w:w="0" w:type="dxa"/>
              <w:left w:w="0" w:type="dxa"/>
              <w:bottom w:w="0" w:type="dxa"/>
              <w:right w:w="0" w:type="dxa"/>
            </w:tcMar>
            <w:vAlign w:val="bottom"/>
          </w:tcPr>
          <w:p w14:paraId="010FE60C" w14:textId="77777777" w:rsidR="001614AC" w:rsidRDefault="001614AC">
            <w:pPr>
              <w:keepNext/>
            </w:pPr>
          </w:p>
        </w:tc>
        <w:tc>
          <w:tcPr>
            <w:tcW w:w="105" w:type="dxa"/>
            <w:tcBorders>
              <w:top w:val="single" w:sz="12" w:space="0" w:color="99AAB6"/>
              <w:left w:val="nil"/>
              <w:bottom w:val="nil"/>
              <w:right w:val="nil"/>
            </w:tcBorders>
            <w:tcMar>
              <w:top w:w="0" w:type="dxa"/>
              <w:left w:w="0" w:type="dxa"/>
              <w:bottom w:w="0" w:type="dxa"/>
              <w:right w:w="0" w:type="dxa"/>
            </w:tcMar>
            <w:vAlign w:val="bottom"/>
          </w:tcPr>
          <w:p w14:paraId="59F9133B" w14:textId="77777777" w:rsidR="001614AC" w:rsidRDefault="001614AC">
            <w:pPr>
              <w:keepNext/>
            </w:pPr>
          </w:p>
        </w:tc>
        <w:tc>
          <w:tcPr>
            <w:tcW w:w="1005" w:type="dxa"/>
            <w:gridSpan w:val="3"/>
            <w:tcBorders>
              <w:top w:val="single" w:sz="12" w:space="0" w:color="99AAB6"/>
              <w:left w:val="nil"/>
              <w:bottom w:val="nil"/>
              <w:right w:val="nil"/>
            </w:tcBorders>
            <w:tcMar>
              <w:top w:w="0" w:type="dxa"/>
              <w:left w:w="0" w:type="dxa"/>
              <w:bottom w:w="0" w:type="dxa"/>
              <w:right w:w="0" w:type="dxa"/>
            </w:tcMar>
            <w:vAlign w:val="bottom"/>
          </w:tcPr>
          <w:p w14:paraId="4363931B" w14:textId="77777777" w:rsidR="001614AC" w:rsidRDefault="001614AC">
            <w:pPr>
              <w:keepNext/>
            </w:pPr>
          </w:p>
        </w:tc>
        <w:tc>
          <w:tcPr>
            <w:tcW w:w="105" w:type="dxa"/>
            <w:tcBorders>
              <w:top w:val="single" w:sz="12" w:space="0" w:color="99AAB6"/>
              <w:left w:val="nil"/>
              <w:bottom w:val="nil"/>
              <w:right w:val="nil"/>
            </w:tcBorders>
            <w:tcMar>
              <w:top w:w="0" w:type="dxa"/>
              <w:left w:w="0" w:type="dxa"/>
              <w:bottom w:w="0" w:type="dxa"/>
              <w:right w:w="0" w:type="dxa"/>
            </w:tcMar>
            <w:vAlign w:val="bottom"/>
          </w:tcPr>
          <w:p w14:paraId="5E0F3B7D" w14:textId="77777777" w:rsidR="001614AC" w:rsidRDefault="001614AC">
            <w:pPr>
              <w:keepNext/>
            </w:pPr>
          </w:p>
        </w:tc>
        <w:tc>
          <w:tcPr>
            <w:tcW w:w="1005" w:type="dxa"/>
            <w:gridSpan w:val="3"/>
            <w:tcBorders>
              <w:top w:val="single" w:sz="12" w:space="0" w:color="99AAB6"/>
              <w:left w:val="nil"/>
              <w:bottom w:val="nil"/>
              <w:right w:val="nil"/>
            </w:tcBorders>
            <w:tcMar>
              <w:top w:w="0" w:type="dxa"/>
              <w:left w:w="0" w:type="dxa"/>
              <w:bottom w:w="0" w:type="dxa"/>
              <w:right w:w="0" w:type="dxa"/>
            </w:tcMar>
            <w:vAlign w:val="bottom"/>
          </w:tcPr>
          <w:p w14:paraId="096A0B99" w14:textId="77777777" w:rsidR="001614AC" w:rsidRDefault="001614AC">
            <w:pPr>
              <w:keepNext/>
            </w:pPr>
          </w:p>
        </w:tc>
      </w:tr>
      <w:tr w:rsidR="001614AC" w14:paraId="124CAE98" w14:textId="77777777">
        <w:trPr>
          <w:cantSplit/>
        </w:trPr>
        <w:tc>
          <w:tcPr>
            <w:tcW w:w="5640" w:type="dxa"/>
            <w:tcBorders>
              <w:top w:val="nil"/>
              <w:left w:val="nil"/>
              <w:bottom w:val="single" w:sz="8" w:space="0" w:color="FFFFFF"/>
              <w:right w:val="nil"/>
            </w:tcBorders>
            <w:tcMar>
              <w:top w:w="0" w:type="dxa"/>
              <w:left w:w="0" w:type="dxa"/>
              <w:bottom w:w="0" w:type="dxa"/>
              <w:right w:w="0" w:type="dxa"/>
            </w:tcMar>
            <w:vAlign w:val="bottom"/>
          </w:tcPr>
          <w:p w14:paraId="21E9AC69" w14:textId="77777777" w:rsidR="001614AC" w:rsidRDefault="001614AC">
            <w:pPr>
              <w:keepNext/>
            </w:pPr>
          </w:p>
        </w:tc>
        <w:tc>
          <w:tcPr>
            <w:tcW w:w="105" w:type="dxa"/>
            <w:tcBorders>
              <w:top w:val="nil"/>
              <w:left w:val="nil"/>
              <w:bottom w:val="single" w:sz="8" w:space="0" w:color="FFFFFF"/>
              <w:right w:val="nil"/>
            </w:tcBorders>
            <w:tcMar>
              <w:top w:w="0" w:type="dxa"/>
              <w:left w:w="0" w:type="dxa"/>
              <w:bottom w:w="0" w:type="dxa"/>
              <w:right w:w="0" w:type="dxa"/>
            </w:tcMar>
            <w:vAlign w:val="bottom"/>
          </w:tcPr>
          <w:p w14:paraId="1C8804B9" w14:textId="77777777" w:rsidR="001614AC" w:rsidRDefault="001614AC">
            <w:pPr>
              <w:keepNext/>
            </w:pPr>
          </w:p>
        </w:tc>
        <w:tc>
          <w:tcPr>
            <w:tcW w:w="2115" w:type="dxa"/>
            <w:gridSpan w:val="7"/>
            <w:tcBorders>
              <w:top w:val="nil"/>
              <w:left w:val="nil"/>
              <w:bottom w:val="nil"/>
              <w:right w:val="nil"/>
            </w:tcBorders>
            <w:tcMar>
              <w:top w:w="0" w:type="dxa"/>
              <w:left w:w="53" w:type="dxa"/>
              <w:bottom w:w="0" w:type="dxa"/>
              <w:right w:w="53" w:type="dxa"/>
            </w:tcMar>
            <w:vAlign w:val="bottom"/>
          </w:tcPr>
          <w:p w14:paraId="2929F91C" w14:textId="77777777" w:rsidR="001614AC" w:rsidRDefault="004468F9">
            <w:pPr>
              <w:keepNext/>
              <w:spacing w:before="75" w:line="288" w:lineRule="auto"/>
              <w:jc w:val="center"/>
            </w:pPr>
            <w:r>
              <w:rPr>
                <w:rFonts w:ascii="Arial" w:eastAsia="Arial" w:hAnsi="Arial" w:cs="Arial"/>
                <w:b/>
                <w:color w:val="00BAB3"/>
                <w:sz w:val="18"/>
              </w:rPr>
              <w:t>Three Months Ended</w:t>
            </w:r>
          </w:p>
          <w:p w14:paraId="4A468116" w14:textId="77777777" w:rsidR="001614AC" w:rsidRDefault="004468F9">
            <w:pPr>
              <w:spacing w:after="30" w:line="288" w:lineRule="auto"/>
              <w:jc w:val="center"/>
            </w:pPr>
            <w:r>
              <w:rPr>
                <w:rFonts w:ascii="Arial" w:eastAsia="Arial" w:hAnsi="Arial" w:cs="Arial"/>
                <w:b/>
                <w:color w:val="00BAB3"/>
                <w:sz w:val="18"/>
              </w:rPr>
              <w:t>June 30,</w:t>
            </w:r>
          </w:p>
        </w:tc>
        <w:tc>
          <w:tcPr>
            <w:tcW w:w="105" w:type="dxa"/>
            <w:tcBorders>
              <w:top w:val="nil"/>
              <w:left w:val="nil"/>
              <w:bottom w:val="single" w:sz="8" w:space="0" w:color="FFFFFF"/>
              <w:right w:val="nil"/>
            </w:tcBorders>
            <w:tcMar>
              <w:top w:w="0" w:type="dxa"/>
              <w:left w:w="0" w:type="dxa"/>
              <w:bottom w:w="0" w:type="dxa"/>
              <w:right w:w="0" w:type="dxa"/>
            </w:tcMar>
            <w:vAlign w:val="bottom"/>
          </w:tcPr>
          <w:p w14:paraId="0DD301A3" w14:textId="77777777" w:rsidR="001614AC" w:rsidRDefault="001614AC">
            <w:pPr>
              <w:keepNext/>
            </w:pPr>
          </w:p>
        </w:tc>
        <w:tc>
          <w:tcPr>
            <w:tcW w:w="2115" w:type="dxa"/>
            <w:gridSpan w:val="7"/>
            <w:tcBorders>
              <w:top w:val="nil"/>
              <w:left w:val="nil"/>
              <w:bottom w:val="single" w:sz="8" w:space="0" w:color="FFFFFF"/>
              <w:right w:val="nil"/>
            </w:tcBorders>
            <w:tcMar>
              <w:top w:w="0" w:type="dxa"/>
              <w:left w:w="53" w:type="dxa"/>
              <w:bottom w:w="0" w:type="dxa"/>
              <w:right w:w="53" w:type="dxa"/>
            </w:tcMar>
            <w:vAlign w:val="bottom"/>
          </w:tcPr>
          <w:p w14:paraId="72F2791E" w14:textId="77777777" w:rsidR="001614AC" w:rsidRDefault="004468F9">
            <w:pPr>
              <w:keepNext/>
              <w:spacing w:before="75" w:line="288" w:lineRule="auto"/>
              <w:jc w:val="center"/>
            </w:pPr>
            <w:r>
              <w:rPr>
                <w:rFonts w:ascii="Arial" w:eastAsia="Arial" w:hAnsi="Arial" w:cs="Arial"/>
                <w:b/>
                <w:color w:val="00BAB3"/>
                <w:sz w:val="18"/>
              </w:rPr>
              <w:t xml:space="preserve">Six </w:t>
            </w:r>
            <w:r>
              <w:rPr>
                <w:rFonts w:ascii="Arial" w:eastAsia="Arial" w:hAnsi="Arial" w:cs="Arial"/>
                <w:b/>
                <w:color w:val="00BAB3"/>
                <w:sz w:val="18"/>
              </w:rPr>
              <w:t>Months Ended</w:t>
            </w:r>
          </w:p>
          <w:p w14:paraId="5B1D68DC" w14:textId="77777777" w:rsidR="001614AC" w:rsidRDefault="004468F9">
            <w:pPr>
              <w:spacing w:after="30" w:line="288" w:lineRule="auto"/>
              <w:jc w:val="center"/>
            </w:pPr>
            <w:r>
              <w:rPr>
                <w:rFonts w:ascii="Arial" w:eastAsia="Arial" w:hAnsi="Arial" w:cs="Arial"/>
                <w:b/>
                <w:color w:val="00BAB3"/>
                <w:sz w:val="18"/>
              </w:rPr>
              <w:t>June 30,</w:t>
            </w:r>
          </w:p>
        </w:tc>
      </w:tr>
      <w:tr w:rsidR="001614AC" w14:paraId="259436CD" w14:textId="77777777">
        <w:trPr>
          <w:cantSplit/>
        </w:trPr>
        <w:tc>
          <w:tcPr>
            <w:tcW w:w="5640" w:type="dxa"/>
            <w:tcBorders>
              <w:top w:val="single" w:sz="8" w:space="0" w:color="FFFFFF"/>
              <w:left w:val="nil"/>
              <w:bottom w:val="single" w:sz="8" w:space="0" w:color="C7C9C7"/>
              <w:right w:val="nil"/>
            </w:tcBorders>
            <w:tcMar>
              <w:top w:w="0" w:type="dxa"/>
              <w:left w:w="53" w:type="dxa"/>
              <w:bottom w:w="0" w:type="dxa"/>
              <w:right w:w="53" w:type="dxa"/>
            </w:tcMar>
            <w:vAlign w:val="bottom"/>
          </w:tcPr>
          <w:p w14:paraId="22D2BB90" w14:textId="77777777" w:rsidR="001614AC" w:rsidRDefault="004468F9">
            <w:pPr>
              <w:keepNext/>
              <w:spacing w:before="55" w:after="30" w:line="288" w:lineRule="auto"/>
            </w:pPr>
            <w:r>
              <w:rPr>
                <w:rFonts w:ascii="Arial" w:eastAsia="Arial" w:hAnsi="Arial" w:cs="Arial"/>
                <w:color w:val="8B8886"/>
                <w:sz w:val="16"/>
              </w:rPr>
              <w:t>($ in millions)</w:t>
            </w:r>
          </w:p>
        </w:tc>
        <w:tc>
          <w:tcPr>
            <w:tcW w:w="105" w:type="dxa"/>
            <w:tcBorders>
              <w:top w:val="single" w:sz="8" w:space="0" w:color="FFFFFF"/>
              <w:left w:val="nil"/>
              <w:bottom w:val="single" w:sz="8" w:space="0" w:color="C7C9C7"/>
              <w:right w:val="nil"/>
            </w:tcBorders>
            <w:tcMar>
              <w:top w:w="0" w:type="dxa"/>
              <w:left w:w="0" w:type="dxa"/>
              <w:bottom w:w="0" w:type="dxa"/>
              <w:right w:w="0" w:type="dxa"/>
            </w:tcMar>
            <w:vAlign w:val="bottom"/>
          </w:tcPr>
          <w:p w14:paraId="09723B96" w14:textId="77777777" w:rsidR="001614AC" w:rsidRDefault="001614AC">
            <w:pPr>
              <w:keepNext/>
            </w:pPr>
          </w:p>
        </w:tc>
        <w:tc>
          <w:tcPr>
            <w:tcW w:w="1005" w:type="dxa"/>
            <w:gridSpan w:val="3"/>
            <w:tcBorders>
              <w:top w:val="single" w:sz="8" w:space="0" w:color="FFFFFF"/>
              <w:left w:val="nil"/>
              <w:bottom w:val="single" w:sz="8" w:space="0" w:color="C7C9C7"/>
              <w:right w:val="nil"/>
            </w:tcBorders>
            <w:shd w:val="clear" w:color="auto" w:fill="E6F8F8"/>
            <w:tcMar>
              <w:top w:w="0" w:type="dxa"/>
              <w:left w:w="53" w:type="dxa"/>
              <w:bottom w:w="0" w:type="dxa"/>
              <w:right w:w="53" w:type="dxa"/>
            </w:tcMar>
            <w:vAlign w:val="bottom"/>
          </w:tcPr>
          <w:p w14:paraId="7E64ACC6" w14:textId="77777777" w:rsidR="001614AC" w:rsidRDefault="004468F9">
            <w:pPr>
              <w:keepNext/>
              <w:spacing w:before="55" w:after="30" w:line="288" w:lineRule="auto"/>
              <w:jc w:val="center"/>
            </w:pPr>
            <w:r>
              <w:rPr>
                <w:rFonts w:ascii="Arial" w:eastAsia="Arial" w:hAnsi="Arial" w:cs="Arial"/>
                <w:b/>
                <w:color w:val="00BAB3"/>
                <w:sz w:val="18"/>
              </w:rPr>
              <w:t>2021</w:t>
            </w:r>
          </w:p>
        </w:tc>
        <w:tc>
          <w:tcPr>
            <w:tcW w:w="105" w:type="dxa"/>
            <w:tcBorders>
              <w:top w:val="single" w:sz="8" w:space="0" w:color="FFFFFF"/>
              <w:left w:val="nil"/>
              <w:bottom w:val="single" w:sz="8" w:space="0" w:color="C7C9C7"/>
              <w:right w:val="nil"/>
            </w:tcBorders>
            <w:tcMar>
              <w:top w:w="0" w:type="dxa"/>
              <w:left w:w="0" w:type="dxa"/>
              <w:bottom w:w="0" w:type="dxa"/>
              <w:right w:w="0" w:type="dxa"/>
            </w:tcMar>
            <w:vAlign w:val="bottom"/>
          </w:tcPr>
          <w:p w14:paraId="77452C7A" w14:textId="77777777" w:rsidR="001614AC" w:rsidRDefault="001614AC">
            <w:pPr>
              <w:keepNext/>
            </w:pPr>
          </w:p>
        </w:tc>
        <w:tc>
          <w:tcPr>
            <w:tcW w:w="1005" w:type="dxa"/>
            <w:gridSpan w:val="3"/>
            <w:tcBorders>
              <w:top w:val="single" w:sz="8" w:space="0" w:color="FFFFFF"/>
              <w:left w:val="nil"/>
              <w:bottom w:val="single" w:sz="8" w:space="0" w:color="C7C9C7"/>
              <w:right w:val="nil"/>
            </w:tcBorders>
            <w:shd w:val="clear" w:color="auto" w:fill="F4F4F4"/>
            <w:tcMar>
              <w:top w:w="0" w:type="dxa"/>
              <w:left w:w="53" w:type="dxa"/>
              <w:bottom w:w="0" w:type="dxa"/>
              <w:right w:w="53" w:type="dxa"/>
            </w:tcMar>
            <w:vAlign w:val="bottom"/>
          </w:tcPr>
          <w:p w14:paraId="33C82A99" w14:textId="77777777" w:rsidR="001614AC" w:rsidRDefault="004468F9">
            <w:pPr>
              <w:keepNext/>
              <w:spacing w:before="55" w:after="30" w:line="288" w:lineRule="auto"/>
              <w:jc w:val="center"/>
            </w:pPr>
            <w:r>
              <w:rPr>
                <w:rFonts w:ascii="Arial" w:eastAsia="Arial" w:hAnsi="Arial" w:cs="Arial"/>
                <w:b/>
                <w:color w:val="00BAB3"/>
                <w:sz w:val="18"/>
              </w:rPr>
              <w:t>2020</w:t>
            </w:r>
          </w:p>
        </w:tc>
        <w:tc>
          <w:tcPr>
            <w:tcW w:w="105" w:type="dxa"/>
            <w:tcBorders>
              <w:top w:val="single" w:sz="8" w:space="0" w:color="FFFFFF"/>
              <w:left w:val="nil"/>
              <w:bottom w:val="single" w:sz="8" w:space="0" w:color="C7C9C7"/>
              <w:right w:val="nil"/>
            </w:tcBorders>
            <w:tcMar>
              <w:top w:w="0" w:type="dxa"/>
              <w:left w:w="0" w:type="dxa"/>
              <w:bottom w:w="0" w:type="dxa"/>
              <w:right w:w="0" w:type="dxa"/>
            </w:tcMar>
            <w:vAlign w:val="bottom"/>
          </w:tcPr>
          <w:p w14:paraId="2117072D" w14:textId="77777777" w:rsidR="001614AC" w:rsidRDefault="001614AC">
            <w:pPr>
              <w:keepNext/>
            </w:pPr>
          </w:p>
        </w:tc>
        <w:tc>
          <w:tcPr>
            <w:tcW w:w="1005" w:type="dxa"/>
            <w:gridSpan w:val="3"/>
            <w:tcBorders>
              <w:top w:val="nil"/>
              <w:left w:val="nil"/>
              <w:bottom w:val="single" w:sz="8" w:space="0" w:color="C7C9C7"/>
              <w:right w:val="nil"/>
            </w:tcBorders>
            <w:shd w:val="clear" w:color="auto" w:fill="E6F8F8"/>
            <w:tcMar>
              <w:top w:w="0" w:type="dxa"/>
              <w:left w:w="53" w:type="dxa"/>
              <w:bottom w:w="0" w:type="dxa"/>
              <w:right w:w="53" w:type="dxa"/>
            </w:tcMar>
            <w:vAlign w:val="bottom"/>
          </w:tcPr>
          <w:p w14:paraId="0B7B09CA" w14:textId="77777777" w:rsidR="001614AC" w:rsidRDefault="004468F9">
            <w:pPr>
              <w:keepNext/>
              <w:spacing w:before="55" w:after="30" w:line="288" w:lineRule="auto"/>
              <w:jc w:val="center"/>
            </w:pPr>
            <w:r>
              <w:rPr>
                <w:rFonts w:ascii="Arial" w:eastAsia="Arial" w:hAnsi="Arial" w:cs="Arial"/>
                <w:b/>
                <w:color w:val="00BAB3"/>
                <w:sz w:val="18"/>
              </w:rPr>
              <w:t>2021</w:t>
            </w:r>
          </w:p>
        </w:tc>
        <w:tc>
          <w:tcPr>
            <w:tcW w:w="105" w:type="dxa"/>
            <w:tcBorders>
              <w:top w:val="single" w:sz="8" w:space="0" w:color="FFFFFF"/>
              <w:left w:val="nil"/>
              <w:bottom w:val="single" w:sz="8" w:space="0" w:color="C7C9C7"/>
              <w:right w:val="nil"/>
            </w:tcBorders>
            <w:tcMar>
              <w:top w:w="0" w:type="dxa"/>
              <w:left w:w="0" w:type="dxa"/>
              <w:bottom w:w="0" w:type="dxa"/>
              <w:right w:w="0" w:type="dxa"/>
            </w:tcMar>
            <w:vAlign w:val="bottom"/>
          </w:tcPr>
          <w:p w14:paraId="0A3345F4" w14:textId="77777777" w:rsidR="001614AC" w:rsidRDefault="001614AC">
            <w:pPr>
              <w:keepNext/>
            </w:pPr>
          </w:p>
        </w:tc>
        <w:tc>
          <w:tcPr>
            <w:tcW w:w="1005" w:type="dxa"/>
            <w:gridSpan w:val="3"/>
            <w:tcBorders>
              <w:top w:val="single" w:sz="8" w:space="0" w:color="FFFFFF"/>
              <w:left w:val="nil"/>
              <w:bottom w:val="single" w:sz="8" w:space="0" w:color="C7C9C7"/>
              <w:right w:val="nil"/>
            </w:tcBorders>
            <w:shd w:val="clear" w:color="auto" w:fill="F4F4F4"/>
            <w:tcMar>
              <w:top w:w="0" w:type="dxa"/>
              <w:left w:w="53" w:type="dxa"/>
              <w:bottom w:w="0" w:type="dxa"/>
              <w:right w:w="53" w:type="dxa"/>
            </w:tcMar>
            <w:vAlign w:val="bottom"/>
          </w:tcPr>
          <w:p w14:paraId="6C0F64A0" w14:textId="77777777" w:rsidR="001614AC" w:rsidRDefault="004468F9">
            <w:pPr>
              <w:keepNext/>
              <w:spacing w:before="55" w:after="30" w:line="288" w:lineRule="auto"/>
              <w:jc w:val="center"/>
            </w:pPr>
            <w:r>
              <w:rPr>
                <w:rFonts w:ascii="Arial" w:eastAsia="Arial" w:hAnsi="Arial" w:cs="Arial"/>
                <w:b/>
                <w:color w:val="00BAB3"/>
                <w:sz w:val="18"/>
              </w:rPr>
              <w:t>2020</w:t>
            </w:r>
          </w:p>
        </w:tc>
      </w:tr>
      <w:tr w:rsidR="001614AC" w14:paraId="43274083" w14:textId="77777777">
        <w:trPr>
          <w:cantSplit/>
        </w:trPr>
        <w:tc>
          <w:tcPr>
            <w:tcW w:w="5640" w:type="dxa"/>
            <w:tcBorders>
              <w:top w:val="single" w:sz="8" w:space="0" w:color="C7C9C7"/>
              <w:left w:val="nil"/>
              <w:bottom w:val="single" w:sz="8" w:space="0" w:color="E9E9E9"/>
              <w:right w:val="nil"/>
            </w:tcBorders>
            <w:tcMar>
              <w:top w:w="0" w:type="dxa"/>
              <w:left w:w="53" w:type="dxa"/>
              <w:bottom w:w="0" w:type="dxa"/>
              <w:right w:w="53" w:type="dxa"/>
            </w:tcMar>
            <w:vAlign w:val="bottom"/>
          </w:tcPr>
          <w:p w14:paraId="420726DF" w14:textId="77777777" w:rsidR="001614AC" w:rsidRDefault="004468F9">
            <w:pPr>
              <w:keepNext/>
              <w:spacing w:before="55" w:after="30" w:line="288" w:lineRule="auto"/>
            </w:pPr>
            <w:r>
              <w:rPr>
                <w:rFonts w:ascii="Arial" w:eastAsia="Arial" w:hAnsi="Arial" w:cs="Arial"/>
                <w:color w:val="000000"/>
                <w:sz w:val="18"/>
              </w:rPr>
              <w:t xml:space="preserve">NIW </w:t>
            </w:r>
          </w:p>
        </w:tc>
        <w:tc>
          <w:tcPr>
            <w:tcW w:w="105" w:type="dxa"/>
            <w:tcBorders>
              <w:top w:val="single" w:sz="8" w:space="0" w:color="C7C9C7"/>
              <w:left w:val="nil"/>
              <w:bottom w:val="nil"/>
              <w:right w:val="nil"/>
            </w:tcBorders>
            <w:tcMar>
              <w:top w:w="0" w:type="dxa"/>
              <w:left w:w="0" w:type="dxa"/>
              <w:bottom w:w="0" w:type="dxa"/>
              <w:right w:w="0" w:type="dxa"/>
            </w:tcMar>
            <w:vAlign w:val="bottom"/>
          </w:tcPr>
          <w:p w14:paraId="276B0F08" w14:textId="77777777" w:rsidR="001614AC" w:rsidRDefault="001614AC">
            <w:pPr>
              <w:keepNext/>
            </w:pPr>
          </w:p>
        </w:tc>
        <w:tc>
          <w:tcPr>
            <w:tcW w:w="160" w:type="dxa"/>
            <w:tcBorders>
              <w:top w:val="single" w:sz="8" w:space="0" w:color="C7C9C7"/>
              <w:left w:val="nil"/>
              <w:bottom w:val="single" w:sz="8" w:space="0" w:color="E9E9E9"/>
              <w:right w:val="nil"/>
            </w:tcBorders>
            <w:tcMar>
              <w:top w:w="0" w:type="dxa"/>
              <w:left w:w="53" w:type="dxa"/>
              <w:bottom w:w="0" w:type="dxa"/>
              <w:right w:w="0" w:type="dxa"/>
            </w:tcMar>
            <w:vAlign w:val="bottom"/>
          </w:tcPr>
          <w:p w14:paraId="512C6D76" w14:textId="77777777" w:rsidR="001614AC" w:rsidRDefault="004468F9">
            <w:pPr>
              <w:keepNext/>
              <w:spacing w:before="55" w:after="30" w:line="288" w:lineRule="auto"/>
            </w:pPr>
            <w:r>
              <w:rPr>
                <w:rFonts w:ascii="Arial" w:eastAsia="Arial" w:hAnsi="Arial" w:cs="Arial"/>
                <w:color w:val="000000"/>
                <w:sz w:val="18"/>
              </w:rPr>
              <w:t>$</w:t>
            </w:r>
          </w:p>
        </w:tc>
        <w:tc>
          <w:tcPr>
            <w:tcW w:w="745" w:type="dxa"/>
            <w:tcBorders>
              <w:top w:val="single" w:sz="8" w:space="0" w:color="C7C9C7"/>
              <w:left w:val="nil"/>
              <w:bottom w:val="single" w:sz="8" w:space="0" w:color="E9E9E9"/>
              <w:right w:val="nil"/>
            </w:tcBorders>
            <w:tcMar>
              <w:top w:w="0" w:type="dxa"/>
              <w:left w:w="0" w:type="dxa"/>
              <w:bottom w:w="0" w:type="dxa"/>
              <w:right w:w="0" w:type="dxa"/>
            </w:tcMar>
            <w:vAlign w:val="bottom"/>
          </w:tcPr>
          <w:p w14:paraId="3070339E" w14:textId="77777777" w:rsidR="001614AC" w:rsidRDefault="004468F9">
            <w:pPr>
              <w:keepNext/>
              <w:spacing w:before="55" w:after="30" w:line="288" w:lineRule="auto"/>
              <w:jc w:val="right"/>
            </w:pPr>
            <w:r>
              <w:rPr>
                <w:rFonts w:ascii="Arial" w:eastAsia="Arial" w:hAnsi="Arial" w:cs="Arial"/>
                <w:color w:val="000000"/>
                <w:sz w:val="18"/>
              </w:rPr>
              <w:t>21,662 </w:t>
            </w:r>
          </w:p>
        </w:tc>
        <w:tc>
          <w:tcPr>
            <w:tcW w:w="100" w:type="dxa"/>
            <w:tcBorders>
              <w:top w:val="single" w:sz="8" w:space="0" w:color="C7C9C7"/>
              <w:left w:val="nil"/>
              <w:bottom w:val="single" w:sz="8" w:space="0" w:color="E9E9E9"/>
              <w:right w:val="nil"/>
            </w:tcBorders>
            <w:tcMar>
              <w:top w:w="0" w:type="dxa"/>
              <w:left w:w="0" w:type="dxa"/>
              <w:bottom w:w="0" w:type="dxa"/>
              <w:right w:w="15" w:type="dxa"/>
            </w:tcMar>
            <w:vAlign w:val="bottom"/>
          </w:tcPr>
          <w:p w14:paraId="5B78EF84" w14:textId="77777777" w:rsidR="001614AC" w:rsidRDefault="001614AC">
            <w:pPr>
              <w:keepNext/>
              <w:spacing w:before="55" w:after="30" w:line="288" w:lineRule="auto"/>
              <w:jc w:val="right"/>
            </w:pPr>
          </w:p>
        </w:tc>
        <w:tc>
          <w:tcPr>
            <w:tcW w:w="105" w:type="dxa"/>
            <w:tcBorders>
              <w:top w:val="single" w:sz="8" w:space="0" w:color="C7C9C7"/>
              <w:left w:val="nil"/>
              <w:bottom w:val="nil"/>
              <w:right w:val="nil"/>
            </w:tcBorders>
            <w:tcMar>
              <w:top w:w="0" w:type="dxa"/>
              <w:left w:w="0" w:type="dxa"/>
              <w:bottom w:w="0" w:type="dxa"/>
              <w:right w:w="0" w:type="dxa"/>
            </w:tcMar>
            <w:vAlign w:val="bottom"/>
          </w:tcPr>
          <w:p w14:paraId="498980DB" w14:textId="77777777" w:rsidR="001614AC" w:rsidRDefault="001614AC">
            <w:pPr>
              <w:keepNext/>
            </w:pPr>
          </w:p>
        </w:tc>
        <w:tc>
          <w:tcPr>
            <w:tcW w:w="160" w:type="dxa"/>
            <w:tcBorders>
              <w:top w:val="single" w:sz="8" w:space="0" w:color="C7C9C7"/>
              <w:left w:val="nil"/>
              <w:bottom w:val="single" w:sz="8" w:space="0" w:color="E9E9E9"/>
              <w:right w:val="nil"/>
            </w:tcBorders>
            <w:tcMar>
              <w:top w:w="0" w:type="dxa"/>
              <w:left w:w="53" w:type="dxa"/>
              <w:bottom w:w="0" w:type="dxa"/>
              <w:right w:w="0" w:type="dxa"/>
            </w:tcMar>
            <w:vAlign w:val="bottom"/>
          </w:tcPr>
          <w:p w14:paraId="3B212C99" w14:textId="77777777" w:rsidR="001614AC" w:rsidRDefault="004468F9">
            <w:pPr>
              <w:keepNext/>
              <w:spacing w:before="55" w:after="30" w:line="288" w:lineRule="auto"/>
            </w:pPr>
            <w:r>
              <w:rPr>
                <w:rFonts w:ascii="Arial" w:eastAsia="Arial" w:hAnsi="Arial" w:cs="Arial"/>
                <w:color w:val="000000"/>
                <w:sz w:val="18"/>
              </w:rPr>
              <w:t>$</w:t>
            </w:r>
          </w:p>
        </w:tc>
        <w:tc>
          <w:tcPr>
            <w:tcW w:w="745" w:type="dxa"/>
            <w:tcBorders>
              <w:top w:val="single" w:sz="8" w:space="0" w:color="C7C9C7"/>
              <w:left w:val="nil"/>
              <w:bottom w:val="single" w:sz="8" w:space="0" w:color="E9E9E9"/>
              <w:right w:val="nil"/>
            </w:tcBorders>
            <w:tcMar>
              <w:top w:w="0" w:type="dxa"/>
              <w:left w:w="0" w:type="dxa"/>
              <w:bottom w:w="0" w:type="dxa"/>
              <w:right w:w="0" w:type="dxa"/>
            </w:tcMar>
            <w:vAlign w:val="bottom"/>
          </w:tcPr>
          <w:p w14:paraId="02B8B7A9" w14:textId="77777777" w:rsidR="001614AC" w:rsidRDefault="004468F9">
            <w:pPr>
              <w:keepNext/>
              <w:spacing w:before="55" w:after="30" w:line="288" w:lineRule="auto"/>
              <w:jc w:val="right"/>
            </w:pPr>
            <w:r>
              <w:rPr>
                <w:rFonts w:ascii="Arial" w:eastAsia="Arial" w:hAnsi="Arial" w:cs="Arial"/>
                <w:color w:val="000000"/>
                <w:sz w:val="18"/>
              </w:rPr>
              <w:t>25,459 </w:t>
            </w:r>
          </w:p>
        </w:tc>
        <w:tc>
          <w:tcPr>
            <w:tcW w:w="100" w:type="dxa"/>
            <w:tcBorders>
              <w:top w:val="single" w:sz="8" w:space="0" w:color="C7C9C7"/>
              <w:left w:val="nil"/>
              <w:bottom w:val="single" w:sz="8" w:space="0" w:color="E9E9E9"/>
              <w:right w:val="nil"/>
            </w:tcBorders>
            <w:tcMar>
              <w:top w:w="0" w:type="dxa"/>
              <w:left w:w="0" w:type="dxa"/>
              <w:bottom w:w="0" w:type="dxa"/>
              <w:right w:w="15" w:type="dxa"/>
            </w:tcMar>
            <w:vAlign w:val="bottom"/>
          </w:tcPr>
          <w:p w14:paraId="036A8C37" w14:textId="77777777" w:rsidR="001614AC" w:rsidRDefault="001614AC">
            <w:pPr>
              <w:keepNext/>
              <w:spacing w:before="55" w:after="30" w:line="288" w:lineRule="auto"/>
              <w:jc w:val="right"/>
            </w:pPr>
          </w:p>
        </w:tc>
        <w:tc>
          <w:tcPr>
            <w:tcW w:w="105" w:type="dxa"/>
            <w:tcBorders>
              <w:top w:val="single" w:sz="8" w:space="0" w:color="C7C9C7"/>
              <w:left w:val="nil"/>
              <w:bottom w:val="nil"/>
              <w:right w:val="nil"/>
            </w:tcBorders>
            <w:tcMar>
              <w:top w:w="0" w:type="dxa"/>
              <w:left w:w="0" w:type="dxa"/>
              <w:bottom w:w="0" w:type="dxa"/>
              <w:right w:w="0" w:type="dxa"/>
            </w:tcMar>
            <w:vAlign w:val="bottom"/>
          </w:tcPr>
          <w:p w14:paraId="2991C7D7" w14:textId="77777777" w:rsidR="001614AC" w:rsidRDefault="001614AC">
            <w:pPr>
              <w:keepNext/>
            </w:pPr>
          </w:p>
        </w:tc>
        <w:tc>
          <w:tcPr>
            <w:tcW w:w="160" w:type="dxa"/>
            <w:tcBorders>
              <w:top w:val="single" w:sz="8" w:space="0" w:color="C7C9C7"/>
              <w:left w:val="nil"/>
              <w:bottom w:val="single" w:sz="8" w:space="0" w:color="E9E9E9"/>
              <w:right w:val="nil"/>
            </w:tcBorders>
            <w:tcMar>
              <w:top w:w="0" w:type="dxa"/>
              <w:left w:w="53" w:type="dxa"/>
              <w:bottom w:w="0" w:type="dxa"/>
              <w:right w:w="0" w:type="dxa"/>
            </w:tcMar>
            <w:vAlign w:val="bottom"/>
          </w:tcPr>
          <w:p w14:paraId="58AC53DE" w14:textId="77777777" w:rsidR="001614AC" w:rsidRDefault="004468F9">
            <w:pPr>
              <w:keepNext/>
              <w:spacing w:before="55" w:after="30" w:line="288" w:lineRule="auto"/>
            </w:pPr>
            <w:r>
              <w:rPr>
                <w:rFonts w:ascii="Arial" w:eastAsia="Arial" w:hAnsi="Arial" w:cs="Arial"/>
                <w:color w:val="000000"/>
                <w:sz w:val="18"/>
              </w:rPr>
              <w:t>$</w:t>
            </w:r>
          </w:p>
        </w:tc>
        <w:tc>
          <w:tcPr>
            <w:tcW w:w="745" w:type="dxa"/>
            <w:tcBorders>
              <w:top w:val="single" w:sz="8" w:space="0" w:color="C7C9C7"/>
              <w:left w:val="nil"/>
              <w:bottom w:val="single" w:sz="8" w:space="0" w:color="E9E9E9"/>
              <w:right w:val="nil"/>
            </w:tcBorders>
            <w:tcMar>
              <w:top w:w="0" w:type="dxa"/>
              <w:left w:w="0" w:type="dxa"/>
              <w:bottom w:w="0" w:type="dxa"/>
              <w:right w:w="0" w:type="dxa"/>
            </w:tcMar>
            <w:vAlign w:val="bottom"/>
          </w:tcPr>
          <w:p w14:paraId="661A5542" w14:textId="77777777" w:rsidR="001614AC" w:rsidRDefault="004468F9">
            <w:pPr>
              <w:keepNext/>
              <w:spacing w:before="55" w:after="30" w:line="288" w:lineRule="auto"/>
              <w:jc w:val="right"/>
            </w:pPr>
            <w:r>
              <w:rPr>
                <w:rFonts w:ascii="Arial" w:eastAsia="Arial" w:hAnsi="Arial" w:cs="Arial"/>
                <w:color w:val="000000"/>
                <w:sz w:val="18"/>
              </w:rPr>
              <w:t>41,761 </w:t>
            </w:r>
          </w:p>
        </w:tc>
        <w:tc>
          <w:tcPr>
            <w:tcW w:w="100" w:type="dxa"/>
            <w:tcBorders>
              <w:top w:val="single" w:sz="8" w:space="0" w:color="C7C9C7"/>
              <w:left w:val="nil"/>
              <w:bottom w:val="single" w:sz="8" w:space="0" w:color="E9E9E9"/>
              <w:right w:val="nil"/>
            </w:tcBorders>
            <w:tcMar>
              <w:top w:w="0" w:type="dxa"/>
              <w:left w:w="0" w:type="dxa"/>
              <w:bottom w:w="0" w:type="dxa"/>
              <w:right w:w="15" w:type="dxa"/>
            </w:tcMar>
            <w:vAlign w:val="bottom"/>
          </w:tcPr>
          <w:p w14:paraId="1B45B2D3" w14:textId="77777777" w:rsidR="001614AC" w:rsidRDefault="001614AC">
            <w:pPr>
              <w:keepNext/>
              <w:spacing w:before="55" w:after="30" w:line="288" w:lineRule="auto"/>
              <w:jc w:val="right"/>
            </w:pPr>
          </w:p>
        </w:tc>
        <w:tc>
          <w:tcPr>
            <w:tcW w:w="105" w:type="dxa"/>
            <w:tcBorders>
              <w:top w:val="single" w:sz="8" w:space="0" w:color="C7C9C7"/>
              <w:left w:val="nil"/>
              <w:bottom w:val="nil"/>
              <w:right w:val="nil"/>
            </w:tcBorders>
            <w:tcMar>
              <w:top w:w="0" w:type="dxa"/>
              <w:left w:w="0" w:type="dxa"/>
              <w:bottom w:w="0" w:type="dxa"/>
              <w:right w:w="0" w:type="dxa"/>
            </w:tcMar>
            <w:vAlign w:val="bottom"/>
          </w:tcPr>
          <w:p w14:paraId="5BEA0711" w14:textId="77777777" w:rsidR="001614AC" w:rsidRDefault="001614AC">
            <w:pPr>
              <w:keepNext/>
            </w:pPr>
          </w:p>
        </w:tc>
        <w:tc>
          <w:tcPr>
            <w:tcW w:w="160" w:type="dxa"/>
            <w:tcBorders>
              <w:top w:val="single" w:sz="8" w:space="0" w:color="C7C9C7"/>
              <w:left w:val="nil"/>
              <w:bottom w:val="single" w:sz="8" w:space="0" w:color="E9E9E9"/>
              <w:right w:val="nil"/>
            </w:tcBorders>
            <w:tcMar>
              <w:top w:w="0" w:type="dxa"/>
              <w:left w:w="53" w:type="dxa"/>
              <w:bottom w:w="0" w:type="dxa"/>
              <w:right w:w="0" w:type="dxa"/>
            </w:tcMar>
            <w:vAlign w:val="bottom"/>
          </w:tcPr>
          <w:p w14:paraId="3C1DFCC7" w14:textId="77777777" w:rsidR="001614AC" w:rsidRDefault="004468F9">
            <w:pPr>
              <w:keepNext/>
              <w:spacing w:before="55" w:after="30" w:line="288" w:lineRule="auto"/>
            </w:pPr>
            <w:r>
              <w:rPr>
                <w:rFonts w:ascii="Arial" w:eastAsia="Arial" w:hAnsi="Arial" w:cs="Arial"/>
                <w:color w:val="000000"/>
                <w:sz w:val="18"/>
              </w:rPr>
              <w:t>$</w:t>
            </w:r>
          </w:p>
        </w:tc>
        <w:tc>
          <w:tcPr>
            <w:tcW w:w="745" w:type="dxa"/>
            <w:tcBorders>
              <w:top w:val="single" w:sz="8" w:space="0" w:color="C7C9C7"/>
              <w:left w:val="nil"/>
              <w:bottom w:val="single" w:sz="8" w:space="0" w:color="E9E9E9"/>
              <w:right w:val="nil"/>
            </w:tcBorders>
            <w:tcMar>
              <w:top w:w="0" w:type="dxa"/>
              <w:left w:w="0" w:type="dxa"/>
              <w:bottom w:w="0" w:type="dxa"/>
              <w:right w:w="0" w:type="dxa"/>
            </w:tcMar>
            <w:vAlign w:val="bottom"/>
          </w:tcPr>
          <w:p w14:paraId="657743D2" w14:textId="77777777" w:rsidR="001614AC" w:rsidRDefault="004468F9">
            <w:pPr>
              <w:keepNext/>
              <w:spacing w:before="55" w:after="30" w:line="288" w:lineRule="auto"/>
              <w:jc w:val="right"/>
            </w:pPr>
            <w:r>
              <w:rPr>
                <w:rFonts w:ascii="Arial" w:eastAsia="Arial" w:hAnsi="Arial" w:cs="Arial"/>
                <w:color w:val="000000"/>
                <w:sz w:val="18"/>
              </w:rPr>
              <w:t>42,143 </w:t>
            </w:r>
          </w:p>
        </w:tc>
        <w:tc>
          <w:tcPr>
            <w:tcW w:w="100" w:type="dxa"/>
            <w:tcBorders>
              <w:top w:val="single" w:sz="8" w:space="0" w:color="C7C9C7"/>
              <w:left w:val="nil"/>
              <w:bottom w:val="single" w:sz="8" w:space="0" w:color="E9E9E9"/>
              <w:right w:val="nil"/>
            </w:tcBorders>
            <w:tcMar>
              <w:top w:w="0" w:type="dxa"/>
              <w:left w:w="0" w:type="dxa"/>
              <w:bottom w:w="0" w:type="dxa"/>
              <w:right w:w="15" w:type="dxa"/>
            </w:tcMar>
            <w:vAlign w:val="bottom"/>
          </w:tcPr>
          <w:p w14:paraId="2B71ADDA" w14:textId="77777777" w:rsidR="001614AC" w:rsidRDefault="001614AC">
            <w:pPr>
              <w:keepNext/>
              <w:spacing w:before="55" w:after="30" w:line="288" w:lineRule="auto"/>
              <w:jc w:val="right"/>
            </w:pPr>
          </w:p>
        </w:tc>
      </w:tr>
      <w:tr w:rsidR="001614AC" w14:paraId="590DCD4B" w14:textId="77777777">
        <w:trPr>
          <w:cantSplit/>
        </w:trPr>
        <w:tc>
          <w:tcPr>
            <w:tcW w:w="5640" w:type="dxa"/>
            <w:tcBorders>
              <w:top w:val="single" w:sz="8" w:space="0" w:color="E9E9E9"/>
              <w:left w:val="nil"/>
              <w:bottom w:val="single" w:sz="8" w:space="0" w:color="E9E9E9"/>
              <w:right w:val="nil"/>
            </w:tcBorders>
            <w:tcMar>
              <w:top w:w="0" w:type="dxa"/>
              <w:left w:w="53" w:type="dxa"/>
              <w:bottom w:w="0" w:type="dxa"/>
              <w:right w:w="53" w:type="dxa"/>
            </w:tcMar>
            <w:vAlign w:val="bottom"/>
          </w:tcPr>
          <w:p w14:paraId="53E2C3E5" w14:textId="77777777" w:rsidR="001614AC" w:rsidRDefault="004468F9">
            <w:pPr>
              <w:keepNext/>
              <w:spacing w:before="55" w:after="30" w:line="288" w:lineRule="auto"/>
            </w:pPr>
            <w:r>
              <w:rPr>
                <w:rFonts w:ascii="Arial" w:eastAsia="Arial" w:hAnsi="Arial" w:cs="Arial"/>
                <w:color w:val="000000"/>
                <w:sz w:val="18"/>
              </w:rPr>
              <w:t xml:space="preserve">Primary risk written </w:t>
            </w:r>
          </w:p>
        </w:tc>
        <w:tc>
          <w:tcPr>
            <w:tcW w:w="105" w:type="dxa"/>
            <w:tcBorders>
              <w:top w:val="nil"/>
              <w:left w:val="nil"/>
              <w:bottom w:val="nil"/>
              <w:right w:val="nil"/>
            </w:tcBorders>
            <w:tcMar>
              <w:top w:w="0" w:type="dxa"/>
              <w:left w:w="0" w:type="dxa"/>
              <w:bottom w:w="0" w:type="dxa"/>
              <w:right w:w="0" w:type="dxa"/>
            </w:tcMar>
            <w:vAlign w:val="bottom"/>
          </w:tcPr>
          <w:p w14:paraId="3D820E05" w14:textId="77777777" w:rsidR="001614AC" w:rsidRDefault="001614AC">
            <w:pPr>
              <w:keepNext/>
            </w:pPr>
          </w:p>
        </w:tc>
        <w:tc>
          <w:tcPr>
            <w:tcW w:w="160" w:type="dxa"/>
            <w:tcBorders>
              <w:top w:val="single" w:sz="8" w:space="0" w:color="E9E9E9"/>
              <w:left w:val="nil"/>
              <w:bottom w:val="single" w:sz="8" w:space="0" w:color="E9E9E9"/>
              <w:right w:val="nil"/>
            </w:tcBorders>
            <w:tcMar>
              <w:top w:w="0" w:type="dxa"/>
              <w:left w:w="53" w:type="dxa"/>
              <w:bottom w:w="0" w:type="dxa"/>
              <w:right w:w="0" w:type="dxa"/>
            </w:tcMar>
            <w:vAlign w:val="bottom"/>
          </w:tcPr>
          <w:p w14:paraId="4160A9E3" w14:textId="77777777" w:rsidR="001614AC" w:rsidRDefault="004468F9">
            <w:pPr>
              <w:keepNext/>
              <w:spacing w:before="55" w:after="30" w:line="288" w:lineRule="auto"/>
            </w:pPr>
            <w:r>
              <w:rPr>
                <w:rFonts w:ascii="Arial" w:eastAsia="Arial" w:hAnsi="Arial" w:cs="Arial"/>
                <w:color w:val="000000"/>
                <w:sz w:val="18"/>
              </w:rPr>
              <w:t>$</w:t>
            </w:r>
          </w:p>
        </w:tc>
        <w:tc>
          <w:tcPr>
            <w:tcW w:w="745" w:type="dxa"/>
            <w:tcBorders>
              <w:top w:val="single" w:sz="8" w:space="0" w:color="E9E9E9"/>
              <w:left w:val="nil"/>
              <w:bottom w:val="single" w:sz="8" w:space="0" w:color="E9E9E9"/>
              <w:right w:val="nil"/>
            </w:tcBorders>
            <w:tcMar>
              <w:top w:w="0" w:type="dxa"/>
              <w:left w:w="0" w:type="dxa"/>
              <w:bottom w:w="0" w:type="dxa"/>
              <w:right w:w="0" w:type="dxa"/>
            </w:tcMar>
            <w:vAlign w:val="bottom"/>
          </w:tcPr>
          <w:p w14:paraId="34623BAA" w14:textId="77777777" w:rsidR="001614AC" w:rsidRDefault="004468F9">
            <w:pPr>
              <w:keepNext/>
              <w:spacing w:before="55" w:after="30" w:line="288" w:lineRule="auto"/>
              <w:jc w:val="right"/>
            </w:pPr>
            <w:r>
              <w:rPr>
                <w:rFonts w:ascii="Arial" w:eastAsia="Arial" w:hAnsi="Arial" w:cs="Arial"/>
                <w:color w:val="000000"/>
                <w:sz w:val="18"/>
              </w:rPr>
              <w:t>5,236 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3797A633" w14:textId="77777777" w:rsidR="001614AC" w:rsidRDefault="001614AC">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4FCFCA45" w14:textId="77777777" w:rsidR="001614AC" w:rsidRDefault="001614AC">
            <w:pPr>
              <w:keepNext/>
            </w:pPr>
          </w:p>
        </w:tc>
        <w:tc>
          <w:tcPr>
            <w:tcW w:w="160" w:type="dxa"/>
            <w:tcBorders>
              <w:top w:val="single" w:sz="8" w:space="0" w:color="E9E9E9"/>
              <w:left w:val="nil"/>
              <w:bottom w:val="single" w:sz="8" w:space="0" w:color="E9E9E9"/>
              <w:right w:val="nil"/>
            </w:tcBorders>
            <w:tcMar>
              <w:top w:w="0" w:type="dxa"/>
              <w:left w:w="53" w:type="dxa"/>
              <w:bottom w:w="0" w:type="dxa"/>
              <w:right w:w="0" w:type="dxa"/>
            </w:tcMar>
            <w:vAlign w:val="bottom"/>
          </w:tcPr>
          <w:p w14:paraId="718F8770" w14:textId="77777777" w:rsidR="001614AC" w:rsidRDefault="004468F9">
            <w:pPr>
              <w:keepNext/>
              <w:spacing w:before="55" w:after="30" w:line="288" w:lineRule="auto"/>
            </w:pPr>
            <w:r>
              <w:rPr>
                <w:rFonts w:ascii="Arial" w:eastAsia="Arial" w:hAnsi="Arial" w:cs="Arial"/>
                <w:color w:val="000000"/>
                <w:sz w:val="18"/>
              </w:rPr>
              <w:t>$</w:t>
            </w:r>
          </w:p>
        </w:tc>
        <w:tc>
          <w:tcPr>
            <w:tcW w:w="745" w:type="dxa"/>
            <w:tcBorders>
              <w:top w:val="single" w:sz="8" w:space="0" w:color="E9E9E9"/>
              <w:left w:val="nil"/>
              <w:bottom w:val="single" w:sz="8" w:space="0" w:color="E9E9E9"/>
              <w:right w:val="nil"/>
            </w:tcBorders>
            <w:tcMar>
              <w:top w:w="0" w:type="dxa"/>
              <w:left w:w="0" w:type="dxa"/>
              <w:bottom w:w="0" w:type="dxa"/>
              <w:right w:w="0" w:type="dxa"/>
            </w:tcMar>
            <w:vAlign w:val="bottom"/>
          </w:tcPr>
          <w:p w14:paraId="2A4BD3BE" w14:textId="77777777" w:rsidR="001614AC" w:rsidRDefault="004468F9">
            <w:pPr>
              <w:keepNext/>
              <w:spacing w:before="55" w:after="30" w:line="288" w:lineRule="auto"/>
              <w:jc w:val="right"/>
            </w:pPr>
            <w:r>
              <w:rPr>
                <w:rFonts w:ascii="Arial" w:eastAsia="Arial" w:hAnsi="Arial" w:cs="Arial"/>
                <w:color w:val="000000"/>
                <w:sz w:val="18"/>
              </w:rPr>
              <w:t>5,864 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3A06E3D6" w14:textId="77777777" w:rsidR="001614AC" w:rsidRDefault="001614AC">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355F4AFB" w14:textId="77777777" w:rsidR="001614AC" w:rsidRDefault="001614AC">
            <w:pPr>
              <w:keepNext/>
            </w:pPr>
          </w:p>
        </w:tc>
        <w:tc>
          <w:tcPr>
            <w:tcW w:w="160" w:type="dxa"/>
            <w:tcBorders>
              <w:top w:val="single" w:sz="8" w:space="0" w:color="E9E9E9"/>
              <w:left w:val="nil"/>
              <w:bottom w:val="single" w:sz="8" w:space="0" w:color="E9E9E9"/>
              <w:right w:val="nil"/>
            </w:tcBorders>
            <w:tcMar>
              <w:top w:w="0" w:type="dxa"/>
              <w:left w:w="53" w:type="dxa"/>
              <w:bottom w:w="0" w:type="dxa"/>
              <w:right w:w="0" w:type="dxa"/>
            </w:tcMar>
            <w:vAlign w:val="bottom"/>
          </w:tcPr>
          <w:p w14:paraId="23CC488A" w14:textId="77777777" w:rsidR="001614AC" w:rsidRDefault="004468F9">
            <w:pPr>
              <w:keepNext/>
              <w:spacing w:before="55" w:after="30" w:line="288" w:lineRule="auto"/>
            </w:pPr>
            <w:r>
              <w:rPr>
                <w:rFonts w:ascii="Arial" w:eastAsia="Arial" w:hAnsi="Arial" w:cs="Arial"/>
                <w:color w:val="000000"/>
                <w:sz w:val="18"/>
              </w:rPr>
              <w:t>$</w:t>
            </w:r>
          </w:p>
        </w:tc>
        <w:tc>
          <w:tcPr>
            <w:tcW w:w="745" w:type="dxa"/>
            <w:tcBorders>
              <w:top w:val="single" w:sz="8" w:space="0" w:color="E9E9E9"/>
              <w:left w:val="nil"/>
              <w:bottom w:val="single" w:sz="8" w:space="0" w:color="E9E9E9"/>
              <w:right w:val="nil"/>
            </w:tcBorders>
            <w:tcMar>
              <w:top w:w="0" w:type="dxa"/>
              <w:left w:w="0" w:type="dxa"/>
              <w:bottom w:w="0" w:type="dxa"/>
              <w:right w:w="0" w:type="dxa"/>
            </w:tcMar>
            <w:vAlign w:val="bottom"/>
          </w:tcPr>
          <w:p w14:paraId="6F07A94D" w14:textId="77777777" w:rsidR="001614AC" w:rsidRDefault="004468F9">
            <w:pPr>
              <w:keepNext/>
              <w:spacing w:before="55" w:after="30" w:line="288" w:lineRule="auto"/>
              <w:jc w:val="right"/>
            </w:pPr>
            <w:r>
              <w:rPr>
                <w:rFonts w:ascii="Arial" w:eastAsia="Arial" w:hAnsi="Arial" w:cs="Arial"/>
                <w:color w:val="000000"/>
                <w:sz w:val="18"/>
              </w:rPr>
              <w:t>9,747 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13F6E0A4" w14:textId="77777777" w:rsidR="001614AC" w:rsidRDefault="001614AC">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0114BC30" w14:textId="77777777" w:rsidR="001614AC" w:rsidRDefault="001614AC">
            <w:pPr>
              <w:keepNext/>
            </w:pPr>
          </w:p>
        </w:tc>
        <w:tc>
          <w:tcPr>
            <w:tcW w:w="160" w:type="dxa"/>
            <w:tcBorders>
              <w:top w:val="single" w:sz="8" w:space="0" w:color="E9E9E9"/>
              <w:left w:val="nil"/>
              <w:bottom w:val="single" w:sz="8" w:space="0" w:color="E9E9E9"/>
              <w:right w:val="nil"/>
            </w:tcBorders>
            <w:tcMar>
              <w:top w:w="0" w:type="dxa"/>
              <w:left w:w="53" w:type="dxa"/>
              <w:bottom w:w="0" w:type="dxa"/>
              <w:right w:w="0" w:type="dxa"/>
            </w:tcMar>
            <w:vAlign w:val="bottom"/>
          </w:tcPr>
          <w:p w14:paraId="1384314A" w14:textId="77777777" w:rsidR="001614AC" w:rsidRDefault="004468F9">
            <w:pPr>
              <w:keepNext/>
              <w:spacing w:before="55" w:after="30" w:line="288" w:lineRule="auto"/>
            </w:pPr>
            <w:r>
              <w:rPr>
                <w:rFonts w:ascii="Arial" w:eastAsia="Arial" w:hAnsi="Arial" w:cs="Arial"/>
                <w:color w:val="000000"/>
                <w:sz w:val="18"/>
              </w:rPr>
              <w:t>$</w:t>
            </w:r>
          </w:p>
        </w:tc>
        <w:tc>
          <w:tcPr>
            <w:tcW w:w="745" w:type="dxa"/>
            <w:tcBorders>
              <w:top w:val="single" w:sz="8" w:space="0" w:color="E9E9E9"/>
              <w:left w:val="nil"/>
              <w:bottom w:val="single" w:sz="8" w:space="0" w:color="E9E9E9"/>
              <w:right w:val="nil"/>
            </w:tcBorders>
            <w:tcMar>
              <w:top w:w="0" w:type="dxa"/>
              <w:left w:w="0" w:type="dxa"/>
              <w:bottom w:w="0" w:type="dxa"/>
              <w:right w:w="0" w:type="dxa"/>
            </w:tcMar>
            <w:vAlign w:val="bottom"/>
          </w:tcPr>
          <w:p w14:paraId="5163B209" w14:textId="77777777" w:rsidR="001614AC" w:rsidRDefault="004468F9">
            <w:pPr>
              <w:keepNext/>
              <w:spacing w:before="55" w:after="30" w:line="288" w:lineRule="auto"/>
              <w:jc w:val="right"/>
            </w:pPr>
            <w:r>
              <w:rPr>
                <w:rFonts w:ascii="Arial" w:eastAsia="Arial" w:hAnsi="Arial" w:cs="Arial"/>
                <w:color w:val="000000"/>
                <w:sz w:val="18"/>
              </w:rPr>
              <w:t>9,758 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78B1D38D" w14:textId="77777777" w:rsidR="001614AC" w:rsidRDefault="001614AC">
            <w:pPr>
              <w:keepNext/>
              <w:spacing w:before="55" w:after="30" w:line="288" w:lineRule="auto"/>
              <w:jc w:val="right"/>
            </w:pPr>
          </w:p>
        </w:tc>
      </w:tr>
      <w:tr w:rsidR="001614AC" w14:paraId="2C69387B" w14:textId="77777777">
        <w:trPr>
          <w:cantSplit/>
        </w:trPr>
        <w:tc>
          <w:tcPr>
            <w:tcW w:w="5640" w:type="dxa"/>
            <w:tcBorders>
              <w:top w:val="single" w:sz="8" w:space="0" w:color="E9E9E9"/>
              <w:left w:val="nil"/>
              <w:bottom w:val="single" w:sz="8" w:space="0" w:color="E9E9E9"/>
              <w:right w:val="nil"/>
            </w:tcBorders>
            <w:tcMar>
              <w:top w:w="0" w:type="dxa"/>
              <w:left w:w="53" w:type="dxa"/>
              <w:bottom w:w="0" w:type="dxa"/>
              <w:right w:w="53" w:type="dxa"/>
            </w:tcMar>
            <w:vAlign w:val="bottom"/>
          </w:tcPr>
          <w:p w14:paraId="0189A6DE" w14:textId="77777777" w:rsidR="001614AC" w:rsidRDefault="004468F9">
            <w:pPr>
              <w:keepNext/>
              <w:spacing w:before="55" w:after="30" w:line="288" w:lineRule="auto"/>
            </w:pPr>
            <w:r>
              <w:rPr>
                <w:rFonts w:ascii="Arial" w:eastAsia="Arial" w:hAnsi="Arial" w:cs="Arial"/>
                <w:color w:val="000000"/>
                <w:sz w:val="18"/>
              </w:rPr>
              <w:t>Average coverage percentage</w:t>
            </w:r>
          </w:p>
        </w:tc>
        <w:tc>
          <w:tcPr>
            <w:tcW w:w="105" w:type="dxa"/>
            <w:tcBorders>
              <w:top w:val="nil"/>
              <w:left w:val="nil"/>
              <w:bottom w:val="nil"/>
              <w:right w:val="nil"/>
            </w:tcBorders>
            <w:tcMar>
              <w:top w:w="0" w:type="dxa"/>
              <w:left w:w="0" w:type="dxa"/>
              <w:bottom w:w="0" w:type="dxa"/>
              <w:right w:w="0" w:type="dxa"/>
            </w:tcMar>
            <w:vAlign w:val="bottom"/>
          </w:tcPr>
          <w:p w14:paraId="18D3465A" w14:textId="77777777" w:rsidR="001614AC" w:rsidRDefault="001614AC">
            <w:pPr>
              <w:keepNext/>
            </w:pPr>
          </w:p>
        </w:tc>
        <w:tc>
          <w:tcPr>
            <w:tcW w:w="90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7C3EAAE8" w14:textId="77777777" w:rsidR="001614AC" w:rsidRDefault="004468F9">
            <w:pPr>
              <w:keepNext/>
              <w:spacing w:before="55" w:after="30" w:line="288" w:lineRule="auto"/>
              <w:jc w:val="right"/>
            </w:pPr>
            <w:r>
              <w:rPr>
                <w:rFonts w:ascii="Arial" w:eastAsia="Arial" w:hAnsi="Arial" w:cs="Arial"/>
                <w:color w:val="000000"/>
                <w:sz w:val="18"/>
              </w:rPr>
              <w:t>24.2 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0B2F852D" w14:textId="77777777" w:rsidR="001614AC" w:rsidRDefault="004468F9">
            <w:pPr>
              <w:keepNext/>
              <w:spacing w:before="55" w:after="30" w:line="288" w:lineRule="auto"/>
              <w:jc w:val="right"/>
            </w:pPr>
            <w:r>
              <w:rPr>
                <w:rFonts w:ascii="Arial" w:eastAsia="Arial" w:hAnsi="Arial" w:cs="Arial"/>
                <w:color w:val="000000"/>
                <w:sz w:val="18"/>
              </w:rPr>
              <w:t>%</w:t>
            </w:r>
          </w:p>
        </w:tc>
        <w:tc>
          <w:tcPr>
            <w:tcW w:w="105" w:type="dxa"/>
            <w:tcBorders>
              <w:top w:val="nil"/>
              <w:left w:val="nil"/>
              <w:bottom w:val="nil"/>
              <w:right w:val="nil"/>
            </w:tcBorders>
            <w:tcMar>
              <w:top w:w="0" w:type="dxa"/>
              <w:left w:w="0" w:type="dxa"/>
              <w:bottom w:w="0" w:type="dxa"/>
              <w:right w:w="0" w:type="dxa"/>
            </w:tcMar>
            <w:vAlign w:val="bottom"/>
          </w:tcPr>
          <w:p w14:paraId="3914C705" w14:textId="77777777" w:rsidR="001614AC" w:rsidRDefault="001614AC">
            <w:pPr>
              <w:keepNext/>
            </w:pPr>
          </w:p>
        </w:tc>
        <w:tc>
          <w:tcPr>
            <w:tcW w:w="90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6D23E314" w14:textId="77777777" w:rsidR="001614AC" w:rsidRDefault="004468F9">
            <w:pPr>
              <w:keepNext/>
              <w:spacing w:before="55" w:after="30" w:line="288" w:lineRule="auto"/>
              <w:jc w:val="right"/>
            </w:pPr>
            <w:r>
              <w:rPr>
                <w:rFonts w:ascii="Arial" w:eastAsia="Arial" w:hAnsi="Arial" w:cs="Arial"/>
                <w:color w:val="000000"/>
                <w:sz w:val="18"/>
              </w:rPr>
              <w:t>23.0 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14CB756C" w14:textId="77777777" w:rsidR="001614AC" w:rsidRDefault="004468F9">
            <w:pPr>
              <w:keepNext/>
              <w:spacing w:before="55" w:after="30" w:line="288" w:lineRule="auto"/>
              <w:jc w:val="right"/>
            </w:pPr>
            <w:r>
              <w:rPr>
                <w:rFonts w:ascii="Arial" w:eastAsia="Arial" w:hAnsi="Arial" w:cs="Arial"/>
                <w:color w:val="000000"/>
                <w:sz w:val="18"/>
              </w:rPr>
              <w:t>%</w:t>
            </w:r>
          </w:p>
        </w:tc>
        <w:tc>
          <w:tcPr>
            <w:tcW w:w="105" w:type="dxa"/>
            <w:tcBorders>
              <w:top w:val="nil"/>
              <w:left w:val="nil"/>
              <w:bottom w:val="nil"/>
              <w:right w:val="nil"/>
            </w:tcBorders>
            <w:tcMar>
              <w:top w:w="0" w:type="dxa"/>
              <w:left w:w="0" w:type="dxa"/>
              <w:bottom w:w="0" w:type="dxa"/>
              <w:right w:w="0" w:type="dxa"/>
            </w:tcMar>
            <w:vAlign w:val="bottom"/>
          </w:tcPr>
          <w:p w14:paraId="5C646D26" w14:textId="77777777" w:rsidR="001614AC" w:rsidRDefault="001614AC">
            <w:pPr>
              <w:keepNext/>
            </w:pPr>
          </w:p>
        </w:tc>
        <w:tc>
          <w:tcPr>
            <w:tcW w:w="90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13BC3E7F" w14:textId="77777777" w:rsidR="001614AC" w:rsidRDefault="004468F9">
            <w:pPr>
              <w:keepNext/>
              <w:spacing w:before="55" w:after="30" w:line="288" w:lineRule="auto"/>
              <w:jc w:val="right"/>
            </w:pPr>
            <w:r>
              <w:rPr>
                <w:rFonts w:ascii="Arial" w:eastAsia="Arial" w:hAnsi="Arial" w:cs="Arial"/>
                <w:color w:val="000000"/>
                <w:sz w:val="18"/>
              </w:rPr>
              <w:t>23.3 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37B652FF" w14:textId="77777777" w:rsidR="001614AC" w:rsidRDefault="004468F9">
            <w:pPr>
              <w:keepNext/>
              <w:spacing w:before="55" w:after="30" w:line="288" w:lineRule="auto"/>
              <w:jc w:val="right"/>
            </w:pPr>
            <w:r>
              <w:rPr>
                <w:rFonts w:ascii="Arial" w:eastAsia="Arial" w:hAnsi="Arial" w:cs="Arial"/>
                <w:color w:val="000000"/>
                <w:sz w:val="18"/>
              </w:rPr>
              <w:t>%</w:t>
            </w:r>
          </w:p>
        </w:tc>
        <w:tc>
          <w:tcPr>
            <w:tcW w:w="105" w:type="dxa"/>
            <w:tcBorders>
              <w:top w:val="nil"/>
              <w:left w:val="nil"/>
              <w:bottom w:val="nil"/>
              <w:right w:val="nil"/>
            </w:tcBorders>
            <w:tcMar>
              <w:top w:w="0" w:type="dxa"/>
              <w:left w:w="0" w:type="dxa"/>
              <w:bottom w:w="0" w:type="dxa"/>
              <w:right w:w="0" w:type="dxa"/>
            </w:tcMar>
            <w:vAlign w:val="bottom"/>
          </w:tcPr>
          <w:p w14:paraId="689AD7B4" w14:textId="77777777" w:rsidR="001614AC" w:rsidRDefault="001614AC">
            <w:pPr>
              <w:keepNext/>
            </w:pPr>
          </w:p>
        </w:tc>
        <w:tc>
          <w:tcPr>
            <w:tcW w:w="90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1751F0C8" w14:textId="77777777" w:rsidR="001614AC" w:rsidRDefault="004468F9">
            <w:pPr>
              <w:keepNext/>
              <w:spacing w:before="55" w:after="30" w:line="288" w:lineRule="auto"/>
              <w:jc w:val="right"/>
            </w:pPr>
            <w:r>
              <w:rPr>
                <w:rFonts w:ascii="Arial" w:eastAsia="Arial" w:hAnsi="Arial" w:cs="Arial"/>
                <w:color w:val="000000"/>
                <w:sz w:val="18"/>
              </w:rPr>
              <w:t>23.2 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3D8EDAB5" w14:textId="77777777" w:rsidR="001614AC" w:rsidRDefault="004468F9">
            <w:pPr>
              <w:keepNext/>
              <w:spacing w:before="55" w:after="30" w:line="288" w:lineRule="auto"/>
              <w:jc w:val="right"/>
            </w:pPr>
            <w:r>
              <w:rPr>
                <w:rFonts w:ascii="Arial" w:eastAsia="Arial" w:hAnsi="Arial" w:cs="Arial"/>
                <w:color w:val="000000"/>
                <w:sz w:val="18"/>
              </w:rPr>
              <w:t>%</w:t>
            </w:r>
          </w:p>
        </w:tc>
      </w:tr>
      <w:tr w:rsidR="001614AC" w14:paraId="48E7413D" w14:textId="77777777">
        <w:trPr>
          <w:cantSplit/>
        </w:trPr>
        <w:tc>
          <w:tcPr>
            <w:tcW w:w="5640" w:type="dxa"/>
            <w:tcBorders>
              <w:top w:val="single" w:sz="8" w:space="0" w:color="E9E9E9"/>
              <w:left w:val="nil"/>
              <w:bottom w:val="single" w:sz="8" w:space="0" w:color="E9E9E9"/>
              <w:right w:val="nil"/>
            </w:tcBorders>
            <w:tcMar>
              <w:top w:w="0" w:type="dxa"/>
              <w:left w:w="0" w:type="dxa"/>
              <w:bottom w:w="0" w:type="dxa"/>
              <w:right w:w="0" w:type="dxa"/>
            </w:tcMar>
            <w:vAlign w:val="bottom"/>
          </w:tcPr>
          <w:p w14:paraId="5BA8A1A5" w14:textId="77777777" w:rsidR="001614AC" w:rsidRDefault="001614AC">
            <w:pPr>
              <w:keepNext/>
            </w:pPr>
          </w:p>
        </w:tc>
        <w:tc>
          <w:tcPr>
            <w:tcW w:w="105" w:type="dxa"/>
            <w:tcBorders>
              <w:top w:val="nil"/>
              <w:left w:val="nil"/>
              <w:bottom w:val="nil"/>
              <w:right w:val="nil"/>
            </w:tcBorders>
            <w:tcMar>
              <w:top w:w="0" w:type="dxa"/>
              <w:left w:w="0" w:type="dxa"/>
              <w:bottom w:w="0" w:type="dxa"/>
              <w:right w:w="0" w:type="dxa"/>
            </w:tcMar>
            <w:vAlign w:val="bottom"/>
          </w:tcPr>
          <w:p w14:paraId="6F4E2469" w14:textId="77777777" w:rsidR="001614AC" w:rsidRDefault="001614AC">
            <w:pPr>
              <w:keepNext/>
            </w:pPr>
          </w:p>
        </w:tc>
        <w:tc>
          <w:tcPr>
            <w:tcW w:w="1005" w:type="dxa"/>
            <w:gridSpan w:val="3"/>
            <w:tcBorders>
              <w:top w:val="single" w:sz="8" w:space="0" w:color="E9E9E9"/>
              <w:left w:val="nil"/>
              <w:bottom w:val="single" w:sz="8" w:space="0" w:color="E9E9E9"/>
              <w:right w:val="nil"/>
            </w:tcBorders>
            <w:tcMar>
              <w:top w:w="0" w:type="dxa"/>
              <w:left w:w="0" w:type="dxa"/>
              <w:bottom w:w="0" w:type="dxa"/>
              <w:right w:w="0" w:type="dxa"/>
            </w:tcMar>
            <w:vAlign w:val="bottom"/>
          </w:tcPr>
          <w:p w14:paraId="23D7B872" w14:textId="77777777" w:rsidR="001614AC" w:rsidRDefault="001614AC">
            <w:pPr>
              <w:keepNext/>
            </w:pPr>
          </w:p>
        </w:tc>
        <w:tc>
          <w:tcPr>
            <w:tcW w:w="105" w:type="dxa"/>
            <w:tcBorders>
              <w:top w:val="nil"/>
              <w:left w:val="nil"/>
              <w:bottom w:val="nil"/>
              <w:right w:val="nil"/>
            </w:tcBorders>
            <w:tcMar>
              <w:top w:w="0" w:type="dxa"/>
              <w:left w:w="0" w:type="dxa"/>
              <w:bottom w:w="0" w:type="dxa"/>
              <w:right w:w="0" w:type="dxa"/>
            </w:tcMar>
            <w:vAlign w:val="bottom"/>
          </w:tcPr>
          <w:p w14:paraId="25CBC143" w14:textId="77777777" w:rsidR="001614AC" w:rsidRDefault="001614AC">
            <w:pPr>
              <w:keepNext/>
            </w:pPr>
          </w:p>
        </w:tc>
        <w:tc>
          <w:tcPr>
            <w:tcW w:w="1005" w:type="dxa"/>
            <w:gridSpan w:val="3"/>
            <w:tcBorders>
              <w:top w:val="single" w:sz="8" w:space="0" w:color="E9E9E9"/>
              <w:left w:val="nil"/>
              <w:bottom w:val="single" w:sz="8" w:space="0" w:color="E9E9E9"/>
              <w:right w:val="nil"/>
            </w:tcBorders>
            <w:tcMar>
              <w:top w:w="0" w:type="dxa"/>
              <w:left w:w="0" w:type="dxa"/>
              <w:bottom w:w="0" w:type="dxa"/>
              <w:right w:w="0" w:type="dxa"/>
            </w:tcMar>
            <w:vAlign w:val="bottom"/>
          </w:tcPr>
          <w:p w14:paraId="14C1E4A2" w14:textId="77777777" w:rsidR="001614AC" w:rsidRDefault="001614AC">
            <w:pPr>
              <w:keepNext/>
            </w:pPr>
          </w:p>
        </w:tc>
        <w:tc>
          <w:tcPr>
            <w:tcW w:w="105" w:type="dxa"/>
            <w:tcBorders>
              <w:top w:val="nil"/>
              <w:left w:val="nil"/>
              <w:bottom w:val="nil"/>
              <w:right w:val="nil"/>
            </w:tcBorders>
            <w:tcMar>
              <w:top w:w="0" w:type="dxa"/>
              <w:left w:w="0" w:type="dxa"/>
              <w:bottom w:w="0" w:type="dxa"/>
              <w:right w:w="0" w:type="dxa"/>
            </w:tcMar>
            <w:vAlign w:val="bottom"/>
          </w:tcPr>
          <w:p w14:paraId="6D6CE4A7" w14:textId="77777777" w:rsidR="001614AC" w:rsidRDefault="001614AC">
            <w:pPr>
              <w:keepNext/>
            </w:pPr>
          </w:p>
        </w:tc>
        <w:tc>
          <w:tcPr>
            <w:tcW w:w="1005" w:type="dxa"/>
            <w:gridSpan w:val="3"/>
            <w:tcBorders>
              <w:top w:val="single" w:sz="8" w:space="0" w:color="E9E9E9"/>
              <w:left w:val="nil"/>
              <w:bottom w:val="single" w:sz="8" w:space="0" w:color="E9E9E9"/>
              <w:right w:val="nil"/>
            </w:tcBorders>
            <w:tcMar>
              <w:top w:w="0" w:type="dxa"/>
              <w:left w:w="0" w:type="dxa"/>
              <w:bottom w:w="0" w:type="dxa"/>
              <w:right w:w="0" w:type="dxa"/>
            </w:tcMar>
            <w:vAlign w:val="bottom"/>
          </w:tcPr>
          <w:p w14:paraId="058CD7A7" w14:textId="77777777" w:rsidR="001614AC" w:rsidRDefault="001614AC">
            <w:pPr>
              <w:keepNext/>
            </w:pPr>
          </w:p>
        </w:tc>
        <w:tc>
          <w:tcPr>
            <w:tcW w:w="105" w:type="dxa"/>
            <w:tcBorders>
              <w:top w:val="nil"/>
              <w:left w:val="nil"/>
              <w:bottom w:val="nil"/>
              <w:right w:val="nil"/>
            </w:tcBorders>
            <w:tcMar>
              <w:top w:w="0" w:type="dxa"/>
              <w:left w:w="0" w:type="dxa"/>
              <w:bottom w:w="0" w:type="dxa"/>
              <w:right w:w="0" w:type="dxa"/>
            </w:tcMar>
            <w:vAlign w:val="bottom"/>
          </w:tcPr>
          <w:p w14:paraId="0739D440" w14:textId="77777777" w:rsidR="001614AC" w:rsidRDefault="001614AC">
            <w:pPr>
              <w:keepNext/>
            </w:pPr>
          </w:p>
        </w:tc>
        <w:tc>
          <w:tcPr>
            <w:tcW w:w="1005" w:type="dxa"/>
            <w:gridSpan w:val="3"/>
            <w:tcBorders>
              <w:top w:val="single" w:sz="8" w:space="0" w:color="E9E9E9"/>
              <w:left w:val="nil"/>
              <w:bottom w:val="single" w:sz="8" w:space="0" w:color="E9E9E9"/>
              <w:right w:val="nil"/>
            </w:tcBorders>
            <w:tcMar>
              <w:top w:w="0" w:type="dxa"/>
              <w:left w:w="0" w:type="dxa"/>
              <w:bottom w:w="0" w:type="dxa"/>
              <w:right w:w="0" w:type="dxa"/>
            </w:tcMar>
            <w:vAlign w:val="bottom"/>
          </w:tcPr>
          <w:p w14:paraId="50903FAA" w14:textId="77777777" w:rsidR="001614AC" w:rsidRDefault="001614AC">
            <w:pPr>
              <w:keepNext/>
            </w:pPr>
          </w:p>
        </w:tc>
      </w:tr>
      <w:tr w:rsidR="001614AC" w14:paraId="449F4976" w14:textId="77777777">
        <w:trPr>
          <w:cantSplit/>
        </w:trPr>
        <w:tc>
          <w:tcPr>
            <w:tcW w:w="5640" w:type="dxa"/>
            <w:tcBorders>
              <w:top w:val="single" w:sz="8" w:space="0" w:color="E9E9E9"/>
              <w:left w:val="nil"/>
              <w:bottom w:val="single" w:sz="8" w:space="0" w:color="E9E9E9"/>
              <w:right w:val="nil"/>
            </w:tcBorders>
            <w:tcMar>
              <w:top w:w="0" w:type="dxa"/>
              <w:left w:w="53" w:type="dxa"/>
              <w:bottom w:w="0" w:type="dxa"/>
              <w:right w:w="53" w:type="dxa"/>
            </w:tcMar>
            <w:vAlign w:val="bottom"/>
          </w:tcPr>
          <w:p w14:paraId="6ABE8AE3" w14:textId="77777777" w:rsidR="001614AC" w:rsidRDefault="004468F9">
            <w:pPr>
              <w:keepNext/>
              <w:spacing w:before="55" w:after="30" w:line="288" w:lineRule="auto"/>
            </w:pPr>
            <w:r>
              <w:rPr>
                <w:rFonts w:ascii="Arial" w:eastAsia="Arial" w:hAnsi="Arial" w:cs="Arial"/>
                <w:color w:val="000000"/>
                <w:sz w:val="18"/>
              </w:rPr>
              <w:t xml:space="preserve">NIW by </w:t>
            </w:r>
            <w:r>
              <w:rPr>
                <w:rFonts w:ascii="Arial" w:eastAsia="Arial" w:hAnsi="Arial" w:cs="Arial"/>
                <w:color w:val="000000"/>
                <w:sz w:val="18"/>
              </w:rPr>
              <w:t>loan purpose</w:t>
            </w:r>
          </w:p>
        </w:tc>
        <w:tc>
          <w:tcPr>
            <w:tcW w:w="105" w:type="dxa"/>
            <w:tcBorders>
              <w:top w:val="nil"/>
              <w:left w:val="nil"/>
              <w:bottom w:val="nil"/>
              <w:right w:val="nil"/>
            </w:tcBorders>
            <w:tcMar>
              <w:top w:w="0" w:type="dxa"/>
              <w:left w:w="0" w:type="dxa"/>
              <w:bottom w:w="0" w:type="dxa"/>
              <w:right w:w="0" w:type="dxa"/>
            </w:tcMar>
            <w:vAlign w:val="bottom"/>
          </w:tcPr>
          <w:p w14:paraId="2AE31C7A" w14:textId="77777777" w:rsidR="001614AC" w:rsidRDefault="001614AC">
            <w:pPr>
              <w:keepNext/>
            </w:pPr>
          </w:p>
        </w:tc>
        <w:tc>
          <w:tcPr>
            <w:tcW w:w="1005" w:type="dxa"/>
            <w:gridSpan w:val="3"/>
            <w:tcBorders>
              <w:top w:val="single" w:sz="8" w:space="0" w:color="E9E9E9"/>
              <w:left w:val="nil"/>
              <w:bottom w:val="single" w:sz="8" w:space="0" w:color="E9E9E9"/>
              <w:right w:val="nil"/>
            </w:tcBorders>
            <w:tcMar>
              <w:top w:w="0" w:type="dxa"/>
              <w:left w:w="0" w:type="dxa"/>
              <w:bottom w:w="0" w:type="dxa"/>
              <w:right w:w="0" w:type="dxa"/>
            </w:tcMar>
            <w:vAlign w:val="bottom"/>
          </w:tcPr>
          <w:p w14:paraId="65C85161" w14:textId="77777777" w:rsidR="001614AC" w:rsidRDefault="001614AC">
            <w:pPr>
              <w:keepNext/>
            </w:pPr>
          </w:p>
        </w:tc>
        <w:tc>
          <w:tcPr>
            <w:tcW w:w="105" w:type="dxa"/>
            <w:tcBorders>
              <w:top w:val="nil"/>
              <w:left w:val="nil"/>
              <w:bottom w:val="nil"/>
              <w:right w:val="nil"/>
            </w:tcBorders>
            <w:tcMar>
              <w:top w:w="0" w:type="dxa"/>
              <w:left w:w="0" w:type="dxa"/>
              <w:bottom w:w="0" w:type="dxa"/>
              <w:right w:w="0" w:type="dxa"/>
            </w:tcMar>
            <w:vAlign w:val="bottom"/>
          </w:tcPr>
          <w:p w14:paraId="50E6E701" w14:textId="77777777" w:rsidR="001614AC" w:rsidRDefault="001614AC">
            <w:pPr>
              <w:keepNext/>
            </w:pPr>
          </w:p>
        </w:tc>
        <w:tc>
          <w:tcPr>
            <w:tcW w:w="1005" w:type="dxa"/>
            <w:gridSpan w:val="3"/>
            <w:tcBorders>
              <w:top w:val="single" w:sz="8" w:space="0" w:color="E9E9E9"/>
              <w:left w:val="nil"/>
              <w:bottom w:val="single" w:sz="8" w:space="0" w:color="E9E9E9"/>
              <w:right w:val="nil"/>
            </w:tcBorders>
            <w:tcMar>
              <w:top w:w="0" w:type="dxa"/>
              <w:left w:w="0" w:type="dxa"/>
              <w:bottom w:w="0" w:type="dxa"/>
              <w:right w:w="0" w:type="dxa"/>
            </w:tcMar>
            <w:vAlign w:val="bottom"/>
          </w:tcPr>
          <w:p w14:paraId="4538F95D" w14:textId="77777777" w:rsidR="001614AC" w:rsidRDefault="001614AC">
            <w:pPr>
              <w:keepNext/>
            </w:pPr>
          </w:p>
        </w:tc>
        <w:tc>
          <w:tcPr>
            <w:tcW w:w="105" w:type="dxa"/>
            <w:tcBorders>
              <w:top w:val="nil"/>
              <w:left w:val="nil"/>
              <w:bottom w:val="nil"/>
              <w:right w:val="nil"/>
            </w:tcBorders>
            <w:tcMar>
              <w:top w:w="0" w:type="dxa"/>
              <w:left w:w="0" w:type="dxa"/>
              <w:bottom w:w="0" w:type="dxa"/>
              <w:right w:w="0" w:type="dxa"/>
            </w:tcMar>
            <w:vAlign w:val="bottom"/>
          </w:tcPr>
          <w:p w14:paraId="35C3431F" w14:textId="77777777" w:rsidR="001614AC" w:rsidRDefault="001614AC">
            <w:pPr>
              <w:keepNext/>
            </w:pPr>
          </w:p>
        </w:tc>
        <w:tc>
          <w:tcPr>
            <w:tcW w:w="1005" w:type="dxa"/>
            <w:gridSpan w:val="3"/>
            <w:tcBorders>
              <w:top w:val="single" w:sz="8" w:space="0" w:color="E9E9E9"/>
              <w:left w:val="nil"/>
              <w:bottom w:val="single" w:sz="8" w:space="0" w:color="E9E9E9"/>
              <w:right w:val="nil"/>
            </w:tcBorders>
            <w:tcMar>
              <w:top w:w="0" w:type="dxa"/>
              <w:left w:w="0" w:type="dxa"/>
              <w:bottom w:w="0" w:type="dxa"/>
              <w:right w:w="0" w:type="dxa"/>
            </w:tcMar>
            <w:vAlign w:val="bottom"/>
          </w:tcPr>
          <w:p w14:paraId="1EF2CA0A" w14:textId="77777777" w:rsidR="001614AC" w:rsidRDefault="001614AC">
            <w:pPr>
              <w:keepNext/>
            </w:pPr>
          </w:p>
        </w:tc>
        <w:tc>
          <w:tcPr>
            <w:tcW w:w="105" w:type="dxa"/>
            <w:tcBorders>
              <w:top w:val="nil"/>
              <w:left w:val="nil"/>
              <w:bottom w:val="nil"/>
              <w:right w:val="nil"/>
            </w:tcBorders>
            <w:tcMar>
              <w:top w:w="0" w:type="dxa"/>
              <w:left w:w="0" w:type="dxa"/>
              <w:bottom w:w="0" w:type="dxa"/>
              <w:right w:w="0" w:type="dxa"/>
            </w:tcMar>
            <w:vAlign w:val="bottom"/>
          </w:tcPr>
          <w:p w14:paraId="633DA9F0" w14:textId="77777777" w:rsidR="001614AC" w:rsidRDefault="001614AC">
            <w:pPr>
              <w:keepNext/>
            </w:pPr>
          </w:p>
        </w:tc>
        <w:tc>
          <w:tcPr>
            <w:tcW w:w="1005" w:type="dxa"/>
            <w:gridSpan w:val="3"/>
            <w:tcBorders>
              <w:top w:val="single" w:sz="8" w:space="0" w:color="E9E9E9"/>
              <w:left w:val="nil"/>
              <w:bottom w:val="single" w:sz="8" w:space="0" w:color="E9E9E9"/>
              <w:right w:val="nil"/>
            </w:tcBorders>
            <w:tcMar>
              <w:top w:w="0" w:type="dxa"/>
              <w:left w:w="0" w:type="dxa"/>
              <w:bottom w:w="0" w:type="dxa"/>
              <w:right w:w="0" w:type="dxa"/>
            </w:tcMar>
            <w:vAlign w:val="bottom"/>
          </w:tcPr>
          <w:p w14:paraId="4FAD40E4" w14:textId="77777777" w:rsidR="001614AC" w:rsidRDefault="001614AC">
            <w:pPr>
              <w:keepNext/>
            </w:pPr>
          </w:p>
        </w:tc>
      </w:tr>
      <w:tr w:rsidR="001614AC" w14:paraId="28D2723A" w14:textId="77777777">
        <w:trPr>
          <w:cantSplit/>
        </w:trPr>
        <w:tc>
          <w:tcPr>
            <w:tcW w:w="5640" w:type="dxa"/>
            <w:tcBorders>
              <w:top w:val="single" w:sz="8" w:space="0" w:color="E9E9E9"/>
              <w:left w:val="nil"/>
              <w:bottom w:val="single" w:sz="8" w:space="0" w:color="E9E9E9"/>
              <w:right w:val="nil"/>
            </w:tcBorders>
            <w:tcMar>
              <w:top w:w="0" w:type="dxa"/>
              <w:left w:w="53" w:type="dxa"/>
              <w:bottom w:w="0" w:type="dxa"/>
              <w:right w:w="53" w:type="dxa"/>
            </w:tcMar>
            <w:vAlign w:val="bottom"/>
          </w:tcPr>
          <w:p w14:paraId="2DD21D84" w14:textId="77777777" w:rsidR="001614AC" w:rsidRDefault="004468F9">
            <w:pPr>
              <w:keepNext/>
              <w:spacing w:before="55" w:after="30" w:line="288" w:lineRule="auto"/>
              <w:ind w:left="240"/>
            </w:pPr>
            <w:r>
              <w:rPr>
                <w:rFonts w:ascii="Arial" w:eastAsia="Arial" w:hAnsi="Arial" w:cs="Arial"/>
                <w:color w:val="000000"/>
                <w:sz w:val="18"/>
              </w:rPr>
              <w:t>Purchases</w:t>
            </w:r>
          </w:p>
        </w:tc>
        <w:tc>
          <w:tcPr>
            <w:tcW w:w="105" w:type="dxa"/>
            <w:tcBorders>
              <w:top w:val="nil"/>
              <w:left w:val="nil"/>
              <w:bottom w:val="nil"/>
              <w:right w:val="nil"/>
            </w:tcBorders>
            <w:tcMar>
              <w:top w:w="0" w:type="dxa"/>
              <w:left w:w="0" w:type="dxa"/>
              <w:bottom w:w="0" w:type="dxa"/>
              <w:right w:w="0" w:type="dxa"/>
            </w:tcMar>
            <w:vAlign w:val="bottom"/>
          </w:tcPr>
          <w:p w14:paraId="70C32F23" w14:textId="77777777" w:rsidR="001614AC" w:rsidRDefault="001614AC">
            <w:pPr>
              <w:keepNext/>
            </w:pPr>
          </w:p>
        </w:tc>
        <w:tc>
          <w:tcPr>
            <w:tcW w:w="90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0AF437EC" w14:textId="77777777" w:rsidR="001614AC" w:rsidRDefault="004468F9">
            <w:pPr>
              <w:keepNext/>
              <w:spacing w:before="55" w:after="30" w:line="288" w:lineRule="auto"/>
              <w:jc w:val="right"/>
            </w:pPr>
            <w:r>
              <w:rPr>
                <w:rFonts w:ascii="Arial" w:eastAsia="Arial" w:hAnsi="Arial" w:cs="Arial"/>
                <w:color w:val="000000"/>
                <w:sz w:val="18"/>
              </w:rPr>
              <w:t>77.1 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561202EB" w14:textId="77777777" w:rsidR="001614AC" w:rsidRDefault="004468F9">
            <w:pPr>
              <w:keepNext/>
              <w:spacing w:before="55" w:after="30" w:line="288" w:lineRule="auto"/>
              <w:jc w:val="right"/>
            </w:pPr>
            <w:r>
              <w:rPr>
                <w:rFonts w:ascii="Arial" w:eastAsia="Arial" w:hAnsi="Arial" w:cs="Arial"/>
                <w:color w:val="000000"/>
                <w:sz w:val="18"/>
              </w:rPr>
              <w:t>%</w:t>
            </w:r>
          </w:p>
        </w:tc>
        <w:tc>
          <w:tcPr>
            <w:tcW w:w="105" w:type="dxa"/>
            <w:tcBorders>
              <w:top w:val="nil"/>
              <w:left w:val="nil"/>
              <w:bottom w:val="nil"/>
              <w:right w:val="nil"/>
            </w:tcBorders>
            <w:tcMar>
              <w:top w:w="0" w:type="dxa"/>
              <w:left w:w="0" w:type="dxa"/>
              <w:bottom w:w="0" w:type="dxa"/>
              <w:right w:w="0" w:type="dxa"/>
            </w:tcMar>
            <w:vAlign w:val="bottom"/>
          </w:tcPr>
          <w:p w14:paraId="0C06D554" w14:textId="77777777" w:rsidR="001614AC" w:rsidRDefault="001614AC">
            <w:pPr>
              <w:keepNext/>
            </w:pPr>
          </w:p>
        </w:tc>
        <w:tc>
          <w:tcPr>
            <w:tcW w:w="90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7D32B6D4" w14:textId="77777777" w:rsidR="001614AC" w:rsidRDefault="004468F9">
            <w:pPr>
              <w:keepNext/>
              <w:spacing w:before="55" w:after="30" w:line="288" w:lineRule="auto"/>
              <w:jc w:val="right"/>
            </w:pPr>
            <w:r>
              <w:rPr>
                <w:rFonts w:ascii="Arial" w:eastAsia="Arial" w:hAnsi="Arial" w:cs="Arial"/>
                <w:color w:val="000000"/>
                <w:sz w:val="18"/>
              </w:rPr>
              <w:t>56.4 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1D9CCF84" w14:textId="77777777" w:rsidR="001614AC" w:rsidRDefault="004468F9">
            <w:pPr>
              <w:keepNext/>
              <w:spacing w:before="55" w:after="30" w:line="288" w:lineRule="auto"/>
              <w:jc w:val="right"/>
            </w:pPr>
            <w:r>
              <w:rPr>
                <w:rFonts w:ascii="Arial" w:eastAsia="Arial" w:hAnsi="Arial" w:cs="Arial"/>
                <w:color w:val="000000"/>
                <w:sz w:val="18"/>
              </w:rPr>
              <w:t>%</w:t>
            </w:r>
          </w:p>
        </w:tc>
        <w:tc>
          <w:tcPr>
            <w:tcW w:w="105" w:type="dxa"/>
            <w:tcBorders>
              <w:top w:val="nil"/>
              <w:left w:val="nil"/>
              <w:bottom w:val="nil"/>
              <w:right w:val="nil"/>
            </w:tcBorders>
            <w:tcMar>
              <w:top w:w="0" w:type="dxa"/>
              <w:left w:w="0" w:type="dxa"/>
              <w:bottom w:w="0" w:type="dxa"/>
              <w:right w:w="0" w:type="dxa"/>
            </w:tcMar>
            <w:vAlign w:val="bottom"/>
          </w:tcPr>
          <w:p w14:paraId="23D1AF08" w14:textId="77777777" w:rsidR="001614AC" w:rsidRDefault="001614AC">
            <w:pPr>
              <w:keepNext/>
            </w:pPr>
          </w:p>
        </w:tc>
        <w:tc>
          <w:tcPr>
            <w:tcW w:w="90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3E348299" w14:textId="77777777" w:rsidR="001614AC" w:rsidRDefault="004468F9">
            <w:pPr>
              <w:keepNext/>
              <w:spacing w:before="55" w:after="30" w:line="288" w:lineRule="auto"/>
              <w:jc w:val="right"/>
            </w:pPr>
            <w:r>
              <w:rPr>
                <w:rFonts w:ascii="Arial" w:eastAsia="Arial" w:hAnsi="Arial" w:cs="Arial"/>
                <w:color w:val="000000"/>
                <w:sz w:val="18"/>
              </w:rPr>
              <w:t>68.5 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7F83065D" w14:textId="77777777" w:rsidR="001614AC" w:rsidRDefault="004468F9">
            <w:pPr>
              <w:keepNext/>
              <w:spacing w:before="55" w:after="30" w:line="288" w:lineRule="auto"/>
              <w:jc w:val="right"/>
            </w:pPr>
            <w:r>
              <w:rPr>
                <w:rFonts w:ascii="Arial" w:eastAsia="Arial" w:hAnsi="Arial" w:cs="Arial"/>
                <w:color w:val="000000"/>
                <w:sz w:val="18"/>
              </w:rPr>
              <w:t>%</w:t>
            </w:r>
          </w:p>
        </w:tc>
        <w:tc>
          <w:tcPr>
            <w:tcW w:w="105" w:type="dxa"/>
            <w:tcBorders>
              <w:top w:val="nil"/>
              <w:left w:val="nil"/>
              <w:bottom w:val="nil"/>
              <w:right w:val="nil"/>
            </w:tcBorders>
            <w:tcMar>
              <w:top w:w="0" w:type="dxa"/>
              <w:left w:w="0" w:type="dxa"/>
              <w:bottom w:w="0" w:type="dxa"/>
              <w:right w:w="0" w:type="dxa"/>
            </w:tcMar>
            <w:vAlign w:val="bottom"/>
          </w:tcPr>
          <w:p w14:paraId="6098155E" w14:textId="77777777" w:rsidR="001614AC" w:rsidRDefault="001614AC">
            <w:pPr>
              <w:keepNext/>
            </w:pPr>
          </w:p>
        </w:tc>
        <w:tc>
          <w:tcPr>
            <w:tcW w:w="90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4578B374" w14:textId="77777777" w:rsidR="001614AC" w:rsidRDefault="004468F9">
            <w:pPr>
              <w:keepNext/>
              <w:spacing w:before="55" w:after="30" w:line="288" w:lineRule="auto"/>
              <w:jc w:val="right"/>
            </w:pPr>
            <w:r>
              <w:rPr>
                <w:rFonts w:ascii="Arial" w:eastAsia="Arial" w:hAnsi="Arial" w:cs="Arial"/>
                <w:color w:val="000000"/>
                <w:sz w:val="18"/>
              </w:rPr>
              <w:t>60.3 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42895018" w14:textId="77777777" w:rsidR="001614AC" w:rsidRDefault="004468F9">
            <w:pPr>
              <w:keepNext/>
              <w:spacing w:before="55" w:after="30" w:line="288" w:lineRule="auto"/>
              <w:jc w:val="right"/>
            </w:pPr>
            <w:r>
              <w:rPr>
                <w:rFonts w:ascii="Arial" w:eastAsia="Arial" w:hAnsi="Arial" w:cs="Arial"/>
                <w:color w:val="000000"/>
                <w:sz w:val="18"/>
              </w:rPr>
              <w:t>%</w:t>
            </w:r>
          </w:p>
        </w:tc>
      </w:tr>
      <w:tr w:rsidR="001614AC" w14:paraId="476AEF61" w14:textId="77777777">
        <w:trPr>
          <w:cantSplit/>
        </w:trPr>
        <w:tc>
          <w:tcPr>
            <w:tcW w:w="5640" w:type="dxa"/>
            <w:tcBorders>
              <w:top w:val="single" w:sz="8" w:space="0" w:color="E9E9E9"/>
              <w:left w:val="nil"/>
              <w:bottom w:val="single" w:sz="8" w:space="0" w:color="E9E9E9"/>
              <w:right w:val="nil"/>
            </w:tcBorders>
            <w:tcMar>
              <w:top w:w="0" w:type="dxa"/>
              <w:left w:w="53" w:type="dxa"/>
              <w:bottom w:w="0" w:type="dxa"/>
              <w:right w:w="53" w:type="dxa"/>
            </w:tcMar>
            <w:vAlign w:val="bottom"/>
          </w:tcPr>
          <w:p w14:paraId="2C74D5D1" w14:textId="77777777" w:rsidR="001614AC" w:rsidRDefault="004468F9">
            <w:pPr>
              <w:keepNext/>
              <w:spacing w:before="55" w:after="30" w:line="288" w:lineRule="auto"/>
              <w:ind w:left="240"/>
            </w:pPr>
            <w:r>
              <w:rPr>
                <w:rFonts w:ascii="Arial" w:eastAsia="Arial" w:hAnsi="Arial" w:cs="Arial"/>
                <w:color w:val="000000"/>
                <w:sz w:val="18"/>
              </w:rPr>
              <w:t>Refinances</w:t>
            </w:r>
          </w:p>
        </w:tc>
        <w:tc>
          <w:tcPr>
            <w:tcW w:w="105" w:type="dxa"/>
            <w:tcBorders>
              <w:top w:val="nil"/>
              <w:left w:val="nil"/>
              <w:bottom w:val="nil"/>
              <w:right w:val="nil"/>
            </w:tcBorders>
            <w:tcMar>
              <w:top w:w="0" w:type="dxa"/>
              <w:left w:w="0" w:type="dxa"/>
              <w:bottom w:w="0" w:type="dxa"/>
              <w:right w:w="0" w:type="dxa"/>
            </w:tcMar>
            <w:vAlign w:val="bottom"/>
          </w:tcPr>
          <w:p w14:paraId="193B75FD" w14:textId="77777777" w:rsidR="001614AC" w:rsidRDefault="001614AC">
            <w:pPr>
              <w:keepNext/>
            </w:pPr>
          </w:p>
        </w:tc>
        <w:tc>
          <w:tcPr>
            <w:tcW w:w="90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192A3431" w14:textId="77777777" w:rsidR="001614AC" w:rsidRDefault="004468F9">
            <w:pPr>
              <w:keepNext/>
              <w:spacing w:before="55" w:after="30" w:line="288" w:lineRule="auto"/>
              <w:jc w:val="right"/>
            </w:pPr>
            <w:r>
              <w:rPr>
                <w:rFonts w:ascii="Arial" w:eastAsia="Arial" w:hAnsi="Arial" w:cs="Arial"/>
                <w:color w:val="000000"/>
                <w:sz w:val="18"/>
              </w:rPr>
              <w:t>22.9 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03210802" w14:textId="77777777" w:rsidR="001614AC" w:rsidRDefault="004468F9">
            <w:pPr>
              <w:keepNext/>
              <w:spacing w:before="55" w:after="30" w:line="288" w:lineRule="auto"/>
              <w:jc w:val="right"/>
            </w:pPr>
            <w:r>
              <w:rPr>
                <w:rFonts w:ascii="Arial" w:eastAsia="Arial" w:hAnsi="Arial" w:cs="Arial"/>
                <w:color w:val="000000"/>
                <w:sz w:val="18"/>
              </w:rPr>
              <w:t>%</w:t>
            </w:r>
          </w:p>
        </w:tc>
        <w:tc>
          <w:tcPr>
            <w:tcW w:w="105" w:type="dxa"/>
            <w:tcBorders>
              <w:top w:val="nil"/>
              <w:left w:val="nil"/>
              <w:bottom w:val="nil"/>
              <w:right w:val="nil"/>
            </w:tcBorders>
            <w:tcMar>
              <w:top w:w="0" w:type="dxa"/>
              <w:left w:w="0" w:type="dxa"/>
              <w:bottom w:w="0" w:type="dxa"/>
              <w:right w:w="0" w:type="dxa"/>
            </w:tcMar>
            <w:vAlign w:val="bottom"/>
          </w:tcPr>
          <w:p w14:paraId="253CDDCA" w14:textId="77777777" w:rsidR="001614AC" w:rsidRDefault="001614AC">
            <w:pPr>
              <w:keepNext/>
            </w:pPr>
          </w:p>
        </w:tc>
        <w:tc>
          <w:tcPr>
            <w:tcW w:w="90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2B15568B" w14:textId="77777777" w:rsidR="001614AC" w:rsidRDefault="004468F9">
            <w:pPr>
              <w:keepNext/>
              <w:spacing w:before="55" w:after="30" w:line="288" w:lineRule="auto"/>
              <w:jc w:val="right"/>
            </w:pPr>
            <w:r>
              <w:rPr>
                <w:rFonts w:ascii="Arial" w:eastAsia="Arial" w:hAnsi="Arial" w:cs="Arial"/>
                <w:color w:val="000000"/>
                <w:sz w:val="18"/>
              </w:rPr>
              <w:t>43.6 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6CA5D9E6" w14:textId="77777777" w:rsidR="001614AC" w:rsidRDefault="004468F9">
            <w:pPr>
              <w:keepNext/>
              <w:spacing w:before="55" w:after="30" w:line="288" w:lineRule="auto"/>
              <w:jc w:val="right"/>
            </w:pPr>
            <w:r>
              <w:rPr>
                <w:rFonts w:ascii="Arial" w:eastAsia="Arial" w:hAnsi="Arial" w:cs="Arial"/>
                <w:color w:val="000000"/>
                <w:sz w:val="18"/>
              </w:rPr>
              <w:t>%</w:t>
            </w:r>
          </w:p>
        </w:tc>
        <w:tc>
          <w:tcPr>
            <w:tcW w:w="105" w:type="dxa"/>
            <w:tcBorders>
              <w:top w:val="nil"/>
              <w:left w:val="nil"/>
              <w:bottom w:val="nil"/>
              <w:right w:val="nil"/>
            </w:tcBorders>
            <w:tcMar>
              <w:top w:w="0" w:type="dxa"/>
              <w:left w:w="0" w:type="dxa"/>
              <w:bottom w:w="0" w:type="dxa"/>
              <w:right w:w="0" w:type="dxa"/>
            </w:tcMar>
            <w:vAlign w:val="bottom"/>
          </w:tcPr>
          <w:p w14:paraId="31A550BB" w14:textId="77777777" w:rsidR="001614AC" w:rsidRDefault="001614AC">
            <w:pPr>
              <w:keepNext/>
            </w:pPr>
          </w:p>
        </w:tc>
        <w:tc>
          <w:tcPr>
            <w:tcW w:w="90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2E16D94C" w14:textId="77777777" w:rsidR="001614AC" w:rsidRDefault="004468F9">
            <w:pPr>
              <w:keepNext/>
              <w:spacing w:before="55" w:after="30" w:line="288" w:lineRule="auto"/>
              <w:jc w:val="right"/>
            </w:pPr>
            <w:r>
              <w:rPr>
                <w:rFonts w:ascii="Arial" w:eastAsia="Arial" w:hAnsi="Arial" w:cs="Arial"/>
                <w:color w:val="000000"/>
                <w:sz w:val="18"/>
              </w:rPr>
              <w:t>31.5 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3D9AF766" w14:textId="77777777" w:rsidR="001614AC" w:rsidRDefault="004468F9">
            <w:pPr>
              <w:keepNext/>
              <w:spacing w:before="55" w:after="30" w:line="288" w:lineRule="auto"/>
              <w:jc w:val="right"/>
            </w:pPr>
            <w:r>
              <w:rPr>
                <w:rFonts w:ascii="Arial" w:eastAsia="Arial" w:hAnsi="Arial" w:cs="Arial"/>
                <w:color w:val="000000"/>
                <w:sz w:val="18"/>
              </w:rPr>
              <w:t>%</w:t>
            </w:r>
          </w:p>
        </w:tc>
        <w:tc>
          <w:tcPr>
            <w:tcW w:w="105" w:type="dxa"/>
            <w:tcBorders>
              <w:top w:val="nil"/>
              <w:left w:val="nil"/>
              <w:bottom w:val="nil"/>
              <w:right w:val="nil"/>
            </w:tcBorders>
            <w:tcMar>
              <w:top w:w="0" w:type="dxa"/>
              <w:left w:w="0" w:type="dxa"/>
              <w:bottom w:w="0" w:type="dxa"/>
              <w:right w:w="0" w:type="dxa"/>
            </w:tcMar>
            <w:vAlign w:val="bottom"/>
          </w:tcPr>
          <w:p w14:paraId="7D11E622" w14:textId="77777777" w:rsidR="001614AC" w:rsidRDefault="001614AC">
            <w:pPr>
              <w:keepNext/>
            </w:pPr>
          </w:p>
        </w:tc>
        <w:tc>
          <w:tcPr>
            <w:tcW w:w="90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32B69DA3" w14:textId="77777777" w:rsidR="001614AC" w:rsidRDefault="004468F9">
            <w:pPr>
              <w:keepNext/>
              <w:spacing w:before="55" w:after="30" w:line="288" w:lineRule="auto"/>
              <w:jc w:val="right"/>
            </w:pPr>
            <w:r>
              <w:rPr>
                <w:rFonts w:ascii="Arial" w:eastAsia="Arial" w:hAnsi="Arial" w:cs="Arial"/>
                <w:color w:val="000000"/>
                <w:sz w:val="18"/>
              </w:rPr>
              <w:t>39.7 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22CA56A6" w14:textId="77777777" w:rsidR="001614AC" w:rsidRDefault="004468F9">
            <w:pPr>
              <w:keepNext/>
              <w:spacing w:before="55" w:after="30" w:line="288" w:lineRule="auto"/>
              <w:jc w:val="right"/>
            </w:pPr>
            <w:r>
              <w:rPr>
                <w:rFonts w:ascii="Arial" w:eastAsia="Arial" w:hAnsi="Arial" w:cs="Arial"/>
                <w:color w:val="000000"/>
                <w:sz w:val="18"/>
              </w:rPr>
              <w:t>%</w:t>
            </w:r>
          </w:p>
        </w:tc>
      </w:tr>
      <w:tr w:rsidR="001614AC" w14:paraId="688072C9" w14:textId="77777777">
        <w:trPr>
          <w:cantSplit/>
        </w:trPr>
        <w:tc>
          <w:tcPr>
            <w:tcW w:w="5640" w:type="dxa"/>
            <w:tcBorders>
              <w:top w:val="single" w:sz="8" w:space="0" w:color="E9E9E9"/>
              <w:left w:val="nil"/>
              <w:bottom w:val="single" w:sz="8" w:space="0" w:color="E9E9E9"/>
              <w:right w:val="nil"/>
            </w:tcBorders>
            <w:tcMar>
              <w:top w:w="0" w:type="dxa"/>
              <w:left w:w="0" w:type="dxa"/>
              <w:bottom w:w="0" w:type="dxa"/>
              <w:right w:w="0" w:type="dxa"/>
            </w:tcMar>
            <w:vAlign w:val="bottom"/>
          </w:tcPr>
          <w:p w14:paraId="6C6E243E" w14:textId="77777777" w:rsidR="001614AC" w:rsidRDefault="001614AC">
            <w:pPr>
              <w:keepNext/>
            </w:pPr>
          </w:p>
        </w:tc>
        <w:tc>
          <w:tcPr>
            <w:tcW w:w="105" w:type="dxa"/>
            <w:tcBorders>
              <w:top w:val="nil"/>
              <w:left w:val="nil"/>
              <w:bottom w:val="nil"/>
              <w:right w:val="nil"/>
            </w:tcBorders>
            <w:tcMar>
              <w:top w:w="0" w:type="dxa"/>
              <w:left w:w="0" w:type="dxa"/>
              <w:bottom w:w="0" w:type="dxa"/>
              <w:right w:w="0" w:type="dxa"/>
            </w:tcMar>
            <w:vAlign w:val="bottom"/>
          </w:tcPr>
          <w:p w14:paraId="58714DB7" w14:textId="77777777" w:rsidR="001614AC" w:rsidRDefault="001614AC">
            <w:pPr>
              <w:keepNext/>
            </w:pPr>
          </w:p>
        </w:tc>
        <w:tc>
          <w:tcPr>
            <w:tcW w:w="1005" w:type="dxa"/>
            <w:gridSpan w:val="3"/>
            <w:tcBorders>
              <w:top w:val="single" w:sz="8" w:space="0" w:color="E9E9E9"/>
              <w:left w:val="nil"/>
              <w:bottom w:val="single" w:sz="8" w:space="0" w:color="E9E9E9"/>
              <w:right w:val="nil"/>
            </w:tcBorders>
            <w:tcMar>
              <w:top w:w="0" w:type="dxa"/>
              <w:left w:w="0" w:type="dxa"/>
              <w:bottom w:w="0" w:type="dxa"/>
              <w:right w:w="0" w:type="dxa"/>
            </w:tcMar>
            <w:vAlign w:val="bottom"/>
          </w:tcPr>
          <w:p w14:paraId="0DBF549A" w14:textId="77777777" w:rsidR="001614AC" w:rsidRDefault="001614AC">
            <w:pPr>
              <w:keepNext/>
            </w:pPr>
          </w:p>
        </w:tc>
        <w:tc>
          <w:tcPr>
            <w:tcW w:w="105" w:type="dxa"/>
            <w:tcBorders>
              <w:top w:val="nil"/>
              <w:left w:val="nil"/>
              <w:bottom w:val="nil"/>
              <w:right w:val="nil"/>
            </w:tcBorders>
            <w:tcMar>
              <w:top w:w="0" w:type="dxa"/>
              <w:left w:w="0" w:type="dxa"/>
              <w:bottom w:w="0" w:type="dxa"/>
              <w:right w:w="0" w:type="dxa"/>
            </w:tcMar>
            <w:vAlign w:val="bottom"/>
          </w:tcPr>
          <w:p w14:paraId="001D59BD" w14:textId="77777777" w:rsidR="001614AC" w:rsidRDefault="001614AC">
            <w:pPr>
              <w:keepNext/>
            </w:pPr>
          </w:p>
        </w:tc>
        <w:tc>
          <w:tcPr>
            <w:tcW w:w="1005" w:type="dxa"/>
            <w:gridSpan w:val="3"/>
            <w:tcBorders>
              <w:top w:val="single" w:sz="8" w:space="0" w:color="E9E9E9"/>
              <w:left w:val="nil"/>
              <w:bottom w:val="single" w:sz="8" w:space="0" w:color="E9E9E9"/>
              <w:right w:val="nil"/>
            </w:tcBorders>
            <w:tcMar>
              <w:top w:w="0" w:type="dxa"/>
              <w:left w:w="0" w:type="dxa"/>
              <w:bottom w:w="0" w:type="dxa"/>
              <w:right w:w="0" w:type="dxa"/>
            </w:tcMar>
            <w:vAlign w:val="bottom"/>
          </w:tcPr>
          <w:p w14:paraId="01084736" w14:textId="77777777" w:rsidR="001614AC" w:rsidRDefault="001614AC">
            <w:pPr>
              <w:keepNext/>
            </w:pPr>
          </w:p>
        </w:tc>
        <w:tc>
          <w:tcPr>
            <w:tcW w:w="105" w:type="dxa"/>
            <w:tcBorders>
              <w:top w:val="nil"/>
              <w:left w:val="nil"/>
              <w:bottom w:val="nil"/>
              <w:right w:val="nil"/>
            </w:tcBorders>
            <w:tcMar>
              <w:top w:w="0" w:type="dxa"/>
              <w:left w:w="0" w:type="dxa"/>
              <w:bottom w:w="0" w:type="dxa"/>
              <w:right w:w="0" w:type="dxa"/>
            </w:tcMar>
            <w:vAlign w:val="bottom"/>
          </w:tcPr>
          <w:p w14:paraId="35A081CA" w14:textId="77777777" w:rsidR="001614AC" w:rsidRDefault="001614AC">
            <w:pPr>
              <w:keepNext/>
            </w:pPr>
          </w:p>
        </w:tc>
        <w:tc>
          <w:tcPr>
            <w:tcW w:w="1005" w:type="dxa"/>
            <w:gridSpan w:val="3"/>
            <w:tcBorders>
              <w:top w:val="single" w:sz="8" w:space="0" w:color="E9E9E9"/>
              <w:left w:val="nil"/>
              <w:bottom w:val="single" w:sz="8" w:space="0" w:color="E9E9E9"/>
              <w:right w:val="nil"/>
            </w:tcBorders>
            <w:tcMar>
              <w:top w:w="0" w:type="dxa"/>
              <w:left w:w="0" w:type="dxa"/>
              <w:bottom w:w="0" w:type="dxa"/>
              <w:right w:w="0" w:type="dxa"/>
            </w:tcMar>
            <w:vAlign w:val="bottom"/>
          </w:tcPr>
          <w:p w14:paraId="699FF9CF" w14:textId="77777777" w:rsidR="001614AC" w:rsidRDefault="001614AC">
            <w:pPr>
              <w:keepNext/>
            </w:pPr>
          </w:p>
        </w:tc>
        <w:tc>
          <w:tcPr>
            <w:tcW w:w="105" w:type="dxa"/>
            <w:tcBorders>
              <w:top w:val="nil"/>
              <w:left w:val="nil"/>
              <w:bottom w:val="nil"/>
              <w:right w:val="nil"/>
            </w:tcBorders>
            <w:tcMar>
              <w:top w:w="0" w:type="dxa"/>
              <w:left w:w="0" w:type="dxa"/>
              <w:bottom w:w="0" w:type="dxa"/>
              <w:right w:w="0" w:type="dxa"/>
            </w:tcMar>
            <w:vAlign w:val="bottom"/>
          </w:tcPr>
          <w:p w14:paraId="393F6E0A" w14:textId="77777777" w:rsidR="001614AC" w:rsidRDefault="001614AC">
            <w:pPr>
              <w:keepNext/>
            </w:pPr>
          </w:p>
        </w:tc>
        <w:tc>
          <w:tcPr>
            <w:tcW w:w="1005" w:type="dxa"/>
            <w:gridSpan w:val="3"/>
            <w:tcBorders>
              <w:top w:val="single" w:sz="8" w:space="0" w:color="E9E9E9"/>
              <w:left w:val="nil"/>
              <w:bottom w:val="single" w:sz="8" w:space="0" w:color="E9E9E9"/>
              <w:right w:val="nil"/>
            </w:tcBorders>
            <w:tcMar>
              <w:top w:w="0" w:type="dxa"/>
              <w:left w:w="0" w:type="dxa"/>
              <w:bottom w:w="0" w:type="dxa"/>
              <w:right w:w="0" w:type="dxa"/>
            </w:tcMar>
            <w:vAlign w:val="bottom"/>
          </w:tcPr>
          <w:p w14:paraId="516D486E" w14:textId="77777777" w:rsidR="001614AC" w:rsidRDefault="001614AC">
            <w:pPr>
              <w:keepNext/>
            </w:pPr>
          </w:p>
        </w:tc>
      </w:tr>
      <w:tr w:rsidR="001614AC" w14:paraId="5F2BA982" w14:textId="77777777">
        <w:trPr>
          <w:cantSplit/>
        </w:trPr>
        <w:tc>
          <w:tcPr>
            <w:tcW w:w="5640" w:type="dxa"/>
            <w:tcBorders>
              <w:top w:val="single" w:sz="8" w:space="0" w:color="E9E9E9"/>
              <w:left w:val="nil"/>
              <w:bottom w:val="single" w:sz="8" w:space="0" w:color="E6EAED"/>
              <w:right w:val="nil"/>
            </w:tcBorders>
            <w:tcMar>
              <w:top w:w="0" w:type="dxa"/>
              <w:left w:w="53" w:type="dxa"/>
              <w:bottom w:w="0" w:type="dxa"/>
              <w:right w:w="53" w:type="dxa"/>
            </w:tcMar>
            <w:vAlign w:val="bottom"/>
          </w:tcPr>
          <w:p w14:paraId="22C06628" w14:textId="77777777" w:rsidR="001614AC" w:rsidRDefault="004468F9">
            <w:pPr>
              <w:keepNext/>
              <w:spacing w:before="55" w:after="30" w:line="288" w:lineRule="auto"/>
            </w:pPr>
            <w:r>
              <w:rPr>
                <w:rFonts w:ascii="Arial" w:eastAsia="Arial" w:hAnsi="Arial" w:cs="Arial"/>
                <w:color w:val="000000"/>
                <w:sz w:val="18"/>
              </w:rPr>
              <w:t>Total borrower-paid NIW</w:t>
            </w:r>
          </w:p>
        </w:tc>
        <w:tc>
          <w:tcPr>
            <w:tcW w:w="105" w:type="dxa"/>
            <w:tcBorders>
              <w:top w:val="nil"/>
              <w:left w:val="nil"/>
              <w:bottom w:val="nil"/>
              <w:right w:val="nil"/>
            </w:tcBorders>
            <w:tcMar>
              <w:top w:w="0" w:type="dxa"/>
              <w:left w:w="53" w:type="dxa"/>
              <w:bottom w:w="0" w:type="dxa"/>
              <w:right w:w="15" w:type="dxa"/>
            </w:tcMar>
            <w:vAlign w:val="bottom"/>
          </w:tcPr>
          <w:p w14:paraId="4A1BDDE7" w14:textId="77777777" w:rsidR="001614AC" w:rsidRDefault="001614AC">
            <w:pPr>
              <w:keepNext/>
              <w:spacing w:before="75" w:after="30" w:line="288" w:lineRule="auto"/>
            </w:pPr>
          </w:p>
        </w:tc>
        <w:tc>
          <w:tcPr>
            <w:tcW w:w="905" w:type="dxa"/>
            <w:gridSpan w:val="2"/>
            <w:tcBorders>
              <w:top w:val="single" w:sz="8" w:space="0" w:color="E9E9E9"/>
              <w:left w:val="nil"/>
              <w:bottom w:val="single" w:sz="8" w:space="0" w:color="E6EAED"/>
              <w:right w:val="nil"/>
            </w:tcBorders>
            <w:tcMar>
              <w:top w:w="0" w:type="dxa"/>
              <w:left w:w="53" w:type="dxa"/>
              <w:bottom w:w="0" w:type="dxa"/>
              <w:right w:w="0" w:type="dxa"/>
            </w:tcMar>
            <w:vAlign w:val="bottom"/>
          </w:tcPr>
          <w:p w14:paraId="2A1CCACD" w14:textId="77777777" w:rsidR="001614AC" w:rsidRDefault="004468F9">
            <w:pPr>
              <w:keepNext/>
              <w:spacing w:before="55" w:after="30" w:line="288" w:lineRule="auto"/>
              <w:jc w:val="right"/>
            </w:pPr>
            <w:r>
              <w:rPr>
                <w:rFonts w:ascii="Arial" w:eastAsia="Arial" w:hAnsi="Arial" w:cs="Arial"/>
                <w:color w:val="000000"/>
                <w:sz w:val="18"/>
              </w:rPr>
              <w:t>99.1 </w:t>
            </w:r>
          </w:p>
        </w:tc>
        <w:tc>
          <w:tcPr>
            <w:tcW w:w="100" w:type="dxa"/>
            <w:tcBorders>
              <w:top w:val="single" w:sz="8" w:space="0" w:color="E9E9E9"/>
              <w:left w:val="nil"/>
              <w:bottom w:val="single" w:sz="8" w:space="0" w:color="E6EAED"/>
              <w:right w:val="nil"/>
            </w:tcBorders>
            <w:tcMar>
              <w:top w:w="0" w:type="dxa"/>
              <w:left w:w="0" w:type="dxa"/>
              <w:bottom w:w="0" w:type="dxa"/>
              <w:right w:w="15" w:type="dxa"/>
            </w:tcMar>
            <w:vAlign w:val="bottom"/>
          </w:tcPr>
          <w:p w14:paraId="2D9CD2D2" w14:textId="77777777" w:rsidR="001614AC" w:rsidRDefault="004468F9">
            <w:pPr>
              <w:keepNext/>
              <w:spacing w:before="55" w:after="30" w:line="288" w:lineRule="auto"/>
              <w:jc w:val="right"/>
            </w:pPr>
            <w:r>
              <w:rPr>
                <w:rFonts w:ascii="Arial" w:eastAsia="Arial" w:hAnsi="Arial" w:cs="Arial"/>
                <w:color w:val="000000"/>
                <w:sz w:val="18"/>
              </w:rPr>
              <w:t>%</w:t>
            </w:r>
          </w:p>
        </w:tc>
        <w:tc>
          <w:tcPr>
            <w:tcW w:w="105" w:type="dxa"/>
            <w:tcBorders>
              <w:top w:val="nil"/>
              <w:left w:val="nil"/>
              <w:bottom w:val="nil"/>
              <w:right w:val="nil"/>
            </w:tcBorders>
            <w:tcMar>
              <w:top w:w="0" w:type="dxa"/>
              <w:left w:w="53" w:type="dxa"/>
              <w:bottom w:w="0" w:type="dxa"/>
              <w:right w:w="53" w:type="dxa"/>
            </w:tcMar>
            <w:vAlign w:val="bottom"/>
          </w:tcPr>
          <w:p w14:paraId="74508C8A" w14:textId="77777777" w:rsidR="001614AC" w:rsidRDefault="001614AC">
            <w:pPr>
              <w:keepNext/>
              <w:spacing w:before="75" w:after="30" w:line="288" w:lineRule="auto"/>
            </w:pPr>
          </w:p>
        </w:tc>
        <w:tc>
          <w:tcPr>
            <w:tcW w:w="905" w:type="dxa"/>
            <w:gridSpan w:val="2"/>
            <w:tcBorders>
              <w:top w:val="single" w:sz="8" w:space="0" w:color="E9E9E9"/>
              <w:left w:val="nil"/>
              <w:bottom w:val="single" w:sz="8" w:space="0" w:color="E6EAED"/>
              <w:right w:val="nil"/>
            </w:tcBorders>
            <w:tcMar>
              <w:top w:w="0" w:type="dxa"/>
              <w:left w:w="53" w:type="dxa"/>
              <w:bottom w:w="0" w:type="dxa"/>
              <w:right w:w="0" w:type="dxa"/>
            </w:tcMar>
            <w:vAlign w:val="bottom"/>
          </w:tcPr>
          <w:p w14:paraId="512C8A8F" w14:textId="77777777" w:rsidR="001614AC" w:rsidRDefault="004468F9">
            <w:pPr>
              <w:keepNext/>
              <w:spacing w:before="55" w:after="30" w:line="288" w:lineRule="auto"/>
              <w:jc w:val="right"/>
            </w:pPr>
            <w:r>
              <w:rPr>
                <w:rFonts w:ascii="Arial" w:eastAsia="Arial" w:hAnsi="Arial" w:cs="Arial"/>
                <w:color w:val="000000"/>
                <w:sz w:val="18"/>
              </w:rPr>
              <w:t>97.8 </w:t>
            </w:r>
          </w:p>
        </w:tc>
        <w:tc>
          <w:tcPr>
            <w:tcW w:w="100" w:type="dxa"/>
            <w:tcBorders>
              <w:top w:val="single" w:sz="8" w:space="0" w:color="E9E9E9"/>
              <w:left w:val="nil"/>
              <w:bottom w:val="single" w:sz="8" w:space="0" w:color="E6EAED"/>
              <w:right w:val="nil"/>
            </w:tcBorders>
            <w:tcMar>
              <w:top w:w="0" w:type="dxa"/>
              <w:left w:w="0" w:type="dxa"/>
              <w:bottom w:w="0" w:type="dxa"/>
              <w:right w:w="15" w:type="dxa"/>
            </w:tcMar>
            <w:vAlign w:val="bottom"/>
          </w:tcPr>
          <w:p w14:paraId="34CC76AD" w14:textId="77777777" w:rsidR="001614AC" w:rsidRDefault="004468F9">
            <w:pPr>
              <w:keepNext/>
              <w:spacing w:before="55" w:after="30" w:line="288" w:lineRule="auto"/>
              <w:jc w:val="right"/>
            </w:pPr>
            <w:r>
              <w:rPr>
                <w:rFonts w:ascii="Arial" w:eastAsia="Arial" w:hAnsi="Arial" w:cs="Arial"/>
                <w:color w:val="000000"/>
                <w:sz w:val="18"/>
              </w:rPr>
              <w:t>%</w:t>
            </w:r>
          </w:p>
        </w:tc>
        <w:tc>
          <w:tcPr>
            <w:tcW w:w="105" w:type="dxa"/>
            <w:tcBorders>
              <w:top w:val="nil"/>
              <w:left w:val="nil"/>
              <w:bottom w:val="nil"/>
              <w:right w:val="nil"/>
            </w:tcBorders>
            <w:tcMar>
              <w:top w:w="0" w:type="dxa"/>
              <w:left w:w="53" w:type="dxa"/>
              <w:bottom w:w="0" w:type="dxa"/>
              <w:right w:w="53" w:type="dxa"/>
            </w:tcMar>
            <w:vAlign w:val="bottom"/>
          </w:tcPr>
          <w:p w14:paraId="22F1A5D0" w14:textId="77777777" w:rsidR="001614AC" w:rsidRDefault="001614AC">
            <w:pPr>
              <w:keepNext/>
              <w:spacing w:before="75" w:after="30" w:line="288" w:lineRule="auto"/>
            </w:pPr>
          </w:p>
        </w:tc>
        <w:tc>
          <w:tcPr>
            <w:tcW w:w="905" w:type="dxa"/>
            <w:gridSpan w:val="2"/>
            <w:tcBorders>
              <w:top w:val="single" w:sz="8" w:space="0" w:color="E9E9E9"/>
              <w:left w:val="nil"/>
              <w:bottom w:val="single" w:sz="8" w:space="0" w:color="E6EAED"/>
              <w:right w:val="nil"/>
            </w:tcBorders>
            <w:tcMar>
              <w:top w:w="0" w:type="dxa"/>
              <w:left w:w="53" w:type="dxa"/>
              <w:bottom w:w="0" w:type="dxa"/>
              <w:right w:w="0" w:type="dxa"/>
            </w:tcMar>
            <w:vAlign w:val="bottom"/>
          </w:tcPr>
          <w:p w14:paraId="2B72E3AC" w14:textId="77777777" w:rsidR="001614AC" w:rsidRDefault="004468F9">
            <w:pPr>
              <w:keepNext/>
              <w:spacing w:before="55" w:after="30" w:line="288" w:lineRule="auto"/>
              <w:jc w:val="right"/>
            </w:pPr>
            <w:r>
              <w:rPr>
                <w:rFonts w:ascii="Arial" w:eastAsia="Arial" w:hAnsi="Arial" w:cs="Arial"/>
                <w:color w:val="000000"/>
                <w:sz w:val="18"/>
              </w:rPr>
              <w:t>99.2 </w:t>
            </w:r>
          </w:p>
        </w:tc>
        <w:tc>
          <w:tcPr>
            <w:tcW w:w="100" w:type="dxa"/>
            <w:tcBorders>
              <w:top w:val="single" w:sz="8" w:space="0" w:color="E9E9E9"/>
              <w:left w:val="nil"/>
              <w:bottom w:val="single" w:sz="8" w:space="0" w:color="E6EAED"/>
              <w:right w:val="nil"/>
            </w:tcBorders>
            <w:tcMar>
              <w:top w:w="0" w:type="dxa"/>
              <w:left w:w="0" w:type="dxa"/>
              <w:bottom w:w="0" w:type="dxa"/>
              <w:right w:w="15" w:type="dxa"/>
            </w:tcMar>
            <w:vAlign w:val="bottom"/>
          </w:tcPr>
          <w:p w14:paraId="7194FF6B" w14:textId="77777777" w:rsidR="001614AC" w:rsidRDefault="004468F9">
            <w:pPr>
              <w:keepNext/>
              <w:spacing w:before="55" w:after="30" w:line="288" w:lineRule="auto"/>
              <w:jc w:val="right"/>
            </w:pPr>
            <w:r>
              <w:rPr>
                <w:rFonts w:ascii="Arial" w:eastAsia="Arial" w:hAnsi="Arial" w:cs="Arial"/>
                <w:color w:val="000000"/>
                <w:sz w:val="18"/>
              </w:rPr>
              <w:t>%</w:t>
            </w:r>
          </w:p>
        </w:tc>
        <w:tc>
          <w:tcPr>
            <w:tcW w:w="105" w:type="dxa"/>
            <w:tcBorders>
              <w:top w:val="nil"/>
              <w:left w:val="nil"/>
              <w:bottom w:val="nil"/>
              <w:right w:val="nil"/>
            </w:tcBorders>
            <w:tcMar>
              <w:top w:w="0" w:type="dxa"/>
              <w:left w:w="53" w:type="dxa"/>
              <w:bottom w:w="0" w:type="dxa"/>
              <w:right w:w="53" w:type="dxa"/>
            </w:tcMar>
            <w:vAlign w:val="bottom"/>
          </w:tcPr>
          <w:p w14:paraId="7C17A613" w14:textId="77777777" w:rsidR="001614AC" w:rsidRDefault="001614AC">
            <w:pPr>
              <w:keepNext/>
              <w:spacing w:before="75" w:after="30" w:line="288" w:lineRule="auto"/>
            </w:pPr>
          </w:p>
        </w:tc>
        <w:tc>
          <w:tcPr>
            <w:tcW w:w="905" w:type="dxa"/>
            <w:gridSpan w:val="2"/>
            <w:tcBorders>
              <w:top w:val="single" w:sz="8" w:space="0" w:color="E9E9E9"/>
              <w:left w:val="nil"/>
              <w:bottom w:val="single" w:sz="8" w:space="0" w:color="E6EAED"/>
              <w:right w:val="nil"/>
            </w:tcBorders>
            <w:tcMar>
              <w:top w:w="0" w:type="dxa"/>
              <w:left w:w="53" w:type="dxa"/>
              <w:bottom w:w="0" w:type="dxa"/>
              <w:right w:w="0" w:type="dxa"/>
            </w:tcMar>
            <w:vAlign w:val="bottom"/>
          </w:tcPr>
          <w:p w14:paraId="324B30FF" w14:textId="77777777" w:rsidR="001614AC" w:rsidRDefault="004468F9">
            <w:pPr>
              <w:keepNext/>
              <w:spacing w:before="55" w:after="30" w:line="288" w:lineRule="auto"/>
              <w:jc w:val="right"/>
            </w:pPr>
            <w:r>
              <w:rPr>
                <w:rFonts w:ascii="Arial" w:eastAsia="Arial" w:hAnsi="Arial" w:cs="Arial"/>
                <w:color w:val="000000"/>
                <w:sz w:val="18"/>
              </w:rPr>
              <w:t>97.4 </w:t>
            </w:r>
          </w:p>
        </w:tc>
        <w:tc>
          <w:tcPr>
            <w:tcW w:w="100" w:type="dxa"/>
            <w:tcBorders>
              <w:top w:val="single" w:sz="8" w:space="0" w:color="E9E9E9"/>
              <w:left w:val="nil"/>
              <w:bottom w:val="single" w:sz="8" w:space="0" w:color="E6EAED"/>
              <w:right w:val="nil"/>
            </w:tcBorders>
            <w:tcMar>
              <w:top w:w="0" w:type="dxa"/>
              <w:left w:w="0" w:type="dxa"/>
              <w:bottom w:w="0" w:type="dxa"/>
              <w:right w:w="15" w:type="dxa"/>
            </w:tcMar>
            <w:vAlign w:val="bottom"/>
          </w:tcPr>
          <w:p w14:paraId="09A3777D" w14:textId="77777777" w:rsidR="001614AC" w:rsidRDefault="004468F9">
            <w:pPr>
              <w:keepNext/>
              <w:spacing w:before="55" w:after="30" w:line="288" w:lineRule="auto"/>
              <w:jc w:val="right"/>
            </w:pPr>
            <w:r>
              <w:rPr>
                <w:rFonts w:ascii="Arial" w:eastAsia="Arial" w:hAnsi="Arial" w:cs="Arial"/>
                <w:color w:val="000000"/>
                <w:sz w:val="18"/>
              </w:rPr>
              <w:t>%</w:t>
            </w:r>
          </w:p>
        </w:tc>
      </w:tr>
      <w:tr w:rsidR="001614AC" w14:paraId="379B74A7" w14:textId="77777777">
        <w:trPr>
          <w:cantSplit/>
        </w:trPr>
        <w:tc>
          <w:tcPr>
            <w:tcW w:w="5640" w:type="dxa"/>
            <w:tcBorders>
              <w:top w:val="single" w:sz="8" w:space="0" w:color="E6EAED"/>
              <w:left w:val="nil"/>
              <w:bottom w:val="single" w:sz="8" w:space="0" w:color="E9E9E9"/>
              <w:right w:val="nil"/>
            </w:tcBorders>
            <w:tcMar>
              <w:top w:w="0" w:type="dxa"/>
              <w:left w:w="0" w:type="dxa"/>
              <w:bottom w:w="0" w:type="dxa"/>
              <w:right w:w="0" w:type="dxa"/>
            </w:tcMar>
            <w:vAlign w:val="bottom"/>
          </w:tcPr>
          <w:p w14:paraId="2912DBC9" w14:textId="77777777" w:rsidR="001614AC" w:rsidRDefault="001614AC">
            <w:pPr>
              <w:keepNext/>
            </w:pPr>
          </w:p>
        </w:tc>
        <w:tc>
          <w:tcPr>
            <w:tcW w:w="105" w:type="dxa"/>
            <w:tcBorders>
              <w:top w:val="nil"/>
              <w:left w:val="nil"/>
              <w:bottom w:val="nil"/>
              <w:right w:val="nil"/>
            </w:tcBorders>
            <w:tcMar>
              <w:top w:w="0" w:type="dxa"/>
              <w:left w:w="0" w:type="dxa"/>
              <w:bottom w:w="0" w:type="dxa"/>
              <w:right w:w="0" w:type="dxa"/>
            </w:tcMar>
            <w:vAlign w:val="bottom"/>
          </w:tcPr>
          <w:p w14:paraId="538675A6" w14:textId="77777777" w:rsidR="001614AC" w:rsidRDefault="001614AC">
            <w:pPr>
              <w:keepNext/>
            </w:pPr>
          </w:p>
        </w:tc>
        <w:tc>
          <w:tcPr>
            <w:tcW w:w="1005" w:type="dxa"/>
            <w:gridSpan w:val="3"/>
            <w:tcBorders>
              <w:top w:val="single" w:sz="8" w:space="0" w:color="E6EAED"/>
              <w:left w:val="nil"/>
              <w:bottom w:val="single" w:sz="8" w:space="0" w:color="E9E9E9"/>
              <w:right w:val="nil"/>
            </w:tcBorders>
            <w:tcMar>
              <w:top w:w="0" w:type="dxa"/>
              <w:left w:w="0" w:type="dxa"/>
              <w:bottom w:w="0" w:type="dxa"/>
              <w:right w:w="0" w:type="dxa"/>
            </w:tcMar>
            <w:vAlign w:val="bottom"/>
          </w:tcPr>
          <w:p w14:paraId="685C5405" w14:textId="77777777" w:rsidR="001614AC" w:rsidRDefault="001614AC">
            <w:pPr>
              <w:keepNext/>
            </w:pPr>
          </w:p>
        </w:tc>
        <w:tc>
          <w:tcPr>
            <w:tcW w:w="105" w:type="dxa"/>
            <w:tcBorders>
              <w:top w:val="nil"/>
              <w:left w:val="nil"/>
              <w:bottom w:val="nil"/>
              <w:right w:val="nil"/>
            </w:tcBorders>
            <w:tcMar>
              <w:top w:w="0" w:type="dxa"/>
              <w:left w:w="0" w:type="dxa"/>
              <w:bottom w:w="0" w:type="dxa"/>
              <w:right w:w="0" w:type="dxa"/>
            </w:tcMar>
            <w:vAlign w:val="bottom"/>
          </w:tcPr>
          <w:p w14:paraId="3910212E" w14:textId="77777777" w:rsidR="001614AC" w:rsidRDefault="001614AC">
            <w:pPr>
              <w:keepNext/>
            </w:pPr>
          </w:p>
        </w:tc>
        <w:tc>
          <w:tcPr>
            <w:tcW w:w="1005" w:type="dxa"/>
            <w:gridSpan w:val="3"/>
            <w:tcBorders>
              <w:top w:val="single" w:sz="8" w:space="0" w:color="E6EAED"/>
              <w:left w:val="nil"/>
              <w:bottom w:val="single" w:sz="8" w:space="0" w:color="E9E9E9"/>
              <w:right w:val="nil"/>
            </w:tcBorders>
            <w:tcMar>
              <w:top w:w="0" w:type="dxa"/>
              <w:left w:w="0" w:type="dxa"/>
              <w:bottom w:w="0" w:type="dxa"/>
              <w:right w:w="0" w:type="dxa"/>
            </w:tcMar>
            <w:vAlign w:val="bottom"/>
          </w:tcPr>
          <w:p w14:paraId="3AD5A1A0" w14:textId="77777777" w:rsidR="001614AC" w:rsidRDefault="001614AC">
            <w:pPr>
              <w:keepNext/>
            </w:pPr>
          </w:p>
        </w:tc>
        <w:tc>
          <w:tcPr>
            <w:tcW w:w="105" w:type="dxa"/>
            <w:tcBorders>
              <w:top w:val="nil"/>
              <w:left w:val="nil"/>
              <w:bottom w:val="nil"/>
              <w:right w:val="nil"/>
            </w:tcBorders>
            <w:tcMar>
              <w:top w:w="0" w:type="dxa"/>
              <w:left w:w="0" w:type="dxa"/>
              <w:bottom w:w="0" w:type="dxa"/>
              <w:right w:w="0" w:type="dxa"/>
            </w:tcMar>
            <w:vAlign w:val="bottom"/>
          </w:tcPr>
          <w:p w14:paraId="30A64EA4" w14:textId="77777777" w:rsidR="001614AC" w:rsidRDefault="001614AC">
            <w:pPr>
              <w:keepNext/>
            </w:pPr>
          </w:p>
        </w:tc>
        <w:tc>
          <w:tcPr>
            <w:tcW w:w="1005" w:type="dxa"/>
            <w:gridSpan w:val="3"/>
            <w:tcBorders>
              <w:top w:val="single" w:sz="8" w:space="0" w:color="E6EAED"/>
              <w:left w:val="nil"/>
              <w:bottom w:val="single" w:sz="8" w:space="0" w:color="E9E9E9"/>
              <w:right w:val="nil"/>
            </w:tcBorders>
            <w:tcMar>
              <w:top w:w="0" w:type="dxa"/>
              <w:left w:w="0" w:type="dxa"/>
              <w:bottom w:w="0" w:type="dxa"/>
              <w:right w:w="0" w:type="dxa"/>
            </w:tcMar>
            <w:vAlign w:val="bottom"/>
          </w:tcPr>
          <w:p w14:paraId="7723C969" w14:textId="77777777" w:rsidR="001614AC" w:rsidRDefault="001614AC">
            <w:pPr>
              <w:keepNext/>
            </w:pPr>
          </w:p>
        </w:tc>
        <w:tc>
          <w:tcPr>
            <w:tcW w:w="105" w:type="dxa"/>
            <w:tcBorders>
              <w:top w:val="nil"/>
              <w:left w:val="nil"/>
              <w:bottom w:val="nil"/>
              <w:right w:val="nil"/>
            </w:tcBorders>
            <w:tcMar>
              <w:top w:w="0" w:type="dxa"/>
              <w:left w:w="0" w:type="dxa"/>
              <w:bottom w:w="0" w:type="dxa"/>
              <w:right w:w="0" w:type="dxa"/>
            </w:tcMar>
            <w:vAlign w:val="bottom"/>
          </w:tcPr>
          <w:p w14:paraId="32F2A733" w14:textId="77777777" w:rsidR="001614AC" w:rsidRDefault="001614AC">
            <w:pPr>
              <w:keepNext/>
            </w:pPr>
          </w:p>
        </w:tc>
        <w:tc>
          <w:tcPr>
            <w:tcW w:w="1005" w:type="dxa"/>
            <w:gridSpan w:val="3"/>
            <w:tcBorders>
              <w:top w:val="single" w:sz="8" w:space="0" w:color="E6EAED"/>
              <w:left w:val="nil"/>
              <w:bottom w:val="single" w:sz="8" w:space="0" w:color="E9E9E9"/>
              <w:right w:val="nil"/>
            </w:tcBorders>
            <w:tcMar>
              <w:top w:w="0" w:type="dxa"/>
              <w:left w:w="0" w:type="dxa"/>
              <w:bottom w:w="0" w:type="dxa"/>
              <w:right w:w="0" w:type="dxa"/>
            </w:tcMar>
            <w:vAlign w:val="bottom"/>
          </w:tcPr>
          <w:p w14:paraId="2205124A" w14:textId="77777777" w:rsidR="001614AC" w:rsidRDefault="001614AC">
            <w:pPr>
              <w:keepNext/>
            </w:pPr>
          </w:p>
        </w:tc>
      </w:tr>
      <w:tr w:rsidR="001614AC" w14:paraId="15B7908D" w14:textId="77777777">
        <w:trPr>
          <w:cantSplit/>
        </w:trPr>
        <w:tc>
          <w:tcPr>
            <w:tcW w:w="5640" w:type="dxa"/>
            <w:tcBorders>
              <w:top w:val="single" w:sz="8" w:space="0" w:color="E9E9E9"/>
              <w:left w:val="nil"/>
              <w:bottom w:val="single" w:sz="8" w:space="0" w:color="E9E9E9"/>
              <w:right w:val="nil"/>
            </w:tcBorders>
            <w:tcMar>
              <w:top w:w="0" w:type="dxa"/>
              <w:left w:w="53" w:type="dxa"/>
              <w:bottom w:w="0" w:type="dxa"/>
              <w:right w:w="53" w:type="dxa"/>
            </w:tcMar>
            <w:vAlign w:val="bottom"/>
          </w:tcPr>
          <w:p w14:paraId="61D7075A" w14:textId="77777777" w:rsidR="001614AC" w:rsidRDefault="004468F9">
            <w:pPr>
              <w:keepNext/>
              <w:spacing w:before="55" w:after="30" w:line="288" w:lineRule="auto"/>
            </w:pPr>
            <w:r>
              <w:rPr>
                <w:rFonts w:ascii="Arial" w:eastAsia="Arial" w:hAnsi="Arial" w:cs="Arial"/>
                <w:color w:val="000000"/>
                <w:sz w:val="18"/>
              </w:rPr>
              <w:t>NIW by premium type</w:t>
            </w:r>
          </w:p>
        </w:tc>
        <w:tc>
          <w:tcPr>
            <w:tcW w:w="105" w:type="dxa"/>
            <w:tcBorders>
              <w:top w:val="nil"/>
              <w:left w:val="nil"/>
              <w:bottom w:val="nil"/>
              <w:right w:val="nil"/>
            </w:tcBorders>
            <w:tcMar>
              <w:top w:w="0" w:type="dxa"/>
              <w:left w:w="0" w:type="dxa"/>
              <w:bottom w:w="0" w:type="dxa"/>
              <w:right w:w="0" w:type="dxa"/>
            </w:tcMar>
            <w:vAlign w:val="bottom"/>
          </w:tcPr>
          <w:p w14:paraId="1141FBFD" w14:textId="77777777" w:rsidR="001614AC" w:rsidRDefault="001614AC">
            <w:pPr>
              <w:keepNext/>
            </w:pPr>
          </w:p>
        </w:tc>
        <w:tc>
          <w:tcPr>
            <w:tcW w:w="1005" w:type="dxa"/>
            <w:gridSpan w:val="3"/>
            <w:tcBorders>
              <w:top w:val="single" w:sz="8" w:space="0" w:color="E9E9E9"/>
              <w:left w:val="nil"/>
              <w:bottom w:val="single" w:sz="8" w:space="0" w:color="E9E9E9"/>
              <w:right w:val="nil"/>
            </w:tcBorders>
            <w:tcMar>
              <w:top w:w="0" w:type="dxa"/>
              <w:left w:w="0" w:type="dxa"/>
              <w:bottom w:w="0" w:type="dxa"/>
              <w:right w:w="0" w:type="dxa"/>
            </w:tcMar>
            <w:vAlign w:val="bottom"/>
          </w:tcPr>
          <w:p w14:paraId="2B6CC8CA" w14:textId="77777777" w:rsidR="001614AC" w:rsidRDefault="001614AC">
            <w:pPr>
              <w:keepNext/>
            </w:pPr>
          </w:p>
        </w:tc>
        <w:tc>
          <w:tcPr>
            <w:tcW w:w="105" w:type="dxa"/>
            <w:tcBorders>
              <w:top w:val="nil"/>
              <w:left w:val="nil"/>
              <w:bottom w:val="nil"/>
              <w:right w:val="nil"/>
            </w:tcBorders>
            <w:tcMar>
              <w:top w:w="0" w:type="dxa"/>
              <w:left w:w="0" w:type="dxa"/>
              <w:bottom w:w="0" w:type="dxa"/>
              <w:right w:w="0" w:type="dxa"/>
            </w:tcMar>
            <w:vAlign w:val="bottom"/>
          </w:tcPr>
          <w:p w14:paraId="075FC9D9" w14:textId="77777777" w:rsidR="001614AC" w:rsidRDefault="001614AC">
            <w:pPr>
              <w:keepNext/>
            </w:pPr>
          </w:p>
        </w:tc>
        <w:tc>
          <w:tcPr>
            <w:tcW w:w="1005" w:type="dxa"/>
            <w:gridSpan w:val="3"/>
            <w:tcBorders>
              <w:top w:val="single" w:sz="8" w:space="0" w:color="E9E9E9"/>
              <w:left w:val="nil"/>
              <w:bottom w:val="single" w:sz="8" w:space="0" w:color="E9E9E9"/>
              <w:right w:val="nil"/>
            </w:tcBorders>
            <w:tcMar>
              <w:top w:w="0" w:type="dxa"/>
              <w:left w:w="0" w:type="dxa"/>
              <w:bottom w:w="0" w:type="dxa"/>
              <w:right w:w="0" w:type="dxa"/>
            </w:tcMar>
            <w:vAlign w:val="bottom"/>
          </w:tcPr>
          <w:p w14:paraId="00CF42DB" w14:textId="77777777" w:rsidR="001614AC" w:rsidRDefault="001614AC">
            <w:pPr>
              <w:keepNext/>
            </w:pPr>
          </w:p>
        </w:tc>
        <w:tc>
          <w:tcPr>
            <w:tcW w:w="105" w:type="dxa"/>
            <w:tcBorders>
              <w:top w:val="nil"/>
              <w:left w:val="nil"/>
              <w:bottom w:val="nil"/>
              <w:right w:val="nil"/>
            </w:tcBorders>
            <w:tcMar>
              <w:top w:w="0" w:type="dxa"/>
              <w:left w:w="0" w:type="dxa"/>
              <w:bottom w:w="0" w:type="dxa"/>
              <w:right w:w="0" w:type="dxa"/>
            </w:tcMar>
            <w:vAlign w:val="bottom"/>
          </w:tcPr>
          <w:p w14:paraId="2A4487CD" w14:textId="77777777" w:rsidR="001614AC" w:rsidRDefault="001614AC">
            <w:pPr>
              <w:keepNext/>
            </w:pPr>
          </w:p>
        </w:tc>
        <w:tc>
          <w:tcPr>
            <w:tcW w:w="1005" w:type="dxa"/>
            <w:gridSpan w:val="3"/>
            <w:tcBorders>
              <w:top w:val="single" w:sz="8" w:space="0" w:color="E9E9E9"/>
              <w:left w:val="nil"/>
              <w:bottom w:val="single" w:sz="8" w:space="0" w:color="E9E9E9"/>
              <w:right w:val="nil"/>
            </w:tcBorders>
            <w:tcMar>
              <w:top w:w="0" w:type="dxa"/>
              <w:left w:w="0" w:type="dxa"/>
              <w:bottom w:w="0" w:type="dxa"/>
              <w:right w:w="0" w:type="dxa"/>
            </w:tcMar>
            <w:vAlign w:val="bottom"/>
          </w:tcPr>
          <w:p w14:paraId="221A9ED0" w14:textId="77777777" w:rsidR="001614AC" w:rsidRDefault="001614AC">
            <w:pPr>
              <w:keepNext/>
            </w:pPr>
          </w:p>
        </w:tc>
        <w:tc>
          <w:tcPr>
            <w:tcW w:w="105" w:type="dxa"/>
            <w:tcBorders>
              <w:top w:val="nil"/>
              <w:left w:val="nil"/>
              <w:bottom w:val="nil"/>
              <w:right w:val="nil"/>
            </w:tcBorders>
            <w:tcMar>
              <w:top w:w="0" w:type="dxa"/>
              <w:left w:w="0" w:type="dxa"/>
              <w:bottom w:w="0" w:type="dxa"/>
              <w:right w:w="0" w:type="dxa"/>
            </w:tcMar>
            <w:vAlign w:val="bottom"/>
          </w:tcPr>
          <w:p w14:paraId="724B60A6" w14:textId="77777777" w:rsidR="001614AC" w:rsidRDefault="001614AC">
            <w:pPr>
              <w:keepNext/>
            </w:pPr>
          </w:p>
        </w:tc>
        <w:tc>
          <w:tcPr>
            <w:tcW w:w="1005" w:type="dxa"/>
            <w:gridSpan w:val="3"/>
            <w:tcBorders>
              <w:top w:val="single" w:sz="8" w:space="0" w:color="E9E9E9"/>
              <w:left w:val="nil"/>
              <w:bottom w:val="single" w:sz="8" w:space="0" w:color="E9E9E9"/>
              <w:right w:val="nil"/>
            </w:tcBorders>
            <w:tcMar>
              <w:top w:w="0" w:type="dxa"/>
              <w:left w:w="0" w:type="dxa"/>
              <w:bottom w:w="0" w:type="dxa"/>
              <w:right w:w="0" w:type="dxa"/>
            </w:tcMar>
            <w:vAlign w:val="bottom"/>
          </w:tcPr>
          <w:p w14:paraId="50C7A2A6" w14:textId="77777777" w:rsidR="001614AC" w:rsidRDefault="001614AC">
            <w:pPr>
              <w:keepNext/>
            </w:pPr>
          </w:p>
        </w:tc>
      </w:tr>
      <w:tr w:rsidR="001614AC" w14:paraId="56C43DF7" w14:textId="77777777">
        <w:trPr>
          <w:cantSplit/>
        </w:trPr>
        <w:tc>
          <w:tcPr>
            <w:tcW w:w="5640" w:type="dxa"/>
            <w:tcBorders>
              <w:top w:val="single" w:sz="8" w:space="0" w:color="E9E9E9"/>
              <w:left w:val="nil"/>
              <w:bottom w:val="single" w:sz="8" w:space="0" w:color="E9E9E9"/>
              <w:right w:val="nil"/>
            </w:tcBorders>
            <w:tcMar>
              <w:top w:w="0" w:type="dxa"/>
              <w:left w:w="53" w:type="dxa"/>
              <w:bottom w:w="0" w:type="dxa"/>
              <w:right w:w="53" w:type="dxa"/>
            </w:tcMar>
            <w:vAlign w:val="bottom"/>
          </w:tcPr>
          <w:p w14:paraId="3E312752" w14:textId="77777777" w:rsidR="001614AC" w:rsidRDefault="004468F9">
            <w:pPr>
              <w:keepNext/>
              <w:spacing w:before="55" w:after="30" w:line="288" w:lineRule="auto"/>
              <w:ind w:left="240"/>
            </w:pPr>
            <w:r>
              <w:rPr>
                <w:rFonts w:ascii="Arial" w:eastAsia="Arial" w:hAnsi="Arial" w:cs="Arial"/>
                <w:color w:val="000000"/>
                <w:sz w:val="18"/>
              </w:rPr>
              <w:t>Direct Monthly and Other Recurring Premiums</w:t>
            </w:r>
          </w:p>
        </w:tc>
        <w:tc>
          <w:tcPr>
            <w:tcW w:w="105" w:type="dxa"/>
            <w:tcBorders>
              <w:top w:val="nil"/>
              <w:left w:val="nil"/>
              <w:bottom w:val="nil"/>
              <w:right w:val="nil"/>
            </w:tcBorders>
            <w:tcMar>
              <w:top w:w="0" w:type="dxa"/>
              <w:left w:w="0" w:type="dxa"/>
              <w:bottom w:w="0" w:type="dxa"/>
              <w:right w:w="0" w:type="dxa"/>
            </w:tcMar>
            <w:vAlign w:val="bottom"/>
          </w:tcPr>
          <w:p w14:paraId="7EBE542B" w14:textId="77777777" w:rsidR="001614AC" w:rsidRDefault="001614AC">
            <w:pPr>
              <w:keepNext/>
            </w:pPr>
          </w:p>
        </w:tc>
        <w:tc>
          <w:tcPr>
            <w:tcW w:w="90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66AFFE97" w14:textId="77777777" w:rsidR="001614AC" w:rsidRDefault="004468F9">
            <w:pPr>
              <w:keepNext/>
              <w:spacing w:before="55" w:after="30" w:line="288" w:lineRule="auto"/>
              <w:jc w:val="right"/>
            </w:pPr>
            <w:r>
              <w:rPr>
                <w:rFonts w:ascii="Arial" w:eastAsia="Arial" w:hAnsi="Arial" w:cs="Arial"/>
                <w:color w:val="000000"/>
                <w:sz w:val="18"/>
              </w:rPr>
              <w:t>93.1 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08C6C232" w14:textId="77777777" w:rsidR="001614AC" w:rsidRDefault="004468F9">
            <w:pPr>
              <w:keepNext/>
              <w:spacing w:before="55" w:after="30" w:line="288" w:lineRule="auto"/>
              <w:jc w:val="right"/>
            </w:pPr>
            <w:r>
              <w:rPr>
                <w:rFonts w:ascii="Arial" w:eastAsia="Arial" w:hAnsi="Arial" w:cs="Arial"/>
                <w:color w:val="000000"/>
                <w:sz w:val="18"/>
              </w:rPr>
              <w:t>%</w:t>
            </w:r>
          </w:p>
        </w:tc>
        <w:tc>
          <w:tcPr>
            <w:tcW w:w="105" w:type="dxa"/>
            <w:tcBorders>
              <w:top w:val="nil"/>
              <w:left w:val="nil"/>
              <w:bottom w:val="nil"/>
              <w:right w:val="nil"/>
            </w:tcBorders>
            <w:tcMar>
              <w:top w:w="0" w:type="dxa"/>
              <w:left w:w="0" w:type="dxa"/>
              <w:bottom w:w="0" w:type="dxa"/>
              <w:right w:w="0" w:type="dxa"/>
            </w:tcMar>
            <w:vAlign w:val="bottom"/>
          </w:tcPr>
          <w:p w14:paraId="4C14BBC0" w14:textId="77777777" w:rsidR="001614AC" w:rsidRDefault="001614AC">
            <w:pPr>
              <w:keepNext/>
            </w:pPr>
          </w:p>
        </w:tc>
        <w:tc>
          <w:tcPr>
            <w:tcW w:w="90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52738872" w14:textId="77777777" w:rsidR="001614AC" w:rsidRDefault="004468F9">
            <w:pPr>
              <w:keepNext/>
              <w:spacing w:before="55" w:after="30" w:line="288" w:lineRule="auto"/>
              <w:jc w:val="right"/>
            </w:pPr>
            <w:r>
              <w:rPr>
                <w:rFonts w:ascii="Arial" w:eastAsia="Arial" w:hAnsi="Arial" w:cs="Arial"/>
                <w:color w:val="000000"/>
                <w:sz w:val="18"/>
              </w:rPr>
              <w:t>84.7 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35465322" w14:textId="77777777" w:rsidR="001614AC" w:rsidRDefault="004468F9">
            <w:pPr>
              <w:keepNext/>
              <w:spacing w:before="55" w:after="30" w:line="288" w:lineRule="auto"/>
              <w:jc w:val="right"/>
            </w:pPr>
            <w:r>
              <w:rPr>
                <w:rFonts w:ascii="Arial" w:eastAsia="Arial" w:hAnsi="Arial" w:cs="Arial"/>
                <w:color w:val="000000"/>
                <w:sz w:val="18"/>
              </w:rPr>
              <w:t>%</w:t>
            </w:r>
          </w:p>
        </w:tc>
        <w:tc>
          <w:tcPr>
            <w:tcW w:w="105" w:type="dxa"/>
            <w:tcBorders>
              <w:top w:val="nil"/>
              <w:left w:val="nil"/>
              <w:bottom w:val="nil"/>
              <w:right w:val="nil"/>
            </w:tcBorders>
            <w:tcMar>
              <w:top w:w="0" w:type="dxa"/>
              <w:left w:w="0" w:type="dxa"/>
              <w:bottom w:w="0" w:type="dxa"/>
              <w:right w:w="0" w:type="dxa"/>
            </w:tcMar>
            <w:vAlign w:val="bottom"/>
          </w:tcPr>
          <w:p w14:paraId="65F01165" w14:textId="77777777" w:rsidR="001614AC" w:rsidRDefault="001614AC">
            <w:pPr>
              <w:keepNext/>
            </w:pPr>
          </w:p>
        </w:tc>
        <w:tc>
          <w:tcPr>
            <w:tcW w:w="90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45D84BEC" w14:textId="77777777" w:rsidR="001614AC" w:rsidRDefault="004468F9">
            <w:pPr>
              <w:keepNext/>
              <w:spacing w:before="55" w:after="30" w:line="288" w:lineRule="auto"/>
              <w:jc w:val="right"/>
            </w:pPr>
            <w:r>
              <w:rPr>
                <w:rFonts w:ascii="Arial" w:eastAsia="Arial" w:hAnsi="Arial" w:cs="Arial"/>
                <w:color w:val="000000"/>
                <w:sz w:val="18"/>
              </w:rPr>
              <w:t>91.7 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15E57CB8" w14:textId="77777777" w:rsidR="001614AC" w:rsidRDefault="004468F9">
            <w:pPr>
              <w:keepNext/>
              <w:spacing w:before="55" w:after="30" w:line="288" w:lineRule="auto"/>
              <w:jc w:val="right"/>
            </w:pPr>
            <w:r>
              <w:rPr>
                <w:rFonts w:ascii="Arial" w:eastAsia="Arial" w:hAnsi="Arial" w:cs="Arial"/>
                <w:color w:val="000000"/>
                <w:sz w:val="18"/>
              </w:rPr>
              <w:t>%</w:t>
            </w:r>
          </w:p>
        </w:tc>
        <w:tc>
          <w:tcPr>
            <w:tcW w:w="105" w:type="dxa"/>
            <w:tcBorders>
              <w:top w:val="nil"/>
              <w:left w:val="nil"/>
              <w:bottom w:val="nil"/>
              <w:right w:val="nil"/>
            </w:tcBorders>
            <w:tcMar>
              <w:top w:w="0" w:type="dxa"/>
              <w:left w:w="0" w:type="dxa"/>
              <w:bottom w:w="0" w:type="dxa"/>
              <w:right w:w="0" w:type="dxa"/>
            </w:tcMar>
            <w:vAlign w:val="bottom"/>
          </w:tcPr>
          <w:p w14:paraId="1FEE6C79" w14:textId="77777777" w:rsidR="001614AC" w:rsidRDefault="001614AC">
            <w:pPr>
              <w:keepNext/>
            </w:pPr>
          </w:p>
        </w:tc>
        <w:tc>
          <w:tcPr>
            <w:tcW w:w="90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18C41854" w14:textId="77777777" w:rsidR="001614AC" w:rsidRDefault="004468F9">
            <w:pPr>
              <w:keepNext/>
              <w:spacing w:before="55" w:after="30" w:line="288" w:lineRule="auto"/>
              <w:jc w:val="right"/>
            </w:pPr>
            <w:r>
              <w:rPr>
                <w:rFonts w:ascii="Arial" w:eastAsia="Arial" w:hAnsi="Arial" w:cs="Arial"/>
                <w:color w:val="000000"/>
                <w:sz w:val="18"/>
              </w:rPr>
              <w:t>83.3 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35E61519" w14:textId="77777777" w:rsidR="001614AC" w:rsidRDefault="004468F9">
            <w:pPr>
              <w:keepNext/>
              <w:spacing w:before="55" w:after="30" w:line="288" w:lineRule="auto"/>
              <w:jc w:val="right"/>
            </w:pPr>
            <w:r>
              <w:rPr>
                <w:rFonts w:ascii="Arial" w:eastAsia="Arial" w:hAnsi="Arial" w:cs="Arial"/>
                <w:color w:val="000000"/>
                <w:sz w:val="18"/>
              </w:rPr>
              <w:t>%</w:t>
            </w:r>
          </w:p>
        </w:tc>
      </w:tr>
      <w:tr w:rsidR="001614AC" w14:paraId="6AD9CAED" w14:textId="77777777">
        <w:trPr>
          <w:cantSplit/>
        </w:trPr>
        <w:tc>
          <w:tcPr>
            <w:tcW w:w="5640" w:type="dxa"/>
            <w:tcBorders>
              <w:top w:val="single" w:sz="8" w:space="0" w:color="E9E9E9"/>
              <w:left w:val="nil"/>
              <w:bottom w:val="single" w:sz="8" w:space="0" w:color="E9E9E9"/>
              <w:right w:val="nil"/>
            </w:tcBorders>
            <w:tcMar>
              <w:top w:w="0" w:type="dxa"/>
              <w:left w:w="53" w:type="dxa"/>
              <w:bottom w:w="0" w:type="dxa"/>
              <w:right w:w="53" w:type="dxa"/>
            </w:tcMar>
            <w:vAlign w:val="bottom"/>
          </w:tcPr>
          <w:p w14:paraId="418A1D6C" w14:textId="77777777" w:rsidR="001614AC" w:rsidRDefault="004468F9">
            <w:pPr>
              <w:keepNext/>
              <w:spacing w:before="55" w:after="30" w:line="288" w:lineRule="auto"/>
              <w:ind w:left="240"/>
              <w:rPr>
                <w:rFonts w:ascii="Arial" w:eastAsia="Arial" w:hAnsi="Arial" w:cs="Arial"/>
                <w:sz w:val="18"/>
              </w:rPr>
            </w:pPr>
            <w:r>
              <w:rPr>
                <w:rFonts w:ascii="Arial" w:eastAsia="Arial" w:hAnsi="Arial" w:cs="Arial"/>
                <w:sz w:val="18"/>
              </w:rPr>
              <w:t xml:space="preserve">Direct single premiums </w:t>
            </w:r>
            <w:r>
              <w:rPr>
                <w:rFonts w:ascii="Arial" w:eastAsia="Arial" w:hAnsi="Arial" w:cs="Arial"/>
                <w:sz w:val="18"/>
                <w:vertAlign w:val="superscript"/>
              </w:rPr>
              <w:t>(1)</w:t>
            </w:r>
          </w:p>
        </w:tc>
        <w:tc>
          <w:tcPr>
            <w:tcW w:w="105" w:type="dxa"/>
            <w:tcBorders>
              <w:top w:val="nil"/>
              <w:left w:val="nil"/>
              <w:bottom w:val="nil"/>
              <w:right w:val="nil"/>
            </w:tcBorders>
            <w:tcMar>
              <w:top w:w="0" w:type="dxa"/>
              <w:left w:w="0" w:type="dxa"/>
              <w:bottom w:w="0" w:type="dxa"/>
              <w:right w:w="0" w:type="dxa"/>
            </w:tcMar>
            <w:vAlign w:val="bottom"/>
          </w:tcPr>
          <w:p w14:paraId="6A979944" w14:textId="77777777" w:rsidR="001614AC" w:rsidRDefault="001614AC">
            <w:pPr>
              <w:keepNext/>
            </w:pPr>
          </w:p>
        </w:tc>
        <w:tc>
          <w:tcPr>
            <w:tcW w:w="905" w:type="dxa"/>
            <w:gridSpan w:val="2"/>
            <w:tcBorders>
              <w:top w:val="single" w:sz="8" w:space="0" w:color="E9E9E9"/>
              <w:left w:val="nil"/>
              <w:bottom w:val="single" w:sz="8" w:space="0" w:color="E6EAED"/>
              <w:right w:val="nil"/>
            </w:tcBorders>
            <w:tcMar>
              <w:top w:w="0" w:type="dxa"/>
              <w:left w:w="53" w:type="dxa"/>
              <w:bottom w:w="0" w:type="dxa"/>
              <w:right w:w="0" w:type="dxa"/>
            </w:tcMar>
            <w:vAlign w:val="bottom"/>
          </w:tcPr>
          <w:p w14:paraId="54DFA828" w14:textId="77777777" w:rsidR="001614AC" w:rsidRDefault="004468F9">
            <w:pPr>
              <w:keepNext/>
              <w:spacing w:before="55" w:after="30" w:line="288" w:lineRule="auto"/>
              <w:jc w:val="right"/>
            </w:pPr>
            <w:r>
              <w:rPr>
                <w:rFonts w:ascii="Arial" w:eastAsia="Arial" w:hAnsi="Arial" w:cs="Arial"/>
                <w:color w:val="000000"/>
                <w:sz w:val="18"/>
              </w:rPr>
              <w:t>6.9 </w:t>
            </w:r>
          </w:p>
        </w:tc>
        <w:tc>
          <w:tcPr>
            <w:tcW w:w="100" w:type="dxa"/>
            <w:tcBorders>
              <w:top w:val="single" w:sz="8" w:space="0" w:color="E9E9E9"/>
              <w:left w:val="nil"/>
              <w:bottom w:val="single" w:sz="8" w:space="0" w:color="E6EAED"/>
              <w:right w:val="nil"/>
            </w:tcBorders>
            <w:tcMar>
              <w:top w:w="0" w:type="dxa"/>
              <w:left w:w="0" w:type="dxa"/>
              <w:bottom w:w="0" w:type="dxa"/>
              <w:right w:w="15" w:type="dxa"/>
            </w:tcMar>
            <w:vAlign w:val="bottom"/>
          </w:tcPr>
          <w:p w14:paraId="2342FA4C" w14:textId="77777777" w:rsidR="001614AC" w:rsidRDefault="004468F9">
            <w:pPr>
              <w:keepNext/>
              <w:spacing w:before="55" w:after="30" w:line="288" w:lineRule="auto"/>
              <w:jc w:val="right"/>
            </w:pPr>
            <w:r>
              <w:rPr>
                <w:rFonts w:ascii="Arial" w:eastAsia="Arial" w:hAnsi="Arial" w:cs="Arial"/>
                <w:color w:val="000000"/>
                <w:sz w:val="18"/>
              </w:rPr>
              <w:t>%</w:t>
            </w:r>
          </w:p>
        </w:tc>
        <w:tc>
          <w:tcPr>
            <w:tcW w:w="105" w:type="dxa"/>
            <w:tcBorders>
              <w:top w:val="nil"/>
              <w:left w:val="nil"/>
              <w:bottom w:val="nil"/>
              <w:right w:val="nil"/>
            </w:tcBorders>
            <w:tcMar>
              <w:top w:w="0" w:type="dxa"/>
              <w:left w:w="0" w:type="dxa"/>
              <w:bottom w:w="0" w:type="dxa"/>
              <w:right w:w="0" w:type="dxa"/>
            </w:tcMar>
            <w:vAlign w:val="bottom"/>
          </w:tcPr>
          <w:p w14:paraId="5B89016F" w14:textId="77777777" w:rsidR="001614AC" w:rsidRDefault="001614AC">
            <w:pPr>
              <w:keepNext/>
            </w:pPr>
          </w:p>
        </w:tc>
        <w:tc>
          <w:tcPr>
            <w:tcW w:w="905" w:type="dxa"/>
            <w:gridSpan w:val="2"/>
            <w:tcBorders>
              <w:top w:val="single" w:sz="8" w:space="0" w:color="E9E9E9"/>
              <w:left w:val="nil"/>
              <w:bottom w:val="single" w:sz="8" w:space="0" w:color="E6EAED"/>
              <w:right w:val="nil"/>
            </w:tcBorders>
            <w:tcMar>
              <w:top w:w="0" w:type="dxa"/>
              <w:left w:w="53" w:type="dxa"/>
              <w:bottom w:w="0" w:type="dxa"/>
              <w:right w:w="0" w:type="dxa"/>
            </w:tcMar>
            <w:vAlign w:val="bottom"/>
          </w:tcPr>
          <w:p w14:paraId="3208F8A2" w14:textId="77777777" w:rsidR="001614AC" w:rsidRDefault="004468F9">
            <w:pPr>
              <w:keepNext/>
              <w:spacing w:before="55" w:after="30" w:line="288" w:lineRule="auto"/>
              <w:jc w:val="right"/>
            </w:pPr>
            <w:r>
              <w:rPr>
                <w:rFonts w:ascii="Arial" w:eastAsia="Arial" w:hAnsi="Arial" w:cs="Arial"/>
                <w:color w:val="000000"/>
                <w:sz w:val="18"/>
              </w:rPr>
              <w:t>15.3 </w:t>
            </w:r>
          </w:p>
        </w:tc>
        <w:tc>
          <w:tcPr>
            <w:tcW w:w="100" w:type="dxa"/>
            <w:tcBorders>
              <w:top w:val="single" w:sz="8" w:space="0" w:color="E9E9E9"/>
              <w:left w:val="nil"/>
              <w:bottom w:val="single" w:sz="8" w:space="0" w:color="E6EAED"/>
              <w:right w:val="nil"/>
            </w:tcBorders>
            <w:tcMar>
              <w:top w:w="0" w:type="dxa"/>
              <w:left w:w="0" w:type="dxa"/>
              <w:bottom w:w="0" w:type="dxa"/>
              <w:right w:w="15" w:type="dxa"/>
            </w:tcMar>
            <w:vAlign w:val="bottom"/>
          </w:tcPr>
          <w:p w14:paraId="1D373B9E" w14:textId="77777777" w:rsidR="001614AC" w:rsidRDefault="004468F9">
            <w:pPr>
              <w:keepNext/>
              <w:spacing w:before="55" w:after="30" w:line="288" w:lineRule="auto"/>
              <w:jc w:val="right"/>
            </w:pPr>
            <w:r>
              <w:rPr>
                <w:rFonts w:ascii="Arial" w:eastAsia="Arial" w:hAnsi="Arial" w:cs="Arial"/>
                <w:color w:val="000000"/>
                <w:sz w:val="18"/>
              </w:rPr>
              <w:t>%</w:t>
            </w:r>
          </w:p>
        </w:tc>
        <w:tc>
          <w:tcPr>
            <w:tcW w:w="105" w:type="dxa"/>
            <w:tcBorders>
              <w:top w:val="nil"/>
              <w:left w:val="nil"/>
              <w:bottom w:val="nil"/>
              <w:right w:val="nil"/>
            </w:tcBorders>
            <w:tcMar>
              <w:top w:w="0" w:type="dxa"/>
              <w:left w:w="0" w:type="dxa"/>
              <w:bottom w:w="0" w:type="dxa"/>
              <w:right w:w="0" w:type="dxa"/>
            </w:tcMar>
            <w:vAlign w:val="bottom"/>
          </w:tcPr>
          <w:p w14:paraId="6AF6CAED" w14:textId="77777777" w:rsidR="001614AC" w:rsidRDefault="001614AC">
            <w:pPr>
              <w:keepNext/>
            </w:pPr>
          </w:p>
        </w:tc>
        <w:tc>
          <w:tcPr>
            <w:tcW w:w="905" w:type="dxa"/>
            <w:gridSpan w:val="2"/>
            <w:tcBorders>
              <w:top w:val="single" w:sz="8" w:space="0" w:color="E9E9E9"/>
              <w:left w:val="nil"/>
              <w:bottom w:val="single" w:sz="8" w:space="0" w:color="E6EAED"/>
              <w:right w:val="nil"/>
            </w:tcBorders>
            <w:tcMar>
              <w:top w:w="0" w:type="dxa"/>
              <w:left w:w="53" w:type="dxa"/>
              <w:bottom w:w="0" w:type="dxa"/>
              <w:right w:w="0" w:type="dxa"/>
            </w:tcMar>
            <w:vAlign w:val="bottom"/>
          </w:tcPr>
          <w:p w14:paraId="18D3DE96" w14:textId="77777777" w:rsidR="001614AC" w:rsidRDefault="004468F9">
            <w:pPr>
              <w:keepNext/>
              <w:spacing w:before="55" w:after="30" w:line="288" w:lineRule="auto"/>
              <w:jc w:val="right"/>
            </w:pPr>
            <w:r>
              <w:rPr>
                <w:rFonts w:ascii="Arial" w:eastAsia="Arial" w:hAnsi="Arial" w:cs="Arial"/>
                <w:color w:val="000000"/>
                <w:sz w:val="18"/>
              </w:rPr>
              <w:t>8.3 </w:t>
            </w:r>
          </w:p>
        </w:tc>
        <w:tc>
          <w:tcPr>
            <w:tcW w:w="100" w:type="dxa"/>
            <w:tcBorders>
              <w:top w:val="single" w:sz="8" w:space="0" w:color="E9E9E9"/>
              <w:left w:val="nil"/>
              <w:bottom w:val="single" w:sz="8" w:space="0" w:color="E6EAED"/>
              <w:right w:val="nil"/>
            </w:tcBorders>
            <w:tcMar>
              <w:top w:w="0" w:type="dxa"/>
              <w:left w:w="0" w:type="dxa"/>
              <w:bottom w:w="0" w:type="dxa"/>
              <w:right w:w="15" w:type="dxa"/>
            </w:tcMar>
            <w:vAlign w:val="bottom"/>
          </w:tcPr>
          <w:p w14:paraId="130ED6F8" w14:textId="77777777" w:rsidR="001614AC" w:rsidRDefault="004468F9">
            <w:pPr>
              <w:keepNext/>
              <w:spacing w:before="55" w:after="30" w:line="288" w:lineRule="auto"/>
              <w:jc w:val="right"/>
            </w:pPr>
            <w:r>
              <w:rPr>
                <w:rFonts w:ascii="Arial" w:eastAsia="Arial" w:hAnsi="Arial" w:cs="Arial"/>
                <w:color w:val="000000"/>
                <w:sz w:val="18"/>
              </w:rPr>
              <w:t>%</w:t>
            </w:r>
          </w:p>
        </w:tc>
        <w:tc>
          <w:tcPr>
            <w:tcW w:w="105" w:type="dxa"/>
            <w:tcBorders>
              <w:top w:val="nil"/>
              <w:left w:val="nil"/>
              <w:bottom w:val="nil"/>
              <w:right w:val="nil"/>
            </w:tcBorders>
            <w:tcMar>
              <w:top w:w="0" w:type="dxa"/>
              <w:left w:w="0" w:type="dxa"/>
              <w:bottom w:w="0" w:type="dxa"/>
              <w:right w:w="0" w:type="dxa"/>
            </w:tcMar>
            <w:vAlign w:val="bottom"/>
          </w:tcPr>
          <w:p w14:paraId="3B599D98" w14:textId="77777777" w:rsidR="001614AC" w:rsidRDefault="001614AC">
            <w:pPr>
              <w:keepNext/>
            </w:pPr>
          </w:p>
        </w:tc>
        <w:tc>
          <w:tcPr>
            <w:tcW w:w="905" w:type="dxa"/>
            <w:gridSpan w:val="2"/>
            <w:tcBorders>
              <w:top w:val="single" w:sz="8" w:space="0" w:color="E9E9E9"/>
              <w:left w:val="nil"/>
              <w:bottom w:val="single" w:sz="8" w:space="0" w:color="E6EAED"/>
              <w:right w:val="nil"/>
            </w:tcBorders>
            <w:tcMar>
              <w:top w:w="0" w:type="dxa"/>
              <w:left w:w="53" w:type="dxa"/>
              <w:bottom w:w="0" w:type="dxa"/>
              <w:right w:w="0" w:type="dxa"/>
            </w:tcMar>
            <w:vAlign w:val="bottom"/>
          </w:tcPr>
          <w:p w14:paraId="77FF9E37" w14:textId="77777777" w:rsidR="001614AC" w:rsidRDefault="004468F9">
            <w:pPr>
              <w:keepNext/>
              <w:spacing w:before="55" w:after="30" w:line="288" w:lineRule="auto"/>
              <w:jc w:val="right"/>
            </w:pPr>
            <w:r>
              <w:rPr>
                <w:rFonts w:ascii="Arial" w:eastAsia="Arial" w:hAnsi="Arial" w:cs="Arial"/>
                <w:color w:val="000000"/>
                <w:sz w:val="18"/>
              </w:rPr>
              <w:t>16.7 </w:t>
            </w:r>
          </w:p>
        </w:tc>
        <w:tc>
          <w:tcPr>
            <w:tcW w:w="100" w:type="dxa"/>
            <w:tcBorders>
              <w:top w:val="single" w:sz="8" w:space="0" w:color="E9E9E9"/>
              <w:left w:val="nil"/>
              <w:bottom w:val="single" w:sz="8" w:space="0" w:color="E6EAED"/>
              <w:right w:val="nil"/>
            </w:tcBorders>
            <w:tcMar>
              <w:top w:w="0" w:type="dxa"/>
              <w:left w:w="0" w:type="dxa"/>
              <w:bottom w:w="0" w:type="dxa"/>
              <w:right w:w="15" w:type="dxa"/>
            </w:tcMar>
            <w:vAlign w:val="bottom"/>
          </w:tcPr>
          <w:p w14:paraId="2465A78E" w14:textId="77777777" w:rsidR="001614AC" w:rsidRDefault="004468F9">
            <w:pPr>
              <w:keepNext/>
              <w:spacing w:before="55" w:after="30" w:line="288" w:lineRule="auto"/>
              <w:jc w:val="right"/>
            </w:pPr>
            <w:r>
              <w:rPr>
                <w:rFonts w:ascii="Arial" w:eastAsia="Arial" w:hAnsi="Arial" w:cs="Arial"/>
                <w:color w:val="000000"/>
                <w:sz w:val="18"/>
              </w:rPr>
              <w:t>%</w:t>
            </w:r>
          </w:p>
        </w:tc>
      </w:tr>
      <w:tr w:rsidR="001614AC" w14:paraId="21D8B4ED" w14:textId="77777777">
        <w:trPr>
          <w:cantSplit/>
        </w:trPr>
        <w:tc>
          <w:tcPr>
            <w:tcW w:w="5640" w:type="dxa"/>
            <w:tcBorders>
              <w:top w:val="single" w:sz="8" w:space="0" w:color="E9E9E9"/>
              <w:left w:val="nil"/>
              <w:bottom w:val="single" w:sz="8" w:space="0" w:color="E9E9E9"/>
              <w:right w:val="nil"/>
            </w:tcBorders>
            <w:tcMar>
              <w:top w:w="0" w:type="dxa"/>
              <w:left w:w="0" w:type="dxa"/>
              <w:bottom w:w="0" w:type="dxa"/>
              <w:right w:w="0" w:type="dxa"/>
            </w:tcMar>
            <w:vAlign w:val="bottom"/>
          </w:tcPr>
          <w:p w14:paraId="404AC5DB" w14:textId="77777777" w:rsidR="001614AC" w:rsidRDefault="001614AC">
            <w:pPr>
              <w:keepNext/>
            </w:pPr>
          </w:p>
        </w:tc>
        <w:tc>
          <w:tcPr>
            <w:tcW w:w="105" w:type="dxa"/>
            <w:tcBorders>
              <w:top w:val="nil"/>
              <w:left w:val="nil"/>
              <w:bottom w:val="nil"/>
              <w:right w:val="nil"/>
            </w:tcBorders>
            <w:tcMar>
              <w:top w:w="0" w:type="dxa"/>
              <w:left w:w="0" w:type="dxa"/>
              <w:bottom w:w="0" w:type="dxa"/>
              <w:right w:w="0" w:type="dxa"/>
            </w:tcMar>
            <w:vAlign w:val="bottom"/>
          </w:tcPr>
          <w:p w14:paraId="0F9541CC" w14:textId="77777777" w:rsidR="001614AC" w:rsidRDefault="001614AC">
            <w:pPr>
              <w:keepNext/>
            </w:pPr>
          </w:p>
        </w:tc>
        <w:tc>
          <w:tcPr>
            <w:tcW w:w="1005" w:type="dxa"/>
            <w:gridSpan w:val="3"/>
            <w:tcBorders>
              <w:top w:val="single" w:sz="8" w:space="0" w:color="E6EAED"/>
              <w:left w:val="nil"/>
              <w:bottom w:val="single" w:sz="8" w:space="0" w:color="E9E9E9"/>
              <w:right w:val="nil"/>
            </w:tcBorders>
            <w:tcMar>
              <w:top w:w="0" w:type="dxa"/>
              <w:left w:w="0" w:type="dxa"/>
              <w:bottom w:w="0" w:type="dxa"/>
              <w:right w:w="0" w:type="dxa"/>
            </w:tcMar>
            <w:vAlign w:val="bottom"/>
          </w:tcPr>
          <w:p w14:paraId="6C09DD6A" w14:textId="77777777" w:rsidR="001614AC" w:rsidRDefault="001614AC">
            <w:pPr>
              <w:keepNext/>
            </w:pPr>
          </w:p>
        </w:tc>
        <w:tc>
          <w:tcPr>
            <w:tcW w:w="105" w:type="dxa"/>
            <w:tcBorders>
              <w:top w:val="nil"/>
              <w:left w:val="nil"/>
              <w:bottom w:val="nil"/>
              <w:right w:val="nil"/>
            </w:tcBorders>
            <w:tcMar>
              <w:top w:w="0" w:type="dxa"/>
              <w:left w:w="0" w:type="dxa"/>
              <w:bottom w:w="0" w:type="dxa"/>
              <w:right w:w="0" w:type="dxa"/>
            </w:tcMar>
            <w:vAlign w:val="bottom"/>
          </w:tcPr>
          <w:p w14:paraId="51800F16" w14:textId="77777777" w:rsidR="001614AC" w:rsidRDefault="001614AC">
            <w:pPr>
              <w:keepNext/>
            </w:pPr>
          </w:p>
        </w:tc>
        <w:tc>
          <w:tcPr>
            <w:tcW w:w="1005" w:type="dxa"/>
            <w:gridSpan w:val="3"/>
            <w:tcBorders>
              <w:top w:val="single" w:sz="8" w:space="0" w:color="E6EAED"/>
              <w:left w:val="nil"/>
              <w:bottom w:val="single" w:sz="8" w:space="0" w:color="E9E9E9"/>
              <w:right w:val="nil"/>
            </w:tcBorders>
            <w:tcMar>
              <w:top w:w="0" w:type="dxa"/>
              <w:left w:w="0" w:type="dxa"/>
              <w:bottom w:w="0" w:type="dxa"/>
              <w:right w:w="0" w:type="dxa"/>
            </w:tcMar>
            <w:vAlign w:val="bottom"/>
          </w:tcPr>
          <w:p w14:paraId="38CFA844" w14:textId="77777777" w:rsidR="001614AC" w:rsidRDefault="001614AC">
            <w:pPr>
              <w:keepNext/>
            </w:pPr>
          </w:p>
        </w:tc>
        <w:tc>
          <w:tcPr>
            <w:tcW w:w="105" w:type="dxa"/>
            <w:tcBorders>
              <w:top w:val="nil"/>
              <w:left w:val="nil"/>
              <w:bottom w:val="nil"/>
              <w:right w:val="nil"/>
            </w:tcBorders>
            <w:tcMar>
              <w:top w:w="0" w:type="dxa"/>
              <w:left w:w="0" w:type="dxa"/>
              <w:bottom w:w="0" w:type="dxa"/>
              <w:right w:w="0" w:type="dxa"/>
            </w:tcMar>
            <w:vAlign w:val="bottom"/>
          </w:tcPr>
          <w:p w14:paraId="11771A6A" w14:textId="77777777" w:rsidR="001614AC" w:rsidRDefault="001614AC">
            <w:pPr>
              <w:keepNext/>
            </w:pPr>
          </w:p>
        </w:tc>
        <w:tc>
          <w:tcPr>
            <w:tcW w:w="1005" w:type="dxa"/>
            <w:gridSpan w:val="3"/>
            <w:tcBorders>
              <w:top w:val="single" w:sz="8" w:space="0" w:color="E6EAED"/>
              <w:left w:val="nil"/>
              <w:bottom w:val="single" w:sz="8" w:space="0" w:color="E9E9E9"/>
              <w:right w:val="nil"/>
            </w:tcBorders>
            <w:tcMar>
              <w:top w:w="0" w:type="dxa"/>
              <w:left w:w="0" w:type="dxa"/>
              <w:bottom w:w="0" w:type="dxa"/>
              <w:right w:w="0" w:type="dxa"/>
            </w:tcMar>
            <w:vAlign w:val="bottom"/>
          </w:tcPr>
          <w:p w14:paraId="213D0297" w14:textId="77777777" w:rsidR="001614AC" w:rsidRDefault="001614AC">
            <w:pPr>
              <w:keepNext/>
            </w:pPr>
          </w:p>
        </w:tc>
        <w:tc>
          <w:tcPr>
            <w:tcW w:w="105" w:type="dxa"/>
            <w:tcBorders>
              <w:top w:val="nil"/>
              <w:left w:val="nil"/>
              <w:bottom w:val="nil"/>
              <w:right w:val="nil"/>
            </w:tcBorders>
            <w:tcMar>
              <w:top w:w="0" w:type="dxa"/>
              <w:left w:w="0" w:type="dxa"/>
              <w:bottom w:w="0" w:type="dxa"/>
              <w:right w:w="0" w:type="dxa"/>
            </w:tcMar>
            <w:vAlign w:val="bottom"/>
          </w:tcPr>
          <w:p w14:paraId="3C992988" w14:textId="77777777" w:rsidR="001614AC" w:rsidRDefault="001614AC">
            <w:pPr>
              <w:keepNext/>
            </w:pPr>
          </w:p>
        </w:tc>
        <w:tc>
          <w:tcPr>
            <w:tcW w:w="1005" w:type="dxa"/>
            <w:gridSpan w:val="3"/>
            <w:tcBorders>
              <w:top w:val="single" w:sz="8" w:space="0" w:color="E6EAED"/>
              <w:left w:val="nil"/>
              <w:bottom w:val="single" w:sz="8" w:space="0" w:color="E9E9E9"/>
              <w:right w:val="nil"/>
            </w:tcBorders>
            <w:tcMar>
              <w:top w:w="0" w:type="dxa"/>
              <w:left w:w="0" w:type="dxa"/>
              <w:bottom w:w="0" w:type="dxa"/>
              <w:right w:w="0" w:type="dxa"/>
            </w:tcMar>
            <w:vAlign w:val="bottom"/>
          </w:tcPr>
          <w:p w14:paraId="5ADB159B" w14:textId="77777777" w:rsidR="001614AC" w:rsidRDefault="001614AC">
            <w:pPr>
              <w:keepNext/>
            </w:pPr>
          </w:p>
        </w:tc>
      </w:tr>
      <w:tr w:rsidR="001614AC" w14:paraId="7DFF1362" w14:textId="77777777">
        <w:trPr>
          <w:cantSplit/>
        </w:trPr>
        <w:tc>
          <w:tcPr>
            <w:tcW w:w="5640" w:type="dxa"/>
            <w:tcBorders>
              <w:top w:val="single" w:sz="8" w:space="0" w:color="E9E9E9"/>
              <w:left w:val="nil"/>
              <w:bottom w:val="single" w:sz="8" w:space="0" w:color="E9E9E9"/>
              <w:right w:val="nil"/>
            </w:tcBorders>
            <w:tcMar>
              <w:top w:w="0" w:type="dxa"/>
              <w:left w:w="53" w:type="dxa"/>
              <w:bottom w:w="0" w:type="dxa"/>
              <w:right w:w="53" w:type="dxa"/>
            </w:tcMar>
            <w:vAlign w:val="bottom"/>
          </w:tcPr>
          <w:p w14:paraId="11A1A4DE" w14:textId="77777777" w:rsidR="001614AC" w:rsidRDefault="004468F9">
            <w:pPr>
              <w:keepNext/>
              <w:spacing w:before="55" w:after="30" w:line="288" w:lineRule="auto"/>
              <w:rPr>
                <w:rFonts w:ascii="Arial" w:eastAsia="Arial" w:hAnsi="Arial" w:cs="Arial"/>
                <w:sz w:val="18"/>
              </w:rPr>
            </w:pPr>
            <w:r>
              <w:rPr>
                <w:rFonts w:ascii="Arial" w:eastAsia="Arial" w:hAnsi="Arial" w:cs="Arial"/>
                <w:sz w:val="18"/>
              </w:rPr>
              <w:t xml:space="preserve">NIW by FICO Score </w:t>
            </w:r>
            <w:r>
              <w:rPr>
                <w:rFonts w:ascii="Arial" w:eastAsia="Arial" w:hAnsi="Arial" w:cs="Arial"/>
                <w:sz w:val="18"/>
                <w:vertAlign w:val="superscript"/>
              </w:rPr>
              <w:t>(2)</w:t>
            </w:r>
          </w:p>
        </w:tc>
        <w:tc>
          <w:tcPr>
            <w:tcW w:w="105" w:type="dxa"/>
            <w:tcBorders>
              <w:top w:val="nil"/>
              <w:left w:val="nil"/>
              <w:bottom w:val="nil"/>
              <w:right w:val="nil"/>
            </w:tcBorders>
            <w:tcMar>
              <w:top w:w="0" w:type="dxa"/>
              <w:left w:w="0" w:type="dxa"/>
              <w:bottom w:w="0" w:type="dxa"/>
              <w:right w:w="0" w:type="dxa"/>
            </w:tcMar>
            <w:vAlign w:val="bottom"/>
          </w:tcPr>
          <w:p w14:paraId="013E980B" w14:textId="77777777" w:rsidR="001614AC" w:rsidRDefault="001614AC">
            <w:pPr>
              <w:keepNext/>
            </w:pPr>
          </w:p>
        </w:tc>
        <w:tc>
          <w:tcPr>
            <w:tcW w:w="1005" w:type="dxa"/>
            <w:gridSpan w:val="3"/>
            <w:tcBorders>
              <w:top w:val="single" w:sz="8" w:space="0" w:color="E9E9E9"/>
              <w:left w:val="nil"/>
              <w:bottom w:val="single" w:sz="8" w:space="0" w:color="E9E9E9"/>
              <w:right w:val="nil"/>
            </w:tcBorders>
            <w:tcMar>
              <w:top w:w="0" w:type="dxa"/>
              <w:left w:w="0" w:type="dxa"/>
              <w:bottom w:w="0" w:type="dxa"/>
              <w:right w:w="0" w:type="dxa"/>
            </w:tcMar>
            <w:vAlign w:val="bottom"/>
          </w:tcPr>
          <w:p w14:paraId="595B84BC" w14:textId="77777777" w:rsidR="001614AC" w:rsidRDefault="001614AC">
            <w:pPr>
              <w:keepNext/>
            </w:pPr>
          </w:p>
        </w:tc>
        <w:tc>
          <w:tcPr>
            <w:tcW w:w="105" w:type="dxa"/>
            <w:tcBorders>
              <w:top w:val="nil"/>
              <w:left w:val="nil"/>
              <w:bottom w:val="nil"/>
              <w:right w:val="nil"/>
            </w:tcBorders>
            <w:tcMar>
              <w:top w:w="0" w:type="dxa"/>
              <w:left w:w="0" w:type="dxa"/>
              <w:bottom w:w="0" w:type="dxa"/>
              <w:right w:w="0" w:type="dxa"/>
            </w:tcMar>
            <w:vAlign w:val="bottom"/>
          </w:tcPr>
          <w:p w14:paraId="26FFF69E" w14:textId="77777777" w:rsidR="001614AC" w:rsidRDefault="001614AC">
            <w:pPr>
              <w:keepNext/>
            </w:pPr>
          </w:p>
        </w:tc>
        <w:tc>
          <w:tcPr>
            <w:tcW w:w="1005" w:type="dxa"/>
            <w:gridSpan w:val="3"/>
            <w:tcBorders>
              <w:top w:val="single" w:sz="8" w:space="0" w:color="E9E9E9"/>
              <w:left w:val="nil"/>
              <w:bottom w:val="single" w:sz="8" w:space="0" w:color="E9E9E9"/>
              <w:right w:val="nil"/>
            </w:tcBorders>
            <w:tcMar>
              <w:top w:w="0" w:type="dxa"/>
              <w:left w:w="0" w:type="dxa"/>
              <w:bottom w:w="0" w:type="dxa"/>
              <w:right w:w="0" w:type="dxa"/>
            </w:tcMar>
            <w:vAlign w:val="bottom"/>
          </w:tcPr>
          <w:p w14:paraId="44A4D3EE" w14:textId="77777777" w:rsidR="001614AC" w:rsidRDefault="001614AC">
            <w:pPr>
              <w:keepNext/>
            </w:pPr>
          </w:p>
        </w:tc>
        <w:tc>
          <w:tcPr>
            <w:tcW w:w="105" w:type="dxa"/>
            <w:tcBorders>
              <w:top w:val="nil"/>
              <w:left w:val="nil"/>
              <w:bottom w:val="nil"/>
              <w:right w:val="nil"/>
            </w:tcBorders>
            <w:tcMar>
              <w:top w:w="0" w:type="dxa"/>
              <w:left w:w="0" w:type="dxa"/>
              <w:bottom w:w="0" w:type="dxa"/>
              <w:right w:w="0" w:type="dxa"/>
            </w:tcMar>
            <w:vAlign w:val="bottom"/>
          </w:tcPr>
          <w:p w14:paraId="026324B6" w14:textId="77777777" w:rsidR="001614AC" w:rsidRDefault="001614AC">
            <w:pPr>
              <w:keepNext/>
            </w:pPr>
          </w:p>
        </w:tc>
        <w:tc>
          <w:tcPr>
            <w:tcW w:w="1005" w:type="dxa"/>
            <w:gridSpan w:val="3"/>
            <w:tcBorders>
              <w:top w:val="single" w:sz="8" w:space="0" w:color="E9E9E9"/>
              <w:left w:val="nil"/>
              <w:bottom w:val="single" w:sz="8" w:space="0" w:color="E9E9E9"/>
              <w:right w:val="nil"/>
            </w:tcBorders>
            <w:tcMar>
              <w:top w:w="0" w:type="dxa"/>
              <w:left w:w="0" w:type="dxa"/>
              <w:bottom w:w="0" w:type="dxa"/>
              <w:right w:w="0" w:type="dxa"/>
            </w:tcMar>
            <w:vAlign w:val="bottom"/>
          </w:tcPr>
          <w:p w14:paraId="30840607" w14:textId="77777777" w:rsidR="001614AC" w:rsidRDefault="001614AC">
            <w:pPr>
              <w:keepNext/>
            </w:pPr>
          </w:p>
        </w:tc>
        <w:tc>
          <w:tcPr>
            <w:tcW w:w="105" w:type="dxa"/>
            <w:tcBorders>
              <w:top w:val="nil"/>
              <w:left w:val="nil"/>
              <w:bottom w:val="nil"/>
              <w:right w:val="nil"/>
            </w:tcBorders>
            <w:tcMar>
              <w:top w:w="0" w:type="dxa"/>
              <w:left w:w="0" w:type="dxa"/>
              <w:bottom w:w="0" w:type="dxa"/>
              <w:right w:w="0" w:type="dxa"/>
            </w:tcMar>
            <w:vAlign w:val="bottom"/>
          </w:tcPr>
          <w:p w14:paraId="53E7FEF4" w14:textId="77777777" w:rsidR="001614AC" w:rsidRDefault="001614AC">
            <w:pPr>
              <w:keepNext/>
            </w:pPr>
          </w:p>
        </w:tc>
        <w:tc>
          <w:tcPr>
            <w:tcW w:w="1005" w:type="dxa"/>
            <w:gridSpan w:val="3"/>
            <w:tcBorders>
              <w:top w:val="single" w:sz="8" w:space="0" w:color="E9E9E9"/>
              <w:left w:val="nil"/>
              <w:bottom w:val="single" w:sz="8" w:space="0" w:color="E9E9E9"/>
              <w:right w:val="nil"/>
            </w:tcBorders>
            <w:tcMar>
              <w:top w:w="0" w:type="dxa"/>
              <w:left w:w="0" w:type="dxa"/>
              <w:bottom w:w="0" w:type="dxa"/>
              <w:right w:w="0" w:type="dxa"/>
            </w:tcMar>
            <w:vAlign w:val="bottom"/>
          </w:tcPr>
          <w:p w14:paraId="062CC144" w14:textId="77777777" w:rsidR="001614AC" w:rsidRDefault="001614AC">
            <w:pPr>
              <w:keepNext/>
            </w:pPr>
          </w:p>
        </w:tc>
      </w:tr>
      <w:tr w:rsidR="001614AC" w14:paraId="4520FE3A" w14:textId="77777777">
        <w:trPr>
          <w:cantSplit/>
        </w:trPr>
        <w:tc>
          <w:tcPr>
            <w:tcW w:w="5640" w:type="dxa"/>
            <w:tcBorders>
              <w:top w:val="single" w:sz="8" w:space="0" w:color="E9E9E9"/>
              <w:left w:val="nil"/>
              <w:bottom w:val="single" w:sz="8" w:space="0" w:color="E9E9E9"/>
              <w:right w:val="nil"/>
            </w:tcBorders>
            <w:tcMar>
              <w:top w:w="0" w:type="dxa"/>
              <w:left w:w="53" w:type="dxa"/>
              <w:bottom w:w="0" w:type="dxa"/>
              <w:right w:w="53" w:type="dxa"/>
            </w:tcMar>
            <w:vAlign w:val="bottom"/>
          </w:tcPr>
          <w:p w14:paraId="3D9793F5" w14:textId="77777777" w:rsidR="001614AC" w:rsidRDefault="004468F9">
            <w:pPr>
              <w:keepNext/>
              <w:spacing w:before="55" w:after="30" w:line="288" w:lineRule="auto"/>
              <w:ind w:left="240"/>
            </w:pPr>
            <w:r>
              <w:rPr>
                <w:rFonts w:ascii="Arial" w:eastAsia="Arial" w:hAnsi="Arial" w:cs="Arial"/>
                <w:color w:val="000000"/>
                <w:sz w:val="18"/>
              </w:rPr>
              <w:t>&gt;=740</w:t>
            </w:r>
          </w:p>
        </w:tc>
        <w:tc>
          <w:tcPr>
            <w:tcW w:w="105" w:type="dxa"/>
            <w:tcBorders>
              <w:top w:val="nil"/>
              <w:left w:val="nil"/>
              <w:bottom w:val="nil"/>
              <w:right w:val="nil"/>
            </w:tcBorders>
            <w:tcMar>
              <w:top w:w="0" w:type="dxa"/>
              <w:left w:w="0" w:type="dxa"/>
              <w:bottom w:w="0" w:type="dxa"/>
              <w:right w:w="0" w:type="dxa"/>
            </w:tcMar>
            <w:vAlign w:val="bottom"/>
          </w:tcPr>
          <w:p w14:paraId="7B13F37E" w14:textId="77777777" w:rsidR="001614AC" w:rsidRDefault="001614AC">
            <w:pPr>
              <w:keepNext/>
            </w:pPr>
          </w:p>
        </w:tc>
        <w:tc>
          <w:tcPr>
            <w:tcW w:w="90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477132A4" w14:textId="77777777" w:rsidR="001614AC" w:rsidRDefault="004468F9">
            <w:pPr>
              <w:keepNext/>
              <w:spacing w:before="55" w:after="30" w:line="288" w:lineRule="auto"/>
              <w:jc w:val="right"/>
            </w:pPr>
            <w:r>
              <w:rPr>
                <w:rFonts w:ascii="Arial" w:eastAsia="Arial" w:hAnsi="Arial" w:cs="Arial"/>
                <w:color w:val="000000"/>
                <w:sz w:val="18"/>
              </w:rPr>
              <w:t>61.4 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5CB09FCF" w14:textId="77777777" w:rsidR="001614AC" w:rsidRDefault="004468F9">
            <w:pPr>
              <w:keepNext/>
              <w:spacing w:before="55" w:after="30" w:line="288" w:lineRule="auto"/>
              <w:jc w:val="right"/>
            </w:pPr>
            <w:r>
              <w:rPr>
                <w:rFonts w:ascii="Arial" w:eastAsia="Arial" w:hAnsi="Arial" w:cs="Arial"/>
                <w:color w:val="000000"/>
                <w:sz w:val="18"/>
              </w:rPr>
              <w:t>%</w:t>
            </w:r>
          </w:p>
        </w:tc>
        <w:tc>
          <w:tcPr>
            <w:tcW w:w="105" w:type="dxa"/>
            <w:tcBorders>
              <w:top w:val="nil"/>
              <w:left w:val="nil"/>
              <w:bottom w:val="nil"/>
              <w:right w:val="nil"/>
            </w:tcBorders>
            <w:tcMar>
              <w:top w:w="0" w:type="dxa"/>
              <w:left w:w="0" w:type="dxa"/>
              <w:bottom w:w="0" w:type="dxa"/>
              <w:right w:w="0" w:type="dxa"/>
            </w:tcMar>
            <w:vAlign w:val="bottom"/>
          </w:tcPr>
          <w:p w14:paraId="7EEFA70E" w14:textId="77777777" w:rsidR="001614AC" w:rsidRDefault="001614AC">
            <w:pPr>
              <w:keepNext/>
            </w:pPr>
          </w:p>
        </w:tc>
        <w:tc>
          <w:tcPr>
            <w:tcW w:w="90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4AE8C2A4" w14:textId="77777777" w:rsidR="001614AC" w:rsidRDefault="004468F9">
            <w:pPr>
              <w:keepNext/>
              <w:spacing w:before="55" w:after="30" w:line="288" w:lineRule="auto"/>
              <w:jc w:val="right"/>
            </w:pPr>
            <w:r>
              <w:rPr>
                <w:rFonts w:ascii="Arial" w:eastAsia="Arial" w:hAnsi="Arial" w:cs="Arial"/>
                <w:color w:val="000000"/>
                <w:sz w:val="18"/>
              </w:rPr>
              <w:t>67.3 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5E7FDF79" w14:textId="77777777" w:rsidR="001614AC" w:rsidRDefault="004468F9">
            <w:pPr>
              <w:keepNext/>
              <w:spacing w:before="55" w:after="30" w:line="288" w:lineRule="auto"/>
              <w:jc w:val="right"/>
            </w:pPr>
            <w:r>
              <w:rPr>
                <w:rFonts w:ascii="Arial" w:eastAsia="Arial" w:hAnsi="Arial" w:cs="Arial"/>
                <w:color w:val="000000"/>
                <w:sz w:val="18"/>
              </w:rPr>
              <w:t>%</w:t>
            </w:r>
          </w:p>
        </w:tc>
        <w:tc>
          <w:tcPr>
            <w:tcW w:w="105" w:type="dxa"/>
            <w:tcBorders>
              <w:top w:val="nil"/>
              <w:left w:val="nil"/>
              <w:bottom w:val="nil"/>
              <w:right w:val="nil"/>
            </w:tcBorders>
            <w:tcMar>
              <w:top w:w="0" w:type="dxa"/>
              <w:left w:w="0" w:type="dxa"/>
              <w:bottom w:w="0" w:type="dxa"/>
              <w:right w:w="0" w:type="dxa"/>
            </w:tcMar>
            <w:vAlign w:val="bottom"/>
          </w:tcPr>
          <w:p w14:paraId="6AAD1340" w14:textId="77777777" w:rsidR="001614AC" w:rsidRDefault="001614AC">
            <w:pPr>
              <w:keepNext/>
            </w:pPr>
          </w:p>
        </w:tc>
        <w:tc>
          <w:tcPr>
            <w:tcW w:w="90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0CC8667B" w14:textId="77777777" w:rsidR="001614AC" w:rsidRDefault="004468F9">
            <w:pPr>
              <w:keepNext/>
              <w:spacing w:before="55" w:after="30" w:line="288" w:lineRule="auto"/>
              <w:jc w:val="right"/>
            </w:pPr>
            <w:r>
              <w:rPr>
                <w:rFonts w:ascii="Arial" w:eastAsia="Arial" w:hAnsi="Arial" w:cs="Arial"/>
                <w:color w:val="000000"/>
                <w:sz w:val="18"/>
              </w:rPr>
              <w:t>62.9 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7F102331" w14:textId="77777777" w:rsidR="001614AC" w:rsidRDefault="004468F9">
            <w:pPr>
              <w:keepNext/>
              <w:spacing w:before="55" w:after="30" w:line="288" w:lineRule="auto"/>
              <w:jc w:val="right"/>
            </w:pPr>
            <w:r>
              <w:rPr>
                <w:rFonts w:ascii="Arial" w:eastAsia="Arial" w:hAnsi="Arial" w:cs="Arial"/>
                <w:color w:val="000000"/>
                <w:sz w:val="18"/>
              </w:rPr>
              <w:t>%</w:t>
            </w:r>
          </w:p>
        </w:tc>
        <w:tc>
          <w:tcPr>
            <w:tcW w:w="105" w:type="dxa"/>
            <w:tcBorders>
              <w:top w:val="nil"/>
              <w:left w:val="nil"/>
              <w:bottom w:val="nil"/>
              <w:right w:val="nil"/>
            </w:tcBorders>
            <w:tcMar>
              <w:top w:w="0" w:type="dxa"/>
              <w:left w:w="0" w:type="dxa"/>
              <w:bottom w:w="0" w:type="dxa"/>
              <w:right w:w="0" w:type="dxa"/>
            </w:tcMar>
            <w:vAlign w:val="bottom"/>
          </w:tcPr>
          <w:p w14:paraId="29231CF1" w14:textId="77777777" w:rsidR="001614AC" w:rsidRDefault="001614AC">
            <w:pPr>
              <w:keepNext/>
            </w:pPr>
          </w:p>
        </w:tc>
        <w:tc>
          <w:tcPr>
            <w:tcW w:w="90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431A130E" w14:textId="77777777" w:rsidR="001614AC" w:rsidRDefault="004468F9">
            <w:pPr>
              <w:keepNext/>
              <w:spacing w:before="55" w:after="30" w:line="288" w:lineRule="auto"/>
              <w:jc w:val="right"/>
            </w:pPr>
            <w:r>
              <w:rPr>
                <w:rFonts w:ascii="Arial" w:eastAsia="Arial" w:hAnsi="Arial" w:cs="Arial"/>
                <w:color w:val="000000"/>
                <w:sz w:val="18"/>
              </w:rPr>
              <w:t>66.6 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5A59E131" w14:textId="77777777" w:rsidR="001614AC" w:rsidRDefault="004468F9">
            <w:pPr>
              <w:keepNext/>
              <w:spacing w:before="55" w:after="30" w:line="288" w:lineRule="auto"/>
              <w:jc w:val="right"/>
            </w:pPr>
            <w:r>
              <w:rPr>
                <w:rFonts w:ascii="Arial" w:eastAsia="Arial" w:hAnsi="Arial" w:cs="Arial"/>
                <w:color w:val="000000"/>
                <w:sz w:val="18"/>
              </w:rPr>
              <w:t>%</w:t>
            </w:r>
          </w:p>
        </w:tc>
      </w:tr>
      <w:tr w:rsidR="001614AC" w14:paraId="38023353" w14:textId="77777777">
        <w:trPr>
          <w:cantSplit/>
        </w:trPr>
        <w:tc>
          <w:tcPr>
            <w:tcW w:w="5640" w:type="dxa"/>
            <w:tcBorders>
              <w:top w:val="single" w:sz="8" w:space="0" w:color="E9E9E9"/>
              <w:left w:val="nil"/>
              <w:bottom w:val="single" w:sz="8" w:space="0" w:color="E9E9E9"/>
              <w:right w:val="nil"/>
            </w:tcBorders>
            <w:tcMar>
              <w:top w:w="0" w:type="dxa"/>
              <w:left w:w="53" w:type="dxa"/>
              <w:bottom w:w="0" w:type="dxa"/>
              <w:right w:w="53" w:type="dxa"/>
            </w:tcMar>
            <w:vAlign w:val="bottom"/>
          </w:tcPr>
          <w:p w14:paraId="1DC5C05A" w14:textId="77777777" w:rsidR="001614AC" w:rsidRDefault="004468F9">
            <w:pPr>
              <w:keepNext/>
              <w:spacing w:before="55" w:after="30" w:line="288" w:lineRule="auto"/>
              <w:ind w:left="240"/>
            </w:pPr>
            <w:r>
              <w:rPr>
                <w:rFonts w:ascii="Arial" w:eastAsia="Arial" w:hAnsi="Arial" w:cs="Arial"/>
                <w:color w:val="000000"/>
                <w:sz w:val="18"/>
              </w:rPr>
              <w:t>680-739</w:t>
            </w:r>
          </w:p>
        </w:tc>
        <w:tc>
          <w:tcPr>
            <w:tcW w:w="105" w:type="dxa"/>
            <w:tcBorders>
              <w:top w:val="nil"/>
              <w:left w:val="nil"/>
              <w:bottom w:val="nil"/>
              <w:right w:val="nil"/>
            </w:tcBorders>
            <w:tcMar>
              <w:top w:w="0" w:type="dxa"/>
              <w:left w:w="0" w:type="dxa"/>
              <w:bottom w:w="0" w:type="dxa"/>
              <w:right w:w="0" w:type="dxa"/>
            </w:tcMar>
            <w:vAlign w:val="bottom"/>
          </w:tcPr>
          <w:p w14:paraId="467108E6" w14:textId="77777777" w:rsidR="001614AC" w:rsidRDefault="001614AC">
            <w:pPr>
              <w:keepNext/>
            </w:pPr>
          </w:p>
        </w:tc>
        <w:tc>
          <w:tcPr>
            <w:tcW w:w="90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796F2EFA" w14:textId="77777777" w:rsidR="001614AC" w:rsidRDefault="004468F9">
            <w:pPr>
              <w:keepNext/>
              <w:spacing w:before="55" w:after="30" w:line="288" w:lineRule="auto"/>
              <w:jc w:val="right"/>
            </w:pPr>
            <w:r>
              <w:rPr>
                <w:rFonts w:ascii="Arial" w:eastAsia="Arial" w:hAnsi="Arial" w:cs="Arial"/>
                <w:color w:val="000000"/>
                <w:sz w:val="18"/>
              </w:rPr>
              <w:t>33.1 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396A1B57" w14:textId="77777777" w:rsidR="001614AC" w:rsidRDefault="004468F9">
            <w:pPr>
              <w:keepNext/>
              <w:spacing w:before="55" w:after="30" w:line="288" w:lineRule="auto"/>
              <w:jc w:val="right"/>
            </w:pPr>
            <w:r>
              <w:rPr>
                <w:rFonts w:ascii="Arial" w:eastAsia="Arial" w:hAnsi="Arial" w:cs="Arial"/>
                <w:color w:val="000000"/>
                <w:sz w:val="18"/>
              </w:rPr>
              <w:t>%</w:t>
            </w:r>
          </w:p>
        </w:tc>
        <w:tc>
          <w:tcPr>
            <w:tcW w:w="105" w:type="dxa"/>
            <w:tcBorders>
              <w:top w:val="nil"/>
              <w:left w:val="nil"/>
              <w:bottom w:val="nil"/>
              <w:right w:val="nil"/>
            </w:tcBorders>
            <w:tcMar>
              <w:top w:w="0" w:type="dxa"/>
              <w:left w:w="0" w:type="dxa"/>
              <w:bottom w:w="0" w:type="dxa"/>
              <w:right w:w="0" w:type="dxa"/>
            </w:tcMar>
            <w:vAlign w:val="bottom"/>
          </w:tcPr>
          <w:p w14:paraId="36A7AF73" w14:textId="77777777" w:rsidR="001614AC" w:rsidRDefault="001614AC">
            <w:pPr>
              <w:keepNext/>
            </w:pPr>
          </w:p>
        </w:tc>
        <w:tc>
          <w:tcPr>
            <w:tcW w:w="90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5A029642" w14:textId="77777777" w:rsidR="001614AC" w:rsidRDefault="004468F9">
            <w:pPr>
              <w:keepNext/>
              <w:spacing w:before="55" w:after="30" w:line="288" w:lineRule="auto"/>
              <w:jc w:val="right"/>
            </w:pPr>
            <w:r>
              <w:rPr>
                <w:rFonts w:ascii="Arial" w:eastAsia="Arial" w:hAnsi="Arial" w:cs="Arial"/>
                <w:color w:val="000000"/>
                <w:sz w:val="18"/>
              </w:rPr>
              <w:t>30.1 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304B46C2" w14:textId="77777777" w:rsidR="001614AC" w:rsidRDefault="004468F9">
            <w:pPr>
              <w:keepNext/>
              <w:spacing w:before="55" w:after="30" w:line="288" w:lineRule="auto"/>
              <w:jc w:val="right"/>
            </w:pPr>
            <w:r>
              <w:rPr>
                <w:rFonts w:ascii="Arial" w:eastAsia="Arial" w:hAnsi="Arial" w:cs="Arial"/>
                <w:color w:val="000000"/>
                <w:sz w:val="18"/>
              </w:rPr>
              <w:t>%</w:t>
            </w:r>
          </w:p>
        </w:tc>
        <w:tc>
          <w:tcPr>
            <w:tcW w:w="105" w:type="dxa"/>
            <w:tcBorders>
              <w:top w:val="nil"/>
              <w:left w:val="nil"/>
              <w:bottom w:val="nil"/>
              <w:right w:val="nil"/>
            </w:tcBorders>
            <w:tcMar>
              <w:top w:w="0" w:type="dxa"/>
              <w:left w:w="0" w:type="dxa"/>
              <w:bottom w:w="0" w:type="dxa"/>
              <w:right w:w="0" w:type="dxa"/>
            </w:tcMar>
            <w:vAlign w:val="bottom"/>
          </w:tcPr>
          <w:p w14:paraId="52E63FB7" w14:textId="77777777" w:rsidR="001614AC" w:rsidRDefault="001614AC">
            <w:pPr>
              <w:keepNext/>
            </w:pPr>
          </w:p>
        </w:tc>
        <w:tc>
          <w:tcPr>
            <w:tcW w:w="90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66273502" w14:textId="77777777" w:rsidR="001614AC" w:rsidRDefault="004468F9">
            <w:pPr>
              <w:keepNext/>
              <w:spacing w:before="55" w:after="30" w:line="288" w:lineRule="auto"/>
              <w:jc w:val="right"/>
            </w:pPr>
            <w:r>
              <w:rPr>
                <w:rFonts w:ascii="Arial" w:eastAsia="Arial" w:hAnsi="Arial" w:cs="Arial"/>
                <w:color w:val="000000"/>
                <w:sz w:val="18"/>
              </w:rPr>
              <w:t>32.3 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09296C4A" w14:textId="77777777" w:rsidR="001614AC" w:rsidRDefault="004468F9">
            <w:pPr>
              <w:keepNext/>
              <w:spacing w:before="55" w:after="30" w:line="288" w:lineRule="auto"/>
              <w:jc w:val="right"/>
            </w:pPr>
            <w:r>
              <w:rPr>
                <w:rFonts w:ascii="Arial" w:eastAsia="Arial" w:hAnsi="Arial" w:cs="Arial"/>
                <w:color w:val="000000"/>
                <w:sz w:val="18"/>
              </w:rPr>
              <w:t>%</w:t>
            </w:r>
          </w:p>
        </w:tc>
        <w:tc>
          <w:tcPr>
            <w:tcW w:w="105" w:type="dxa"/>
            <w:tcBorders>
              <w:top w:val="nil"/>
              <w:left w:val="nil"/>
              <w:bottom w:val="nil"/>
              <w:right w:val="nil"/>
            </w:tcBorders>
            <w:tcMar>
              <w:top w:w="0" w:type="dxa"/>
              <w:left w:w="0" w:type="dxa"/>
              <w:bottom w:w="0" w:type="dxa"/>
              <w:right w:w="0" w:type="dxa"/>
            </w:tcMar>
            <w:vAlign w:val="bottom"/>
          </w:tcPr>
          <w:p w14:paraId="152C0F34" w14:textId="77777777" w:rsidR="001614AC" w:rsidRDefault="001614AC">
            <w:pPr>
              <w:keepNext/>
            </w:pPr>
          </w:p>
        </w:tc>
        <w:tc>
          <w:tcPr>
            <w:tcW w:w="90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564FF9D5" w14:textId="77777777" w:rsidR="001614AC" w:rsidRDefault="004468F9">
            <w:pPr>
              <w:keepNext/>
              <w:spacing w:before="55" w:after="30" w:line="288" w:lineRule="auto"/>
              <w:jc w:val="right"/>
            </w:pPr>
            <w:r>
              <w:rPr>
                <w:rFonts w:ascii="Arial" w:eastAsia="Arial" w:hAnsi="Arial" w:cs="Arial"/>
                <w:color w:val="000000"/>
                <w:sz w:val="18"/>
              </w:rPr>
              <w:t>30.5 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55304635" w14:textId="77777777" w:rsidR="001614AC" w:rsidRDefault="004468F9">
            <w:pPr>
              <w:keepNext/>
              <w:spacing w:before="55" w:after="30" w:line="288" w:lineRule="auto"/>
              <w:jc w:val="right"/>
            </w:pPr>
            <w:r>
              <w:rPr>
                <w:rFonts w:ascii="Arial" w:eastAsia="Arial" w:hAnsi="Arial" w:cs="Arial"/>
                <w:color w:val="000000"/>
                <w:sz w:val="18"/>
              </w:rPr>
              <w:t>%</w:t>
            </w:r>
          </w:p>
        </w:tc>
      </w:tr>
      <w:tr w:rsidR="001614AC" w14:paraId="1F7D512D" w14:textId="77777777">
        <w:trPr>
          <w:cantSplit/>
        </w:trPr>
        <w:tc>
          <w:tcPr>
            <w:tcW w:w="5640" w:type="dxa"/>
            <w:tcBorders>
              <w:top w:val="single" w:sz="8" w:space="0" w:color="E9E9E9"/>
              <w:left w:val="nil"/>
              <w:bottom w:val="single" w:sz="8" w:space="0" w:color="E9E9E9"/>
              <w:right w:val="nil"/>
            </w:tcBorders>
            <w:tcMar>
              <w:top w:w="0" w:type="dxa"/>
              <w:left w:w="53" w:type="dxa"/>
              <w:bottom w:w="0" w:type="dxa"/>
              <w:right w:w="53" w:type="dxa"/>
            </w:tcMar>
            <w:vAlign w:val="bottom"/>
          </w:tcPr>
          <w:p w14:paraId="4777C959" w14:textId="77777777" w:rsidR="001614AC" w:rsidRDefault="004468F9">
            <w:pPr>
              <w:keepNext/>
              <w:spacing w:before="55" w:after="30" w:line="288" w:lineRule="auto"/>
              <w:ind w:left="240"/>
            </w:pPr>
            <w:r>
              <w:rPr>
                <w:rFonts w:ascii="Arial" w:eastAsia="Arial" w:hAnsi="Arial" w:cs="Arial"/>
                <w:color w:val="000000"/>
                <w:sz w:val="18"/>
              </w:rPr>
              <w:t>620-679</w:t>
            </w:r>
          </w:p>
        </w:tc>
        <w:tc>
          <w:tcPr>
            <w:tcW w:w="105" w:type="dxa"/>
            <w:tcBorders>
              <w:top w:val="nil"/>
              <w:left w:val="nil"/>
              <w:bottom w:val="nil"/>
              <w:right w:val="nil"/>
            </w:tcBorders>
            <w:tcMar>
              <w:top w:w="0" w:type="dxa"/>
              <w:left w:w="0" w:type="dxa"/>
              <w:bottom w:w="0" w:type="dxa"/>
              <w:right w:w="0" w:type="dxa"/>
            </w:tcMar>
            <w:vAlign w:val="bottom"/>
          </w:tcPr>
          <w:p w14:paraId="59743F23" w14:textId="77777777" w:rsidR="001614AC" w:rsidRDefault="001614AC">
            <w:pPr>
              <w:keepNext/>
            </w:pPr>
          </w:p>
        </w:tc>
        <w:tc>
          <w:tcPr>
            <w:tcW w:w="90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5BA6F974" w14:textId="77777777" w:rsidR="001614AC" w:rsidRDefault="004468F9">
            <w:pPr>
              <w:keepNext/>
              <w:spacing w:before="55" w:after="30" w:line="288" w:lineRule="auto"/>
              <w:jc w:val="right"/>
            </w:pPr>
            <w:r>
              <w:rPr>
                <w:rFonts w:ascii="Arial" w:eastAsia="Arial" w:hAnsi="Arial" w:cs="Arial"/>
                <w:color w:val="000000"/>
                <w:sz w:val="18"/>
              </w:rPr>
              <w:t>5.5 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2FBCCBE1" w14:textId="77777777" w:rsidR="001614AC" w:rsidRDefault="004468F9">
            <w:pPr>
              <w:keepNext/>
              <w:spacing w:before="55" w:after="30" w:line="288" w:lineRule="auto"/>
              <w:jc w:val="right"/>
            </w:pPr>
            <w:r>
              <w:rPr>
                <w:rFonts w:ascii="Arial" w:eastAsia="Arial" w:hAnsi="Arial" w:cs="Arial"/>
                <w:color w:val="000000"/>
                <w:sz w:val="18"/>
              </w:rPr>
              <w:t>%</w:t>
            </w:r>
          </w:p>
        </w:tc>
        <w:tc>
          <w:tcPr>
            <w:tcW w:w="105" w:type="dxa"/>
            <w:tcBorders>
              <w:top w:val="nil"/>
              <w:left w:val="nil"/>
              <w:bottom w:val="nil"/>
              <w:right w:val="nil"/>
            </w:tcBorders>
            <w:tcMar>
              <w:top w:w="0" w:type="dxa"/>
              <w:left w:w="0" w:type="dxa"/>
              <w:bottom w:w="0" w:type="dxa"/>
              <w:right w:w="0" w:type="dxa"/>
            </w:tcMar>
            <w:vAlign w:val="bottom"/>
          </w:tcPr>
          <w:p w14:paraId="78E6506D" w14:textId="77777777" w:rsidR="001614AC" w:rsidRDefault="001614AC">
            <w:pPr>
              <w:keepNext/>
            </w:pPr>
          </w:p>
        </w:tc>
        <w:tc>
          <w:tcPr>
            <w:tcW w:w="90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36A84FB2" w14:textId="77777777" w:rsidR="001614AC" w:rsidRDefault="004468F9">
            <w:pPr>
              <w:keepNext/>
              <w:spacing w:before="55" w:after="30" w:line="288" w:lineRule="auto"/>
              <w:jc w:val="right"/>
            </w:pPr>
            <w:r>
              <w:rPr>
                <w:rFonts w:ascii="Arial" w:eastAsia="Arial" w:hAnsi="Arial" w:cs="Arial"/>
                <w:color w:val="000000"/>
                <w:sz w:val="18"/>
              </w:rPr>
              <w:t>2.6 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7206414B" w14:textId="77777777" w:rsidR="001614AC" w:rsidRDefault="004468F9">
            <w:pPr>
              <w:keepNext/>
              <w:spacing w:before="55" w:after="30" w:line="288" w:lineRule="auto"/>
              <w:jc w:val="right"/>
            </w:pPr>
            <w:r>
              <w:rPr>
                <w:rFonts w:ascii="Arial" w:eastAsia="Arial" w:hAnsi="Arial" w:cs="Arial"/>
                <w:color w:val="000000"/>
                <w:sz w:val="18"/>
              </w:rPr>
              <w:t>%</w:t>
            </w:r>
          </w:p>
        </w:tc>
        <w:tc>
          <w:tcPr>
            <w:tcW w:w="105" w:type="dxa"/>
            <w:tcBorders>
              <w:top w:val="nil"/>
              <w:left w:val="nil"/>
              <w:bottom w:val="nil"/>
              <w:right w:val="nil"/>
            </w:tcBorders>
            <w:tcMar>
              <w:top w:w="0" w:type="dxa"/>
              <w:left w:w="0" w:type="dxa"/>
              <w:bottom w:w="0" w:type="dxa"/>
              <w:right w:w="0" w:type="dxa"/>
            </w:tcMar>
            <w:vAlign w:val="bottom"/>
          </w:tcPr>
          <w:p w14:paraId="7503CE15" w14:textId="77777777" w:rsidR="001614AC" w:rsidRDefault="001614AC">
            <w:pPr>
              <w:keepNext/>
            </w:pPr>
          </w:p>
        </w:tc>
        <w:tc>
          <w:tcPr>
            <w:tcW w:w="90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2E05F4F0" w14:textId="77777777" w:rsidR="001614AC" w:rsidRDefault="004468F9">
            <w:pPr>
              <w:keepNext/>
              <w:spacing w:before="55" w:after="30" w:line="288" w:lineRule="auto"/>
              <w:jc w:val="right"/>
            </w:pPr>
            <w:r>
              <w:rPr>
                <w:rFonts w:ascii="Arial" w:eastAsia="Arial" w:hAnsi="Arial" w:cs="Arial"/>
                <w:color w:val="000000"/>
                <w:sz w:val="18"/>
              </w:rPr>
              <w:t>4.8 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35927806" w14:textId="77777777" w:rsidR="001614AC" w:rsidRDefault="004468F9">
            <w:pPr>
              <w:keepNext/>
              <w:spacing w:before="55" w:after="30" w:line="288" w:lineRule="auto"/>
              <w:jc w:val="right"/>
            </w:pPr>
            <w:r>
              <w:rPr>
                <w:rFonts w:ascii="Arial" w:eastAsia="Arial" w:hAnsi="Arial" w:cs="Arial"/>
                <w:color w:val="000000"/>
                <w:sz w:val="18"/>
              </w:rPr>
              <w:t>%</w:t>
            </w:r>
          </w:p>
        </w:tc>
        <w:tc>
          <w:tcPr>
            <w:tcW w:w="105" w:type="dxa"/>
            <w:tcBorders>
              <w:top w:val="nil"/>
              <w:left w:val="nil"/>
              <w:bottom w:val="nil"/>
              <w:right w:val="nil"/>
            </w:tcBorders>
            <w:tcMar>
              <w:top w:w="0" w:type="dxa"/>
              <w:left w:w="0" w:type="dxa"/>
              <w:bottom w:w="0" w:type="dxa"/>
              <w:right w:w="0" w:type="dxa"/>
            </w:tcMar>
            <w:vAlign w:val="bottom"/>
          </w:tcPr>
          <w:p w14:paraId="4F135A0B" w14:textId="77777777" w:rsidR="001614AC" w:rsidRDefault="001614AC">
            <w:pPr>
              <w:keepNext/>
            </w:pPr>
          </w:p>
        </w:tc>
        <w:tc>
          <w:tcPr>
            <w:tcW w:w="90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347225FF" w14:textId="77777777" w:rsidR="001614AC" w:rsidRDefault="004468F9">
            <w:pPr>
              <w:keepNext/>
              <w:spacing w:before="55" w:after="30" w:line="288" w:lineRule="auto"/>
              <w:jc w:val="right"/>
            </w:pPr>
            <w:r>
              <w:rPr>
                <w:rFonts w:ascii="Arial" w:eastAsia="Arial" w:hAnsi="Arial" w:cs="Arial"/>
                <w:color w:val="000000"/>
                <w:sz w:val="18"/>
              </w:rPr>
              <w:t>2.9 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1A2884DA" w14:textId="77777777" w:rsidR="001614AC" w:rsidRDefault="004468F9">
            <w:pPr>
              <w:keepNext/>
              <w:spacing w:before="55" w:after="30" w:line="288" w:lineRule="auto"/>
              <w:jc w:val="right"/>
            </w:pPr>
            <w:r>
              <w:rPr>
                <w:rFonts w:ascii="Arial" w:eastAsia="Arial" w:hAnsi="Arial" w:cs="Arial"/>
                <w:color w:val="000000"/>
                <w:sz w:val="18"/>
              </w:rPr>
              <w:t>%</w:t>
            </w:r>
          </w:p>
        </w:tc>
      </w:tr>
      <w:tr w:rsidR="001614AC" w14:paraId="7789296D" w14:textId="77777777">
        <w:trPr>
          <w:cantSplit/>
        </w:trPr>
        <w:tc>
          <w:tcPr>
            <w:tcW w:w="5640" w:type="dxa"/>
            <w:tcBorders>
              <w:top w:val="single" w:sz="8" w:space="0" w:color="E9E9E9"/>
              <w:left w:val="nil"/>
              <w:bottom w:val="single" w:sz="8" w:space="0" w:color="E9E9E9"/>
              <w:right w:val="nil"/>
            </w:tcBorders>
            <w:tcMar>
              <w:top w:w="0" w:type="dxa"/>
              <w:left w:w="0" w:type="dxa"/>
              <w:bottom w:w="0" w:type="dxa"/>
              <w:right w:w="0" w:type="dxa"/>
            </w:tcMar>
            <w:vAlign w:val="bottom"/>
          </w:tcPr>
          <w:p w14:paraId="259FE4BF" w14:textId="77777777" w:rsidR="001614AC" w:rsidRDefault="001614AC">
            <w:pPr>
              <w:keepNext/>
            </w:pPr>
          </w:p>
        </w:tc>
        <w:tc>
          <w:tcPr>
            <w:tcW w:w="105" w:type="dxa"/>
            <w:tcBorders>
              <w:top w:val="nil"/>
              <w:left w:val="nil"/>
              <w:bottom w:val="nil"/>
              <w:right w:val="nil"/>
            </w:tcBorders>
            <w:tcMar>
              <w:top w:w="0" w:type="dxa"/>
              <w:left w:w="0" w:type="dxa"/>
              <w:bottom w:w="0" w:type="dxa"/>
              <w:right w:w="0" w:type="dxa"/>
            </w:tcMar>
            <w:vAlign w:val="bottom"/>
          </w:tcPr>
          <w:p w14:paraId="02172C1D" w14:textId="77777777" w:rsidR="001614AC" w:rsidRDefault="001614AC">
            <w:pPr>
              <w:keepNext/>
            </w:pPr>
          </w:p>
        </w:tc>
        <w:tc>
          <w:tcPr>
            <w:tcW w:w="1005" w:type="dxa"/>
            <w:gridSpan w:val="3"/>
            <w:tcBorders>
              <w:top w:val="single" w:sz="8" w:space="0" w:color="E9E9E9"/>
              <w:left w:val="nil"/>
              <w:bottom w:val="single" w:sz="8" w:space="0" w:color="E9E9E9"/>
              <w:right w:val="nil"/>
            </w:tcBorders>
            <w:tcMar>
              <w:top w:w="0" w:type="dxa"/>
              <w:left w:w="0" w:type="dxa"/>
              <w:bottom w:w="0" w:type="dxa"/>
              <w:right w:w="0" w:type="dxa"/>
            </w:tcMar>
            <w:vAlign w:val="bottom"/>
          </w:tcPr>
          <w:p w14:paraId="4E03F4E7" w14:textId="77777777" w:rsidR="001614AC" w:rsidRDefault="001614AC">
            <w:pPr>
              <w:keepNext/>
            </w:pPr>
          </w:p>
        </w:tc>
        <w:tc>
          <w:tcPr>
            <w:tcW w:w="105" w:type="dxa"/>
            <w:tcBorders>
              <w:top w:val="nil"/>
              <w:left w:val="nil"/>
              <w:bottom w:val="nil"/>
              <w:right w:val="nil"/>
            </w:tcBorders>
            <w:tcMar>
              <w:top w:w="0" w:type="dxa"/>
              <w:left w:w="0" w:type="dxa"/>
              <w:bottom w:w="0" w:type="dxa"/>
              <w:right w:w="0" w:type="dxa"/>
            </w:tcMar>
            <w:vAlign w:val="bottom"/>
          </w:tcPr>
          <w:p w14:paraId="08D72DBF" w14:textId="77777777" w:rsidR="001614AC" w:rsidRDefault="001614AC">
            <w:pPr>
              <w:keepNext/>
            </w:pPr>
          </w:p>
        </w:tc>
        <w:tc>
          <w:tcPr>
            <w:tcW w:w="1005" w:type="dxa"/>
            <w:gridSpan w:val="3"/>
            <w:tcBorders>
              <w:top w:val="single" w:sz="8" w:space="0" w:color="E9E9E9"/>
              <w:left w:val="nil"/>
              <w:bottom w:val="single" w:sz="8" w:space="0" w:color="E9E9E9"/>
              <w:right w:val="nil"/>
            </w:tcBorders>
            <w:tcMar>
              <w:top w:w="0" w:type="dxa"/>
              <w:left w:w="0" w:type="dxa"/>
              <w:bottom w:w="0" w:type="dxa"/>
              <w:right w:w="0" w:type="dxa"/>
            </w:tcMar>
            <w:vAlign w:val="bottom"/>
          </w:tcPr>
          <w:p w14:paraId="4202AB1D" w14:textId="77777777" w:rsidR="001614AC" w:rsidRDefault="001614AC">
            <w:pPr>
              <w:keepNext/>
            </w:pPr>
          </w:p>
        </w:tc>
        <w:tc>
          <w:tcPr>
            <w:tcW w:w="105" w:type="dxa"/>
            <w:tcBorders>
              <w:top w:val="nil"/>
              <w:left w:val="nil"/>
              <w:bottom w:val="nil"/>
              <w:right w:val="nil"/>
            </w:tcBorders>
            <w:tcMar>
              <w:top w:w="0" w:type="dxa"/>
              <w:left w:w="0" w:type="dxa"/>
              <w:bottom w:w="0" w:type="dxa"/>
              <w:right w:w="0" w:type="dxa"/>
            </w:tcMar>
            <w:vAlign w:val="bottom"/>
          </w:tcPr>
          <w:p w14:paraId="7B6B503F" w14:textId="77777777" w:rsidR="001614AC" w:rsidRDefault="001614AC">
            <w:pPr>
              <w:keepNext/>
            </w:pPr>
          </w:p>
        </w:tc>
        <w:tc>
          <w:tcPr>
            <w:tcW w:w="1005" w:type="dxa"/>
            <w:gridSpan w:val="3"/>
            <w:tcBorders>
              <w:top w:val="single" w:sz="8" w:space="0" w:color="E9E9E9"/>
              <w:left w:val="nil"/>
              <w:bottom w:val="single" w:sz="8" w:space="0" w:color="E9E9E9"/>
              <w:right w:val="nil"/>
            </w:tcBorders>
            <w:tcMar>
              <w:top w:w="0" w:type="dxa"/>
              <w:left w:w="0" w:type="dxa"/>
              <w:bottom w:w="0" w:type="dxa"/>
              <w:right w:w="0" w:type="dxa"/>
            </w:tcMar>
            <w:vAlign w:val="bottom"/>
          </w:tcPr>
          <w:p w14:paraId="5EF2837C" w14:textId="77777777" w:rsidR="001614AC" w:rsidRDefault="001614AC">
            <w:pPr>
              <w:keepNext/>
            </w:pPr>
          </w:p>
        </w:tc>
        <w:tc>
          <w:tcPr>
            <w:tcW w:w="105" w:type="dxa"/>
            <w:tcBorders>
              <w:top w:val="nil"/>
              <w:left w:val="nil"/>
              <w:bottom w:val="nil"/>
              <w:right w:val="nil"/>
            </w:tcBorders>
            <w:tcMar>
              <w:top w:w="0" w:type="dxa"/>
              <w:left w:w="0" w:type="dxa"/>
              <w:bottom w:w="0" w:type="dxa"/>
              <w:right w:w="0" w:type="dxa"/>
            </w:tcMar>
            <w:vAlign w:val="bottom"/>
          </w:tcPr>
          <w:p w14:paraId="18AB1CF7" w14:textId="77777777" w:rsidR="001614AC" w:rsidRDefault="001614AC">
            <w:pPr>
              <w:keepNext/>
            </w:pPr>
          </w:p>
        </w:tc>
        <w:tc>
          <w:tcPr>
            <w:tcW w:w="1005" w:type="dxa"/>
            <w:gridSpan w:val="3"/>
            <w:tcBorders>
              <w:top w:val="single" w:sz="8" w:space="0" w:color="E9E9E9"/>
              <w:left w:val="nil"/>
              <w:bottom w:val="single" w:sz="8" w:space="0" w:color="E9E9E9"/>
              <w:right w:val="nil"/>
            </w:tcBorders>
            <w:tcMar>
              <w:top w:w="0" w:type="dxa"/>
              <w:left w:w="0" w:type="dxa"/>
              <w:bottom w:w="0" w:type="dxa"/>
              <w:right w:w="0" w:type="dxa"/>
            </w:tcMar>
            <w:vAlign w:val="bottom"/>
          </w:tcPr>
          <w:p w14:paraId="7782FF4D" w14:textId="77777777" w:rsidR="001614AC" w:rsidRDefault="001614AC">
            <w:pPr>
              <w:keepNext/>
            </w:pPr>
          </w:p>
        </w:tc>
      </w:tr>
      <w:tr w:rsidR="001614AC" w14:paraId="72D843C9" w14:textId="77777777">
        <w:trPr>
          <w:cantSplit/>
        </w:trPr>
        <w:tc>
          <w:tcPr>
            <w:tcW w:w="5640" w:type="dxa"/>
            <w:tcBorders>
              <w:top w:val="single" w:sz="8" w:space="0" w:color="E9E9E9"/>
              <w:left w:val="nil"/>
              <w:bottom w:val="single" w:sz="8" w:space="0" w:color="E9E9E9"/>
              <w:right w:val="nil"/>
            </w:tcBorders>
            <w:tcMar>
              <w:top w:w="0" w:type="dxa"/>
              <w:left w:w="53" w:type="dxa"/>
              <w:bottom w:w="0" w:type="dxa"/>
              <w:right w:w="53" w:type="dxa"/>
            </w:tcMar>
            <w:vAlign w:val="bottom"/>
          </w:tcPr>
          <w:p w14:paraId="64072F8F" w14:textId="77777777" w:rsidR="001614AC" w:rsidRDefault="004468F9">
            <w:pPr>
              <w:keepNext/>
              <w:spacing w:before="55" w:after="30" w:line="288" w:lineRule="auto"/>
            </w:pPr>
            <w:r>
              <w:rPr>
                <w:rFonts w:ascii="Arial" w:eastAsia="Arial" w:hAnsi="Arial" w:cs="Arial"/>
                <w:color w:val="000000"/>
                <w:sz w:val="18"/>
              </w:rPr>
              <w:t xml:space="preserve">NIW by </w:t>
            </w:r>
            <w:r>
              <w:rPr>
                <w:rFonts w:ascii="Arial" w:eastAsia="Arial" w:hAnsi="Arial" w:cs="Arial"/>
                <w:color w:val="000000"/>
                <w:sz w:val="18"/>
              </w:rPr>
              <w:t>LTV</w:t>
            </w:r>
          </w:p>
        </w:tc>
        <w:tc>
          <w:tcPr>
            <w:tcW w:w="105" w:type="dxa"/>
            <w:tcBorders>
              <w:top w:val="nil"/>
              <w:left w:val="nil"/>
              <w:bottom w:val="nil"/>
              <w:right w:val="nil"/>
            </w:tcBorders>
            <w:tcMar>
              <w:top w:w="0" w:type="dxa"/>
              <w:left w:w="0" w:type="dxa"/>
              <w:bottom w:w="0" w:type="dxa"/>
              <w:right w:w="0" w:type="dxa"/>
            </w:tcMar>
            <w:vAlign w:val="bottom"/>
          </w:tcPr>
          <w:p w14:paraId="02B86F9F" w14:textId="77777777" w:rsidR="001614AC" w:rsidRDefault="001614AC">
            <w:pPr>
              <w:keepNext/>
            </w:pPr>
          </w:p>
        </w:tc>
        <w:tc>
          <w:tcPr>
            <w:tcW w:w="1005" w:type="dxa"/>
            <w:gridSpan w:val="3"/>
            <w:tcBorders>
              <w:top w:val="single" w:sz="8" w:space="0" w:color="E9E9E9"/>
              <w:left w:val="nil"/>
              <w:bottom w:val="single" w:sz="8" w:space="0" w:color="E9E9E9"/>
              <w:right w:val="nil"/>
            </w:tcBorders>
            <w:tcMar>
              <w:top w:w="0" w:type="dxa"/>
              <w:left w:w="0" w:type="dxa"/>
              <w:bottom w:w="0" w:type="dxa"/>
              <w:right w:w="0" w:type="dxa"/>
            </w:tcMar>
            <w:vAlign w:val="bottom"/>
          </w:tcPr>
          <w:p w14:paraId="789EE519" w14:textId="77777777" w:rsidR="001614AC" w:rsidRDefault="001614AC">
            <w:pPr>
              <w:keepNext/>
            </w:pPr>
          </w:p>
        </w:tc>
        <w:tc>
          <w:tcPr>
            <w:tcW w:w="105" w:type="dxa"/>
            <w:tcBorders>
              <w:top w:val="nil"/>
              <w:left w:val="nil"/>
              <w:bottom w:val="nil"/>
              <w:right w:val="nil"/>
            </w:tcBorders>
            <w:tcMar>
              <w:top w:w="0" w:type="dxa"/>
              <w:left w:w="0" w:type="dxa"/>
              <w:bottom w:w="0" w:type="dxa"/>
              <w:right w:w="0" w:type="dxa"/>
            </w:tcMar>
            <w:vAlign w:val="bottom"/>
          </w:tcPr>
          <w:p w14:paraId="02C7F516" w14:textId="77777777" w:rsidR="001614AC" w:rsidRDefault="001614AC">
            <w:pPr>
              <w:keepNext/>
            </w:pPr>
          </w:p>
        </w:tc>
        <w:tc>
          <w:tcPr>
            <w:tcW w:w="1005" w:type="dxa"/>
            <w:gridSpan w:val="3"/>
            <w:tcBorders>
              <w:top w:val="single" w:sz="8" w:space="0" w:color="E9E9E9"/>
              <w:left w:val="nil"/>
              <w:bottom w:val="single" w:sz="8" w:space="0" w:color="E9E9E9"/>
              <w:right w:val="nil"/>
            </w:tcBorders>
            <w:tcMar>
              <w:top w:w="0" w:type="dxa"/>
              <w:left w:w="0" w:type="dxa"/>
              <w:bottom w:w="0" w:type="dxa"/>
              <w:right w:w="0" w:type="dxa"/>
            </w:tcMar>
            <w:vAlign w:val="bottom"/>
          </w:tcPr>
          <w:p w14:paraId="4C1200EB" w14:textId="77777777" w:rsidR="001614AC" w:rsidRDefault="001614AC">
            <w:pPr>
              <w:keepNext/>
            </w:pPr>
          </w:p>
        </w:tc>
        <w:tc>
          <w:tcPr>
            <w:tcW w:w="105" w:type="dxa"/>
            <w:tcBorders>
              <w:top w:val="nil"/>
              <w:left w:val="nil"/>
              <w:bottom w:val="nil"/>
              <w:right w:val="nil"/>
            </w:tcBorders>
            <w:tcMar>
              <w:top w:w="0" w:type="dxa"/>
              <w:left w:w="0" w:type="dxa"/>
              <w:bottom w:w="0" w:type="dxa"/>
              <w:right w:w="0" w:type="dxa"/>
            </w:tcMar>
            <w:vAlign w:val="bottom"/>
          </w:tcPr>
          <w:p w14:paraId="69BA0C7D" w14:textId="77777777" w:rsidR="001614AC" w:rsidRDefault="001614AC">
            <w:pPr>
              <w:keepNext/>
            </w:pPr>
          </w:p>
        </w:tc>
        <w:tc>
          <w:tcPr>
            <w:tcW w:w="1005" w:type="dxa"/>
            <w:gridSpan w:val="3"/>
            <w:tcBorders>
              <w:top w:val="single" w:sz="8" w:space="0" w:color="E9E9E9"/>
              <w:left w:val="nil"/>
              <w:bottom w:val="single" w:sz="8" w:space="0" w:color="E9E9E9"/>
              <w:right w:val="nil"/>
            </w:tcBorders>
            <w:tcMar>
              <w:top w:w="0" w:type="dxa"/>
              <w:left w:w="0" w:type="dxa"/>
              <w:bottom w:w="0" w:type="dxa"/>
              <w:right w:w="0" w:type="dxa"/>
            </w:tcMar>
            <w:vAlign w:val="bottom"/>
          </w:tcPr>
          <w:p w14:paraId="217E1571" w14:textId="77777777" w:rsidR="001614AC" w:rsidRDefault="001614AC">
            <w:pPr>
              <w:keepNext/>
            </w:pPr>
          </w:p>
        </w:tc>
        <w:tc>
          <w:tcPr>
            <w:tcW w:w="105" w:type="dxa"/>
            <w:tcBorders>
              <w:top w:val="nil"/>
              <w:left w:val="nil"/>
              <w:bottom w:val="nil"/>
              <w:right w:val="nil"/>
            </w:tcBorders>
            <w:tcMar>
              <w:top w:w="0" w:type="dxa"/>
              <w:left w:w="0" w:type="dxa"/>
              <w:bottom w:w="0" w:type="dxa"/>
              <w:right w:w="0" w:type="dxa"/>
            </w:tcMar>
            <w:vAlign w:val="bottom"/>
          </w:tcPr>
          <w:p w14:paraId="7D095774" w14:textId="77777777" w:rsidR="001614AC" w:rsidRDefault="001614AC">
            <w:pPr>
              <w:keepNext/>
            </w:pPr>
          </w:p>
        </w:tc>
        <w:tc>
          <w:tcPr>
            <w:tcW w:w="1005" w:type="dxa"/>
            <w:gridSpan w:val="3"/>
            <w:tcBorders>
              <w:top w:val="single" w:sz="8" w:space="0" w:color="E9E9E9"/>
              <w:left w:val="nil"/>
              <w:bottom w:val="single" w:sz="8" w:space="0" w:color="E9E9E9"/>
              <w:right w:val="nil"/>
            </w:tcBorders>
            <w:tcMar>
              <w:top w:w="0" w:type="dxa"/>
              <w:left w:w="0" w:type="dxa"/>
              <w:bottom w:w="0" w:type="dxa"/>
              <w:right w:w="0" w:type="dxa"/>
            </w:tcMar>
            <w:vAlign w:val="bottom"/>
          </w:tcPr>
          <w:p w14:paraId="6A6D0150" w14:textId="77777777" w:rsidR="001614AC" w:rsidRDefault="001614AC">
            <w:pPr>
              <w:keepNext/>
            </w:pPr>
          </w:p>
        </w:tc>
      </w:tr>
      <w:tr w:rsidR="001614AC" w14:paraId="23BACD47" w14:textId="77777777">
        <w:trPr>
          <w:cantSplit/>
        </w:trPr>
        <w:tc>
          <w:tcPr>
            <w:tcW w:w="5640" w:type="dxa"/>
            <w:tcBorders>
              <w:top w:val="single" w:sz="8" w:space="0" w:color="E9E9E9"/>
              <w:left w:val="nil"/>
              <w:bottom w:val="single" w:sz="8" w:space="0" w:color="E9E9E9"/>
              <w:right w:val="nil"/>
            </w:tcBorders>
            <w:tcMar>
              <w:top w:w="0" w:type="dxa"/>
              <w:left w:w="53" w:type="dxa"/>
              <w:bottom w:w="0" w:type="dxa"/>
              <w:right w:w="53" w:type="dxa"/>
            </w:tcMar>
            <w:vAlign w:val="bottom"/>
          </w:tcPr>
          <w:p w14:paraId="6DAD5B2C" w14:textId="77777777" w:rsidR="001614AC" w:rsidRDefault="004468F9">
            <w:pPr>
              <w:keepNext/>
              <w:spacing w:before="55" w:after="30" w:line="288" w:lineRule="auto"/>
              <w:ind w:left="240"/>
            </w:pPr>
            <w:r>
              <w:rPr>
                <w:rFonts w:ascii="Arial" w:eastAsia="Arial" w:hAnsi="Arial" w:cs="Arial"/>
                <w:color w:val="000000"/>
                <w:sz w:val="18"/>
              </w:rPr>
              <w:t>95.01% and above</w:t>
            </w:r>
          </w:p>
        </w:tc>
        <w:tc>
          <w:tcPr>
            <w:tcW w:w="105" w:type="dxa"/>
            <w:tcBorders>
              <w:top w:val="nil"/>
              <w:left w:val="nil"/>
              <w:bottom w:val="nil"/>
              <w:right w:val="nil"/>
            </w:tcBorders>
            <w:tcMar>
              <w:top w:w="0" w:type="dxa"/>
              <w:left w:w="0" w:type="dxa"/>
              <w:bottom w:w="0" w:type="dxa"/>
              <w:right w:w="0" w:type="dxa"/>
            </w:tcMar>
            <w:vAlign w:val="bottom"/>
          </w:tcPr>
          <w:p w14:paraId="2E8F8937" w14:textId="77777777" w:rsidR="001614AC" w:rsidRDefault="001614AC">
            <w:pPr>
              <w:keepNext/>
            </w:pPr>
          </w:p>
        </w:tc>
        <w:tc>
          <w:tcPr>
            <w:tcW w:w="90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538FE1EA" w14:textId="77777777" w:rsidR="001614AC" w:rsidRDefault="004468F9">
            <w:pPr>
              <w:keepNext/>
              <w:spacing w:before="55" w:after="30" w:line="288" w:lineRule="auto"/>
              <w:jc w:val="right"/>
            </w:pPr>
            <w:r>
              <w:rPr>
                <w:rFonts w:ascii="Arial" w:eastAsia="Arial" w:hAnsi="Arial" w:cs="Arial"/>
                <w:color w:val="000000"/>
                <w:sz w:val="18"/>
              </w:rPr>
              <w:t>10.9 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51DAAD2A" w14:textId="77777777" w:rsidR="001614AC" w:rsidRDefault="004468F9">
            <w:pPr>
              <w:keepNext/>
              <w:spacing w:before="55" w:after="30" w:line="288" w:lineRule="auto"/>
              <w:jc w:val="right"/>
            </w:pPr>
            <w:r>
              <w:rPr>
                <w:rFonts w:ascii="Arial" w:eastAsia="Arial" w:hAnsi="Arial" w:cs="Arial"/>
                <w:color w:val="000000"/>
                <w:sz w:val="18"/>
              </w:rPr>
              <w:t>%</w:t>
            </w:r>
          </w:p>
        </w:tc>
        <w:tc>
          <w:tcPr>
            <w:tcW w:w="105" w:type="dxa"/>
            <w:tcBorders>
              <w:top w:val="nil"/>
              <w:left w:val="nil"/>
              <w:bottom w:val="nil"/>
              <w:right w:val="nil"/>
            </w:tcBorders>
            <w:tcMar>
              <w:top w:w="0" w:type="dxa"/>
              <w:left w:w="0" w:type="dxa"/>
              <w:bottom w:w="0" w:type="dxa"/>
              <w:right w:w="0" w:type="dxa"/>
            </w:tcMar>
            <w:vAlign w:val="bottom"/>
          </w:tcPr>
          <w:p w14:paraId="4D321852" w14:textId="77777777" w:rsidR="001614AC" w:rsidRDefault="001614AC">
            <w:pPr>
              <w:keepNext/>
            </w:pPr>
          </w:p>
        </w:tc>
        <w:tc>
          <w:tcPr>
            <w:tcW w:w="90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15DBE97E" w14:textId="77777777" w:rsidR="001614AC" w:rsidRDefault="004468F9">
            <w:pPr>
              <w:keepNext/>
              <w:spacing w:before="55" w:after="30" w:line="288" w:lineRule="auto"/>
              <w:jc w:val="right"/>
            </w:pPr>
            <w:r>
              <w:rPr>
                <w:rFonts w:ascii="Arial" w:eastAsia="Arial" w:hAnsi="Arial" w:cs="Arial"/>
                <w:color w:val="000000"/>
                <w:sz w:val="18"/>
              </w:rPr>
              <w:t>8.3 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3099493C" w14:textId="77777777" w:rsidR="001614AC" w:rsidRDefault="004468F9">
            <w:pPr>
              <w:keepNext/>
              <w:spacing w:before="55" w:after="30" w:line="288" w:lineRule="auto"/>
              <w:jc w:val="right"/>
            </w:pPr>
            <w:r>
              <w:rPr>
                <w:rFonts w:ascii="Arial" w:eastAsia="Arial" w:hAnsi="Arial" w:cs="Arial"/>
                <w:color w:val="000000"/>
                <w:sz w:val="18"/>
              </w:rPr>
              <w:t>%</w:t>
            </w:r>
          </w:p>
        </w:tc>
        <w:tc>
          <w:tcPr>
            <w:tcW w:w="105" w:type="dxa"/>
            <w:tcBorders>
              <w:top w:val="nil"/>
              <w:left w:val="nil"/>
              <w:bottom w:val="nil"/>
              <w:right w:val="nil"/>
            </w:tcBorders>
            <w:tcMar>
              <w:top w:w="0" w:type="dxa"/>
              <w:left w:w="0" w:type="dxa"/>
              <w:bottom w:w="0" w:type="dxa"/>
              <w:right w:w="0" w:type="dxa"/>
            </w:tcMar>
            <w:vAlign w:val="bottom"/>
          </w:tcPr>
          <w:p w14:paraId="039B6110" w14:textId="77777777" w:rsidR="001614AC" w:rsidRDefault="001614AC">
            <w:pPr>
              <w:keepNext/>
            </w:pPr>
          </w:p>
        </w:tc>
        <w:tc>
          <w:tcPr>
            <w:tcW w:w="90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7AE74341" w14:textId="77777777" w:rsidR="001614AC" w:rsidRDefault="004468F9">
            <w:pPr>
              <w:keepNext/>
              <w:spacing w:before="55" w:after="30" w:line="288" w:lineRule="auto"/>
              <w:jc w:val="right"/>
            </w:pPr>
            <w:r>
              <w:rPr>
                <w:rFonts w:ascii="Arial" w:eastAsia="Arial" w:hAnsi="Arial" w:cs="Arial"/>
                <w:color w:val="000000"/>
                <w:sz w:val="18"/>
              </w:rPr>
              <w:t>9.5 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150C0768" w14:textId="77777777" w:rsidR="001614AC" w:rsidRDefault="004468F9">
            <w:pPr>
              <w:keepNext/>
              <w:spacing w:before="55" w:after="30" w:line="288" w:lineRule="auto"/>
              <w:jc w:val="right"/>
            </w:pPr>
            <w:r>
              <w:rPr>
                <w:rFonts w:ascii="Arial" w:eastAsia="Arial" w:hAnsi="Arial" w:cs="Arial"/>
                <w:color w:val="000000"/>
                <w:sz w:val="18"/>
              </w:rPr>
              <w:t>%</w:t>
            </w:r>
          </w:p>
        </w:tc>
        <w:tc>
          <w:tcPr>
            <w:tcW w:w="105" w:type="dxa"/>
            <w:tcBorders>
              <w:top w:val="nil"/>
              <w:left w:val="nil"/>
              <w:bottom w:val="nil"/>
              <w:right w:val="nil"/>
            </w:tcBorders>
            <w:tcMar>
              <w:top w:w="0" w:type="dxa"/>
              <w:left w:w="0" w:type="dxa"/>
              <w:bottom w:w="0" w:type="dxa"/>
              <w:right w:w="0" w:type="dxa"/>
            </w:tcMar>
            <w:vAlign w:val="bottom"/>
          </w:tcPr>
          <w:p w14:paraId="0984DEC0" w14:textId="77777777" w:rsidR="001614AC" w:rsidRDefault="001614AC">
            <w:pPr>
              <w:keepNext/>
            </w:pPr>
          </w:p>
        </w:tc>
        <w:tc>
          <w:tcPr>
            <w:tcW w:w="90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4962278B" w14:textId="77777777" w:rsidR="001614AC" w:rsidRDefault="004468F9">
            <w:pPr>
              <w:keepNext/>
              <w:spacing w:before="55" w:after="30" w:line="288" w:lineRule="auto"/>
              <w:jc w:val="right"/>
            </w:pPr>
            <w:r>
              <w:rPr>
                <w:rFonts w:ascii="Arial" w:eastAsia="Arial" w:hAnsi="Arial" w:cs="Arial"/>
                <w:color w:val="000000"/>
                <w:sz w:val="18"/>
              </w:rPr>
              <w:t>8.9 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5593D763" w14:textId="77777777" w:rsidR="001614AC" w:rsidRDefault="004468F9">
            <w:pPr>
              <w:keepNext/>
              <w:spacing w:before="55" w:after="30" w:line="288" w:lineRule="auto"/>
              <w:jc w:val="right"/>
            </w:pPr>
            <w:r>
              <w:rPr>
                <w:rFonts w:ascii="Arial" w:eastAsia="Arial" w:hAnsi="Arial" w:cs="Arial"/>
                <w:color w:val="000000"/>
                <w:sz w:val="18"/>
              </w:rPr>
              <w:t>%</w:t>
            </w:r>
          </w:p>
        </w:tc>
      </w:tr>
      <w:tr w:rsidR="001614AC" w14:paraId="36607B7B" w14:textId="77777777">
        <w:trPr>
          <w:cantSplit/>
        </w:trPr>
        <w:tc>
          <w:tcPr>
            <w:tcW w:w="5640" w:type="dxa"/>
            <w:tcBorders>
              <w:top w:val="single" w:sz="8" w:space="0" w:color="E9E9E9"/>
              <w:left w:val="nil"/>
              <w:bottom w:val="single" w:sz="8" w:space="0" w:color="E9E9E9"/>
              <w:right w:val="nil"/>
            </w:tcBorders>
            <w:tcMar>
              <w:top w:w="0" w:type="dxa"/>
              <w:left w:w="53" w:type="dxa"/>
              <w:bottom w:w="0" w:type="dxa"/>
              <w:right w:w="53" w:type="dxa"/>
            </w:tcMar>
            <w:vAlign w:val="bottom"/>
          </w:tcPr>
          <w:p w14:paraId="5061EE3D" w14:textId="77777777" w:rsidR="001614AC" w:rsidRDefault="004468F9">
            <w:pPr>
              <w:keepNext/>
              <w:spacing w:before="55" w:after="30" w:line="288" w:lineRule="auto"/>
              <w:ind w:left="240"/>
            </w:pPr>
            <w:r>
              <w:rPr>
                <w:rFonts w:ascii="Arial" w:eastAsia="Arial" w:hAnsi="Arial" w:cs="Arial"/>
                <w:color w:val="000000"/>
                <w:sz w:val="18"/>
              </w:rPr>
              <w:t>90.01% to 95.00%</w:t>
            </w:r>
          </w:p>
        </w:tc>
        <w:tc>
          <w:tcPr>
            <w:tcW w:w="105" w:type="dxa"/>
            <w:tcBorders>
              <w:top w:val="nil"/>
              <w:left w:val="nil"/>
              <w:bottom w:val="nil"/>
              <w:right w:val="nil"/>
            </w:tcBorders>
            <w:tcMar>
              <w:top w:w="0" w:type="dxa"/>
              <w:left w:w="0" w:type="dxa"/>
              <w:bottom w:w="0" w:type="dxa"/>
              <w:right w:w="0" w:type="dxa"/>
            </w:tcMar>
            <w:vAlign w:val="bottom"/>
          </w:tcPr>
          <w:p w14:paraId="57FD8502" w14:textId="77777777" w:rsidR="001614AC" w:rsidRDefault="001614AC">
            <w:pPr>
              <w:keepNext/>
            </w:pPr>
          </w:p>
        </w:tc>
        <w:tc>
          <w:tcPr>
            <w:tcW w:w="90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33E47851" w14:textId="77777777" w:rsidR="001614AC" w:rsidRDefault="004468F9">
            <w:pPr>
              <w:keepNext/>
              <w:spacing w:before="55" w:after="30" w:line="288" w:lineRule="auto"/>
              <w:jc w:val="right"/>
            </w:pPr>
            <w:r>
              <w:rPr>
                <w:rFonts w:ascii="Arial" w:eastAsia="Arial" w:hAnsi="Arial" w:cs="Arial"/>
                <w:color w:val="000000"/>
                <w:sz w:val="18"/>
              </w:rPr>
              <w:t>40.4 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5EE8860E" w14:textId="77777777" w:rsidR="001614AC" w:rsidRDefault="004468F9">
            <w:pPr>
              <w:keepNext/>
              <w:spacing w:before="55" w:after="30" w:line="288" w:lineRule="auto"/>
              <w:jc w:val="right"/>
            </w:pPr>
            <w:r>
              <w:rPr>
                <w:rFonts w:ascii="Arial" w:eastAsia="Arial" w:hAnsi="Arial" w:cs="Arial"/>
                <w:color w:val="000000"/>
                <w:sz w:val="18"/>
              </w:rPr>
              <w:t>%</w:t>
            </w:r>
          </w:p>
        </w:tc>
        <w:tc>
          <w:tcPr>
            <w:tcW w:w="105" w:type="dxa"/>
            <w:tcBorders>
              <w:top w:val="nil"/>
              <w:left w:val="nil"/>
              <w:bottom w:val="nil"/>
              <w:right w:val="nil"/>
            </w:tcBorders>
            <w:tcMar>
              <w:top w:w="0" w:type="dxa"/>
              <w:left w:w="0" w:type="dxa"/>
              <w:bottom w:w="0" w:type="dxa"/>
              <w:right w:w="0" w:type="dxa"/>
            </w:tcMar>
            <w:vAlign w:val="bottom"/>
          </w:tcPr>
          <w:p w14:paraId="196B9DA1" w14:textId="77777777" w:rsidR="001614AC" w:rsidRDefault="001614AC">
            <w:pPr>
              <w:keepNext/>
            </w:pPr>
          </w:p>
        </w:tc>
        <w:tc>
          <w:tcPr>
            <w:tcW w:w="90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508AFB76" w14:textId="77777777" w:rsidR="001614AC" w:rsidRDefault="004468F9">
            <w:pPr>
              <w:keepNext/>
              <w:spacing w:before="55" w:after="30" w:line="288" w:lineRule="auto"/>
              <w:jc w:val="right"/>
            </w:pPr>
            <w:r>
              <w:rPr>
                <w:rFonts w:ascii="Arial" w:eastAsia="Arial" w:hAnsi="Arial" w:cs="Arial"/>
                <w:color w:val="000000"/>
                <w:sz w:val="18"/>
              </w:rPr>
              <w:t>36.4 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7EDDACC3" w14:textId="77777777" w:rsidR="001614AC" w:rsidRDefault="004468F9">
            <w:pPr>
              <w:keepNext/>
              <w:spacing w:before="55" w:after="30" w:line="288" w:lineRule="auto"/>
              <w:jc w:val="right"/>
            </w:pPr>
            <w:r>
              <w:rPr>
                <w:rFonts w:ascii="Arial" w:eastAsia="Arial" w:hAnsi="Arial" w:cs="Arial"/>
                <w:color w:val="000000"/>
                <w:sz w:val="18"/>
              </w:rPr>
              <w:t>%</w:t>
            </w:r>
          </w:p>
        </w:tc>
        <w:tc>
          <w:tcPr>
            <w:tcW w:w="105" w:type="dxa"/>
            <w:tcBorders>
              <w:top w:val="nil"/>
              <w:left w:val="nil"/>
              <w:bottom w:val="nil"/>
              <w:right w:val="nil"/>
            </w:tcBorders>
            <w:tcMar>
              <w:top w:w="0" w:type="dxa"/>
              <w:left w:w="0" w:type="dxa"/>
              <w:bottom w:w="0" w:type="dxa"/>
              <w:right w:w="0" w:type="dxa"/>
            </w:tcMar>
            <w:vAlign w:val="bottom"/>
          </w:tcPr>
          <w:p w14:paraId="1939BF4F" w14:textId="77777777" w:rsidR="001614AC" w:rsidRDefault="001614AC">
            <w:pPr>
              <w:keepNext/>
            </w:pPr>
          </w:p>
        </w:tc>
        <w:tc>
          <w:tcPr>
            <w:tcW w:w="90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576D06F3" w14:textId="77777777" w:rsidR="001614AC" w:rsidRDefault="004468F9">
            <w:pPr>
              <w:keepNext/>
              <w:spacing w:before="55" w:after="30" w:line="288" w:lineRule="auto"/>
              <w:jc w:val="right"/>
            </w:pPr>
            <w:r>
              <w:rPr>
                <w:rFonts w:ascii="Arial" w:eastAsia="Arial" w:hAnsi="Arial" w:cs="Arial"/>
                <w:color w:val="000000"/>
                <w:sz w:val="18"/>
              </w:rPr>
              <w:t>36.2 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0CB07C89" w14:textId="77777777" w:rsidR="001614AC" w:rsidRDefault="004468F9">
            <w:pPr>
              <w:keepNext/>
              <w:spacing w:before="55" w:after="30" w:line="288" w:lineRule="auto"/>
              <w:jc w:val="right"/>
            </w:pPr>
            <w:r>
              <w:rPr>
                <w:rFonts w:ascii="Arial" w:eastAsia="Arial" w:hAnsi="Arial" w:cs="Arial"/>
                <w:color w:val="000000"/>
                <w:sz w:val="18"/>
              </w:rPr>
              <w:t>%</w:t>
            </w:r>
          </w:p>
        </w:tc>
        <w:tc>
          <w:tcPr>
            <w:tcW w:w="105" w:type="dxa"/>
            <w:tcBorders>
              <w:top w:val="nil"/>
              <w:left w:val="nil"/>
              <w:bottom w:val="nil"/>
              <w:right w:val="nil"/>
            </w:tcBorders>
            <w:tcMar>
              <w:top w:w="0" w:type="dxa"/>
              <w:left w:w="0" w:type="dxa"/>
              <w:bottom w:w="0" w:type="dxa"/>
              <w:right w:w="0" w:type="dxa"/>
            </w:tcMar>
            <w:vAlign w:val="bottom"/>
          </w:tcPr>
          <w:p w14:paraId="69A64897" w14:textId="77777777" w:rsidR="001614AC" w:rsidRDefault="001614AC">
            <w:pPr>
              <w:keepNext/>
            </w:pPr>
          </w:p>
        </w:tc>
        <w:tc>
          <w:tcPr>
            <w:tcW w:w="90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2B3BCB3B" w14:textId="77777777" w:rsidR="001614AC" w:rsidRDefault="004468F9">
            <w:pPr>
              <w:keepNext/>
              <w:spacing w:before="55" w:after="30" w:line="288" w:lineRule="auto"/>
              <w:jc w:val="right"/>
            </w:pPr>
            <w:r>
              <w:rPr>
                <w:rFonts w:ascii="Arial" w:eastAsia="Arial" w:hAnsi="Arial" w:cs="Arial"/>
                <w:color w:val="000000"/>
                <w:sz w:val="18"/>
              </w:rPr>
              <w:t>36.9 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2FF0725F" w14:textId="77777777" w:rsidR="001614AC" w:rsidRDefault="004468F9">
            <w:pPr>
              <w:keepNext/>
              <w:spacing w:before="55" w:after="30" w:line="288" w:lineRule="auto"/>
              <w:jc w:val="right"/>
            </w:pPr>
            <w:r>
              <w:rPr>
                <w:rFonts w:ascii="Arial" w:eastAsia="Arial" w:hAnsi="Arial" w:cs="Arial"/>
                <w:color w:val="000000"/>
                <w:sz w:val="18"/>
              </w:rPr>
              <w:t>%</w:t>
            </w:r>
          </w:p>
        </w:tc>
      </w:tr>
      <w:tr w:rsidR="001614AC" w14:paraId="546F5632" w14:textId="77777777">
        <w:trPr>
          <w:cantSplit/>
        </w:trPr>
        <w:tc>
          <w:tcPr>
            <w:tcW w:w="5640" w:type="dxa"/>
            <w:tcBorders>
              <w:top w:val="single" w:sz="8" w:space="0" w:color="E9E9E9"/>
              <w:left w:val="nil"/>
              <w:bottom w:val="single" w:sz="8" w:space="0" w:color="E9E9E9"/>
              <w:right w:val="nil"/>
            </w:tcBorders>
            <w:tcMar>
              <w:top w:w="0" w:type="dxa"/>
              <w:left w:w="53" w:type="dxa"/>
              <w:bottom w:w="0" w:type="dxa"/>
              <w:right w:w="53" w:type="dxa"/>
            </w:tcMar>
            <w:vAlign w:val="bottom"/>
          </w:tcPr>
          <w:p w14:paraId="2E6DF6C6" w14:textId="77777777" w:rsidR="001614AC" w:rsidRDefault="004468F9">
            <w:pPr>
              <w:keepNext/>
              <w:spacing w:before="55" w:after="30" w:line="288" w:lineRule="auto"/>
              <w:ind w:left="240"/>
            </w:pPr>
            <w:r>
              <w:rPr>
                <w:rFonts w:ascii="Arial" w:eastAsia="Arial" w:hAnsi="Arial" w:cs="Arial"/>
                <w:color w:val="000000"/>
                <w:sz w:val="18"/>
              </w:rPr>
              <w:t>85.01% to 90.00%</w:t>
            </w:r>
          </w:p>
        </w:tc>
        <w:tc>
          <w:tcPr>
            <w:tcW w:w="105" w:type="dxa"/>
            <w:tcBorders>
              <w:top w:val="nil"/>
              <w:left w:val="nil"/>
              <w:bottom w:val="nil"/>
              <w:right w:val="nil"/>
            </w:tcBorders>
            <w:tcMar>
              <w:top w:w="0" w:type="dxa"/>
              <w:left w:w="0" w:type="dxa"/>
              <w:bottom w:w="0" w:type="dxa"/>
              <w:right w:w="0" w:type="dxa"/>
            </w:tcMar>
            <w:vAlign w:val="bottom"/>
          </w:tcPr>
          <w:p w14:paraId="4BA0E2A5" w14:textId="77777777" w:rsidR="001614AC" w:rsidRDefault="001614AC">
            <w:pPr>
              <w:keepNext/>
            </w:pPr>
          </w:p>
        </w:tc>
        <w:tc>
          <w:tcPr>
            <w:tcW w:w="90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7623B02D" w14:textId="77777777" w:rsidR="001614AC" w:rsidRDefault="004468F9">
            <w:pPr>
              <w:keepNext/>
              <w:spacing w:before="55" w:after="30" w:line="288" w:lineRule="auto"/>
              <w:jc w:val="right"/>
            </w:pPr>
            <w:r>
              <w:rPr>
                <w:rFonts w:ascii="Arial" w:eastAsia="Arial" w:hAnsi="Arial" w:cs="Arial"/>
                <w:color w:val="000000"/>
                <w:sz w:val="18"/>
              </w:rPr>
              <w:t>27.6 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522A9F30" w14:textId="77777777" w:rsidR="001614AC" w:rsidRDefault="004468F9">
            <w:pPr>
              <w:keepNext/>
              <w:spacing w:before="55" w:after="30" w:line="288" w:lineRule="auto"/>
              <w:jc w:val="right"/>
            </w:pPr>
            <w:r>
              <w:rPr>
                <w:rFonts w:ascii="Arial" w:eastAsia="Arial" w:hAnsi="Arial" w:cs="Arial"/>
                <w:color w:val="000000"/>
                <w:sz w:val="18"/>
              </w:rPr>
              <w:t>%</w:t>
            </w:r>
          </w:p>
        </w:tc>
        <w:tc>
          <w:tcPr>
            <w:tcW w:w="105" w:type="dxa"/>
            <w:tcBorders>
              <w:top w:val="nil"/>
              <w:left w:val="nil"/>
              <w:bottom w:val="nil"/>
              <w:right w:val="nil"/>
            </w:tcBorders>
            <w:tcMar>
              <w:top w:w="0" w:type="dxa"/>
              <w:left w:w="0" w:type="dxa"/>
              <w:bottom w:w="0" w:type="dxa"/>
              <w:right w:w="0" w:type="dxa"/>
            </w:tcMar>
            <w:vAlign w:val="bottom"/>
          </w:tcPr>
          <w:p w14:paraId="4829E38E" w14:textId="77777777" w:rsidR="001614AC" w:rsidRDefault="001614AC">
            <w:pPr>
              <w:keepNext/>
            </w:pPr>
          </w:p>
        </w:tc>
        <w:tc>
          <w:tcPr>
            <w:tcW w:w="90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0A0BA6BD" w14:textId="77777777" w:rsidR="001614AC" w:rsidRDefault="004468F9">
            <w:pPr>
              <w:keepNext/>
              <w:spacing w:before="55" w:after="30" w:line="288" w:lineRule="auto"/>
              <w:jc w:val="right"/>
            </w:pPr>
            <w:r>
              <w:rPr>
                <w:rFonts w:ascii="Arial" w:eastAsia="Arial" w:hAnsi="Arial" w:cs="Arial"/>
                <w:color w:val="000000"/>
                <w:sz w:val="18"/>
              </w:rPr>
              <w:t>29.8 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7C086691" w14:textId="77777777" w:rsidR="001614AC" w:rsidRDefault="004468F9">
            <w:pPr>
              <w:keepNext/>
              <w:spacing w:before="55" w:after="30" w:line="288" w:lineRule="auto"/>
              <w:jc w:val="right"/>
            </w:pPr>
            <w:r>
              <w:rPr>
                <w:rFonts w:ascii="Arial" w:eastAsia="Arial" w:hAnsi="Arial" w:cs="Arial"/>
                <w:color w:val="000000"/>
                <w:sz w:val="18"/>
              </w:rPr>
              <w:t>%</w:t>
            </w:r>
          </w:p>
        </w:tc>
        <w:tc>
          <w:tcPr>
            <w:tcW w:w="105" w:type="dxa"/>
            <w:tcBorders>
              <w:top w:val="nil"/>
              <w:left w:val="nil"/>
              <w:bottom w:val="nil"/>
              <w:right w:val="nil"/>
            </w:tcBorders>
            <w:tcMar>
              <w:top w:w="0" w:type="dxa"/>
              <w:left w:w="0" w:type="dxa"/>
              <w:bottom w:w="0" w:type="dxa"/>
              <w:right w:w="0" w:type="dxa"/>
            </w:tcMar>
            <w:vAlign w:val="bottom"/>
          </w:tcPr>
          <w:p w14:paraId="6953B492" w14:textId="77777777" w:rsidR="001614AC" w:rsidRDefault="001614AC">
            <w:pPr>
              <w:keepNext/>
            </w:pPr>
          </w:p>
        </w:tc>
        <w:tc>
          <w:tcPr>
            <w:tcW w:w="90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4B433475" w14:textId="77777777" w:rsidR="001614AC" w:rsidRDefault="004468F9">
            <w:pPr>
              <w:keepNext/>
              <w:spacing w:before="55" w:after="30" w:line="288" w:lineRule="auto"/>
              <w:jc w:val="right"/>
            </w:pPr>
            <w:r>
              <w:rPr>
                <w:rFonts w:ascii="Arial" w:eastAsia="Arial" w:hAnsi="Arial" w:cs="Arial"/>
                <w:color w:val="000000"/>
                <w:sz w:val="18"/>
              </w:rPr>
              <w:t>29.4 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6C404A29" w14:textId="77777777" w:rsidR="001614AC" w:rsidRDefault="004468F9">
            <w:pPr>
              <w:keepNext/>
              <w:spacing w:before="55" w:after="30" w:line="288" w:lineRule="auto"/>
              <w:jc w:val="right"/>
            </w:pPr>
            <w:r>
              <w:rPr>
                <w:rFonts w:ascii="Arial" w:eastAsia="Arial" w:hAnsi="Arial" w:cs="Arial"/>
                <w:color w:val="000000"/>
                <w:sz w:val="18"/>
              </w:rPr>
              <w:t>%</w:t>
            </w:r>
          </w:p>
        </w:tc>
        <w:tc>
          <w:tcPr>
            <w:tcW w:w="105" w:type="dxa"/>
            <w:tcBorders>
              <w:top w:val="nil"/>
              <w:left w:val="nil"/>
              <w:bottom w:val="nil"/>
              <w:right w:val="nil"/>
            </w:tcBorders>
            <w:tcMar>
              <w:top w:w="0" w:type="dxa"/>
              <w:left w:w="0" w:type="dxa"/>
              <w:bottom w:w="0" w:type="dxa"/>
              <w:right w:w="0" w:type="dxa"/>
            </w:tcMar>
            <w:vAlign w:val="bottom"/>
          </w:tcPr>
          <w:p w14:paraId="796A090B" w14:textId="77777777" w:rsidR="001614AC" w:rsidRDefault="001614AC">
            <w:pPr>
              <w:keepNext/>
            </w:pPr>
          </w:p>
        </w:tc>
        <w:tc>
          <w:tcPr>
            <w:tcW w:w="90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73E9D877" w14:textId="77777777" w:rsidR="001614AC" w:rsidRDefault="004468F9">
            <w:pPr>
              <w:keepNext/>
              <w:spacing w:before="55" w:after="30" w:line="288" w:lineRule="auto"/>
              <w:jc w:val="right"/>
            </w:pPr>
            <w:r>
              <w:rPr>
                <w:rFonts w:ascii="Arial" w:eastAsia="Arial" w:hAnsi="Arial" w:cs="Arial"/>
                <w:color w:val="000000"/>
                <w:sz w:val="18"/>
              </w:rPr>
              <w:t>30.0 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6D22359A" w14:textId="77777777" w:rsidR="001614AC" w:rsidRDefault="004468F9">
            <w:pPr>
              <w:keepNext/>
              <w:spacing w:before="55" w:after="30" w:line="288" w:lineRule="auto"/>
              <w:jc w:val="right"/>
            </w:pPr>
            <w:r>
              <w:rPr>
                <w:rFonts w:ascii="Arial" w:eastAsia="Arial" w:hAnsi="Arial" w:cs="Arial"/>
                <w:color w:val="000000"/>
                <w:sz w:val="18"/>
              </w:rPr>
              <w:t>%</w:t>
            </w:r>
          </w:p>
        </w:tc>
      </w:tr>
      <w:tr w:rsidR="001614AC" w14:paraId="68451B23" w14:textId="77777777">
        <w:trPr>
          <w:cantSplit/>
        </w:trPr>
        <w:tc>
          <w:tcPr>
            <w:tcW w:w="5640" w:type="dxa"/>
            <w:tcBorders>
              <w:top w:val="single" w:sz="8" w:space="0" w:color="E9E9E9"/>
              <w:left w:val="nil"/>
              <w:bottom w:val="single" w:sz="8" w:space="0" w:color="E9E9E9"/>
              <w:right w:val="nil"/>
            </w:tcBorders>
            <w:tcMar>
              <w:top w:w="0" w:type="dxa"/>
              <w:left w:w="53" w:type="dxa"/>
              <w:bottom w:w="0" w:type="dxa"/>
              <w:right w:w="53" w:type="dxa"/>
            </w:tcMar>
            <w:vAlign w:val="bottom"/>
          </w:tcPr>
          <w:p w14:paraId="4E4AA2BE" w14:textId="77777777" w:rsidR="001614AC" w:rsidRDefault="004468F9">
            <w:pPr>
              <w:spacing w:before="55" w:after="30" w:line="288" w:lineRule="auto"/>
              <w:ind w:left="240"/>
            </w:pPr>
            <w:r>
              <w:rPr>
                <w:rFonts w:ascii="Arial" w:eastAsia="Arial" w:hAnsi="Arial" w:cs="Arial"/>
                <w:color w:val="000000"/>
                <w:sz w:val="18"/>
              </w:rPr>
              <w:t>85.00% and below</w:t>
            </w:r>
          </w:p>
        </w:tc>
        <w:tc>
          <w:tcPr>
            <w:tcW w:w="105" w:type="dxa"/>
            <w:tcBorders>
              <w:top w:val="nil"/>
              <w:left w:val="nil"/>
              <w:bottom w:val="nil"/>
              <w:right w:val="nil"/>
            </w:tcBorders>
            <w:tcMar>
              <w:top w:w="0" w:type="dxa"/>
              <w:left w:w="0" w:type="dxa"/>
              <w:bottom w:w="0" w:type="dxa"/>
              <w:right w:w="0" w:type="dxa"/>
            </w:tcMar>
            <w:vAlign w:val="bottom"/>
          </w:tcPr>
          <w:p w14:paraId="2052200D" w14:textId="77777777" w:rsidR="001614AC" w:rsidRDefault="001614AC"/>
        </w:tc>
        <w:tc>
          <w:tcPr>
            <w:tcW w:w="90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09A46213" w14:textId="77777777" w:rsidR="001614AC" w:rsidRDefault="004468F9">
            <w:pPr>
              <w:spacing w:before="55" w:after="30" w:line="288" w:lineRule="auto"/>
              <w:jc w:val="right"/>
            </w:pPr>
            <w:r>
              <w:rPr>
                <w:rFonts w:ascii="Arial" w:eastAsia="Arial" w:hAnsi="Arial" w:cs="Arial"/>
                <w:color w:val="000000"/>
                <w:sz w:val="18"/>
              </w:rPr>
              <w:t>21.1 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02533418" w14:textId="77777777" w:rsidR="001614AC" w:rsidRDefault="004468F9">
            <w:pPr>
              <w:spacing w:before="55" w:after="30" w:line="288" w:lineRule="auto"/>
              <w:jc w:val="right"/>
            </w:pPr>
            <w:r>
              <w:rPr>
                <w:rFonts w:ascii="Arial" w:eastAsia="Arial" w:hAnsi="Arial" w:cs="Arial"/>
                <w:color w:val="000000"/>
                <w:sz w:val="18"/>
              </w:rPr>
              <w:t>%</w:t>
            </w:r>
          </w:p>
        </w:tc>
        <w:tc>
          <w:tcPr>
            <w:tcW w:w="105" w:type="dxa"/>
            <w:tcBorders>
              <w:top w:val="nil"/>
              <w:left w:val="nil"/>
              <w:bottom w:val="nil"/>
              <w:right w:val="nil"/>
            </w:tcBorders>
            <w:tcMar>
              <w:top w:w="0" w:type="dxa"/>
              <w:left w:w="0" w:type="dxa"/>
              <w:bottom w:w="0" w:type="dxa"/>
              <w:right w:w="0" w:type="dxa"/>
            </w:tcMar>
            <w:vAlign w:val="bottom"/>
          </w:tcPr>
          <w:p w14:paraId="4D02313E" w14:textId="77777777" w:rsidR="001614AC" w:rsidRDefault="001614AC"/>
        </w:tc>
        <w:tc>
          <w:tcPr>
            <w:tcW w:w="90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6827FE07" w14:textId="77777777" w:rsidR="001614AC" w:rsidRDefault="004468F9">
            <w:pPr>
              <w:spacing w:before="55" w:after="30" w:line="288" w:lineRule="auto"/>
              <w:jc w:val="right"/>
            </w:pPr>
            <w:r>
              <w:rPr>
                <w:rFonts w:ascii="Arial" w:eastAsia="Arial" w:hAnsi="Arial" w:cs="Arial"/>
                <w:color w:val="000000"/>
                <w:sz w:val="18"/>
              </w:rPr>
              <w:t>25.5 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61492F9A" w14:textId="77777777" w:rsidR="001614AC" w:rsidRDefault="004468F9">
            <w:pPr>
              <w:spacing w:before="55" w:after="30" w:line="288" w:lineRule="auto"/>
              <w:jc w:val="right"/>
            </w:pPr>
            <w:r>
              <w:rPr>
                <w:rFonts w:ascii="Arial" w:eastAsia="Arial" w:hAnsi="Arial" w:cs="Arial"/>
                <w:color w:val="000000"/>
                <w:sz w:val="18"/>
              </w:rPr>
              <w:t>%</w:t>
            </w:r>
          </w:p>
        </w:tc>
        <w:tc>
          <w:tcPr>
            <w:tcW w:w="105" w:type="dxa"/>
            <w:tcBorders>
              <w:top w:val="nil"/>
              <w:left w:val="nil"/>
              <w:bottom w:val="nil"/>
              <w:right w:val="nil"/>
            </w:tcBorders>
            <w:tcMar>
              <w:top w:w="0" w:type="dxa"/>
              <w:left w:w="0" w:type="dxa"/>
              <w:bottom w:w="0" w:type="dxa"/>
              <w:right w:w="0" w:type="dxa"/>
            </w:tcMar>
            <w:vAlign w:val="bottom"/>
          </w:tcPr>
          <w:p w14:paraId="4FB417B6" w14:textId="77777777" w:rsidR="001614AC" w:rsidRDefault="001614AC"/>
        </w:tc>
        <w:tc>
          <w:tcPr>
            <w:tcW w:w="90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4AFE891E" w14:textId="77777777" w:rsidR="001614AC" w:rsidRDefault="004468F9">
            <w:pPr>
              <w:spacing w:before="55" w:after="30" w:line="288" w:lineRule="auto"/>
              <w:jc w:val="right"/>
            </w:pPr>
            <w:r>
              <w:rPr>
                <w:rFonts w:ascii="Arial" w:eastAsia="Arial" w:hAnsi="Arial" w:cs="Arial"/>
                <w:color w:val="000000"/>
                <w:sz w:val="18"/>
              </w:rPr>
              <w:t>24.9 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21DF223C" w14:textId="77777777" w:rsidR="001614AC" w:rsidRDefault="004468F9">
            <w:pPr>
              <w:spacing w:before="55" w:after="30" w:line="288" w:lineRule="auto"/>
              <w:jc w:val="right"/>
            </w:pPr>
            <w:r>
              <w:rPr>
                <w:rFonts w:ascii="Arial" w:eastAsia="Arial" w:hAnsi="Arial" w:cs="Arial"/>
                <w:color w:val="000000"/>
                <w:sz w:val="18"/>
              </w:rPr>
              <w:t>%</w:t>
            </w:r>
          </w:p>
        </w:tc>
        <w:tc>
          <w:tcPr>
            <w:tcW w:w="105" w:type="dxa"/>
            <w:tcBorders>
              <w:top w:val="nil"/>
              <w:left w:val="nil"/>
              <w:bottom w:val="nil"/>
              <w:right w:val="nil"/>
            </w:tcBorders>
            <w:tcMar>
              <w:top w:w="0" w:type="dxa"/>
              <w:left w:w="0" w:type="dxa"/>
              <w:bottom w:w="0" w:type="dxa"/>
              <w:right w:w="0" w:type="dxa"/>
            </w:tcMar>
            <w:vAlign w:val="bottom"/>
          </w:tcPr>
          <w:p w14:paraId="08312594" w14:textId="77777777" w:rsidR="001614AC" w:rsidRDefault="001614AC"/>
        </w:tc>
        <w:tc>
          <w:tcPr>
            <w:tcW w:w="90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607B40B5" w14:textId="77777777" w:rsidR="001614AC" w:rsidRDefault="004468F9">
            <w:pPr>
              <w:spacing w:before="55" w:after="30" w:line="288" w:lineRule="auto"/>
              <w:jc w:val="right"/>
            </w:pPr>
            <w:r>
              <w:rPr>
                <w:rFonts w:ascii="Arial" w:eastAsia="Arial" w:hAnsi="Arial" w:cs="Arial"/>
                <w:color w:val="000000"/>
                <w:sz w:val="18"/>
              </w:rPr>
              <w:t>24.2 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736E4474" w14:textId="77777777" w:rsidR="001614AC" w:rsidRDefault="004468F9">
            <w:pPr>
              <w:spacing w:before="55" w:after="30" w:line="288" w:lineRule="auto"/>
              <w:jc w:val="right"/>
            </w:pPr>
            <w:r>
              <w:rPr>
                <w:rFonts w:ascii="Arial" w:eastAsia="Arial" w:hAnsi="Arial" w:cs="Arial"/>
                <w:color w:val="000000"/>
                <w:sz w:val="18"/>
              </w:rPr>
              <w:t>%</w:t>
            </w:r>
          </w:p>
        </w:tc>
      </w:tr>
    </w:tbl>
    <w:p w14:paraId="3E2EF770" w14:textId="77777777" w:rsidR="001614AC" w:rsidRDefault="004468F9" w:rsidP="004468F9">
      <w:pPr>
        <w:numPr>
          <w:ilvl w:val="0"/>
          <w:numId w:val="28"/>
        </w:numPr>
        <w:spacing w:line="288" w:lineRule="auto"/>
        <w:ind w:left="360"/>
        <w:rPr>
          <w:rFonts w:ascii="Arial" w:eastAsia="Arial" w:hAnsi="Arial" w:cs="Arial"/>
          <w:b/>
          <w:color w:val="64615D"/>
          <w:sz w:val="16"/>
        </w:rPr>
      </w:pPr>
      <w:r>
        <w:rPr>
          <w:rFonts w:ascii="Arial" w:eastAsia="Arial" w:hAnsi="Arial" w:cs="Arial"/>
          <w:color w:val="64615D"/>
          <w:sz w:val="16"/>
        </w:rPr>
        <w:t xml:space="preserve">Borrower-paid Single Premium Policies were 6.6% and 8.0% of NIW for the three and six months ended June 30, 2021, respectively, compared to </w:t>
      </w:r>
      <w:r>
        <w:rPr>
          <w:rFonts w:ascii="Arial" w:eastAsia="Arial" w:hAnsi="Arial" w:cs="Arial"/>
          <w:color w:val="64615D"/>
          <w:sz w:val="16"/>
        </w:rPr>
        <w:t>13.6% and 14.8% for the same periods in</w:t>
      </w:r>
      <w:r>
        <w:rPr>
          <w:rFonts w:ascii="Arial" w:eastAsia="Arial" w:hAnsi="Arial" w:cs="Arial"/>
          <w:b/>
          <w:color w:val="64615D"/>
          <w:sz w:val="16"/>
        </w:rPr>
        <w:t xml:space="preserve"> </w:t>
      </w:r>
      <w:r>
        <w:rPr>
          <w:rFonts w:ascii="Arial" w:eastAsia="Arial" w:hAnsi="Arial" w:cs="Arial"/>
          <w:color w:val="64615D"/>
          <w:sz w:val="16"/>
        </w:rPr>
        <w:t>2020, respectively. See “Item 1. Business—Regulation—Federal Regulation—GSE Requirements” in our 2020 Form 10-K for additional information.</w:t>
      </w:r>
    </w:p>
    <w:p w14:paraId="2AD768D8" w14:textId="77777777" w:rsidR="001614AC" w:rsidRDefault="004468F9" w:rsidP="004468F9">
      <w:pPr>
        <w:numPr>
          <w:ilvl w:val="0"/>
          <w:numId w:val="28"/>
        </w:numPr>
        <w:spacing w:line="288" w:lineRule="auto"/>
        <w:ind w:left="360"/>
        <w:rPr>
          <w:rFonts w:ascii="Arial" w:eastAsia="Arial" w:hAnsi="Arial" w:cs="Arial"/>
          <w:b/>
          <w:color w:val="64615D"/>
          <w:sz w:val="16"/>
        </w:rPr>
      </w:pPr>
      <w:r>
        <w:rPr>
          <w:rFonts w:ascii="Arial" w:eastAsia="Arial" w:hAnsi="Arial" w:cs="Arial"/>
          <w:color w:val="64615D"/>
          <w:sz w:val="16"/>
        </w:rPr>
        <w:t>For loans with multiple borrowers, the percentage of NIW by FICO score repre</w:t>
      </w:r>
      <w:r>
        <w:rPr>
          <w:rFonts w:ascii="Arial" w:eastAsia="Arial" w:hAnsi="Arial" w:cs="Arial"/>
          <w:color w:val="64615D"/>
          <w:sz w:val="16"/>
        </w:rPr>
        <w:t>sents the lowest of the borrowers’ FICO scores.</w:t>
      </w:r>
    </w:p>
    <w:p w14:paraId="24DDE230" w14:textId="77777777" w:rsidR="001614AC" w:rsidRDefault="004468F9">
      <w:pPr>
        <w:keepNext/>
        <w:spacing w:before="180" w:after="140" w:line="288" w:lineRule="auto"/>
        <w:rPr>
          <w:rFonts w:ascii="Arial" w:eastAsia="Arial" w:hAnsi="Arial" w:cs="Arial"/>
          <w:b/>
          <w:color w:val="64615D"/>
          <w:sz w:val="18"/>
        </w:rPr>
      </w:pPr>
      <w:r>
        <w:rPr>
          <w:rFonts w:ascii="Arial" w:eastAsia="Arial" w:hAnsi="Arial" w:cs="Arial"/>
          <w:sz w:val="18"/>
        </w:rPr>
        <w:t xml:space="preserve"> </w:t>
      </w:r>
      <w:r>
        <w:rPr>
          <w:rFonts w:ascii="Arial" w:eastAsia="Arial" w:hAnsi="Arial" w:cs="Arial"/>
          <w:b/>
          <w:color w:val="002B49"/>
          <w:sz w:val="26"/>
        </w:rPr>
        <w:t>Insurance and Risk in Force</w:t>
      </w:r>
    </w:p>
    <w:p w14:paraId="6F3B1C5C" w14:textId="77777777" w:rsidR="001614AC" w:rsidRDefault="004468F9">
      <w:pPr>
        <w:spacing w:before="100" w:after="100" w:line="288" w:lineRule="auto"/>
        <w:ind w:firstLine="450"/>
        <w:rPr>
          <w:rFonts w:ascii="Calibri" w:eastAsia="Calibri" w:hAnsi="Calibri" w:cs="Calibri"/>
          <w:b/>
          <w:color w:val="64615D"/>
          <w:sz w:val="22"/>
          <w:shd w:val="clear" w:color="auto" w:fill="FFFF00"/>
        </w:rPr>
      </w:pPr>
      <w:r>
        <w:rPr>
          <w:rFonts w:ascii="Arial" w:eastAsia="Arial" w:hAnsi="Arial" w:cs="Arial"/>
          <w:sz w:val="18"/>
        </w:rPr>
        <w:t xml:space="preserve">IIF at June 30, 2021 decreased 1.7% as compared to the same period last year, reflecting a 28.2% decline in Single Premium Policies in force, partially offset by an 8.1% increase </w:t>
      </w:r>
      <w:r>
        <w:rPr>
          <w:rFonts w:ascii="Arial" w:eastAsia="Arial" w:hAnsi="Arial" w:cs="Arial"/>
          <w:sz w:val="18"/>
        </w:rPr>
        <w:t>in Monthly Premium Policies in force. Historically, there is a close correlation between interest rates and Persistency Rates. Lower interest rate environments generally increase refinancings, which increase the cancellation rate of our insurance and negat</w:t>
      </w:r>
      <w:r>
        <w:rPr>
          <w:rFonts w:ascii="Arial" w:eastAsia="Arial" w:hAnsi="Arial" w:cs="Arial"/>
          <w:sz w:val="18"/>
        </w:rPr>
        <w:t>ively affect our Persistency Rates. As shown in the table below, our Persistency Rate for the 12 months ended June 30, 2021 declined as compared to the same period in 2020. The decline in our Persistency Rate and the related decline in our Single Premium P</w:t>
      </w:r>
      <w:r>
        <w:rPr>
          <w:rFonts w:ascii="Arial" w:eastAsia="Arial" w:hAnsi="Arial" w:cs="Arial"/>
          <w:sz w:val="18"/>
        </w:rPr>
        <w:t>olicies in force at June 30, 2021, were attributable to increased refinance activity resulting from historically low interest rates, which led to an increase in Single Premium Policy cancellations. This increase in Single Premium Policy cancellations was t</w:t>
      </w:r>
      <w:r>
        <w:rPr>
          <w:rFonts w:ascii="Arial" w:eastAsia="Arial" w:hAnsi="Arial" w:cs="Arial"/>
          <w:sz w:val="18"/>
        </w:rPr>
        <w:t>he primary driver of the decrease in unearned premiums on our condensed consolidated balance sheet at June 30, 2021 as compared to December 31, 2020.</w:t>
      </w:r>
    </w:p>
    <w:p w14:paraId="49BBD5DB" w14:textId="77777777" w:rsidR="001614AC" w:rsidRDefault="004468F9">
      <w:pPr>
        <w:spacing w:before="100" w:after="100" w:line="288" w:lineRule="auto"/>
        <w:ind w:firstLine="450"/>
        <w:rPr>
          <w:rFonts w:ascii="Arial" w:eastAsia="Arial" w:hAnsi="Arial" w:cs="Arial"/>
          <w:b/>
          <w:color w:val="64615D"/>
          <w:sz w:val="22"/>
          <w:shd w:val="clear" w:color="auto" w:fill="FFFF00"/>
        </w:rPr>
      </w:pPr>
      <w:r>
        <w:rPr>
          <w:rFonts w:ascii="Arial" w:eastAsia="Arial" w:hAnsi="Arial" w:cs="Arial"/>
          <w:sz w:val="18"/>
        </w:rPr>
        <w:t xml:space="preserve">Our IIF is the primary driver of the future premiums that we expect to earn over time. Although not </w:t>
      </w:r>
      <w:r>
        <w:rPr>
          <w:rFonts w:ascii="Arial" w:eastAsia="Arial" w:hAnsi="Arial" w:cs="Arial"/>
          <w:sz w:val="18"/>
        </w:rPr>
        <w:t>reflected in the current period financial statements, nor in our reported book value, we expect our IIF to generate substantial premiums in future periods, due to the high credit quality of our current mortgage insurance portfolio and its expected persiste</w:t>
      </w:r>
      <w:r>
        <w:rPr>
          <w:rFonts w:ascii="Arial" w:eastAsia="Arial" w:hAnsi="Arial" w:cs="Arial"/>
          <w:sz w:val="18"/>
        </w:rPr>
        <w:t>ncy over multiple years. See “Item 7. Management’s Discussion and Analysis of Financial Condition and Results of Operations—Key Factors Affecting Our Results—Mortgage—IIF and Related Drivers” in our 2020 Form 10-K for more information.</w:t>
      </w:r>
    </w:p>
    <w:p w14:paraId="460803B5" w14:textId="77777777" w:rsidR="001614AC" w:rsidRDefault="004468F9">
      <w:pPr>
        <w:spacing w:before="100" w:after="100" w:line="288" w:lineRule="auto"/>
        <w:ind w:firstLine="450"/>
        <w:rPr>
          <w:rFonts w:ascii="Arial" w:eastAsia="Arial" w:hAnsi="Arial" w:cs="Arial"/>
          <w:b/>
          <w:color w:val="64615D"/>
          <w:sz w:val="18"/>
        </w:rPr>
      </w:pPr>
      <w:r>
        <w:rPr>
          <w:rFonts w:ascii="Arial" w:eastAsia="Arial" w:hAnsi="Arial" w:cs="Arial"/>
          <w:sz w:val="18"/>
        </w:rPr>
        <w:lastRenderedPageBreak/>
        <w:t>Our earnings in futu</w:t>
      </w:r>
      <w:r>
        <w:rPr>
          <w:rFonts w:ascii="Arial" w:eastAsia="Arial" w:hAnsi="Arial" w:cs="Arial"/>
          <w:sz w:val="18"/>
        </w:rPr>
        <w:t>re periods are subject to elevated risks and uncertainties due to the potential impact of the unprecedented and continually evolving social and economic impacts associated with the COVID-19 pandemic on the U.S. and global economies generally, and in partic</w:t>
      </w:r>
      <w:r>
        <w:rPr>
          <w:rFonts w:ascii="Arial" w:eastAsia="Arial" w:hAnsi="Arial" w:cs="Arial"/>
          <w:sz w:val="18"/>
        </w:rPr>
        <w:t>ular on the U.S. housing, real estate and housing finance markets. See Note 1 of Notes to Unaudited Condensed Consolidated Financial Statements for additional information about the COVID-19 pandemic, which could have a material negative effect on the Compa</w:t>
      </w:r>
      <w:r>
        <w:rPr>
          <w:rFonts w:ascii="Arial" w:eastAsia="Arial" w:hAnsi="Arial" w:cs="Arial"/>
          <w:sz w:val="18"/>
        </w:rPr>
        <w:t>ny’s business, liquidity, results of operations and financial condition. See “Overview—COVID-19 Impacts” and, in our 2020 Form 10-K, “Item 1A. Risk Factors” for additional information.</w:t>
      </w:r>
    </w:p>
    <w:p w14:paraId="3C8305BB" w14:textId="77777777" w:rsidR="001614AC" w:rsidRDefault="004468F9">
      <w:pPr>
        <w:spacing w:before="100" w:after="100" w:line="288" w:lineRule="auto"/>
        <w:ind w:firstLine="450"/>
        <w:rPr>
          <w:rFonts w:ascii="Arial" w:eastAsia="Arial" w:hAnsi="Arial" w:cs="Arial"/>
          <w:b/>
          <w:color w:val="64615D"/>
          <w:sz w:val="18"/>
        </w:rPr>
      </w:pPr>
      <w:r>
        <w:rPr>
          <w:rFonts w:ascii="Arial" w:eastAsia="Arial" w:hAnsi="Arial" w:cs="Arial"/>
          <w:sz w:val="18"/>
        </w:rPr>
        <w:t>Historical loan performance data indicates that credit scores and under</w:t>
      </w:r>
      <w:r>
        <w:rPr>
          <w:rFonts w:ascii="Arial" w:eastAsia="Arial" w:hAnsi="Arial" w:cs="Arial"/>
          <w:sz w:val="18"/>
        </w:rPr>
        <w:t>writing quality are key predictors of credit performance. As of June 30, 2021, substantially all of our total primary RIF is comprised of our portfolio of business written subsequent to 2008 and has consisted primarily of high credit quality loans with sig</w:t>
      </w:r>
      <w:r>
        <w:rPr>
          <w:rFonts w:ascii="Arial" w:eastAsia="Arial" w:hAnsi="Arial" w:cs="Arial"/>
          <w:sz w:val="18"/>
        </w:rPr>
        <w:t>nificantly better credit performance than loans originated during 2008 and prior periods. Although our actual and expected future losses on our portfolio written after 2008, together with refinancings under HARP, are significantly lower than those experien</w:t>
      </w:r>
      <w:r>
        <w:rPr>
          <w:rFonts w:ascii="Arial" w:eastAsia="Arial" w:hAnsi="Arial" w:cs="Arial"/>
          <w:sz w:val="18"/>
        </w:rPr>
        <w:t>ced on our NIW prior to and including 2008, the impact to our future losses from the COVID-19 pandemic, including from elevated levels of unemployment, which may be prolonged, is highly uncertain.</w:t>
      </w:r>
    </w:p>
    <w:p w14:paraId="097F9BA6" w14:textId="77777777" w:rsidR="001614AC" w:rsidRDefault="004468F9">
      <w:pPr>
        <w:spacing w:before="100" w:after="100" w:line="288" w:lineRule="auto"/>
        <w:ind w:firstLine="450"/>
        <w:rPr>
          <w:rFonts w:ascii="Arial" w:eastAsia="Arial" w:hAnsi="Arial" w:cs="Arial"/>
          <w:b/>
          <w:color w:val="64615D"/>
          <w:sz w:val="18"/>
        </w:rPr>
      </w:pPr>
      <w:r>
        <w:rPr>
          <w:rFonts w:ascii="Arial" w:eastAsia="Arial" w:hAnsi="Arial" w:cs="Arial"/>
          <w:sz w:val="18"/>
        </w:rPr>
        <w:t>Throughout this report, unless otherwise noted, RIF is pres</w:t>
      </w:r>
      <w:r>
        <w:rPr>
          <w:rFonts w:ascii="Arial" w:eastAsia="Arial" w:hAnsi="Arial" w:cs="Arial"/>
          <w:sz w:val="18"/>
        </w:rPr>
        <w:t>ented on a gross basis and includes the amount ceded under reinsurance. RIF and IIF for direct Single Premiums include policies written on an individual basis (as each loan is originated) and on an aggregated basis (in which each individual loan in a group</w:t>
      </w:r>
      <w:r>
        <w:rPr>
          <w:rFonts w:ascii="Arial" w:eastAsia="Arial" w:hAnsi="Arial" w:cs="Arial"/>
          <w:sz w:val="18"/>
        </w:rPr>
        <w:t xml:space="preserve"> of loans is insured in a single transaction, typically after the loans have been originated).</w:t>
      </w:r>
    </w:p>
    <w:p w14:paraId="7F82D211" w14:textId="77777777" w:rsidR="001614AC" w:rsidRDefault="004468F9">
      <w:pPr>
        <w:keepNext/>
        <w:spacing w:before="100" w:after="100" w:line="288" w:lineRule="auto"/>
        <w:ind w:firstLine="450"/>
        <w:rPr>
          <w:rFonts w:ascii="Arial" w:eastAsia="Arial" w:hAnsi="Arial" w:cs="Arial"/>
          <w:b/>
          <w:color w:val="64615D"/>
          <w:sz w:val="18"/>
        </w:rPr>
      </w:pPr>
      <w:r>
        <w:rPr>
          <w:rFonts w:ascii="Arial" w:eastAsia="Arial" w:hAnsi="Arial" w:cs="Arial"/>
          <w:sz w:val="18"/>
        </w:rPr>
        <w:lastRenderedPageBreak/>
        <w:t xml:space="preserve">The following table provides selected information as of and for the periods indicated related to mortgage insurance IIF and RIF. </w:t>
      </w:r>
    </w:p>
    <w:tbl>
      <w:tblPr>
        <w:tblW w:w="102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78"/>
        <w:gridCol w:w="105"/>
        <w:gridCol w:w="160"/>
        <w:gridCol w:w="1489"/>
        <w:gridCol w:w="176"/>
        <w:gridCol w:w="112"/>
        <w:gridCol w:w="160"/>
        <w:gridCol w:w="1489"/>
        <w:gridCol w:w="176"/>
        <w:gridCol w:w="112"/>
        <w:gridCol w:w="160"/>
        <w:gridCol w:w="1489"/>
        <w:gridCol w:w="176"/>
      </w:tblGrid>
      <w:tr w:rsidR="001614AC" w14:paraId="20E8065D" w14:textId="77777777">
        <w:trPr>
          <w:cantSplit/>
        </w:trPr>
        <w:tc>
          <w:tcPr>
            <w:tcW w:w="10080" w:type="dxa"/>
            <w:gridSpan w:val="13"/>
            <w:tcBorders>
              <w:top w:val="nil"/>
              <w:left w:val="nil"/>
              <w:bottom w:val="single" w:sz="12" w:space="0" w:color="99AAB6"/>
              <w:right w:val="nil"/>
            </w:tcBorders>
            <w:tcMar>
              <w:top w:w="0" w:type="dxa"/>
              <w:left w:w="53" w:type="dxa"/>
              <w:bottom w:w="0" w:type="dxa"/>
              <w:right w:w="53" w:type="dxa"/>
            </w:tcMar>
            <w:vAlign w:val="bottom"/>
          </w:tcPr>
          <w:p w14:paraId="58C1E12B" w14:textId="77777777" w:rsidR="001614AC" w:rsidRDefault="004468F9">
            <w:pPr>
              <w:keepNext/>
              <w:spacing w:before="75" w:after="30" w:line="288" w:lineRule="auto"/>
              <w:rPr>
                <w:rFonts w:ascii="Arial" w:eastAsia="Arial" w:hAnsi="Arial" w:cs="Arial"/>
                <w:b/>
                <w:sz w:val="20"/>
              </w:rPr>
            </w:pPr>
            <w:r>
              <w:rPr>
                <w:rFonts w:ascii="Arial" w:eastAsia="Arial" w:hAnsi="Arial" w:cs="Arial"/>
                <w:b/>
                <w:sz w:val="20"/>
              </w:rPr>
              <w:t>IIF and RIF</w:t>
            </w:r>
          </w:p>
        </w:tc>
      </w:tr>
      <w:tr w:rsidR="001614AC" w14:paraId="7B1625ED" w14:textId="77777777">
        <w:trPr>
          <w:cantSplit/>
        </w:trPr>
        <w:tc>
          <w:tcPr>
            <w:tcW w:w="4500" w:type="dxa"/>
            <w:tcBorders>
              <w:top w:val="nil"/>
              <w:left w:val="nil"/>
              <w:bottom w:val="nil"/>
              <w:right w:val="nil"/>
            </w:tcBorders>
            <w:tcMar>
              <w:top w:w="0" w:type="dxa"/>
              <w:left w:w="0" w:type="dxa"/>
              <w:bottom w:w="0" w:type="dxa"/>
              <w:right w:w="0" w:type="dxa"/>
            </w:tcMar>
            <w:vAlign w:val="bottom"/>
          </w:tcPr>
          <w:p w14:paraId="0048EC2A" w14:textId="77777777" w:rsidR="001614AC" w:rsidRDefault="001614AC">
            <w:pPr>
              <w:keepNext/>
            </w:pPr>
          </w:p>
        </w:tc>
        <w:tc>
          <w:tcPr>
            <w:tcW w:w="105" w:type="dxa"/>
            <w:tcBorders>
              <w:top w:val="single" w:sz="12" w:space="0" w:color="99AAB6"/>
              <w:left w:val="nil"/>
              <w:bottom w:val="nil"/>
              <w:right w:val="nil"/>
            </w:tcBorders>
            <w:tcMar>
              <w:top w:w="0" w:type="dxa"/>
              <w:left w:w="0" w:type="dxa"/>
              <w:bottom w:w="0" w:type="dxa"/>
              <w:right w:w="0" w:type="dxa"/>
            </w:tcMar>
            <w:vAlign w:val="bottom"/>
          </w:tcPr>
          <w:p w14:paraId="0898BA96" w14:textId="77777777" w:rsidR="001614AC" w:rsidRDefault="001614AC">
            <w:pPr>
              <w:keepNext/>
            </w:pPr>
          </w:p>
        </w:tc>
        <w:tc>
          <w:tcPr>
            <w:tcW w:w="1755" w:type="dxa"/>
            <w:gridSpan w:val="3"/>
            <w:tcBorders>
              <w:top w:val="single" w:sz="12" w:space="0" w:color="99AAB6"/>
              <w:left w:val="nil"/>
              <w:bottom w:val="nil"/>
              <w:right w:val="nil"/>
            </w:tcBorders>
            <w:tcMar>
              <w:top w:w="0" w:type="dxa"/>
              <w:left w:w="0" w:type="dxa"/>
              <w:bottom w:w="0" w:type="dxa"/>
              <w:right w:w="0" w:type="dxa"/>
            </w:tcMar>
            <w:vAlign w:val="bottom"/>
          </w:tcPr>
          <w:p w14:paraId="663AD03A" w14:textId="77777777" w:rsidR="001614AC" w:rsidRDefault="001614AC">
            <w:pPr>
              <w:keepNext/>
            </w:pPr>
          </w:p>
        </w:tc>
        <w:tc>
          <w:tcPr>
            <w:tcW w:w="105" w:type="dxa"/>
            <w:tcBorders>
              <w:top w:val="single" w:sz="12" w:space="0" w:color="99AAB6"/>
              <w:left w:val="nil"/>
              <w:bottom w:val="nil"/>
              <w:right w:val="nil"/>
            </w:tcBorders>
            <w:tcMar>
              <w:top w:w="0" w:type="dxa"/>
              <w:left w:w="0" w:type="dxa"/>
              <w:bottom w:w="0" w:type="dxa"/>
              <w:right w:w="0" w:type="dxa"/>
            </w:tcMar>
            <w:vAlign w:val="bottom"/>
          </w:tcPr>
          <w:p w14:paraId="79533113" w14:textId="77777777" w:rsidR="001614AC" w:rsidRDefault="001614AC">
            <w:pPr>
              <w:keepNext/>
            </w:pPr>
          </w:p>
        </w:tc>
        <w:tc>
          <w:tcPr>
            <w:tcW w:w="1755" w:type="dxa"/>
            <w:gridSpan w:val="3"/>
            <w:tcBorders>
              <w:top w:val="single" w:sz="12" w:space="0" w:color="99AAB6"/>
              <w:left w:val="nil"/>
              <w:bottom w:val="nil"/>
              <w:right w:val="nil"/>
            </w:tcBorders>
            <w:tcMar>
              <w:top w:w="0" w:type="dxa"/>
              <w:left w:w="0" w:type="dxa"/>
              <w:bottom w:w="0" w:type="dxa"/>
              <w:right w:w="0" w:type="dxa"/>
            </w:tcMar>
            <w:vAlign w:val="bottom"/>
          </w:tcPr>
          <w:p w14:paraId="078EAC07" w14:textId="77777777" w:rsidR="001614AC" w:rsidRDefault="001614AC">
            <w:pPr>
              <w:keepNext/>
            </w:pPr>
          </w:p>
        </w:tc>
        <w:tc>
          <w:tcPr>
            <w:tcW w:w="105" w:type="dxa"/>
            <w:tcBorders>
              <w:top w:val="single" w:sz="12" w:space="0" w:color="99AAB6"/>
              <w:left w:val="nil"/>
              <w:bottom w:val="nil"/>
              <w:right w:val="nil"/>
            </w:tcBorders>
            <w:tcMar>
              <w:top w:w="0" w:type="dxa"/>
              <w:left w:w="0" w:type="dxa"/>
              <w:bottom w:w="0" w:type="dxa"/>
              <w:right w:w="0" w:type="dxa"/>
            </w:tcMar>
            <w:vAlign w:val="bottom"/>
          </w:tcPr>
          <w:p w14:paraId="076A416B" w14:textId="77777777" w:rsidR="001614AC" w:rsidRDefault="001614AC">
            <w:pPr>
              <w:keepNext/>
            </w:pPr>
          </w:p>
        </w:tc>
        <w:tc>
          <w:tcPr>
            <w:tcW w:w="1755" w:type="dxa"/>
            <w:gridSpan w:val="3"/>
            <w:tcBorders>
              <w:top w:val="single" w:sz="12" w:space="0" w:color="99AAB6"/>
              <w:left w:val="nil"/>
              <w:bottom w:val="nil"/>
              <w:right w:val="nil"/>
            </w:tcBorders>
            <w:tcMar>
              <w:top w:w="0" w:type="dxa"/>
              <w:left w:w="0" w:type="dxa"/>
              <w:bottom w:w="0" w:type="dxa"/>
              <w:right w:w="0" w:type="dxa"/>
            </w:tcMar>
            <w:vAlign w:val="bottom"/>
          </w:tcPr>
          <w:p w14:paraId="125C542E" w14:textId="77777777" w:rsidR="001614AC" w:rsidRDefault="001614AC">
            <w:pPr>
              <w:keepNext/>
            </w:pPr>
          </w:p>
        </w:tc>
      </w:tr>
      <w:tr w:rsidR="001614AC" w14:paraId="7A97B054" w14:textId="77777777">
        <w:trPr>
          <w:cantSplit/>
          <w:trHeight w:hRule="exact" w:val="285"/>
        </w:trPr>
        <w:tc>
          <w:tcPr>
            <w:tcW w:w="4500" w:type="dxa"/>
            <w:tcBorders>
              <w:top w:val="nil"/>
              <w:left w:val="nil"/>
              <w:bottom w:val="single" w:sz="8" w:space="0" w:color="C7C9C7"/>
              <w:right w:val="nil"/>
            </w:tcBorders>
            <w:tcMar>
              <w:top w:w="0" w:type="dxa"/>
              <w:left w:w="53" w:type="dxa"/>
              <w:bottom w:w="0" w:type="dxa"/>
              <w:right w:w="53" w:type="dxa"/>
            </w:tcMar>
            <w:vAlign w:val="bottom"/>
          </w:tcPr>
          <w:p w14:paraId="1BB9DE4D" w14:textId="77777777" w:rsidR="001614AC" w:rsidRDefault="004468F9">
            <w:pPr>
              <w:keepNext/>
              <w:spacing w:before="75" w:after="30" w:line="288" w:lineRule="auto"/>
            </w:pPr>
            <w:r>
              <w:rPr>
                <w:rFonts w:ascii="Arial" w:eastAsia="Arial" w:hAnsi="Arial" w:cs="Arial"/>
                <w:color w:val="8B8886"/>
                <w:sz w:val="16"/>
              </w:rPr>
              <w:t xml:space="preserve">($ in </w:t>
            </w:r>
            <w:r>
              <w:rPr>
                <w:rFonts w:ascii="Arial" w:eastAsia="Arial" w:hAnsi="Arial" w:cs="Arial"/>
                <w:color w:val="8B8886"/>
                <w:sz w:val="16"/>
              </w:rPr>
              <w:t>millions)</w:t>
            </w:r>
          </w:p>
        </w:tc>
        <w:tc>
          <w:tcPr>
            <w:tcW w:w="105" w:type="dxa"/>
            <w:tcBorders>
              <w:top w:val="nil"/>
              <w:left w:val="nil"/>
              <w:bottom w:val="single" w:sz="8" w:space="0" w:color="C7C9C7"/>
              <w:right w:val="nil"/>
            </w:tcBorders>
            <w:tcMar>
              <w:top w:w="0" w:type="dxa"/>
              <w:left w:w="0" w:type="dxa"/>
              <w:bottom w:w="0" w:type="dxa"/>
              <w:right w:w="0" w:type="dxa"/>
            </w:tcMar>
            <w:vAlign w:val="bottom"/>
          </w:tcPr>
          <w:p w14:paraId="4491E459" w14:textId="77777777" w:rsidR="001614AC" w:rsidRDefault="001614AC">
            <w:pPr>
              <w:keepNext/>
            </w:pPr>
          </w:p>
        </w:tc>
        <w:tc>
          <w:tcPr>
            <w:tcW w:w="1755" w:type="dxa"/>
            <w:gridSpan w:val="3"/>
            <w:tcBorders>
              <w:top w:val="nil"/>
              <w:left w:val="nil"/>
              <w:bottom w:val="single" w:sz="8" w:space="0" w:color="C7C9C7"/>
              <w:right w:val="nil"/>
            </w:tcBorders>
            <w:shd w:val="clear" w:color="auto" w:fill="E6F8F8"/>
            <w:tcMar>
              <w:top w:w="0" w:type="dxa"/>
              <w:left w:w="53" w:type="dxa"/>
              <w:bottom w:w="0" w:type="dxa"/>
              <w:right w:w="53" w:type="dxa"/>
            </w:tcMar>
            <w:vAlign w:val="bottom"/>
          </w:tcPr>
          <w:p w14:paraId="2BF202E6" w14:textId="77777777" w:rsidR="001614AC" w:rsidRDefault="004468F9">
            <w:pPr>
              <w:keepNext/>
              <w:spacing w:before="75" w:after="30" w:line="288" w:lineRule="auto"/>
              <w:jc w:val="center"/>
            </w:pPr>
            <w:r>
              <w:rPr>
                <w:rFonts w:ascii="Arial" w:eastAsia="Arial" w:hAnsi="Arial" w:cs="Arial"/>
                <w:b/>
                <w:color w:val="00BAB3"/>
                <w:sz w:val="18"/>
              </w:rPr>
              <w:t>June 30, 2021</w:t>
            </w:r>
          </w:p>
        </w:tc>
        <w:tc>
          <w:tcPr>
            <w:tcW w:w="105" w:type="dxa"/>
            <w:tcBorders>
              <w:top w:val="nil"/>
              <w:left w:val="nil"/>
              <w:bottom w:val="single" w:sz="8" w:space="0" w:color="C7C9C7"/>
              <w:right w:val="nil"/>
            </w:tcBorders>
            <w:tcMar>
              <w:top w:w="0" w:type="dxa"/>
              <w:left w:w="0" w:type="dxa"/>
              <w:bottom w:w="0" w:type="dxa"/>
              <w:right w:w="0" w:type="dxa"/>
            </w:tcMar>
            <w:vAlign w:val="bottom"/>
          </w:tcPr>
          <w:p w14:paraId="7E65FFDA" w14:textId="77777777" w:rsidR="001614AC" w:rsidRDefault="001614AC">
            <w:pPr>
              <w:keepNext/>
            </w:pPr>
          </w:p>
        </w:tc>
        <w:tc>
          <w:tcPr>
            <w:tcW w:w="1755" w:type="dxa"/>
            <w:gridSpan w:val="3"/>
            <w:tcBorders>
              <w:top w:val="nil"/>
              <w:left w:val="nil"/>
              <w:bottom w:val="single" w:sz="8" w:space="0" w:color="C7C9C7"/>
              <w:right w:val="nil"/>
            </w:tcBorders>
            <w:shd w:val="clear" w:color="auto" w:fill="F4F4F4"/>
            <w:tcMar>
              <w:top w:w="0" w:type="dxa"/>
              <w:left w:w="53" w:type="dxa"/>
              <w:bottom w:w="0" w:type="dxa"/>
              <w:right w:w="53" w:type="dxa"/>
            </w:tcMar>
            <w:vAlign w:val="bottom"/>
          </w:tcPr>
          <w:p w14:paraId="2A154748" w14:textId="77777777" w:rsidR="001614AC" w:rsidRDefault="004468F9">
            <w:pPr>
              <w:keepNext/>
              <w:spacing w:before="75" w:after="30" w:line="288" w:lineRule="auto"/>
              <w:jc w:val="center"/>
            </w:pPr>
            <w:r>
              <w:rPr>
                <w:rFonts w:ascii="Arial" w:eastAsia="Arial" w:hAnsi="Arial" w:cs="Arial"/>
                <w:b/>
                <w:color w:val="00BAB3"/>
                <w:sz w:val="18"/>
              </w:rPr>
              <w:t>December 31, 2020</w:t>
            </w:r>
          </w:p>
        </w:tc>
        <w:tc>
          <w:tcPr>
            <w:tcW w:w="105" w:type="dxa"/>
            <w:tcBorders>
              <w:top w:val="nil"/>
              <w:left w:val="nil"/>
              <w:bottom w:val="single" w:sz="8" w:space="0" w:color="C7C9C7"/>
              <w:right w:val="nil"/>
            </w:tcBorders>
            <w:tcMar>
              <w:top w:w="0" w:type="dxa"/>
              <w:left w:w="0" w:type="dxa"/>
              <w:bottom w:w="0" w:type="dxa"/>
              <w:right w:w="0" w:type="dxa"/>
            </w:tcMar>
            <w:vAlign w:val="bottom"/>
          </w:tcPr>
          <w:p w14:paraId="0D5C5D04" w14:textId="77777777" w:rsidR="001614AC" w:rsidRDefault="001614AC">
            <w:pPr>
              <w:keepNext/>
            </w:pPr>
          </w:p>
        </w:tc>
        <w:tc>
          <w:tcPr>
            <w:tcW w:w="1755" w:type="dxa"/>
            <w:gridSpan w:val="3"/>
            <w:tcBorders>
              <w:top w:val="nil"/>
              <w:left w:val="nil"/>
              <w:bottom w:val="single" w:sz="8" w:space="0" w:color="C7C9C7"/>
              <w:right w:val="nil"/>
            </w:tcBorders>
            <w:shd w:val="clear" w:color="auto" w:fill="F4F4F4"/>
            <w:tcMar>
              <w:top w:w="0" w:type="dxa"/>
              <w:left w:w="53" w:type="dxa"/>
              <w:bottom w:w="0" w:type="dxa"/>
              <w:right w:w="53" w:type="dxa"/>
            </w:tcMar>
            <w:vAlign w:val="bottom"/>
          </w:tcPr>
          <w:p w14:paraId="2B691D59" w14:textId="77777777" w:rsidR="001614AC" w:rsidRDefault="004468F9">
            <w:pPr>
              <w:keepNext/>
              <w:spacing w:before="75" w:after="30" w:line="288" w:lineRule="auto"/>
              <w:jc w:val="center"/>
            </w:pPr>
            <w:r>
              <w:rPr>
                <w:rFonts w:ascii="Arial" w:eastAsia="Arial" w:hAnsi="Arial" w:cs="Arial"/>
                <w:b/>
                <w:color w:val="00BAB3"/>
                <w:sz w:val="18"/>
              </w:rPr>
              <w:t>June 30, 2020</w:t>
            </w:r>
          </w:p>
        </w:tc>
      </w:tr>
      <w:tr w:rsidR="001614AC" w14:paraId="137EF5A4" w14:textId="77777777">
        <w:trPr>
          <w:cantSplit/>
        </w:trPr>
        <w:tc>
          <w:tcPr>
            <w:tcW w:w="4500" w:type="dxa"/>
            <w:tcBorders>
              <w:top w:val="single" w:sz="8" w:space="0" w:color="C7C9C7"/>
              <w:left w:val="nil"/>
              <w:bottom w:val="single" w:sz="8" w:space="0" w:color="E9E9E9"/>
              <w:right w:val="nil"/>
            </w:tcBorders>
            <w:tcMar>
              <w:top w:w="0" w:type="dxa"/>
              <w:left w:w="53" w:type="dxa"/>
              <w:bottom w:w="0" w:type="dxa"/>
              <w:right w:w="53" w:type="dxa"/>
            </w:tcMar>
            <w:vAlign w:val="bottom"/>
          </w:tcPr>
          <w:p w14:paraId="28546DEB" w14:textId="77777777" w:rsidR="001614AC" w:rsidRDefault="004468F9">
            <w:pPr>
              <w:keepNext/>
              <w:spacing w:before="55" w:after="30" w:line="288" w:lineRule="auto"/>
            </w:pPr>
            <w:r>
              <w:rPr>
                <w:rFonts w:ascii="Arial" w:eastAsia="Arial" w:hAnsi="Arial" w:cs="Arial"/>
                <w:color w:val="000000"/>
                <w:sz w:val="18"/>
              </w:rPr>
              <w:t xml:space="preserve">Primary IIF </w:t>
            </w:r>
          </w:p>
        </w:tc>
        <w:tc>
          <w:tcPr>
            <w:tcW w:w="105" w:type="dxa"/>
            <w:tcBorders>
              <w:top w:val="single" w:sz="8" w:space="0" w:color="C7C9C7"/>
              <w:left w:val="nil"/>
              <w:bottom w:val="nil"/>
              <w:right w:val="nil"/>
            </w:tcBorders>
            <w:tcMar>
              <w:top w:w="0" w:type="dxa"/>
              <w:left w:w="0" w:type="dxa"/>
              <w:bottom w:w="0" w:type="dxa"/>
              <w:right w:w="0" w:type="dxa"/>
            </w:tcMar>
            <w:vAlign w:val="bottom"/>
          </w:tcPr>
          <w:p w14:paraId="4A099D52" w14:textId="77777777" w:rsidR="001614AC" w:rsidRDefault="001614AC">
            <w:pPr>
              <w:keepNext/>
            </w:pPr>
          </w:p>
        </w:tc>
        <w:tc>
          <w:tcPr>
            <w:tcW w:w="160" w:type="dxa"/>
            <w:tcBorders>
              <w:top w:val="single" w:sz="8" w:space="0" w:color="C7C9C7"/>
              <w:left w:val="nil"/>
              <w:bottom w:val="single" w:sz="8" w:space="0" w:color="E9E9E9"/>
              <w:right w:val="nil"/>
            </w:tcBorders>
            <w:tcMar>
              <w:top w:w="0" w:type="dxa"/>
              <w:left w:w="53" w:type="dxa"/>
              <w:bottom w:w="0" w:type="dxa"/>
              <w:right w:w="0" w:type="dxa"/>
            </w:tcMar>
            <w:vAlign w:val="bottom"/>
          </w:tcPr>
          <w:p w14:paraId="6DE54188" w14:textId="77777777" w:rsidR="001614AC" w:rsidRDefault="004468F9">
            <w:pPr>
              <w:keepNext/>
              <w:spacing w:before="55" w:after="30" w:line="288" w:lineRule="auto"/>
            </w:pPr>
            <w:r>
              <w:rPr>
                <w:rFonts w:ascii="Arial" w:eastAsia="Arial" w:hAnsi="Arial" w:cs="Arial"/>
                <w:color w:val="000000"/>
                <w:sz w:val="18"/>
              </w:rPr>
              <w:t>$</w:t>
            </w:r>
          </w:p>
        </w:tc>
        <w:tc>
          <w:tcPr>
            <w:tcW w:w="1495" w:type="dxa"/>
            <w:tcBorders>
              <w:top w:val="single" w:sz="8" w:space="0" w:color="C7C9C7"/>
              <w:left w:val="nil"/>
              <w:bottom w:val="single" w:sz="8" w:space="0" w:color="E9E9E9"/>
              <w:right w:val="nil"/>
            </w:tcBorders>
            <w:tcMar>
              <w:top w:w="0" w:type="dxa"/>
              <w:left w:w="0" w:type="dxa"/>
              <w:bottom w:w="0" w:type="dxa"/>
              <w:right w:w="0" w:type="dxa"/>
            </w:tcMar>
            <w:vAlign w:val="bottom"/>
          </w:tcPr>
          <w:p w14:paraId="0F0FEA15" w14:textId="77777777" w:rsidR="001614AC" w:rsidRDefault="004468F9">
            <w:pPr>
              <w:keepNext/>
              <w:spacing w:before="55" w:after="30" w:line="288" w:lineRule="auto"/>
              <w:jc w:val="right"/>
            </w:pPr>
            <w:r>
              <w:rPr>
                <w:rFonts w:ascii="Arial" w:eastAsia="Arial" w:hAnsi="Arial" w:cs="Arial"/>
                <w:color w:val="000000"/>
                <w:sz w:val="18"/>
              </w:rPr>
              <w:t>237,302 </w:t>
            </w:r>
          </w:p>
        </w:tc>
        <w:tc>
          <w:tcPr>
            <w:tcW w:w="100" w:type="dxa"/>
            <w:tcBorders>
              <w:top w:val="single" w:sz="8" w:space="0" w:color="C7C9C7"/>
              <w:left w:val="nil"/>
              <w:bottom w:val="single" w:sz="8" w:space="0" w:color="E9E9E9"/>
              <w:right w:val="nil"/>
            </w:tcBorders>
            <w:tcMar>
              <w:top w:w="0" w:type="dxa"/>
              <w:left w:w="0" w:type="dxa"/>
              <w:bottom w:w="0" w:type="dxa"/>
              <w:right w:w="15" w:type="dxa"/>
            </w:tcMar>
            <w:vAlign w:val="bottom"/>
          </w:tcPr>
          <w:p w14:paraId="7093DBDA" w14:textId="77777777" w:rsidR="001614AC" w:rsidRDefault="001614AC">
            <w:pPr>
              <w:keepNext/>
              <w:spacing w:before="55" w:after="30" w:line="288" w:lineRule="auto"/>
              <w:jc w:val="right"/>
            </w:pPr>
          </w:p>
        </w:tc>
        <w:tc>
          <w:tcPr>
            <w:tcW w:w="105" w:type="dxa"/>
            <w:tcBorders>
              <w:top w:val="single" w:sz="8" w:space="0" w:color="C7C9C7"/>
              <w:left w:val="nil"/>
              <w:bottom w:val="nil"/>
              <w:right w:val="nil"/>
            </w:tcBorders>
            <w:tcMar>
              <w:top w:w="0" w:type="dxa"/>
              <w:left w:w="0" w:type="dxa"/>
              <w:bottom w:w="0" w:type="dxa"/>
              <w:right w:w="0" w:type="dxa"/>
            </w:tcMar>
            <w:vAlign w:val="bottom"/>
          </w:tcPr>
          <w:p w14:paraId="73662B2F" w14:textId="77777777" w:rsidR="001614AC" w:rsidRDefault="001614AC">
            <w:pPr>
              <w:keepNext/>
            </w:pPr>
          </w:p>
        </w:tc>
        <w:tc>
          <w:tcPr>
            <w:tcW w:w="160" w:type="dxa"/>
            <w:tcBorders>
              <w:top w:val="single" w:sz="8" w:space="0" w:color="C7C9C7"/>
              <w:left w:val="nil"/>
              <w:bottom w:val="single" w:sz="8" w:space="0" w:color="E9E9E9"/>
              <w:right w:val="nil"/>
            </w:tcBorders>
            <w:tcMar>
              <w:top w:w="0" w:type="dxa"/>
              <w:left w:w="53" w:type="dxa"/>
              <w:bottom w:w="0" w:type="dxa"/>
              <w:right w:w="0" w:type="dxa"/>
            </w:tcMar>
            <w:vAlign w:val="bottom"/>
          </w:tcPr>
          <w:p w14:paraId="3193A6FB" w14:textId="77777777" w:rsidR="001614AC" w:rsidRDefault="004468F9">
            <w:pPr>
              <w:keepNext/>
              <w:spacing w:before="55" w:after="30" w:line="288" w:lineRule="auto"/>
            </w:pPr>
            <w:r>
              <w:rPr>
                <w:rFonts w:ascii="Arial" w:eastAsia="Arial" w:hAnsi="Arial" w:cs="Arial"/>
                <w:color w:val="000000"/>
                <w:sz w:val="18"/>
              </w:rPr>
              <w:t>$</w:t>
            </w:r>
          </w:p>
        </w:tc>
        <w:tc>
          <w:tcPr>
            <w:tcW w:w="1495" w:type="dxa"/>
            <w:tcBorders>
              <w:top w:val="single" w:sz="8" w:space="0" w:color="C7C9C7"/>
              <w:left w:val="nil"/>
              <w:bottom w:val="single" w:sz="8" w:space="0" w:color="E9E9E9"/>
              <w:right w:val="nil"/>
            </w:tcBorders>
            <w:tcMar>
              <w:top w:w="0" w:type="dxa"/>
              <w:left w:w="0" w:type="dxa"/>
              <w:bottom w:w="0" w:type="dxa"/>
              <w:right w:w="0" w:type="dxa"/>
            </w:tcMar>
            <w:vAlign w:val="bottom"/>
          </w:tcPr>
          <w:p w14:paraId="0879BD3C" w14:textId="77777777" w:rsidR="001614AC" w:rsidRDefault="004468F9">
            <w:pPr>
              <w:keepNext/>
              <w:spacing w:before="55" w:after="30" w:line="288" w:lineRule="auto"/>
              <w:jc w:val="right"/>
            </w:pPr>
            <w:r>
              <w:rPr>
                <w:rFonts w:ascii="Arial" w:eastAsia="Arial" w:hAnsi="Arial" w:cs="Arial"/>
                <w:color w:val="000000"/>
                <w:sz w:val="18"/>
              </w:rPr>
              <w:t>246,144 </w:t>
            </w:r>
          </w:p>
        </w:tc>
        <w:tc>
          <w:tcPr>
            <w:tcW w:w="100" w:type="dxa"/>
            <w:tcBorders>
              <w:top w:val="single" w:sz="8" w:space="0" w:color="C7C9C7"/>
              <w:left w:val="nil"/>
              <w:bottom w:val="single" w:sz="8" w:space="0" w:color="E9E9E9"/>
              <w:right w:val="nil"/>
            </w:tcBorders>
            <w:tcMar>
              <w:top w:w="0" w:type="dxa"/>
              <w:left w:w="0" w:type="dxa"/>
              <w:bottom w:w="0" w:type="dxa"/>
              <w:right w:w="15" w:type="dxa"/>
            </w:tcMar>
            <w:vAlign w:val="bottom"/>
          </w:tcPr>
          <w:p w14:paraId="415D564D" w14:textId="77777777" w:rsidR="001614AC" w:rsidRDefault="001614AC">
            <w:pPr>
              <w:keepNext/>
              <w:spacing w:before="55" w:after="30" w:line="288" w:lineRule="auto"/>
              <w:jc w:val="right"/>
            </w:pPr>
          </w:p>
        </w:tc>
        <w:tc>
          <w:tcPr>
            <w:tcW w:w="105" w:type="dxa"/>
            <w:tcBorders>
              <w:top w:val="single" w:sz="8" w:space="0" w:color="C7C9C7"/>
              <w:left w:val="nil"/>
              <w:bottom w:val="nil"/>
              <w:right w:val="nil"/>
            </w:tcBorders>
            <w:tcMar>
              <w:top w:w="0" w:type="dxa"/>
              <w:left w:w="0" w:type="dxa"/>
              <w:bottom w:w="0" w:type="dxa"/>
              <w:right w:w="0" w:type="dxa"/>
            </w:tcMar>
            <w:vAlign w:val="bottom"/>
          </w:tcPr>
          <w:p w14:paraId="34C4A7F5" w14:textId="77777777" w:rsidR="001614AC" w:rsidRDefault="001614AC">
            <w:pPr>
              <w:keepNext/>
            </w:pPr>
          </w:p>
        </w:tc>
        <w:tc>
          <w:tcPr>
            <w:tcW w:w="160" w:type="dxa"/>
            <w:tcBorders>
              <w:top w:val="single" w:sz="8" w:space="0" w:color="C7C9C7"/>
              <w:left w:val="nil"/>
              <w:bottom w:val="single" w:sz="8" w:space="0" w:color="E9E9E9"/>
              <w:right w:val="nil"/>
            </w:tcBorders>
            <w:tcMar>
              <w:top w:w="0" w:type="dxa"/>
              <w:left w:w="53" w:type="dxa"/>
              <w:bottom w:w="0" w:type="dxa"/>
              <w:right w:w="0" w:type="dxa"/>
            </w:tcMar>
            <w:vAlign w:val="bottom"/>
          </w:tcPr>
          <w:p w14:paraId="776C2FA0" w14:textId="77777777" w:rsidR="001614AC" w:rsidRDefault="004468F9">
            <w:pPr>
              <w:keepNext/>
              <w:spacing w:before="55" w:after="30" w:line="288" w:lineRule="auto"/>
            </w:pPr>
            <w:r>
              <w:rPr>
                <w:rFonts w:ascii="Arial" w:eastAsia="Arial" w:hAnsi="Arial" w:cs="Arial"/>
                <w:color w:val="000000"/>
                <w:sz w:val="18"/>
              </w:rPr>
              <w:t>$</w:t>
            </w:r>
          </w:p>
        </w:tc>
        <w:tc>
          <w:tcPr>
            <w:tcW w:w="1495" w:type="dxa"/>
            <w:tcBorders>
              <w:top w:val="single" w:sz="8" w:space="0" w:color="C7C9C7"/>
              <w:left w:val="nil"/>
              <w:bottom w:val="single" w:sz="8" w:space="0" w:color="E9E9E9"/>
              <w:right w:val="nil"/>
            </w:tcBorders>
            <w:tcMar>
              <w:top w:w="0" w:type="dxa"/>
              <w:left w:w="0" w:type="dxa"/>
              <w:bottom w:w="0" w:type="dxa"/>
              <w:right w:w="0" w:type="dxa"/>
            </w:tcMar>
            <w:vAlign w:val="bottom"/>
          </w:tcPr>
          <w:p w14:paraId="0C6C1439" w14:textId="77777777" w:rsidR="001614AC" w:rsidRDefault="004468F9">
            <w:pPr>
              <w:keepNext/>
              <w:spacing w:before="55" w:after="30" w:line="288" w:lineRule="auto"/>
              <w:jc w:val="right"/>
            </w:pPr>
            <w:r>
              <w:rPr>
                <w:rFonts w:ascii="Arial" w:eastAsia="Arial" w:hAnsi="Arial" w:cs="Arial"/>
                <w:color w:val="000000"/>
                <w:sz w:val="18"/>
              </w:rPr>
              <w:t>241,306 </w:t>
            </w:r>
          </w:p>
        </w:tc>
        <w:tc>
          <w:tcPr>
            <w:tcW w:w="100" w:type="dxa"/>
            <w:tcBorders>
              <w:top w:val="single" w:sz="8" w:space="0" w:color="C7C9C7"/>
              <w:left w:val="nil"/>
              <w:bottom w:val="single" w:sz="8" w:space="0" w:color="E9E9E9"/>
              <w:right w:val="nil"/>
            </w:tcBorders>
            <w:tcMar>
              <w:top w:w="0" w:type="dxa"/>
              <w:left w:w="0" w:type="dxa"/>
              <w:bottom w:w="0" w:type="dxa"/>
              <w:right w:w="15" w:type="dxa"/>
            </w:tcMar>
            <w:vAlign w:val="bottom"/>
          </w:tcPr>
          <w:p w14:paraId="2950955E" w14:textId="77777777" w:rsidR="001614AC" w:rsidRDefault="001614AC">
            <w:pPr>
              <w:keepNext/>
              <w:spacing w:before="55" w:after="30" w:line="288" w:lineRule="auto"/>
              <w:jc w:val="right"/>
            </w:pPr>
          </w:p>
        </w:tc>
      </w:tr>
      <w:tr w:rsidR="001614AC" w14:paraId="5FDF2A1C" w14:textId="77777777">
        <w:trPr>
          <w:cantSplit/>
        </w:trPr>
        <w:tc>
          <w:tcPr>
            <w:tcW w:w="4500" w:type="dxa"/>
            <w:tcBorders>
              <w:top w:val="single" w:sz="8" w:space="0" w:color="E9E9E9"/>
              <w:left w:val="nil"/>
              <w:bottom w:val="single" w:sz="8" w:space="0" w:color="E9E9E9"/>
              <w:right w:val="nil"/>
            </w:tcBorders>
            <w:tcMar>
              <w:top w:w="0" w:type="dxa"/>
              <w:left w:w="53" w:type="dxa"/>
              <w:bottom w:w="0" w:type="dxa"/>
              <w:right w:w="53" w:type="dxa"/>
            </w:tcMar>
            <w:vAlign w:val="bottom"/>
          </w:tcPr>
          <w:p w14:paraId="08A25ACA" w14:textId="77777777" w:rsidR="001614AC" w:rsidRDefault="004468F9">
            <w:pPr>
              <w:keepNext/>
              <w:spacing w:before="55" w:after="30" w:line="288" w:lineRule="auto"/>
            </w:pPr>
            <w:r>
              <w:rPr>
                <w:rFonts w:ascii="Arial" w:eastAsia="Arial" w:hAnsi="Arial" w:cs="Arial"/>
                <w:color w:val="000000"/>
                <w:sz w:val="18"/>
              </w:rPr>
              <w:t xml:space="preserve">Primary RIF </w:t>
            </w:r>
          </w:p>
        </w:tc>
        <w:tc>
          <w:tcPr>
            <w:tcW w:w="105" w:type="dxa"/>
            <w:tcBorders>
              <w:top w:val="nil"/>
              <w:left w:val="nil"/>
              <w:bottom w:val="nil"/>
              <w:right w:val="nil"/>
            </w:tcBorders>
            <w:tcMar>
              <w:top w:w="0" w:type="dxa"/>
              <w:left w:w="0" w:type="dxa"/>
              <w:bottom w:w="0" w:type="dxa"/>
              <w:right w:w="0" w:type="dxa"/>
            </w:tcMar>
            <w:vAlign w:val="bottom"/>
          </w:tcPr>
          <w:p w14:paraId="5781B26D" w14:textId="77777777" w:rsidR="001614AC" w:rsidRDefault="001614AC">
            <w:pPr>
              <w:keepNext/>
            </w:pPr>
          </w:p>
        </w:tc>
        <w:tc>
          <w:tcPr>
            <w:tcW w:w="160" w:type="dxa"/>
            <w:tcBorders>
              <w:top w:val="single" w:sz="8" w:space="0" w:color="E9E9E9"/>
              <w:left w:val="nil"/>
              <w:bottom w:val="single" w:sz="8" w:space="0" w:color="E9E9E9"/>
              <w:right w:val="nil"/>
            </w:tcBorders>
            <w:tcMar>
              <w:top w:w="0" w:type="dxa"/>
              <w:left w:w="53" w:type="dxa"/>
              <w:bottom w:w="0" w:type="dxa"/>
              <w:right w:w="0" w:type="dxa"/>
            </w:tcMar>
            <w:vAlign w:val="bottom"/>
          </w:tcPr>
          <w:p w14:paraId="25A6DE89" w14:textId="77777777" w:rsidR="001614AC" w:rsidRDefault="004468F9">
            <w:pPr>
              <w:keepNext/>
              <w:spacing w:before="55" w:after="30" w:line="288" w:lineRule="auto"/>
            </w:pPr>
            <w:r>
              <w:rPr>
                <w:rFonts w:ascii="Arial" w:eastAsia="Arial" w:hAnsi="Arial" w:cs="Arial"/>
                <w:color w:val="000000"/>
                <w:sz w:val="18"/>
              </w:rPr>
              <w:t>$</w:t>
            </w:r>
          </w:p>
        </w:tc>
        <w:tc>
          <w:tcPr>
            <w:tcW w:w="1495" w:type="dxa"/>
            <w:tcBorders>
              <w:top w:val="single" w:sz="8" w:space="0" w:color="E9E9E9"/>
              <w:left w:val="nil"/>
              <w:bottom w:val="single" w:sz="8" w:space="0" w:color="E9E9E9"/>
              <w:right w:val="nil"/>
            </w:tcBorders>
            <w:tcMar>
              <w:top w:w="0" w:type="dxa"/>
              <w:left w:w="0" w:type="dxa"/>
              <w:bottom w:w="0" w:type="dxa"/>
              <w:right w:w="0" w:type="dxa"/>
            </w:tcMar>
            <w:vAlign w:val="bottom"/>
          </w:tcPr>
          <w:p w14:paraId="0DB3E692" w14:textId="77777777" w:rsidR="001614AC" w:rsidRDefault="004468F9">
            <w:pPr>
              <w:keepNext/>
              <w:spacing w:before="55" w:after="30" w:line="288" w:lineRule="auto"/>
              <w:jc w:val="right"/>
            </w:pPr>
            <w:r>
              <w:rPr>
                <w:rFonts w:ascii="Arial" w:eastAsia="Arial" w:hAnsi="Arial" w:cs="Arial"/>
                <w:color w:val="000000"/>
                <w:sz w:val="18"/>
              </w:rPr>
              <w:t>58,040 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49A11660" w14:textId="77777777" w:rsidR="001614AC" w:rsidRDefault="001614AC">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43E44893" w14:textId="77777777" w:rsidR="001614AC" w:rsidRDefault="001614AC">
            <w:pPr>
              <w:keepNext/>
            </w:pPr>
          </w:p>
        </w:tc>
        <w:tc>
          <w:tcPr>
            <w:tcW w:w="160" w:type="dxa"/>
            <w:tcBorders>
              <w:top w:val="single" w:sz="8" w:space="0" w:color="E9E9E9"/>
              <w:left w:val="nil"/>
              <w:bottom w:val="single" w:sz="8" w:space="0" w:color="E9E9E9"/>
              <w:right w:val="nil"/>
            </w:tcBorders>
            <w:tcMar>
              <w:top w:w="0" w:type="dxa"/>
              <w:left w:w="53" w:type="dxa"/>
              <w:bottom w:w="0" w:type="dxa"/>
              <w:right w:w="0" w:type="dxa"/>
            </w:tcMar>
            <w:vAlign w:val="bottom"/>
          </w:tcPr>
          <w:p w14:paraId="27C1183B" w14:textId="77777777" w:rsidR="001614AC" w:rsidRDefault="004468F9">
            <w:pPr>
              <w:keepNext/>
              <w:spacing w:before="55" w:after="30" w:line="288" w:lineRule="auto"/>
            </w:pPr>
            <w:r>
              <w:rPr>
                <w:rFonts w:ascii="Arial" w:eastAsia="Arial" w:hAnsi="Arial" w:cs="Arial"/>
                <w:color w:val="000000"/>
                <w:sz w:val="18"/>
              </w:rPr>
              <w:t>$</w:t>
            </w:r>
          </w:p>
        </w:tc>
        <w:tc>
          <w:tcPr>
            <w:tcW w:w="1495" w:type="dxa"/>
            <w:tcBorders>
              <w:top w:val="single" w:sz="8" w:space="0" w:color="E9E9E9"/>
              <w:left w:val="nil"/>
              <w:bottom w:val="single" w:sz="8" w:space="0" w:color="E9E9E9"/>
              <w:right w:val="nil"/>
            </w:tcBorders>
            <w:tcMar>
              <w:top w:w="0" w:type="dxa"/>
              <w:left w:w="0" w:type="dxa"/>
              <w:bottom w:w="0" w:type="dxa"/>
              <w:right w:w="0" w:type="dxa"/>
            </w:tcMar>
            <w:vAlign w:val="bottom"/>
          </w:tcPr>
          <w:p w14:paraId="35CB4755" w14:textId="77777777" w:rsidR="001614AC" w:rsidRDefault="004468F9">
            <w:pPr>
              <w:keepNext/>
              <w:spacing w:before="55" w:after="30" w:line="288" w:lineRule="auto"/>
              <w:jc w:val="right"/>
            </w:pPr>
            <w:r>
              <w:rPr>
                <w:rFonts w:ascii="Arial" w:eastAsia="Arial" w:hAnsi="Arial" w:cs="Arial"/>
                <w:color w:val="000000"/>
                <w:sz w:val="18"/>
              </w:rPr>
              <w:t>60,656 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527C4EAF" w14:textId="77777777" w:rsidR="001614AC" w:rsidRDefault="001614AC">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05E3825E" w14:textId="77777777" w:rsidR="001614AC" w:rsidRDefault="001614AC">
            <w:pPr>
              <w:keepNext/>
            </w:pPr>
          </w:p>
        </w:tc>
        <w:tc>
          <w:tcPr>
            <w:tcW w:w="160" w:type="dxa"/>
            <w:tcBorders>
              <w:top w:val="single" w:sz="8" w:space="0" w:color="E9E9E9"/>
              <w:left w:val="nil"/>
              <w:bottom w:val="single" w:sz="8" w:space="0" w:color="E9E9E9"/>
              <w:right w:val="nil"/>
            </w:tcBorders>
            <w:tcMar>
              <w:top w:w="0" w:type="dxa"/>
              <w:left w:w="53" w:type="dxa"/>
              <w:bottom w:w="0" w:type="dxa"/>
              <w:right w:w="0" w:type="dxa"/>
            </w:tcMar>
            <w:vAlign w:val="bottom"/>
          </w:tcPr>
          <w:p w14:paraId="040D0E1E" w14:textId="77777777" w:rsidR="001614AC" w:rsidRDefault="004468F9">
            <w:pPr>
              <w:keepNext/>
              <w:spacing w:before="55" w:after="30" w:line="288" w:lineRule="auto"/>
            </w:pPr>
            <w:r>
              <w:rPr>
                <w:rFonts w:ascii="Arial" w:eastAsia="Arial" w:hAnsi="Arial" w:cs="Arial"/>
                <w:color w:val="000000"/>
                <w:sz w:val="18"/>
              </w:rPr>
              <w:t>$</w:t>
            </w:r>
          </w:p>
        </w:tc>
        <w:tc>
          <w:tcPr>
            <w:tcW w:w="1495" w:type="dxa"/>
            <w:tcBorders>
              <w:top w:val="single" w:sz="8" w:space="0" w:color="E9E9E9"/>
              <w:left w:val="nil"/>
              <w:bottom w:val="single" w:sz="8" w:space="0" w:color="E9E9E9"/>
              <w:right w:val="nil"/>
            </w:tcBorders>
            <w:tcMar>
              <w:top w:w="0" w:type="dxa"/>
              <w:left w:w="0" w:type="dxa"/>
              <w:bottom w:w="0" w:type="dxa"/>
              <w:right w:w="0" w:type="dxa"/>
            </w:tcMar>
            <w:vAlign w:val="bottom"/>
          </w:tcPr>
          <w:p w14:paraId="03E350B2" w14:textId="77777777" w:rsidR="001614AC" w:rsidRDefault="004468F9">
            <w:pPr>
              <w:keepNext/>
              <w:spacing w:before="55" w:after="30" w:line="288" w:lineRule="auto"/>
              <w:jc w:val="right"/>
            </w:pPr>
            <w:r>
              <w:rPr>
                <w:rFonts w:ascii="Arial" w:eastAsia="Arial" w:hAnsi="Arial" w:cs="Arial"/>
                <w:color w:val="000000"/>
                <w:sz w:val="18"/>
              </w:rPr>
              <w:t>60,311 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429B6E31" w14:textId="77777777" w:rsidR="001614AC" w:rsidRDefault="001614AC">
            <w:pPr>
              <w:keepNext/>
              <w:spacing w:before="55" w:after="30" w:line="288" w:lineRule="auto"/>
              <w:jc w:val="right"/>
            </w:pPr>
          </w:p>
        </w:tc>
      </w:tr>
      <w:tr w:rsidR="001614AC" w14:paraId="5C1685BA" w14:textId="77777777">
        <w:trPr>
          <w:cantSplit/>
        </w:trPr>
        <w:tc>
          <w:tcPr>
            <w:tcW w:w="4500" w:type="dxa"/>
            <w:tcBorders>
              <w:top w:val="single" w:sz="8" w:space="0" w:color="E9E9E9"/>
              <w:left w:val="nil"/>
              <w:bottom w:val="single" w:sz="8" w:space="0" w:color="E9E9E9"/>
              <w:right w:val="nil"/>
            </w:tcBorders>
            <w:tcMar>
              <w:top w:w="0" w:type="dxa"/>
              <w:left w:w="53" w:type="dxa"/>
              <w:bottom w:w="0" w:type="dxa"/>
              <w:right w:w="53" w:type="dxa"/>
            </w:tcMar>
            <w:vAlign w:val="bottom"/>
          </w:tcPr>
          <w:p w14:paraId="0F5F6BFC" w14:textId="77777777" w:rsidR="001614AC" w:rsidRDefault="004468F9">
            <w:pPr>
              <w:keepNext/>
              <w:spacing w:before="55" w:after="30" w:line="288" w:lineRule="auto"/>
            </w:pPr>
            <w:r>
              <w:rPr>
                <w:rFonts w:ascii="Arial" w:eastAsia="Arial" w:hAnsi="Arial" w:cs="Arial"/>
                <w:color w:val="000000"/>
                <w:sz w:val="18"/>
              </w:rPr>
              <w:t>Average coverage percentage</w:t>
            </w:r>
          </w:p>
        </w:tc>
        <w:tc>
          <w:tcPr>
            <w:tcW w:w="105" w:type="dxa"/>
            <w:tcBorders>
              <w:top w:val="nil"/>
              <w:left w:val="nil"/>
              <w:bottom w:val="nil"/>
              <w:right w:val="nil"/>
            </w:tcBorders>
            <w:tcMar>
              <w:top w:w="0" w:type="dxa"/>
              <w:left w:w="0" w:type="dxa"/>
              <w:bottom w:w="0" w:type="dxa"/>
              <w:right w:w="0" w:type="dxa"/>
            </w:tcMar>
            <w:vAlign w:val="bottom"/>
          </w:tcPr>
          <w:p w14:paraId="5ABE6708" w14:textId="77777777" w:rsidR="001614AC" w:rsidRDefault="001614AC">
            <w:pPr>
              <w:keepNext/>
            </w:pPr>
          </w:p>
        </w:tc>
        <w:tc>
          <w:tcPr>
            <w:tcW w:w="165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5583787E" w14:textId="77777777" w:rsidR="001614AC" w:rsidRDefault="004468F9">
            <w:pPr>
              <w:keepNext/>
              <w:spacing w:before="55" w:after="30" w:line="288" w:lineRule="auto"/>
              <w:jc w:val="right"/>
            </w:pPr>
            <w:r>
              <w:rPr>
                <w:rFonts w:ascii="Arial" w:eastAsia="Arial" w:hAnsi="Arial" w:cs="Arial"/>
                <w:color w:val="000000"/>
                <w:sz w:val="18"/>
              </w:rPr>
              <w:t>24.5 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2FB26AC4" w14:textId="77777777" w:rsidR="001614AC" w:rsidRDefault="004468F9">
            <w:pPr>
              <w:keepNext/>
              <w:spacing w:before="55" w:after="30" w:line="288" w:lineRule="auto"/>
              <w:jc w:val="right"/>
            </w:pPr>
            <w:r>
              <w:rPr>
                <w:rFonts w:ascii="Arial" w:eastAsia="Arial" w:hAnsi="Arial" w:cs="Arial"/>
                <w:color w:val="000000"/>
                <w:sz w:val="18"/>
              </w:rPr>
              <w:t>%</w:t>
            </w:r>
          </w:p>
        </w:tc>
        <w:tc>
          <w:tcPr>
            <w:tcW w:w="105" w:type="dxa"/>
            <w:tcBorders>
              <w:top w:val="nil"/>
              <w:left w:val="nil"/>
              <w:bottom w:val="nil"/>
              <w:right w:val="nil"/>
            </w:tcBorders>
            <w:tcMar>
              <w:top w:w="0" w:type="dxa"/>
              <w:left w:w="0" w:type="dxa"/>
              <w:bottom w:w="0" w:type="dxa"/>
              <w:right w:w="0" w:type="dxa"/>
            </w:tcMar>
            <w:vAlign w:val="bottom"/>
          </w:tcPr>
          <w:p w14:paraId="6AB6B7BE" w14:textId="77777777" w:rsidR="001614AC" w:rsidRDefault="001614AC">
            <w:pPr>
              <w:keepNext/>
            </w:pPr>
          </w:p>
        </w:tc>
        <w:tc>
          <w:tcPr>
            <w:tcW w:w="165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7EB3EC5B" w14:textId="77777777" w:rsidR="001614AC" w:rsidRDefault="004468F9">
            <w:pPr>
              <w:keepNext/>
              <w:spacing w:before="55" w:after="30" w:line="288" w:lineRule="auto"/>
              <w:jc w:val="right"/>
            </w:pPr>
            <w:r>
              <w:rPr>
                <w:rFonts w:ascii="Arial" w:eastAsia="Arial" w:hAnsi="Arial" w:cs="Arial"/>
                <w:color w:val="000000"/>
                <w:sz w:val="18"/>
              </w:rPr>
              <w:t>24.6 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577F5452" w14:textId="77777777" w:rsidR="001614AC" w:rsidRDefault="004468F9">
            <w:pPr>
              <w:keepNext/>
              <w:spacing w:before="55" w:after="30" w:line="288" w:lineRule="auto"/>
              <w:jc w:val="right"/>
            </w:pPr>
            <w:r>
              <w:rPr>
                <w:rFonts w:ascii="Arial" w:eastAsia="Arial" w:hAnsi="Arial" w:cs="Arial"/>
                <w:color w:val="000000"/>
                <w:sz w:val="18"/>
              </w:rPr>
              <w:t>%</w:t>
            </w:r>
          </w:p>
        </w:tc>
        <w:tc>
          <w:tcPr>
            <w:tcW w:w="105" w:type="dxa"/>
            <w:tcBorders>
              <w:top w:val="nil"/>
              <w:left w:val="nil"/>
              <w:bottom w:val="nil"/>
              <w:right w:val="nil"/>
            </w:tcBorders>
            <w:tcMar>
              <w:top w:w="0" w:type="dxa"/>
              <w:left w:w="0" w:type="dxa"/>
              <w:bottom w:w="0" w:type="dxa"/>
              <w:right w:w="0" w:type="dxa"/>
            </w:tcMar>
            <w:vAlign w:val="bottom"/>
          </w:tcPr>
          <w:p w14:paraId="4AD2B1F8" w14:textId="77777777" w:rsidR="001614AC" w:rsidRDefault="001614AC">
            <w:pPr>
              <w:keepNext/>
            </w:pPr>
          </w:p>
        </w:tc>
        <w:tc>
          <w:tcPr>
            <w:tcW w:w="165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10024B51" w14:textId="77777777" w:rsidR="001614AC" w:rsidRDefault="004468F9">
            <w:pPr>
              <w:keepNext/>
              <w:spacing w:before="55" w:after="30" w:line="288" w:lineRule="auto"/>
              <w:jc w:val="right"/>
            </w:pPr>
            <w:r>
              <w:rPr>
                <w:rFonts w:ascii="Arial" w:eastAsia="Arial" w:hAnsi="Arial" w:cs="Arial"/>
                <w:color w:val="000000"/>
                <w:sz w:val="18"/>
              </w:rPr>
              <w:t>25.0 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43101C32" w14:textId="77777777" w:rsidR="001614AC" w:rsidRDefault="004468F9">
            <w:pPr>
              <w:keepNext/>
              <w:spacing w:before="55" w:after="30" w:line="288" w:lineRule="auto"/>
              <w:jc w:val="right"/>
            </w:pPr>
            <w:r>
              <w:rPr>
                <w:rFonts w:ascii="Arial" w:eastAsia="Arial" w:hAnsi="Arial" w:cs="Arial"/>
                <w:color w:val="000000"/>
                <w:sz w:val="18"/>
              </w:rPr>
              <w:t>%</w:t>
            </w:r>
          </w:p>
        </w:tc>
      </w:tr>
      <w:tr w:rsidR="001614AC" w14:paraId="0B464668" w14:textId="77777777">
        <w:trPr>
          <w:cantSplit/>
        </w:trPr>
        <w:tc>
          <w:tcPr>
            <w:tcW w:w="4500" w:type="dxa"/>
            <w:tcBorders>
              <w:top w:val="single" w:sz="8" w:space="0" w:color="E9E9E9"/>
              <w:left w:val="nil"/>
              <w:bottom w:val="single" w:sz="8" w:space="0" w:color="E9E9E9"/>
              <w:right w:val="nil"/>
            </w:tcBorders>
            <w:tcMar>
              <w:top w:w="0" w:type="dxa"/>
              <w:left w:w="0" w:type="dxa"/>
              <w:bottom w:w="0" w:type="dxa"/>
              <w:right w:w="0" w:type="dxa"/>
            </w:tcMar>
            <w:vAlign w:val="bottom"/>
          </w:tcPr>
          <w:p w14:paraId="6715090F" w14:textId="77777777" w:rsidR="001614AC" w:rsidRDefault="001614AC">
            <w:pPr>
              <w:keepNext/>
            </w:pPr>
          </w:p>
        </w:tc>
        <w:tc>
          <w:tcPr>
            <w:tcW w:w="105" w:type="dxa"/>
            <w:tcBorders>
              <w:top w:val="nil"/>
              <w:left w:val="nil"/>
              <w:bottom w:val="nil"/>
              <w:right w:val="nil"/>
            </w:tcBorders>
            <w:tcMar>
              <w:top w:w="0" w:type="dxa"/>
              <w:left w:w="0" w:type="dxa"/>
              <w:bottom w:w="0" w:type="dxa"/>
              <w:right w:w="0" w:type="dxa"/>
            </w:tcMar>
            <w:vAlign w:val="bottom"/>
          </w:tcPr>
          <w:p w14:paraId="2D097225" w14:textId="77777777" w:rsidR="001614AC" w:rsidRDefault="001614AC">
            <w:pPr>
              <w:keepNext/>
            </w:pPr>
          </w:p>
        </w:tc>
        <w:tc>
          <w:tcPr>
            <w:tcW w:w="1755" w:type="dxa"/>
            <w:gridSpan w:val="3"/>
            <w:tcBorders>
              <w:top w:val="single" w:sz="8" w:space="0" w:color="E9E9E9"/>
              <w:left w:val="nil"/>
              <w:bottom w:val="single" w:sz="8" w:space="0" w:color="E9E9E9"/>
              <w:right w:val="nil"/>
            </w:tcBorders>
            <w:tcMar>
              <w:top w:w="0" w:type="dxa"/>
              <w:left w:w="0" w:type="dxa"/>
              <w:bottom w:w="0" w:type="dxa"/>
              <w:right w:w="0" w:type="dxa"/>
            </w:tcMar>
            <w:vAlign w:val="bottom"/>
          </w:tcPr>
          <w:p w14:paraId="5E6CCC48" w14:textId="77777777" w:rsidR="001614AC" w:rsidRDefault="001614AC">
            <w:pPr>
              <w:keepNext/>
            </w:pPr>
          </w:p>
        </w:tc>
        <w:tc>
          <w:tcPr>
            <w:tcW w:w="105" w:type="dxa"/>
            <w:tcBorders>
              <w:top w:val="nil"/>
              <w:left w:val="nil"/>
              <w:bottom w:val="nil"/>
              <w:right w:val="nil"/>
            </w:tcBorders>
            <w:tcMar>
              <w:top w:w="0" w:type="dxa"/>
              <w:left w:w="0" w:type="dxa"/>
              <w:bottom w:w="0" w:type="dxa"/>
              <w:right w:w="0" w:type="dxa"/>
            </w:tcMar>
            <w:vAlign w:val="bottom"/>
          </w:tcPr>
          <w:p w14:paraId="0EE5D401" w14:textId="77777777" w:rsidR="001614AC" w:rsidRDefault="001614AC">
            <w:pPr>
              <w:keepNext/>
            </w:pPr>
          </w:p>
        </w:tc>
        <w:tc>
          <w:tcPr>
            <w:tcW w:w="1755" w:type="dxa"/>
            <w:gridSpan w:val="3"/>
            <w:tcBorders>
              <w:top w:val="single" w:sz="8" w:space="0" w:color="E9E9E9"/>
              <w:left w:val="nil"/>
              <w:bottom w:val="single" w:sz="8" w:space="0" w:color="E9E9E9"/>
              <w:right w:val="nil"/>
            </w:tcBorders>
            <w:tcMar>
              <w:top w:w="0" w:type="dxa"/>
              <w:left w:w="0" w:type="dxa"/>
              <w:bottom w:w="0" w:type="dxa"/>
              <w:right w:w="0" w:type="dxa"/>
            </w:tcMar>
            <w:vAlign w:val="bottom"/>
          </w:tcPr>
          <w:p w14:paraId="2202E8C8" w14:textId="77777777" w:rsidR="001614AC" w:rsidRDefault="001614AC">
            <w:pPr>
              <w:keepNext/>
            </w:pPr>
          </w:p>
        </w:tc>
        <w:tc>
          <w:tcPr>
            <w:tcW w:w="105" w:type="dxa"/>
            <w:tcBorders>
              <w:top w:val="nil"/>
              <w:left w:val="nil"/>
              <w:bottom w:val="nil"/>
              <w:right w:val="nil"/>
            </w:tcBorders>
            <w:tcMar>
              <w:top w:w="0" w:type="dxa"/>
              <w:left w:w="0" w:type="dxa"/>
              <w:bottom w:w="0" w:type="dxa"/>
              <w:right w:w="0" w:type="dxa"/>
            </w:tcMar>
            <w:vAlign w:val="bottom"/>
          </w:tcPr>
          <w:p w14:paraId="64A8FFE5" w14:textId="77777777" w:rsidR="001614AC" w:rsidRDefault="001614AC">
            <w:pPr>
              <w:keepNext/>
            </w:pPr>
          </w:p>
        </w:tc>
        <w:tc>
          <w:tcPr>
            <w:tcW w:w="1755" w:type="dxa"/>
            <w:gridSpan w:val="3"/>
            <w:tcBorders>
              <w:top w:val="single" w:sz="8" w:space="0" w:color="E9E9E9"/>
              <w:left w:val="nil"/>
              <w:bottom w:val="single" w:sz="8" w:space="0" w:color="E9E9E9"/>
              <w:right w:val="nil"/>
            </w:tcBorders>
            <w:tcMar>
              <w:top w:w="0" w:type="dxa"/>
              <w:left w:w="0" w:type="dxa"/>
              <w:bottom w:w="0" w:type="dxa"/>
              <w:right w:w="0" w:type="dxa"/>
            </w:tcMar>
            <w:vAlign w:val="bottom"/>
          </w:tcPr>
          <w:p w14:paraId="426DD9B8" w14:textId="77777777" w:rsidR="001614AC" w:rsidRDefault="001614AC">
            <w:pPr>
              <w:keepNext/>
            </w:pPr>
          </w:p>
        </w:tc>
      </w:tr>
      <w:tr w:rsidR="001614AC" w14:paraId="71E5B3C6" w14:textId="77777777">
        <w:trPr>
          <w:cantSplit/>
        </w:trPr>
        <w:tc>
          <w:tcPr>
            <w:tcW w:w="4500" w:type="dxa"/>
            <w:tcBorders>
              <w:top w:val="single" w:sz="8" w:space="0" w:color="E9E9E9"/>
              <w:left w:val="nil"/>
              <w:bottom w:val="single" w:sz="8" w:space="0" w:color="E9E9E9"/>
              <w:right w:val="nil"/>
            </w:tcBorders>
            <w:tcMar>
              <w:top w:w="0" w:type="dxa"/>
              <w:left w:w="53" w:type="dxa"/>
              <w:bottom w:w="0" w:type="dxa"/>
              <w:right w:w="53" w:type="dxa"/>
            </w:tcMar>
            <w:vAlign w:val="bottom"/>
          </w:tcPr>
          <w:p w14:paraId="2207C01A" w14:textId="77777777" w:rsidR="001614AC" w:rsidRDefault="004468F9">
            <w:pPr>
              <w:keepNext/>
              <w:spacing w:before="55" w:after="30" w:line="288" w:lineRule="auto"/>
            </w:pPr>
            <w:r>
              <w:rPr>
                <w:rFonts w:ascii="Arial" w:eastAsia="Arial" w:hAnsi="Arial" w:cs="Arial"/>
                <w:color w:val="000000"/>
                <w:sz w:val="18"/>
              </w:rPr>
              <w:t xml:space="preserve">Total primary RIF on defaulted loans </w:t>
            </w:r>
          </w:p>
        </w:tc>
        <w:tc>
          <w:tcPr>
            <w:tcW w:w="105" w:type="dxa"/>
            <w:tcBorders>
              <w:top w:val="nil"/>
              <w:left w:val="nil"/>
              <w:bottom w:val="nil"/>
              <w:right w:val="nil"/>
            </w:tcBorders>
            <w:tcMar>
              <w:top w:w="0" w:type="dxa"/>
              <w:left w:w="0" w:type="dxa"/>
              <w:bottom w:w="0" w:type="dxa"/>
              <w:right w:w="0" w:type="dxa"/>
            </w:tcMar>
            <w:vAlign w:val="bottom"/>
          </w:tcPr>
          <w:p w14:paraId="1E616164" w14:textId="77777777" w:rsidR="001614AC" w:rsidRDefault="001614AC">
            <w:pPr>
              <w:keepNext/>
            </w:pPr>
          </w:p>
        </w:tc>
        <w:tc>
          <w:tcPr>
            <w:tcW w:w="160" w:type="dxa"/>
            <w:tcBorders>
              <w:top w:val="single" w:sz="8" w:space="0" w:color="E9E9E9"/>
              <w:left w:val="nil"/>
              <w:bottom w:val="single" w:sz="8" w:space="0" w:color="E9E9E9"/>
              <w:right w:val="nil"/>
            </w:tcBorders>
            <w:tcMar>
              <w:top w:w="0" w:type="dxa"/>
              <w:left w:w="53" w:type="dxa"/>
              <w:bottom w:w="0" w:type="dxa"/>
              <w:right w:w="0" w:type="dxa"/>
            </w:tcMar>
            <w:vAlign w:val="bottom"/>
          </w:tcPr>
          <w:p w14:paraId="18E1F8CC" w14:textId="77777777" w:rsidR="001614AC" w:rsidRDefault="004468F9">
            <w:pPr>
              <w:keepNext/>
              <w:spacing w:before="55" w:after="30" w:line="288" w:lineRule="auto"/>
            </w:pPr>
            <w:r>
              <w:rPr>
                <w:rFonts w:ascii="Arial" w:eastAsia="Arial" w:hAnsi="Arial" w:cs="Arial"/>
                <w:color w:val="000000"/>
                <w:sz w:val="18"/>
              </w:rPr>
              <w:t>$</w:t>
            </w:r>
          </w:p>
        </w:tc>
        <w:tc>
          <w:tcPr>
            <w:tcW w:w="1495" w:type="dxa"/>
            <w:tcBorders>
              <w:top w:val="single" w:sz="8" w:space="0" w:color="E9E9E9"/>
              <w:left w:val="nil"/>
              <w:bottom w:val="single" w:sz="8" w:space="0" w:color="E9E9E9"/>
              <w:right w:val="nil"/>
            </w:tcBorders>
            <w:tcMar>
              <w:top w:w="0" w:type="dxa"/>
              <w:left w:w="0" w:type="dxa"/>
              <w:bottom w:w="0" w:type="dxa"/>
              <w:right w:w="0" w:type="dxa"/>
            </w:tcMar>
            <w:vAlign w:val="bottom"/>
          </w:tcPr>
          <w:p w14:paraId="301257D1" w14:textId="77777777" w:rsidR="001614AC" w:rsidRDefault="004468F9">
            <w:pPr>
              <w:keepNext/>
              <w:spacing w:before="55" w:after="30" w:line="288" w:lineRule="auto"/>
              <w:jc w:val="right"/>
            </w:pPr>
            <w:r>
              <w:rPr>
                <w:rFonts w:ascii="Arial" w:eastAsia="Arial" w:hAnsi="Arial" w:cs="Arial"/>
                <w:color w:val="000000"/>
                <w:sz w:val="18"/>
              </w:rPr>
              <w:t>2,345 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4ABFBF1F" w14:textId="77777777" w:rsidR="001614AC" w:rsidRDefault="001614AC">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3913EC11" w14:textId="77777777" w:rsidR="001614AC" w:rsidRDefault="001614AC">
            <w:pPr>
              <w:keepNext/>
            </w:pPr>
          </w:p>
        </w:tc>
        <w:tc>
          <w:tcPr>
            <w:tcW w:w="160" w:type="dxa"/>
            <w:tcBorders>
              <w:top w:val="single" w:sz="8" w:space="0" w:color="E9E9E9"/>
              <w:left w:val="nil"/>
              <w:bottom w:val="single" w:sz="8" w:space="0" w:color="E9E9E9"/>
              <w:right w:val="nil"/>
            </w:tcBorders>
            <w:tcMar>
              <w:top w:w="0" w:type="dxa"/>
              <w:left w:w="53" w:type="dxa"/>
              <w:bottom w:w="0" w:type="dxa"/>
              <w:right w:w="0" w:type="dxa"/>
            </w:tcMar>
            <w:vAlign w:val="bottom"/>
          </w:tcPr>
          <w:p w14:paraId="4C541FEB" w14:textId="77777777" w:rsidR="001614AC" w:rsidRDefault="004468F9">
            <w:pPr>
              <w:keepNext/>
              <w:spacing w:before="55" w:after="30" w:line="288" w:lineRule="auto"/>
            </w:pPr>
            <w:r>
              <w:rPr>
                <w:rFonts w:ascii="Arial" w:eastAsia="Arial" w:hAnsi="Arial" w:cs="Arial"/>
                <w:color w:val="000000"/>
                <w:sz w:val="18"/>
              </w:rPr>
              <w:t>$</w:t>
            </w:r>
          </w:p>
        </w:tc>
        <w:tc>
          <w:tcPr>
            <w:tcW w:w="1495" w:type="dxa"/>
            <w:tcBorders>
              <w:top w:val="single" w:sz="8" w:space="0" w:color="E9E9E9"/>
              <w:left w:val="nil"/>
              <w:bottom w:val="single" w:sz="8" w:space="0" w:color="E9E9E9"/>
              <w:right w:val="nil"/>
            </w:tcBorders>
            <w:tcMar>
              <w:top w:w="0" w:type="dxa"/>
              <w:left w:w="0" w:type="dxa"/>
              <w:bottom w:w="0" w:type="dxa"/>
              <w:right w:w="0" w:type="dxa"/>
            </w:tcMar>
            <w:vAlign w:val="bottom"/>
          </w:tcPr>
          <w:p w14:paraId="525948BF" w14:textId="77777777" w:rsidR="001614AC" w:rsidRDefault="004468F9">
            <w:pPr>
              <w:keepNext/>
              <w:spacing w:before="55" w:after="30" w:line="288" w:lineRule="auto"/>
              <w:jc w:val="right"/>
            </w:pPr>
            <w:r>
              <w:rPr>
                <w:rFonts w:ascii="Arial" w:eastAsia="Arial" w:hAnsi="Arial" w:cs="Arial"/>
                <w:color w:val="000000"/>
                <w:sz w:val="18"/>
              </w:rPr>
              <w:t>3,250 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4648A113" w14:textId="77777777" w:rsidR="001614AC" w:rsidRDefault="001614AC">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6B584000" w14:textId="77777777" w:rsidR="001614AC" w:rsidRDefault="001614AC">
            <w:pPr>
              <w:keepNext/>
            </w:pPr>
          </w:p>
        </w:tc>
        <w:tc>
          <w:tcPr>
            <w:tcW w:w="160" w:type="dxa"/>
            <w:tcBorders>
              <w:top w:val="single" w:sz="8" w:space="0" w:color="E9E9E9"/>
              <w:left w:val="nil"/>
              <w:bottom w:val="single" w:sz="8" w:space="0" w:color="E9E9E9"/>
              <w:right w:val="nil"/>
            </w:tcBorders>
            <w:tcMar>
              <w:top w:w="0" w:type="dxa"/>
              <w:left w:w="53" w:type="dxa"/>
              <w:bottom w:w="0" w:type="dxa"/>
              <w:right w:w="0" w:type="dxa"/>
            </w:tcMar>
            <w:vAlign w:val="bottom"/>
          </w:tcPr>
          <w:p w14:paraId="339C21A2" w14:textId="77777777" w:rsidR="001614AC" w:rsidRDefault="004468F9">
            <w:pPr>
              <w:keepNext/>
              <w:spacing w:before="55" w:after="30" w:line="288" w:lineRule="auto"/>
            </w:pPr>
            <w:r>
              <w:rPr>
                <w:rFonts w:ascii="Arial" w:eastAsia="Arial" w:hAnsi="Arial" w:cs="Arial"/>
                <w:color w:val="000000"/>
                <w:sz w:val="18"/>
              </w:rPr>
              <w:t>$</w:t>
            </w:r>
          </w:p>
        </w:tc>
        <w:tc>
          <w:tcPr>
            <w:tcW w:w="1495" w:type="dxa"/>
            <w:tcBorders>
              <w:top w:val="single" w:sz="8" w:space="0" w:color="E9E9E9"/>
              <w:left w:val="nil"/>
              <w:bottom w:val="single" w:sz="8" w:space="0" w:color="E9E9E9"/>
              <w:right w:val="nil"/>
            </w:tcBorders>
            <w:tcMar>
              <w:top w:w="0" w:type="dxa"/>
              <w:left w:w="0" w:type="dxa"/>
              <w:bottom w:w="0" w:type="dxa"/>
              <w:right w:w="0" w:type="dxa"/>
            </w:tcMar>
            <w:vAlign w:val="bottom"/>
          </w:tcPr>
          <w:p w14:paraId="07C31168" w14:textId="77777777" w:rsidR="001614AC" w:rsidRDefault="004468F9">
            <w:pPr>
              <w:keepNext/>
              <w:spacing w:before="55" w:after="30" w:line="288" w:lineRule="auto"/>
              <w:jc w:val="right"/>
            </w:pPr>
            <w:r>
              <w:rPr>
                <w:rFonts w:ascii="Arial" w:eastAsia="Arial" w:hAnsi="Arial" w:cs="Arial"/>
                <w:color w:val="000000"/>
                <w:sz w:val="18"/>
              </w:rPr>
              <w:t>4,263 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617F762E" w14:textId="77777777" w:rsidR="001614AC" w:rsidRDefault="001614AC">
            <w:pPr>
              <w:keepNext/>
              <w:spacing w:before="55" w:after="30" w:line="288" w:lineRule="auto"/>
              <w:jc w:val="right"/>
            </w:pPr>
          </w:p>
        </w:tc>
      </w:tr>
      <w:tr w:rsidR="001614AC" w14:paraId="4C0C766D" w14:textId="77777777">
        <w:trPr>
          <w:cantSplit/>
        </w:trPr>
        <w:tc>
          <w:tcPr>
            <w:tcW w:w="4500" w:type="dxa"/>
            <w:tcBorders>
              <w:top w:val="single" w:sz="8" w:space="0" w:color="E9E9E9"/>
              <w:left w:val="nil"/>
              <w:bottom w:val="single" w:sz="8" w:space="0" w:color="E9E9E9"/>
              <w:right w:val="nil"/>
            </w:tcBorders>
            <w:tcMar>
              <w:top w:w="0" w:type="dxa"/>
              <w:left w:w="0" w:type="dxa"/>
              <w:bottom w:w="0" w:type="dxa"/>
              <w:right w:w="0" w:type="dxa"/>
            </w:tcMar>
            <w:vAlign w:val="bottom"/>
          </w:tcPr>
          <w:p w14:paraId="142EB6CE" w14:textId="77777777" w:rsidR="001614AC" w:rsidRDefault="001614AC">
            <w:pPr>
              <w:keepNext/>
            </w:pPr>
          </w:p>
        </w:tc>
        <w:tc>
          <w:tcPr>
            <w:tcW w:w="105" w:type="dxa"/>
            <w:tcBorders>
              <w:top w:val="nil"/>
              <w:left w:val="nil"/>
              <w:bottom w:val="nil"/>
              <w:right w:val="nil"/>
            </w:tcBorders>
            <w:tcMar>
              <w:top w:w="0" w:type="dxa"/>
              <w:left w:w="0" w:type="dxa"/>
              <w:bottom w:w="0" w:type="dxa"/>
              <w:right w:w="0" w:type="dxa"/>
            </w:tcMar>
            <w:vAlign w:val="bottom"/>
          </w:tcPr>
          <w:p w14:paraId="5F27CAAF" w14:textId="77777777" w:rsidR="001614AC" w:rsidRDefault="001614AC">
            <w:pPr>
              <w:keepNext/>
            </w:pPr>
          </w:p>
        </w:tc>
        <w:tc>
          <w:tcPr>
            <w:tcW w:w="1755" w:type="dxa"/>
            <w:gridSpan w:val="3"/>
            <w:tcBorders>
              <w:top w:val="single" w:sz="8" w:space="0" w:color="E9E9E9"/>
              <w:left w:val="nil"/>
              <w:bottom w:val="single" w:sz="8" w:space="0" w:color="E9E9E9"/>
              <w:right w:val="nil"/>
            </w:tcBorders>
            <w:tcMar>
              <w:top w:w="0" w:type="dxa"/>
              <w:left w:w="0" w:type="dxa"/>
              <w:bottom w:w="0" w:type="dxa"/>
              <w:right w:w="0" w:type="dxa"/>
            </w:tcMar>
            <w:vAlign w:val="bottom"/>
          </w:tcPr>
          <w:p w14:paraId="14979137" w14:textId="77777777" w:rsidR="001614AC" w:rsidRDefault="001614AC">
            <w:pPr>
              <w:keepNext/>
            </w:pPr>
          </w:p>
        </w:tc>
        <w:tc>
          <w:tcPr>
            <w:tcW w:w="105" w:type="dxa"/>
            <w:tcBorders>
              <w:top w:val="nil"/>
              <w:left w:val="nil"/>
              <w:bottom w:val="nil"/>
              <w:right w:val="nil"/>
            </w:tcBorders>
            <w:tcMar>
              <w:top w:w="0" w:type="dxa"/>
              <w:left w:w="0" w:type="dxa"/>
              <w:bottom w:w="0" w:type="dxa"/>
              <w:right w:w="0" w:type="dxa"/>
            </w:tcMar>
            <w:vAlign w:val="bottom"/>
          </w:tcPr>
          <w:p w14:paraId="15AAA534" w14:textId="77777777" w:rsidR="001614AC" w:rsidRDefault="001614AC">
            <w:pPr>
              <w:keepNext/>
            </w:pPr>
          </w:p>
        </w:tc>
        <w:tc>
          <w:tcPr>
            <w:tcW w:w="1755" w:type="dxa"/>
            <w:gridSpan w:val="3"/>
            <w:tcBorders>
              <w:top w:val="single" w:sz="8" w:space="0" w:color="E9E9E9"/>
              <w:left w:val="nil"/>
              <w:bottom w:val="single" w:sz="8" w:space="0" w:color="E9E9E9"/>
              <w:right w:val="nil"/>
            </w:tcBorders>
            <w:tcMar>
              <w:top w:w="0" w:type="dxa"/>
              <w:left w:w="0" w:type="dxa"/>
              <w:bottom w:w="0" w:type="dxa"/>
              <w:right w:w="0" w:type="dxa"/>
            </w:tcMar>
            <w:vAlign w:val="bottom"/>
          </w:tcPr>
          <w:p w14:paraId="4E907489" w14:textId="77777777" w:rsidR="001614AC" w:rsidRDefault="001614AC">
            <w:pPr>
              <w:keepNext/>
            </w:pPr>
          </w:p>
        </w:tc>
        <w:tc>
          <w:tcPr>
            <w:tcW w:w="105" w:type="dxa"/>
            <w:tcBorders>
              <w:top w:val="nil"/>
              <w:left w:val="nil"/>
              <w:bottom w:val="nil"/>
              <w:right w:val="nil"/>
            </w:tcBorders>
            <w:tcMar>
              <w:top w:w="0" w:type="dxa"/>
              <w:left w:w="0" w:type="dxa"/>
              <w:bottom w:w="0" w:type="dxa"/>
              <w:right w:w="0" w:type="dxa"/>
            </w:tcMar>
            <w:vAlign w:val="bottom"/>
          </w:tcPr>
          <w:p w14:paraId="16D391E6" w14:textId="77777777" w:rsidR="001614AC" w:rsidRDefault="001614AC">
            <w:pPr>
              <w:keepNext/>
            </w:pPr>
          </w:p>
        </w:tc>
        <w:tc>
          <w:tcPr>
            <w:tcW w:w="1755" w:type="dxa"/>
            <w:gridSpan w:val="3"/>
            <w:tcBorders>
              <w:top w:val="single" w:sz="8" w:space="0" w:color="E9E9E9"/>
              <w:left w:val="nil"/>
              <w:bottom w:val="single" w:sz="8" w:space="0" w:color="E9E9E9"/>
              <w:right w:val="nil"/>
            </w:tcBorders>
            <w:tcMar>
              <w:top w:w="0" w:type="dxa"/>
              <w:left w:w="0" w:type="dxa"/>
              <w:bottom w:w="0" w:type="dxa"/>
              <w:right w:w="0" w:type="dxa"/>
            </w:tcMar>
            <w:vAlign w:val="bottom"/>
          </w:tcPr>
          <w:p w14:paraId="4D90EE22" w14:textId="77777777" w:rsidR="001614AC" w:rsidRDefault="001614AC">
            <w:pPr>
              <w:keepNext/>
            </w:pPr>
          </w:p>
        </w:tc>
      </w:tr>
      <w:tr w:rsidR="001614AC" w14:paraId="07024FB8" w14:textId="77777777">
        <w:trPr>
          <w:cantSplit/>
        </w:trPr>
        <w:tc>
          <w:tcPr>
            <w:tcW w:w="4500" w:type="dxa"/>
            <w:tcBorders>
              <w:top w:val="single" w:sz="8" w:space="0" w:color="E9E9E9"/>
              <w:left w:val="nil"/>
              <w:bottom w:val="single" w:sz="8" w:space="0" w:color="E9E9E9"/>
              <w:right w:val="nil"/>
            </w:tcBorders>
            <w:tcMar>
              <w:top w:w="0" w:type="dxa"/>
              <w:left w:w="53" w:type="dxa"/>
              <w:bottom w:w="0" w:type="dxa"/>
              <w:right w:w="53" w:type="dxa"/>
            </w:tcMar>
            <w:vAlign w:val="bottom"/>
          </w:tcPr>
          <w:p w14:paraId="152818E7" w14:textId="77777777" w:rsidR="001614AC" w:rsidRDefault="004468F9">
            <w:pPr>
              <w:keepNext/>
              <w:spacing w:before="55" w:after="30" w:line="288" w:lineRule="auto"/>
            </w:pPr>
            <w:r>
              <w:rPr>
                <w:rFonts w:ascii="Arial" w:eastAsia="Arial" w:hAnsi="Arial" w:cs="Arial"/>
                <w:color w:val="000000"/>
                <w:sz w:val="18"/>
              </w:rPr>
              <w:t xml:space="preserve">Persistency Rate (12 months ended) </w:t>
            </w:r>
          </w:p>
        </w:tc>
        <w:tc>
          <w:tcPr>
            <w:tcW w:w="105" w:type="dxa"/>
            <w:tcBorders>
              <w:top w:val="nil"/>
              <w:left w:val="nil"/>
              <w:bottom w:val="nil"/>
              <w:right w:val="nil"/>
            </w:tcBorders>
            <w:tcMar>
              <w:top w:w="0" w:type="dxa"/>
              <w:left w:w="0" w:type="dxa"/>
              <w:bottom w:w="0" w:type="dxa"/>
              <w:right w:w="0" w:type="dxa"/>
            </w:tcMar>
            <w:vAlign w:val="bottom"/>
          </w:tcPr>
          <w:p w14:paraId="3E501F93" w14:textId="77777777" w:rsidR="001614AC" w:rsidRDefault="001614AC">
            <w:pPr>
              <w:keepNext/>
            </w:pPr>
          </w:p>
        </w:tc>
        <w:tc>
          <w:tcPr>
            <w:tcW w:w="165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22D81316" w14:textId="77777777" w:rsidR="001614AC" w:rsidRDefault="004468F9">
            <w:pPr>
              <w:keepNext/>
              <w:spacing w:before="55" w:after="30" w:line="288" w:lineRule="auto"/>
              <w:jc w:val="right"/>
            </w:pPr>
            <w:r>
              <w:rPr>
                <w:rFonts w:ascii="Arial" w:eastAsia="Arial" w:hAnsi="Arial" w:cs="Arial"/>
                <w:color w:val="000000"/>
                <w:sz w:val="18"/>
              </w:rPr>
              <w:t>57.7 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5660EDCF" w14:textId="77777777" w:rsidR="001614AC" w:rsidRDefault="004468F9">
            <w:pPr>
              <w:keepNext/>
              <w:spacing w:before="55" w:after="30" w:line="288" w:lineRule="auto"/>
              <w:jc w:val="right"/>
            </w:pPr>
            <w:r>
              <w:rPr>
                <w:rFonts w:ascii="Arial" w:eastAsia="Arial" w:hAnsi="Arial" w:cs="Arial"/>
                <w:color w:val="000000"/>
                <w:sz w:val="18"/>
              </w:rPr>
              <w:t>%</w:t>
            </w:r>
          </w:p>
        </w:tc>
        <w:tc>
          <w:tcPr>
            <w:tcW w:w="105" w:type="dxa"/>
            <w:tcBorders>
              <w:top w:val="nil"/>
              <w:left w:val="nil"/>
              <w:bottom w:val="nil"/>
              <w:right w:val="nil"/>
            </w:tcBorders>
            <w:tcMar>
              <w:top w:w="0" w:type="dxa"/>
              <w:left w:w="0" w:type="dxa"/>
              <w:bottom w:w="0" w:type="dxa"/>
              <w:right w:w="0" w:type="dxa"/>
            </w:tcMar>
            <w:vAlign w:val="bottom"/>
          </w:tcPr>
          <w:p w14:paraId="5F900E97" w14:textId="77777777" w:rsidR="001614AC" w:rsidRDefault="001614AC">
            <w:pPr>
              <w:keepNext/>
            </w:pPr>
          </w:p>
        </w:tc>
        <w:tc>
          <w:tcPr>
            <w:tcW w:w="165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348CA261" w14:textId="77777777" w:rsidR="001614AC" w:rsidRDefault="004468F9">
            <w:pPr>
              <w:keepNext/>
              <w:spacing w:before="55" w:after="30" w:line="288" w:lineRule="auto"/>
              <w:jc w:val="right"/>
            </w:pPr>
            <w:r>
              <w:rPr>
                <w:rFonts w:ascii="Arial" w:eastAsia="Arial" w:hAnsi="Arial" w:cs="Arial"/>
                <w:color w:val="000000"/>
                <w:sz w:val="18"/>
              </w:rPr>
              <w:t>61.2 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123E2FD1" w14:textId="77777777" w:rsidR="001614AC" w:rsidRDefault="004468F9">
            <w:pPr>
              <w:keepNext/>
              <w:spacing w:before="55" w:after="30" w:line="288" w:lineRule="auto"/>
              <w:jc w:val="right"/>
            </w:pPr>
            <w:r>
              <w:rPr>
                <w:rFonts w:ascii="Arial" w:eastAsia="Arial" w:hAnsi="Arial" w:cs="Arial"/>
                <w:color w:val="000000"/>
                <w:sz w:val="18"/>
              </w:rPr>
              <w:t>%</w:t>
            </w:r>
          </w:p>
        </w:tc>
        <w:tc>
          <w:tcPr>
            <w:tcW w:w="105" w:type="dxa"/>
            <w:tcBorders>
              <w:top w:val="nil"/>
              <w:left w:val="nil"/>
              <w:bottom w:val="nil"/>
              <w:right w:val="nil"/>
            </w:tcBorders>
            <w:tcMar>
              <w:top w:w="0" w:type="dxa"/>
              <w:left w:w="0" w:type="dxa"/>
              <w:bottom w:w="0" w:type="dxa"/>
              <w:right w:w="0" w:type="dxa"/>
            </w:tcMar>
            <w:vAlign w:val="bottom"/>
          </w:tcPr>
          <w:p w14:paraId="76BD30D3" w14:textId="77777777" w:rsidR="001614AC" w:rsidRDefault="001614AC">
            <w:pPr>
              <w:keepNext/>
            </w:pPr>
          </w:p>
        </w:tc>
        <w:tc>
          <w:tcPr>
            <w:tcW w:w="165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53070EEE" w14:textId="77777777" w:rsidR="001614AC" w:rsidRDefault="004468F9">
            <w:pPr>
              <w:keepNext/>
              <w:spacing w:before="55" w:after="30" w:line="288" w:lineRule="auto"/>
              <w:jc w:val="right"/>
            </w:pPr>
            <w:r>
              <w:rPr>
                <w:rFonts w:ascii="Arial" w:eastAsia="Arial" w:hAnsi="Arial" w:cs="Arial"/>
                <w:color w:val="000000"/>
                <w:sz w:val="18"/>
              </w:rPr>
              <w:t>70.2 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50D4991A" w14:textId="77777777" w:rsidR="001614AC" w:rsidRDefault="004468F9">
            <w:pPr>
              <w:keepNext/>
              <w:spacing w:before="55" w:after="30" w:line="288" w:lineRule="auto"/>
              <w:jc w:val="right"/>
            </w:pPr>
            <w:r>
              <w:rPr>
                <w:rFonts w:ascii="Arial" w:eastAsia="Arial" w:hAnsi="Arial" w:cs="Arial"/>
                <w:color w:val="000000"/>
                <w:sz w:val="18"/>
              </w:rPr>
              <w:t>%</w:t>
            </w:r>
          </w:p>
        </w:tc>
      </w:tr>
      <w:tr w:rsidR="001614AC" w14:paraId="19C43C8D" w14:textId="77777777">
        <w:trPr>
          <w:cantSplit/>
        </w:trPr>
        <w:tc>
          <w:tcPr>
            <w:tcW w:w="4500" w:type="dxa"/>
            <w:tcBorders>
              <w:top w:val="single" w:sz="8" w:space="0" w:color="E9E9E9"/>
              <w:left w:val="nil"/>
              <w:bottom w:val="single" w:sz="8" w:space="0" w:color="E9E9E9"/>
              <w:right w:val="nil"/>
            </w:tcBorders>
            <w:tcMar>
              <w:top w:w="0" w:type="dxa"/>
              <w:left w:w="53" w:type="dxa"/>
              <w:bottom w:w="0" w:type="dxa"/>
              <w:right w:w="53" w:type="dxa"/>
            </w:tcMar>
            <w:vAlign w:val="bottom"/>
          </w:tcPr>
          <w:p w14:paraId="7EB8EE14" w14:textId="77777777" w:rsidR="001614AC" w:rsidRDefault="004468F9">
            <w:pPr>
              <w:keepNext/>
              <w:spacing w:before="55" w:after="30" w:line="288" w:lineRule="auto"/>
              <w:rPr>
                <w:rFonts w:ascii="Arial" w:eastAsia="Arial" w:hAnsi="Arial" w:cs="Arial"/>
                <w:sz w:val="18"/>
              </w:rPr>
            </w:pPr>
            <w:r>
              <w:rPr>
                <w:rFonts w:ascii="Arial" w:eastAsia="Arial" w:hAnsi="Arial" w:cs="Arial"/>
                <w:sz w:val="18"/>
              </w:rPr>
              <w:t xml:space="preserve">Persistency Rate (quarterly, annualized) </w:t>
            </w:r>
            <w:r>
              <w:rPr>
                <w:rFonts w:ascii="Arial" w:eastAsia="Arial" w:hAnsi="Arial" w:cs="Arial"/>
                <w:sz w:val="18"/>
                <w:vertAlign w:val="superscript"/>
              </w:rPr>
              <w:t xml:space="preserve">(1) </w:t>
            </w:r>
          </w:p>
        </w:tc>
        <w:tc>
          <w:tcPr>
            <w:tcW w:w="105" w:type="dxa"/>
            <w:tcBorders>
              <w:top w:val="nil"/>
              <w:left w:val="nil"/>
              <w:bottom w:val="nil"/>
              <w:right w:val="nil"/>
            </w:tcBorders>
            <w:tcMar>
              <w:top w:w="0" w:type="dxa"/>
              <w:left w:w="0" w:type="dxa"/>
              <w:bottom w:w="0" w:type="dxa"/>
              <w:right w:w="0" w:type="dxa"/>
            </w:tcMar>
            <w:vAlign w:val="bottom"/>
          </w:tcPr>
          <w:p w14:paraId="179263DD" w14:textId="77777777" w:rsidR="001614AC" w:rsidRDefault="001614AC">
            <w:pPr>
              <w:keepNext/>
            </w:pPr>
          </w:p>
        </w:tc>
        <w:tc>
          <w:tcPr>
            <w:tcW w:w="165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660DCCA8" w14:textId="77777777" w:rsidR="001614AC" w:rsidRDefault="004468F9">
            <w:pPr>
              <w:keepNext/>
              <w:spacing w:before="55" w:after="30" w:line="288" w:lineRule="auto"/>
              <w:jc w:val="right"/>
            </w:pPr>
            <w:r>
              <w:rPr>
                <w:rFonts w:ascii="Arial" w:eastAsia="Arial" w:hAnsi="Arial" w:cs="Arial"/>
                <w:color w:val="000000"/>
                <w:sz w:val="18"/>
              </w:rPr>
              <w:t>66.3 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3A712BCA" w14:textId="77777777" w:rsidR="001614AC" w:rsidRDefault="004468F9">
            <w:pPr>
              <w:keepNext/>
              <w:spacing w:before="55" w:after="30" w:line="288" w:lineRule="auto"/>
              <w:jc w:val="right"/>
            </w:pPr>
            <w:r>
              <w:rPr>
                <w:rFonts w:ascii="Arial" w:eastAsia="Arial" w:hAnsi="Arial" w:cs="Arial"/>
                <w:color w:val="000000"/>
                <w:sz w:val="18"/>
              </w:rPr>
              <w:t>%</w:t>
            </w:r>
          </w:p>
        </w:tc>
        <w:tc>
          <w:tcPr>
            <w:tcW w:w="105" w:type="dxa"/>
            <w:tcBorders>
              <w:top w:val="nil"/>
              <w:left w:val="nil"/>
              <w:bottom w:val="nil"/>
              <w:right w:val="nil"/>
            </w:tcBorders>
            <w:tcMar>
              <w:top w:w="0" w:type="dxa"/>
              <w:left w:w="0" w:type="dxa"/>
              <w:bottom w:w="0" w:type="dxa"/>
              <w:right w:w="0" w:type="dxa"/>
            </w:tcMar>
            <w:vAlign w:val="bottom"/>
          </w:tcPr>
          <w:p w14:paraId="22A9A74C" w14:textId="77777777" w:rsidR="001614AC" w:rsidRDefault="001614AC">
            <w:pPr>
              <w:keepNext/>
            </w:pPr>
          </w:p>
        </w:tc>
        <w:tc>
          <w:tcPr>
            <w:tcW w:w="165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6183C9F3" w14:textId="77777777" w:rsidR="001614AC" w:rsidRDefault="004468F9">
            <w:pPr>
              <w:keepNext/>
              <w:spacing w:before="55" w:after="30" w:line="288" w:lineRule="auto"/>
              <w:jc w:val="right"/>
            </w:pPr>
            <w:r>
              <w:rPr>
                <w:rFonts w:ascii="Arial" w:eastAsia="Arial" w:hAnsi="Arial" w:cs="Arial"/>
                <w:color w:val="000000"/>
                <w:sz w:val="18"/>
              </w:rPr>
              <w:t>60.4 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17E76A16" w14:textId="77777777" w:rsidR="001614AC" w:rsidRDefault="004468F9">
            <w:pPr>
              <w:keepNext/>
              <w:spacing w:before="55" w:after="30" w:line="288" w:lineRule="auto"/>
              <w:jc w:val="right"/>
            </w:pPr>
            <w:r>
              <w:rPr>
                <w:rFonts w:ascii="Arial" w:eastAsia="Arial" w:hAnsi="Arial" w:cs="Arial"/>
                <w:color w:val="000000"/>
                <w:sz w:val="18"/>
              </w:rPr>
              <w:t>%</w:t>
            </w:r>
          </w:p>
        </w:tc>
        <w:tc>
          <w:tcPr>
            <w:tcW w:w="105" w:type="dxa"/>
            <w:tcBorders>
              <w:top w:val="nil"/>
              <w:left w:val="nil"/>
              <w:bottom w:val="nil"/>
              <w:right w:val="nil"/>
            </w:tcBorders>
            <w:tcMar>
              <w:top w:w="0" w:type="dxa"/>
              <w:left w:w="0" w:type="dxa"/>
              <w:bottom w:w="0" w:type="dxa"/>
              <w:right w:w="0" w:type="dxa"/>
            </w:tcMar>
            <w:vAlign w:val="bottom"/>
          </w:tcPr>
          <w:p w14:paraId="23DD9CAB" w14:textId="77777777" w:rsidR="001614AC" w:rsidRDefault="001614AC">
            <w:pPr>
              <w:keepNext/>
            </w:pPr>
          </w:p>
        </w:tc>
        <w:tc>
          <w:tcPr>
            <w:tcW w:w="165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07D01B53" w14:textId="77777777" w:rsidR="001614AC" w:rsidRDefault="004468F9">
            <w:pPr>
              <w:keepNext/>
              <w:spacing w:before="55" w:after="30" w:line="288" w:lineRule="auto"/>
              <w:jc w:val="right"/>
            </w:pPr>
            <w:r>
              <w:rPr>
                <w:rFonts w:ascii="Arial" w:eastAsia="Arial" w:hAnsi="Arial" w:cs="Arial"/>
                <w:color w:val="000000"/>
                <w:sz w:val="18"/>
              </w:rPr>
              <w:t>63.8 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55B4F267" w14:textId="77777777" w:rsidR="001614AC" w:rsidRDefault="004468F9">
            <w:pPr>
              <w:keepNext/>
              <w:spacing w:before="55" w:after="30" w:line="288" w:lineRule="auto"/>
              <w:jc w:val="right"/>
            </w:pPr>
            <w:r>
              <w:rPr>
                <w:rFonts w:ascii="Arial" w:eastAsia="Arial" w:hAnsi="Arial" w:cs="Arial"/>
                <w:color w:val="000000"/>
                <w:sz w:val="18"/>
              </w:rPr>
              <w:t>%</w:t>
            </w:r>
          </w:p>
        </w:tc>
      </w:tr>
      <w:tr w:rsidR="001614AC" w14:paraId="4AA2DFCF" w14:textId="77777777">
        <w:trPr>
          <w:cantSplit/>
        </w:trPr>
        <w:tc>
          <w:tcPr>
            <w:tcW w:w="4500" w:type="dxa"/>
            <w:tcBorders>
              <w:top w:val="single" w:sz="8" w:space="0" w:color="E9E9E9"/>
              <w:left w:val="nil"/>
              <w:bottom w:val="single" w:sz="8" w:space="0" w:color="E9E9E9"/>
              <w:right w:val="nil"/>
            </w:tcBorders>
            <w:tcMar>
              <w:top w:w="0" w:type="dxa"/>
              <w:left w:w="0" w:type="dxa"/>
              <w:bottom w:w="0" w:type="dxa"/>
              <w:right w:w="0" w:type="dxa"/>
            </w:tcMar>
            <w:vAlign w:val="bottom"/>
          </w:tcPr>
          <w:p w14:paraId="1853AC9D" w14:textId="77777777" w:rsidR="001614AC" w:rsidRDefault="001614AC">
            <w:pPr>
              <w:keepNext/>
            </w:pPr>
          </w:p>
        </w:tc>
        <w:tc>
          <w:tcPr>
            <w:tcW w:w="105" w:type="dxa"/>
            <w:tcBorders>
              <w:top w:val="nil"/>
              <w:left w:val="nil"/>
              <w:bottom w:val="nil"/>
              <w:right w:val="nil"/>
            </w:tcBorders>
            <w:tcMar>
              <w:top w:w="0" w:type="dxa"/>
              <w:left w:w="0" w:type="dxa"/>
              <w:bottom w:w="0" w:type="dxa"/>
              <w:right w:w="0" w:type="dxa"/>
            </w:tcMar>
            <w:vAlign w:val="bottom"/>
          </w:tcPr>
          <w:p w14:paraId="5D11D023" w14:textId="77777777" w:rsidR="001614AC" w:rsidRDefault="001614AC">
            <w:pPr>
              <w:keepNext/>
            </w:pPr>
          </w:p>
        </w:tc>
        <w:tc>
          <w:tcPr>
            <w:tcW w:w="1755" w:type="dxa"/>
            <w:gridSpan w:val="3"/>
            <w:tcBorders>
              <w:top w:val="single" w:sz="8" w:space="0" w:color="E9E9E9"/>
              <w:left w:val="nil"/>
              <w:bottom w:val="single" w:sz="8" w:space="0" w:color="E9E9E9"/>
              <w:right w:val="nil"/>
            </w:tcBorders>
            <w:tcMar>
              <w:top w:w="0" w:type="dxa"/>
              <w:left w:w="0" w:type="dxa"/>
              <w:bottom w:w="0" w:type="dxa"/>
              <w:right w:w="0" w:type="dxa"/>
            </w:tcMar>
            <w:vAlign w:val="bottom"/>
          </w:tcPr>
          <w:p w14:paraId="0F6AA509" w14:textId="77777777" w:rsidR="001614AC" w:rsidRDefault="001614AC">
            <w:pPr>
              <w:keepNext/>
            </w:pPr>
          </w:p>
        </w:tc>
        <w:tc>
          <w:tcPr>
            <w:tcW w:w="105" w:type="dxa"/>
            <w:tcBorders>
              <w:top w:val="nil"/>
              <w:left w:val="nil"/>
              <w:bottom w:val="nil"/>
              <w:right w:val="nil"/>
            </w:tcBorders>
            <w:tcMar>
              <w:top w:w="0" w:type="dxa"/>
              <w:left w:w="0" w:type="dxa"/>
              <w:bottom w:w="0" w:type="dxa"/>
              <w:right w:w="0" w:type="dxa"/>
            </w:tcMar>
            <w:vAlign w:val="bottom"/>
          </w:tcPr>
          <w:p w14:paraId="094A0757" w14:textId="77777777" w:rsidR="001614AC" w:rsidRDefault="001614AC">
            <w:pPr>
              <w:keepNext/>
            </w:pPr>
          </w:p>
        </w:tc>
        <w:tc>
          <w:tcPr>
            <w:tcW w:w="1755" w:type="dxa"/>
            <w:gridSpan w:val="3"/>
            <w:tcBorders>
              <w:top w:val="single" w:sz="8" w:space="0" w:color="E9E9E9"/>
              <w:left w:val="nil"/>
              <w:bottom w:val="single" w:sz="8" w:space="0" w:color="E9E9E9"/>
              <w:right w:val="nil"/>
            </w:tcBorders>
            <w:tcMar>
              <w:top w:w="0" w:type="dxa"/>
              <w:left w:w="0" w:type="dxa"/>
              <w:bottom w:w="0" w:type="dxa"/>
              <w:right w:w="0" w:type="dxa"/>
            </w:tcMar>
            <w:vAlign w:val="bottom"/>
          </w:tcPr>
          <w:p w14:paraId="78084980" w14:textId="77777777" w:rsidR="001614AC" w:rsidRDefault="001614AC">
            <w:pPr>
              <w:keepNext/>
            </w:pPr>
          </w:p>
        </w:tc>
        <w:tc>
          <w:tcPr>
            <w:tcW w:w="105" w:type="dxa"/>
            <w:tcBorders>
              <w:top w:val="nil"/>
              <w:left w:val="nil"/>
              <w:bottom w:val="nil"/>
              <w:right w:val="nil"/>
            </w:tcBorders>
            <w:tcMar>
              <w:top w:w="0" w:type="dxa"/>
              <w:left w:w="0" w:type="dxa"/>
              <w:bottom w:w="0" w:type="dxa"/>
              <w:right w:w="0" w:type="dxa"/>
            </w:tcMar>
            <w:vAlign w:val="bottom"/>
          </w:tcPr>
          <w:p w14:paraId="70F8BCD7" w14:textId="77777777" w:rsidR="001614AC" w:rsidRDefault="001614AC">
            <w:pPr>
              <w:keepNext/>
            </w:pPr>
          </w:p>
        </w:tc>
        <w:tc>
          <w:tcPr>
            <w:tcW w:w="1755" w:type="dxa"/>
            <w:gridSpan w:val="3"/>
            <w:tcBorders>
              <w:top w:val="single" w:sz="8" w:space="0" w:color="E9E9E9"/>
              <w:left w:val="nil"/>
              <w:bottom w:val="single" w:sz="8" w:space="0" w:color="E9E9E9"/>
              <w:right w:val="nil"/>
            </w:tcBorders>
            <w:tcMar>
              <w:top w:w="0" w:type="dxa"/>
              <w:left w:w="0" w:type="dxa"/>
              <w:bottom w:w="0" w:type="dxa"/>
              <w:right w:w="0" w:type="dxa"/>
            </w:tcMar>
            <w:vAlign w:val="bottom"/>
          </w:tcPr>
          <w:p w14:paraId="1171825D" w14:textId="77777777" w:rsidR="001614AC" w:rsidRDefault="001614AC">
            <w:pPr>
              <w:keepNext/>
            </w:pPr>
          </w:p>
        </w:tc>
      </w:tr>
      <w:tr w:rsidR="001614AC" w14:paraId="7E475E37" w14:textId="77777777">
        <w:trPr>
          <w:cantSplit/>
        </w:trPr>
        <w:tc>
          <w:tcPr>
            <w:tcW w:w="4500" w:type="dxa"/>
            <w:tcBorders>
              <w:top w:val="single" w:sz="8" w:space="0" w:color="E9E9E9"/>
              <w:left w:val="nil"/>
              <w:bottom w:val="single" w:sz="8" w:space="0" w:color="E6EAED"/>
              <w:right w:val="nil"/>
            </w:tcBorders>
            <w:tcMar>
              <w:top w:w="0" w:type="dxa"/>
              <w:left w:w="53" w:type="dxa"/>
              <w:bottom w:w="0" w:type="dxa"/>
              <w:right w:w="53" w:type="dxa"/>
            </w:tcMar>
            <w:vAlign w:val="bottom"/>
          </w:tcPr>
          <w:p w14:paraId="6570E09D" w14:textId="77777777" w:rsidR="001614AC" w:rsidRDefault="004468F9">
            <w:pPr>
              <w:keepNext/>
              <w:spacing w:before="55" w:after="30" w:line="288" w:lineRule="auto"/>
            </w:pPr>
            <w:r>
              <w:rPr>
                <w:rFonts w:ascii="Arial" w:eastAsia="Arial" w:hAnsi="Arial" w:cs="Arial"/>
                <w:color w:val="000000"/>
                <w:sz w:val="18"/>
              </w:rPr>
              <w:t>Total borrower-paid RIF</w:t>
            </w:r>
          </w:p>
        </w:tc>
        <w:tc>
          <w:tcPr>
            <w:tcW w:w="105" w:type="dxa"/>
            <w:tcBorders>
              <w:top w:val="nil"/>
              <w:left w:val="nil"/>
              <w:bottom w:val="nil"/>
              <w:right w:val="nil"/>
            </w:tcBorders>
            <w:tcMar>
              <w:top w:w="0" w:type="dxa"/>
              <w:left w:w="53" w:type="dxa"/>
              <w:bottom w:w="0" w:type="dxa"/>
              <w:right w:w="15" w:type="dxa"/>
            </w:tcMar>
            <w:vAlign w:val="bottom"/>
          </w:tcPr>
          <w:p w14:paraId="3665CDC3" w14:textId="77777777" w:rsidR="001614AC" w:rsidRDefault="001614AC">
            <w:pPr>
              <w:keepNext/>
              <w:spacing w:before="75" w:after="30" w:line="288" w:lineRule="auto"/>
            </w:pPr>
          </w:p>
        </w:tc>
        <w:tc>
          <w:tcPr>
            <w:tcW w:w="1655" w:type="dxa"/>
            <w:gridSpan w:val="2"/>
            <w:tcBorders>
              <w:top w:val="single" w:sz="8" w:space="0" w:color="E9E9E9"/>
              <w:left w:val="nil"/>
              <w:bottom w:val="single" w:sz="8" w:space="0" w:color="E6EAED"/>
              <w:right w:val="nil"/>
            </w:tcBorders>
            <w:tcMar>
              <w:top w:w="0" w:type="dxa"/>
              <w:left w:w="53" w:type="dxa"/>
              <w:bottom w:w="0" w:type="dxa"/>
              <w:right w:w="0" w:type="dxa"/>
            </w:tcMar>
            <w:vAlign w:val="bottom"/>
          </w:tcPr>
          <w:p w14:paraId="7A938CCD" w14:textId="77777777" w:rsidR="001614AC" w:rsidRDefault="004468F9">
            <w:pPr>
              <w:keepNext/>
              <w:spacing w:before="55" w:after="30" w:line="288" w:lineRule="auto"/>
              <w:jc w:val="right"/>
            </w:pPr>
            <w:r>
              <w:rPr>
                <w:rFonts w:ascii="Arial" w:eastAsia="Arial" w:hAnsi="Arial" w:cs="Arial"/>
                <w:color w:val="000000"/>
                <w:sz w:val="18"/>
              </w:rPr>
              <w:t>88.4 </w:t>
            </w:r>
          </w:p>
        </w:tc>
        <w:tc>
          <w:tcPr>
            <w:tcW w:w="100" w:type="dxa"/>
            <w:tcBorders>
              <w:top w:val="single" w:sz="8" w:space="0" w:color="E9E9E9"/>
              <w:left w:val="nil"/>
              <w:bottom w:val="single" w:sz="8" w:space="0" w:color="E6EAED"/>
              <w:right w:val="nil"/>
            </w:tcBorders>
            <w:tcMar>
              <w:top w:w="0" w:type="dxa"/>
              <w:left w:w="0" w:type="dxa"/>
              <w:bottom w:w="0" w:type="dxa"/>
              <w:right w:w="15" w:type="dxa"/>
            </w:tcMar>
            <w:vAlign w:val="bottom"/>
          </w:tcPr>
          <w:p w14:paraId="098D81F2" w14:textId="77777777" w:rsidR="001614AC" w:rsidRDefault="004468F9">
            <w:pPr>
              <w:keepNext/>
              <w:spacing w:before="55" w:after="30" w:line="288" w:lineRule="auto"/>
              <w:jc w:val="right"/>
            </w:pPr>
            <w:r>
              <w:rPr>
                <w:rFonts w:ascii="Arial" w:eastAsia="Arial" w:hAnsi="Arial" w:cs="Arial"/>
                <w:color w:val="000000"/>
                <w:sz w:val="18"/>
              </w:rPr>
              <w:t>%</w:t>
            </w:r>
          </w:p>
        </w:tc>
        <w:tc>
          <w:tcPr>
            <w:tcW w:w="105" w:type="dxa"/>
            <w:tcBorders>
              <w:top w:val="nil"/>
              <w:left w:val="nil"/>
              <w:bottom w:val="nil"/>
              <w:right w:val="nil"/>
            </w:tcBorders>
            <w:tcMar>
              <w:top w:w="0" w:type="dxa"/>
              <w:left w:w="53" w:type="dxa"/>
              <w:bottom w:w="0" w:type="dxa"/>
              <w:right w:w="53" w:type="dxa"/>
            </w:tcMar>
            <w:vAlign w:val="bottom"/>
          </w:tcPr>
          <w:p w14:paraId="14BEE2EE" w14:textId="77777777" w:rsidR="001614AC" w:rsidRDefault="001614AC">
            <w:pPr>
              <w:keepNext/>
              <w:spacing w:before="75" w:after="30" w:line="288" w:lineRule="auto"/>
            </w:pPr>
          </w:p>
        </w:tc>
        <w:tc>
          <w:tcPr>
            <w:tcW w:w="1655" w:type="dxa"/>
            <w:gridSpan w:val="2"/>
            <w:tcBorders>
              <w:top w:val="single" w:sz="8" w:space="0" w:color="E9E9E9"/>
              <w:left w:val="nil"/>
              <w:bottom w:val="single" w:sz="8" w:space="0" w:color="E6EAED"/>
              <w:right w:val="nil"/>
            </w:tcBorders>
            <w:tcMar>
              <w:top w:w="0" w:type="dxa"/>
              <w:left w:w="53" w:type="dxa"/>
              <w:bottom w:w="0" w:type="dxa"/>
              <w:right w:w="0" w:type="dxa"/>
            </w:tcMar>
            <w:vAlign w:val="bottom"/>
          </w:tcPr>
          <w:p w14:paraId="7A1478E8" w14:textId="77777777" w:rsidR="001614AC" w:rsidRDefault="004468F9">
            <w:pPr>
              <w:keepNext/>
              <w:spacing w:before="55" w:after="30" w:line="288" w:lineRule="auto"/>
              <w:jc w:val="right"/>
            </w:pPr>
            <w:r>
              <w:rPr>
                <w:rFonts w:ascii="Arial" w:eastAsia="Arial" w:hAnsi="Arial" w:cs="Arial"/>
                <w:color w:val="000000"/>
                <w:sz w:val="18"/>
              </w:rPr>
              <w:t>86.3 </w:t>
            </w:r>
          </w:p>
        </w:tc>
        <w:tc>
          <w:tcPr>
            <w:tcW w:w="100" w:type="dxa"/>
            <w:tcBorders>
              <w:top w:val="single" w:sz="8" w:space="0" w:color="E9E9E9"/>
              <w:left w:val="nil"/>
              <w:bottom w:val="single" w:sz="8" w:space="0" w:color="E6EAED"/>
              <w:right w:val="nil"/>
            </w:tcBorders>
            <w:tcMar>
              <w:top w:w="0" w:type="dxa"/>
              <w:left w:w="0" w:type="dxa"/>
              <w:bottom w:w="0" w:type="dxa"/>
              <w:right w:w="15" w:type="dxa"/>
            </w:tcMar>
            <w:vAlign w:val="bottom"/>
          </w:tcPr>
          <w:p w14:paraId="7E6F622D" w14:textId="77777777" w:rsidR="001614AC" w:rsidRDefault="004468F9">
            <w:pPr>
              <w:keepNext/>
              <w:spacing w:before="55" w:after="30" w:line="288" w:lineRule="auto"/>
              <w:jc w:val="right"/>
            </w:pPr>
            <w:r>
              <w:rPr>
                <w:rFonts w:ascii="Arial" w:eastAsia="Arial" w:hAnsi="Arial" w:cs="Arial"/>
                <w:color w:val="000000"/>
                <w:sz w:val="18"/>
              </w:rPr>
              <w:t>%</w:t>
            </w:r>
          </w:p>
        </w:tc>
        <w:tc>
          <w:tcPr>
            <w:tcW w:w="105" w:type="dxa"/>
            <w:tcBorders>
              <w:top w:val="nil"/>
              <w:left w:val="nil"/>
              <w:bottom w:val="nil"/>
              <w:right w:val="nil"/>
            </w:tcBorders>
            <w:tcMar>
              <w:top w:w="0" w:type="dxa"/>
              <w:left w:w="53" w:type="dxa"/>
              <w:bottom w:w="0" w:type="dxa"/>
              <w:right w:w="53" w:type="dxa"/>
            </w:tcMar>
            <w:vAlign w:val="bottom"/>
          </w:tcPr>
          <w:p w14:paraId="121648F8" w14:textId="77777777" w:rsidR="001614AC" w:rsidRDefault="001614AC">
            <w:pPr>
              <w:keepNext/>
              <w:spacing w:before="75" w:after="30" w:line="288" w:lineRule="auto"/>
            </w:pPr>
          </w:p>
        </w:tc>
        <w:tc>
          <w:tcPr>
            <w:tcW w:w="1655" w:type="dxa"/>
            <w:gridSpan w:val="2"/>
            <w:tcBorders>
              <w:top w:val="single" w:sz="8" w:space="0" w:color="E9E9E9"/>
              <w:left w:val="nil"/>
              <w:bottom w:val="single" w:sz="8" w:space="0" w:color="E6EAED"/>
              <w:right w:val="nil"/>
            </w:tcBorders>
            <w:tcMar>
              <w:top w:w="0" w:type="dxa"/>
              <w:left w:w="53" w:type="dxa"/>
              <w:bottom w:w="0" w:type="dxa"/>
              <w:right w:w="0" w:type="dxa"/>
            </w:tcMar>
            <w:vAlign w:val="bottom"/>
          </w:tcPr>
          <w:p w14:paraId="7BFA05DE" w14:textId="77777777" w:rsidR="001614AC" w:rsidRDefault="004468F9">
            <w:pPr>
              <w:keepNext/>
              <w:spacing w:before="55" w:after="30" w:line="288" w:lineRule="auto"/>
              <w:jc w:val="right"/>
            </w:pPr>
            <w:r>
              <w:rPr>
                <w:rFonts w:ascii="Arial" w:eastAsia="Arial" w:hAnsi="Arial" w:cs="Arial"/>
                <w:color w:val="000000"/>
                <w:sz w:val="18"/>
              </w:rPr>
              <w:t>81.2 </w:t>
            </w:r>
          </w:p>
        </w:tc>
        <w:tc>
          <w:tcPr>
            <w:tcW w:w="100" w:type="dxa"/>
            <w:tcBorders>
              <w:top w:val="single" w:sz="8" w:space="0" w:color="E9E9E9"/>
              <w:left w:val="nil"/>
              <w:bottom w:val="single" w:sz="8" w:space="0" w:color="E6EAED"/>
              <w:right w:val="nil"/>
            </w:tcBorders>
            <w:tcMar>
              <w:top w:w="0" w:type="dxa"/>
              <w:left w:w="0" w:type="dxa"/>
              <w:bottom w:w="0" w:type="dxa"/>
              <w:right w:w="15" w:type="dxa"/>
            </w:tcMar>
            <w:vAlign w:val="bottom"/>
          </w:tcPr>
          <w:p w14:paraId="41C00332" w14:textId="77777777" w:rsidR="001614AC" w:rsidRDefault="004468F9">
            <w:pPr>
              <w:keepNext/>
              <w:spacing w:before="55" w:after="30" w:line="288" w:lineRule="auto"/>
              <w:jc w:val="right"/>
            </w:pPr>
            <w:r>
              <w:rPr>
                <w:rFonts w:ascii="Arial" w:eastAsia="Arial" w:hAnsi="Arial" w:cs="Arial"/>
                <w:color w:val="000000"/>
                <w:sz w:val="18"/>
              </w:rPr>
              <w:t>%</w:t>
            </w:r>
          </w:p>
        </w:tc>
      </w:tr>
      <w:tr w:rsidR="001614AC" w14:paraId="79D9D9A5" w14:textId="77777777">
        <w:trPr>
          <w:cantSplit/>
        </w:trPr>
        <w:tc>
          <w:tcPr>
            <w:tcW w:w="4500" w:type="dxa"/>
            <w:tcBorders>
              <w:top w:val="single" w:sz="8" w:space="0" w:color="E6EAED"/>
              <w:left w:val="nil"/>
              <w:bottom w:val="single" w:sz="8" w:space="0" w:color="E9E9E9"/>
              <w:right w:val="nil"/>
            </w:tcBorders>
            <w:tcMar>
              <w:top w:w="0" w:type="dxa"/>
              <w:left w:w="0" w:type="dxa"/>
              <w:bottom w:w="0" w:type="dxa"/>
              <w:right w:w="0" w:type="dxa"/>
            </w:tcMar>
            <w:vAlign w:val="bottom"/>
          </w:tcPr>
          <w:p w14:paraId="12F66802" w14:textId="77777777" w:rsidR="001614AC" w:rsidRDefault="001614AC">
            <w:pPr>
              <w:keepNext/>
            </w:pPr>
          </w:p>
        </w:tc>
        <w:tc>
          <w:tcPr>
            <w:tcW w:w="105" w:type="dxa"/>
            <w:tcBorders>
              <w:top w:val="nil"/>
              <w:left w:val="nil"/>
              <w:bottom w:val="nil"/>
              <w:right w:val="nil"/>
            </w:tcBorders>
            <w:tcMar>
              <w:top w:w="0" w:type="dxa"/>
              <w:left w:w="0" w:type="dxa"/>
              <w:bottom w:w="0" w:type="dxa"/>
              <w:right w:w="0" w:type="dxa"/>
            </w:tcMar>
            <w:vAlign w:val="bottom"/>
          </w:tcPr>
          <w:p w14:paraId="1200CA4E" w14:textId="77777777" w:rsidR="001614AC" w:rsidRDefault="001614AC">
            <w:pPr>
              <w:keepNext/>
            </w:pPr>
          </w:p>
        </w:tc>
        <w:tc>
          <w:tcPr>
            <w:tcW w:w="1755" w:type="dxa"/>
            <w:gridSpan w:val="3"/>
            <w:tcBorders>
              <w:top w:val="single" w:sz="8" w:space="0" w:color="E6EAED"/>
              <w:left w:val="nil"/>
              <w:bottom w:val="single" w:sz="8" w:space="0" w:color="E9E9E9"/>
              <w:right w:val="nil"/>
            </w:tcBorders>
            <w:tcMar>
              <w:top w:w="0" w:type="dxa"/>
              <w:left w:w="0" w:type="dxa"/>
              <w:bottom w:w="0" w:type="dxa"/>
              <w:right w:w="0" w:type="dxa"/>
            </w:tcMar>
            <w:vAlign w:val="bottom"/>
          </w:tcPr>
          <w:p w14:paraId="435DC0F1" w14:textId="77777777" w:rsidR="001614AC" w:rsidRDefault="001614AC">
            <w:pPr>
              <w:keepNext/>
            </w:pPr>
          </w:p>
        </w:tc>
        <w:tc>
          <w:tcPr>
            <w:tcW w:w="105" w:type="dxa"/>
            <w:tcBorders>
              <w:top w:val="nil"/>
              <w:left w:val="nil"/>
              <w:bottom w:val="nil"/>
              <w:right w:val="nil"/>
            </w:tcBorders>
            <w:tcMar>
              <w:top w:w="0" w:type="dxa"/>
              <w:left w:w="0" w:type="dxa"/>
              <w:bottom w:w="0" w:type="dxa"/>
              <w:right w:w="0" w:type="dxa"/>
            </w:tcMar>
            <w:vAlign w:val="bottom"/>
          </w:tcPr>
          <w:p w14:paraId="7EBFB6A3" w14:textId="77777777" w:rsidR="001614AC" w:rsidRDefault="001614AC">
            <w:pPr>
              <w:keepNext/>
            </w:pPr>
          </w:p>
        </w:tc>
        <w:tc>
          <w:tcPr>
            <w:tcW w:w="1755" w:type="dxa"/>
            <w:gridSpan w:val="3"/>
            <w:tcBorders>
              <w:top w:val="single" w:sz="8" w:space="0" w:color="E6EAED"/>
              <w:left w:val="nil"/>
              <w:bottom w:val="single" w:sz="8" w:space="0" w:color="E9E9E9"/>
              <w:right w:val="nil"/>
            </w:tcBorders>
            <w:tcMar>
              <w:top w:w="0" w:type="dxa"/>
              <w:left w:w="0" w:type="dxa"/>
              <w:bottom w:w="0" w:type="dxa"/>
              <w:right w:w="0" w:type="dxa"/>
            </w:tcMar>
            <w:vAlign w:val="bottom"/>
          </w:tcPr>
          <w:p w14:paraId="1BCE8A4C" w14:textId="77777777" w:rsidR="001614AC" w:rsidRDefault="001614AC">
            <w:pPr>
              <w:keepNext/>
            </w:pPr>
          </w:p>
        </w:tc>
        <w:tc>
          <w:tcPr>
            <w:tcW w:w="105" w:type="dxa"/>
            <w:tcBorders>
              <w:top w:val="nil"/>
              <w:left w:val="nil"/>
              <w:bottom w:val="nil"/>
              <w:right w:val="nil"/>
            </w:tcBorders>
            <w:tcMar>
              <w:top w:w="0" w:type="dxa"/>
              <w:left w:w="0" w:type="dxa"/>
              <w:bottom w:w="0" w:type="dxa"/>
              <w:right w:w="0" w:type="dxa"/>
            </w:tcMar>
            <w:vAlign w:val="bottom"/>
          </w:tcPr>
          <w:p w14:paraId="5D9C3B7B" w14:textId="77777777" w:rsidR="001614AC" w:rsidRDefault="001614AC">
            <w:pPr>
              <w:keepNext/>
            </w:pPr>
          </w:p>
        </w:tc>
        <w:tc>
          <w:tcPr>
            <w:tcW w:w="1755" w:type="dxa"/>
            <w:gridSpan w:val="3"/>
            <w:tcBorders>
              <w:top w:val="single" w:sz="8" w:space="0" w:color="E6EAED"/>
              <w:left w:val="nil"/>
              <w:bottom w:val="single" w:sz="8" w:space="0" w:color="E9E9E9"/>
              <w:right w:val="nil"/>
            </w:tcBorders>
            <w:tcMar>
              <w:top w:w="0" w:type="dxa"/>
              <w:left w:w="0" w:type="dxa"/>
              <w:bottom w:w="0" w:type="dxa"/>
              <w:right w:w="0" w:type="dxa"/>
            </w:tcMar>
            <w:vAlign w:val="bottom"/>
          </w:tcPr>
          <w:p w14:paraId="4DA2CE86" w14:textId="77777777" w:rsidR="001614AC" w:rsidRDefault="001614AC">
            <w:pPr>
              <w:keepNext/>
            </w:pPr>
          </w:p>
        </w:tc>
      </w:tr>
      <w:tr w:rsidR="001614AC" w14:paraId="1EA365CC" w14:textId="77777777">
        <w:trPr>
          <w:cantSplit/>
        </w:trPr>
        <w:tc>
          <w:tcPr>
            <w:tcW w:w="4500" w:type="dxa"/>
            <w:tcBorders>
              <w:top w:val="single" w:sz="8" w:space="0" w:color="E9E9E9"/>
              <w:left w:val="nil"/>
              <w:bottom w:val="single" w:sz="8" w:space="0" w:color="E9E9E9"/>
              <w:right w:val="nil"/>
            </w:tcBorders>
            <w:tcMar>
              <w:top w:w="0" w:type="dxa"/>
              <w:left w:w="53" w:type="dxa"/>
              <w:bottom w:w="0" w:type="dxa"/>
              <w:right w:w="53" w:type="dxa"/>
            </w:tcMar>
            <w:vAlign w:val="bottom"/>
          </w:tcPr>
          <w:p w14:paraId="357F8F85" w14:textId="77777777" w:rsidR="001614AC" w:rsidRDefault="004468F9">
            <w:pPr>
              <w:keepNext/>
              <w:spacing w:before="55" w:after="30" w:line="288" w:lineRule="auto"/>
            </w:pPr>
            <w:r>
              <w:rPr>
                <w:rFonts w:ascii="Arial" w:eastAsia="Arial" w:hAnsi="Arial" w:cs="Arial"/>
                <w:color w:val="000000"/>
                <w:sz w:val="18"/>
              </w:rPr>
              <w:t>Primary RIF by Premium Type</w:t>
            </w:r>
          </w:p>
        </w:tc>
        <w:tc>
          <w:tcPr>
            <w:tcW w:w="105" w:type="dxa"/>
            <w:tcBorders>
              <w:top w:val="nil"/>
              <w:left w:val="nil"/>
              <w:bottom w:val="nil"/>
              <w:right w:val="nil"/>
            </w:tcBorders>
            <w:tcMar>
              <w:top w:w="0" w:type="dxa"/>
              <w:left w:w="0" w:type="dxa"/>
              <w:bottom w:w="0" w:type="dxa"/>
              <w:right w:w="0" w:type="dxa"/>
            </w:tcMar>
            <w:vAlign w:val="bottom"/>
          </w:tcPr>
          <w:p w14:paraId="79B1AF77" w14:textId="77777777" w:rsidR="001614AC" w:rsidRDefault="001614AC">
            <w:pPr>
              <w:keepNext/>
            </w:pPr>
          </w:p>
        </w:tc>
        <w:tc>
          <w:tcPr>
            <w:tcW w:w="1755" w:type="dxa"/>
            <w:gridSpan w:val="3"/>
            <w:tcBorders>
              <w:top w:val="single" w:sz="8" w:space="0" w:color="E9E9E9"/>
              <w:left w:val="nil"/>
              <w:bottom w:val="single" w:sz="8" w:space="0" w:color="E9E9E9"/>
              <w:right w:val="nil"/>
            </w:tcBorders>
            <w:tcMar>
              <w:top w:w="0" w:type="dxa"/>
              <w:left w:w="0" w:type="dxa"/>
              <w:bottom w:w="0" w:type="dxa"/>
              <w:right w:w="0" w:type="dxa"/>
            </w:tcMar>
            <w:vAlign w:val="bottom"/>
          </w:tcPr>
          <w:p w14:paraId="30A55361" w14:textId="77777777" w:rsidR="001614AC" w:rsidRDefault="001614AC">
            <w:pPr>
              <w:keepNext/>
            </w:pPr>
          </w:p>
        </w:tc>
        <w:tc>
          <w:tcPr>
            <w:tcW w:w="105" w:type="dxa"/>
            <w:tcBorders>
              <w:top w:val="nil"/>
              <w:left w:val="nil"/>
              <w:bottom w:val="nil"/>
              <w:right w:val="nil"/>
            </w:tcBorders>
            <w:tcMar>
              <w:top w:w="0" w:type="dxa"/>
              <w:left w:w="0" w:type="dxa"/>
              <w:bottom w:w="0" w:type="dxa"/>
              <w:right w:w="0" w:type="dxa"/>
            </w:tcMar>
            <w:vAlign w:val="bottom"/>
          </w:tcPr>
          <w:p w14:paraId="517C807C" w14:textId="77777777" w:rsidR="001614AC" w:rsidRDefault="001614AC">
            <w:pPr>
              <w:keepNext/>
            </w:pPr>
          </w:p>
        </w:tc>
        <w:tc>
          <w:tcPr>
            <w:tcW w:w="1755" w:type="dxa"/>
            <w:gridSpan w:val="3"/>
            <w:tcBorders>
              <w:top w:val="single" w:sz="8" w:space="0" w:color="E9E9E9"/>
              <w:left w:val="nil"/>
              <w:bottom w:val="single" w:sz="8" w:space="0" w:color="E9E9E9"/>
              <w:right w:val="nil"/>
            </w:tcBorders>
            <w:tcMar>
              <w:top w:w="0" w:type="dxa"/>
              <w:left w:w="0" w:type="dxa"/>
              <w:bottom w:w="0" w:type="dxa"/>
              <w:right w:w="0" w:type="dxa"/>
            </w:tcMar>
            <w:vAlign w:val="bottom"/>
          </w:tcPr>
          <w:p w14:paraId="305A037E" w14:textId="77777777" w:rsidR="001614AC" w:rsidRDefault="001614AC">
            <w:pPr>
              <w:keepNext/>
            </w:pPr>
          </w:p>
        </w:tc>
        <w:tc>
          <w:tcPr>
            <w:tcW w:w="105" w:type="dxa"/>
            <w:tcBorders>
              <w:top w:val="nil"/>
              <w:left w:val="nil"/>
              <w:bottom w:val="nil"/>
              <w:right w:val="nil"/>
            </w:tcBorders>
            <w:tcMar>
              <w:top w:w="0" w:type="dxa"/>
              <w:left w:w="0" w:type="dxa"/>
              <w:bottom w:w="0" w:type="dxa"/>
              <w:right w:w="0" w:type="dxa"/>
            </w:tcMar>
            <w:vAlign w:val="bottom"/>
          </w:tcPr>
          <w:p w14:paraId="0844C893" w14:textId="77777777" w:rsidR="001614AC" w:rsidRDefault="001614AC">
            <w:pPr>
              <w:keepNext/>
            </w:pPr>
          </w:p>
        </w:tc>
        <w:tc>
          <w:tcPr>
            <w:tcW w:w="1755" w:type="dxa"/>
            <w:gridSpan w:val="3"/>
            <w:tcBorders>
              <w:top w:val="single" w:sz="8" w:space="0" w:color="E9E9E9"/>
              <w:left w:val="nil"/>
              <w:bottom w:val="single" w:sz="8" w:space="0" w:color="E9E9E9"/>
              <w:right w:val="nil"/>
            </w:tcBorders>
            <w:tcMar>
              <w:top w:w="0" w:type="dxa"/>
              <w:left w:w="0" w:type="dxa"/>
              <w:bottom w:w="0" w:type="dxa"/>
              <w:right w:w="0" w:type="dxa"/>
            </w:tcMar>
            <w:vAlign w:val="bottom"/>
          </w:tcPr>
          <w:p w14:paraId="51CF7409" w14:textId="77777777" w:rsidR="001614AC" w:rsidRDefault="001614AC">
            <w:pPr>
              <w:keepNext/>
            </w:pPr>
          </w:p>
        </w:tc>
      </w:tr>
      <w:tr w:rsidR="001614AC" w14:paraId="06451A27" w14:textId="77777777">
        <w:trPr>
          <w:cantSplit/>
        </w:trPr>
        <w:tc>
          <w:tcPr>
            <w:tcW w:w="4500" w:type="dxa"/>
            <w:tcBorders>
              <w:top w:val="single" w:sz="8" w:space="0" w:color="E9E9E9"/>
              <w:left w:val="nil"/>
              <w:bottom w:val="single" w:sz="8" w:space="0" w:color="E9E9E9"/>
              <w:right w:val="nil"/>
            </w:tcBorders>
            <w:tcMar>
              <w:top w:w="0" w:type="dxa"/>
              <w:left w:w="53" w:type="dxa"/>
              <w:bottom w:w="0" w:type="dxa"/>
              <w:right w:w="53" w:type="dxa"/>
            </w:tcMar>
            <w:vAlign w:val="bottom"/>
          </w:tcPr>
          <w:p w14:paraId="7D85057E" w14:textId="77777777" w:rsidR="001614AC" w:rsidRDefault="004468F9">
            <w:pPr>
              <w:keepNext/>
              <w:spacing w:before="55" w:after="30" w:line="288" w:lineRule="auto"/>
              <w:ind w:left="240"/>
            </w:pPr>
            <w:r>
              <w:rPr>
                <w:rFonts w:ascii="Arial" w:eastAsia="Arial" w:hAnsi="Arial" w:cs="Arial"/>
                <w:color w:val="000000"/>
                <w:sz w:val="18"/>
              </w:rPr>
              <w:t>Direct Monthly and Other Recurring Premiums</w:t>
            </w:r>
          </w:p>
        </w:tc>
        <w:tc>
          <w:tcPr>
            <w:tcW w:w="105" w:type="dxa"/>
            <w:tcBorders>
              <w:top w:val="nil"/>
              <w:left w:val="nil"/>
              <w:bottom w:val="nil"/>
              <w:right w:val="nil"/>
            </w:tcBorders>
            <w:tcMar>
              <w:top w:w="0" w:type="dxa"/>
              <w:left w:w="0" w:type="dxa"/>
              <w:bottom w:w="0" w:type="dxa"/>
              <w:right w:w="0" w:type="dxa"/>
            </w:tcMar>
            <w:vAlign w:val="bottom"/>
          </w:tcPr>
          <w:p w14:paraId="7330B06D" w14:textId="77777777" w:rsidR="001614AC" w:rsidRDefault="001614AC">
            <w:pPr>
              <w:keepNext/>
            </w:pPr>
          </w:p>
        </w:tc>
        <w:tc>
          <w:tcPr>
            <w:tcW w:w="165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2DED36F7" w14:textId="77777777" w:rsidR="001614AC" w:rsidRDefault="004468F9">
            <w:pPr>
              <w:keepNext/>
              <w:spacing w:before="55" w:after="30" w:line="288" w:lineRule="auto"/>
              <w:jc w:val="right"/>
            </w:pPr>
            <w:r>
              <w:rPr>
                <w:rFonts w:ascii="Arial" w:eastAsia="Arial" w:hAnsi="Arial" w:cs="Arial"/>
                <w:color w:val="000000"/>
                <w:sz w:val="18"/>
              </w:rPr>
              <w:t>81.2 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006274D5" w14:textId="77777777" w:rsidR="001614AC" w:rsidRDefault="004468F9">
            <w:pPr>
              <w:keepNext/>
              <w:spacing w:before="55" w:after="30" w:line="288" w:lineRule="auto"/>
              <w:jc w:val="right"/>
            </w:pPr>
            <w:r>
              <w:rPr>
                <w:rFonts w:ascii="Arial" w:eastAsia="Arial" w:hAnsi="Arial" w:cs="Arial"/>
                <w:color w:val="000000"/>
                <w:sz w:val="18"/>
              </w:rPr>
              <w:t>%</w:t>
            </w:r>
          </w:p>
        </w:tc>
        <w:tc>
          <w:tcPr>
            <w:tcW w:w="105" w:type="dxa"/>
            <w:tcBorders>
              <w:top w:val="nil"/>
              <w:left w:val="nil"/>
              <w:bottom w:val="nil"/>
              <w:right w:val="nil"/>
            </w:tcBorders>
            <w:tcMar>
              <w:top w:w="0" w:type="dxa"/>
              <w:left w:w="0" w:type="dxa"/>
              <w:bottom w:w="0" w:type="dxa"/>
              <w:right w:w="0" w:type="dxa"/>
            </w:tcMar>
            <w:vAlign w:val="bottom"/>
          </w:tcPr>
          <w:p w14:paraId="5C28AD59" w14:textId="77777777" w:rsidR="001614AC" w:rsidRDefault="001614AC">
            <w:pPr>
              <w:keepNext/>
            </w:pPr>
          </w:p>
        </w:tc>
        <w:tc>
          <w:tcPr>
            <w:tcW w:w="165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1F8F225A" w14:textId="77777777" w:rsidR="001614AC" w:rsidRDefault="004468F9">
            <w:pPr>
              <w:keepNext/>
              <w:spacing w:before="55" w:after="30" w:line="288" w:lineRule="auto"/>
              <w:jc w:val="right"/>
            </w:pPr>
            <w:r>
              <w:rPr>
                <w:rFonts w:ascii="Arial" w:eastAsia="Arial" w:hAnsi="Arial" w:cs="Arial"/>
                <w:color w:val="000000"/>
                <w:sz w:val="18"/>
              </w:rPr>
              <w:t>79.1 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51259197" w14:textId="77777777" w:rsidR="001614AC" w:rsidRDefault="004468F9">
            <w:pPr>
              <w:keepNext/>
              <w:spacing w:before="55" w:after="30" w:line="288" w:lineRule="auto"/>
              <w:jc w:val="right"/>
            </w:pPr>
            <w:r>
              <w:rPr>
                <w:rFonts w:ascii="Arial" w:eastAsia="Arial" w:hAnsi="Arial" w:cs="Arial"/>
                <w:color w:val="000000"/>
                <w:sz w:val="18"/>
              </w:rPr>
              <w:t>%</w:t>
            </w:r>
          </w:p>
        </w:tc>
        <w:tc>
          <w:tcPr>
            <w:tcW w:w="105" w:type="dxa"/>
            <w:tcBorders>
              <w:top w:val="nil"/>
              <w:left w:val="nil"/>
              <w:bottom w:val="nil"/>
              <w:right w:val="nil"/>
            </w:tcBorders>
            <w:tcMar>
              <w:top w:w="0" w:type="dxa"/>
              <w:left w:w="0" w:type="dxa"/>
              <w:bottom w:w="0" w:type="dxa"/>
              <w:right w:w="0" w:type="dxa"/>
            </w:tcMar>
            <w:vAlign w:val="bottom"/>
          </w:tcPr>
          <w:p w14:paraId="294F1EDB" w14:textId="77777777" w:rsidR="001614AC" w:rsidRDefault="001614AC">
            <w:pPr>
              <w:keepNext/>
            </w:pPr>
          </w:p>
        </w:tc>
        <w:tc>
          <w:tcPr>
            <w:tcW w:w="165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5B5F7898" w14:textId="77777777" w:rsidR="001614AC" w:rsidRDefault="004468F9">
            <w:pPr>
              <w:keepNext/>
              <w:spacing w:before="55" w:after="30" w:line="288" w:lineRule="auto"/>
              <w:jc w:val="right"/>
            </w:pPr>
            <w:r>
              <w:rPr>
                <w:rFonts w:ascii="Arial" w:eastAsia="Arial" w:hAnsi="Arial" w:cs="Arial"/>
                <w:color w:val="000000"/>
                <w:sz w:val="18"/>
              </w:rPr>
              <w:t>73.8 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78A25288" w14:textId="77777777" w:rsidR="001614AC" w:rsidRDefault="004468F9">
            <w:pPr>
              <w:keepNext/>
              <w:spacing w:before="55" w:after="30" w:line="288" w:lineRule="auto"/>
              <w:jc w:val="right"/>
            </w:pPr>
            <w:r>
              <w:rPr>
                <w:rFonts w:ascii="Arial" w:eastAsia="Arial" w:hAnsi="Arial" w:cs="Arial"/>
                <w:color w:val="000000"/>
                <w:sz w:val="18"/>
              </w:rPr>
              <w:t>%</w:t>
            </w:r>
          </w:p>
        </w:tc>
      </w:tr>
      <w:tr w:rsidR="001614AC" w14:paraId="4931474C" w14:textId="77777777">
        <w:trPr>
          <w:cantSplit/>
        </w:trPr>
        <w:tc>
          <w:tcPr>
            <w:tcW w:w="4500" w:type="dxa"/>
            <w:tcBorders>
              <w:top w:val="single" w:sz="8" w:space="0" w:color="E9E9E9"/>
              <w:left w:val="nil"/>
              <w:bottom w:val="single" w:sz="8" w:space="0" w:color="E6EAED"/>
              <w:right w:val="nil"/>
            </w:tcBorders>
            <w:tcMar>
              <w:top w:w="0" w:type="dxa"/>
              <w:left w:w="53" w:type="dxa"/>
              <w:bottom w:w="0" w:type="dxa"/>
              <w:right w:w="53" w:type="dxa"/>
            </w:tcMar>
            <w:vAlign w:val="bottom"/>
          </w:tcPr>
          <w:p w14:paraId="24090FA1" w14:textId="77777777" w:rsidR="001614AC" w:rsidRDefault="004468F9">
            <w:pPr>
              <w:keepNext/>
              <w:spacing w:before="55" w:after="30" w:line="288" w:lineRule="auto"/>
              <w:ind w:left="240"/>
              <w:rPr>
                <w:rFonts w:ascii="Arial" w:eastAsia="Arial" w:hAnsi="Arial" w:cs="Arial"/>
                <w:sz w:val="18"/>
              </w:rPr>
            </w:pPr>
            <w:r>
              <w:rPr>
                <w:rFonts w:ascii="Arial" w:eastAsia="Arial" w:hAnsi="Arial" w:cs="Arial"/>
                <w:sz w:val="18"/>
              </w:rPr>
              <w:t xml:space="preserve">Direct single premiums </w:t>
            </w:r>
            <w:r>
              <w:rPr>
                <w:rFonts w:ascii="Arial" w:eastAsia="Arial" w:hAnsi="Arial" w:cs="Arial"/>
                <w:sz w:val="18"/>
                <w:vertAlign w:val="superscript"/>
              </w:rPr>
              <w:t>(2)</w:t>
            </w:r>
          </w:p>
        </w:tc>
        <w:tc>
          <w:tcPr>
            <w:tcW w:w="105" w:type="dxa"/>
            <w:tcBorders>
              <w:top w:val="nil"/>
              <w:left w:val="nil"/>
              <w:bottom w:val="nil"/>
              <w:right w:val="nil"/>
            </w:tcBorders>
            <w:tcMar>
              <w:top w:w="0" w:type="dxa"/>
              <w:left w:w="0" w:type="dxa"/>
              <w:bottom w:w="0" w:type="dxa"/>
              <w:right w:w="0" w:type="dxa"/>
            </w:tcMar>
            <w:vAlign w:val="bottom"/>
          </w:tcPr>
          <w:p w14:paraId="0AA95594" w14:textId="77777777" w:rsidR="001614AC" w:rsidRDefault="001614AC">
            <w:pPr>
              <w:keepNext/>
            </w:pPr>
          </w:p>
        </w:tc>
        <w:tc>
          <w:tcPr>
            <w:tcW w:w="1655" w:type="dxa"/>
            <w:gridSpan w:val="2"/>
            <w:tcBorders>
              <w:top w:val="single" w:sz="8" w:space="0" w:color="E9E9E9"/>
              <w:left w:val="nil"/>
              <w:bottom w:val="single" w:sz="8" w:space="0" w:color="E6EAED"/>
              <w:right w:val="nil"/>
            </w:tcBorders>
            <w:tcMar>
              <w:top w:w="0" w:type="dxa"/>
              <w:left w:w="53" w:type="dxa"/>
              <w:bottom w:w="0" w:type="dxa"/>
              <w:right w:w="0" w:type="dxa"/>
            </w:tcMar>
            <w:vAlign w:val="bottom"/>
          </w:tcPr>
          <w:p w14:paraId="1D44CA30" w14:textId="77777777" w:rsidR="001614AC" w:rsidRDefault="004468F9">
            <w:pPr>
              <w:keepNext/>
              <w:spacing w:before="55" w:after="30" w:line="288" w:lineRule="auto"/>
              <w:jc w:val="right"/>
            </w:pPr>
            <w:r>
              <w:rPr>
                <w:rFonts w:ascii="Arial" w:eastAsia="Arial" w:hAnsi="Arial" w:cs="Arial"/>
                <w:color w:val="000000"/>
                <w:sz w:val="18"/>
              </w:rPr>
              <w:t>18.8 </w:t>
            </w:r>
          </w:p>
        </w:tc>
        <w:tc>
          <w:tcPr>
            <w:tcW w:w="100" w:type="dxa"/>
            <w:tcBorders>
              <w:top w:val="single" w:sz="8" w:space="0" w:color="E9E9E9"/>
              <w:left w:val="nil"/>
              <w:bottom w:val="single" w:sz="8" w:space="0" w:color="E6EAED"/>
              <w:right w:val="nil"/>
            </w:tcBorders>
            <w:tcMar>
              <w:top w:w="0" w:type="dxa"/>
              <w:left w:w="0" w:type="dxa"/>
              <w:bottom w:w="0" w:type="dxa"/>
              <w:right w:w="15" w:type="dxa"/>
            </w:tcMar>
            <w:vAlign w:val="bottom"/>
          </w:tcPr>
          <w:p w14:paraId="730D487C" w14:textId="77777777" w:rsidR="001614AC" w:rsidRDefault="004468F9">
            <w:pPr>
              <w:keepNext/>
              <w:spacing w:before="55" w:after="30" w:line="288" w:lineRule="auto"/>
              <w:jc w:val="right"/>
            </w:pPr>
            <w:r>
              <w:rPr>
                <w:rFonts w:ascii="Arial" w:eastAsia="Arial" w:hAnsi="Arial" w:cs="Arial"/>
                <w:color w:val="000000"/>
                <w:sz w:val="18"/>
              </w:rPr>
              <w:t>%</w:t>
            </w:r>
          </w:p>
        </w:tc>
        <w:tc>
          <w:tcPr>
            <w:tcW w:w="105" w:type="dxa"/>
            <w:tcBorders>
              <w:top w:val="nil"/>
              <w:left w:val="nil"/>
              <w:bottom w:val="nil"/>
              <w:right w:val="nil"/>
            </w:tcBorders>
            <w:tcMar>
              <w:top w:w="0" w:type="dxa"/>
              <w:left w:w="0" w:type="dxa"/>
              <w:bottom w:w="0" w:type="dxa"/>
              <w:right w:w="0" w:type="dxa"/>
            </w:tcMar>
            <w:vAlign w:val="bottom"/>
          </w:tcPr>
          <w:p w14:paraId="5FA2ADF6" w14:textId="77777777" w:rsidR="001614AC" w:rsidRDefault="001614AC">
            <w:pPr>
              <w:keepNext/>
            </w:pPr>
          </w:p>
        </w:tc>
        <w:tc>
          <w:tcPr>
            <w:tcW w:w="1655" w:type="dxa"/>
            <w:gridSpan w:val="2"/>
            <w:tcBorders>
              <w:top w:val="single" w:sz="8" w:space="0" w:color="E9E9E9"/>
              <w:left w:val="nil"/>
              <w:bottom w:val="single" w:sz="8" w:space="0" w:color="E6EAED"/>
              <w:right w:val="nil"/>
            </w:tcBorders>
            <w:tcMar>
              <w:top w:w="0" w:type="dxa"/>
              <w:left w:w="53" w:type="dxa"/>
              <w:bottom w:w="0" w:type="dxa"/>
              <w:right w:w="0" w:type="dxa"/>
            </w:tcMar>
            <w:vAlign w:val="bottom"/>
          </w:tcPr>
          <w:p w14:paraId="7EF8AC60" w14:textId="77777777" w:rsidR="001614AC" w:rsidRDefault="004468F9">
            <w:pPr>
              <w:keepNext/>
              <w:spacing w:before="55" w:after="30" w:line="288" w:lineRule="auto"/>
              <w:jc w:val="right"/>
            </w:pPr>
            <w:r>
              <w:rPr>
                <w:rFonts w:ascii="Arial" w:eastAsia="Arial" w:hAnsi="Arial" w:cs="Arial"/>
                <w:color w:val="000000"/>
                <w:sz w:val="18"/>
              </w:rPr>
              <w:t>20.9 </w:t>
            </w:r>
          </w:p>
        </w:tc>
        <w:tc>
          <w:tcPr>
            <w:tcW w:w="100" w:type="dxa"/>
            <w:tcBorders>
              <w:top w:val="single" w:sz="8" w:space="0" w:color="E9E9E9"/>
              <w:left w:val="nil"/>
              <w:bottom w:val="single" w:sz="8" w:space="0" w:color="E6EAED"/>
              <w:right w:val="nil"/>
            </w:tcBorders>
            <w:tcMar>
              <w:top w:w="0" w:type="dxa"/>
              <w:left w:w="0" w:type="dxa"/>
              <w:bottom w:w="0" w:type="dxa"/>
              <w:right w:w="15" w:type="dxa"/>
            </w:tcMar>
            <w:vAlign w:val="bottom"/>
          </w:tcPr>
          <w:p w14:paraId="24F9E24D" w14:textId="77777777" w:rsidR="001614AC" w:rsidRDefault="004468F9">
            <w:pPr>
              <w:keepNext/>
              <w:spacing w:before="55" w:after="30" w:line="288" w:lineRule="auto"/>
              <w:jc w:val="right"/>
            </w:pPr>
            <w:r>
              <w:rPr>
                <w:rFonts w:ascii="Arial" w:eastAsia="Arial" w:hAnsi="Arial" w:cs="Arial"/>
                <w:color w:val="000000"/>
                <w:sz w:val="18"/>
              </w:rPr>
              <w:t>%</w:t>
            </w:r>
          </w:p>
        </w:tc>
        <w:tc>
          <w:tcPr>
            <w:tcW w:w="105" w:type="dxa"/>
            <w:tcBorders>
              <w:top w:val="nil"/>
              <w:left w:val="nil"/>
              <w:bottom w:val="nil"/>
              <w:right w:val="nil"/>
            </w:tcBorders>
            <w:tcMar>
              <w:top w:w="0" w:type="dxa"/>
              <w:left w:w="0" w:type="dxa"/>
              <w:bottom w:w="0" w:type="dxa"/>
              <w:right w:w="0" w:type="dxa"/>
            </w:tcMar>
            <w:vAlign w:val="bottom"/>
          </w:tcPr>
          <w:p w14:paraId="216B6E87" w14:textId="77777777" w:rsidR="001614AC" w:rsidRDefault="001614AC">
            <w:pPr>
              <w:keepNext/>
            </w:pPr>
          </w:p>
        </w:tc>
        <w:tc>
          <w:tcPr>
            <w:tcW w:w="1655" w:type="dxa"/>
            <w:gridSpan w:val="2"/>
            <w:tcBorders>
              <w:top w:val="single" w:sz="8" w:space="0" w:color="E9E9E9"/>
              <w:left w:val="nil"/>
              <w:bottom w:val="single" w:sz="8" w:space="0" w:color="E6EAED"/>
              <w:right w:val="nil"/>
            </w:tcBorders>
            <w:tcMar>
              <w:top w:w="0" w:type="dxa"/>
              <w:left w:w="53" w:type="dxa"/>
              <w:bottom w:w="0" w:type="dxa"/>
              <w:right w:w="0" w:type="dxa"/>
            </w:tcMar>
            <w:vAlign w:val="bottom"/>
          </w:tcPr>
          <w:p w14:paraId="317C009E" w14:textId="77777777" w:rsidR="001614AC" w:rsidRDefault="004468F9">
            <w:pPr>
              <w:keepNext/>
              <w:spacing w:before="55" w:after="30" w:line="288" w:lineRule="auto"/>
              <w:jc w:val="right"/>
            </w:pPr>
            <w:r>
              <w:rPr>
                <w:rFonts w:ascii="Arial" w:eastAsia="Arial" w:hAnsi="Arial" w:cs="Arial"/>
                <w:color w:val="000000"/>
                <w:sz w:val="18"/>
              </w:rPr>
              <w:t>26.2 </w:t>
            </w:r>
          </w:p>
        </w:tc>
        <w:tc>
          <w:tcPr>
            <w:tcW w:w="100" w:type="dxa"/>
            <w:tcBorders>
              <w:top w:val="single" w:sz="8" w:space="0" w:color="E9E9E9"/>
              <w:left w:val="nil"/>
              <w:bottom w:val="single" w:sz="8" w:space="0" w:color="E6EAED"/>
              <w:right w:val="nil"/>
            </w:tcBorders>
            <w:tcMar>
              <w:top w:w="0" w:type="dxa"/>
              <w:left w:w="0" w:type="dxa"/>
              <w:bottom w:w="0" w:type="dxa"/>
              <w:right w:w="15" w:type="dxa"/>
            </w:tcMar>
            <w:vAlign w:val="bottom"/>
          </w:tcPr>
          <w:p w14:paraId="7D30837D" w14:textId="77777777" w:rsidR="001614AC" w:rsidRDefault="004468F9">
            <w:pPr>
              <w:keepNext/>
              <w:spacing w:before="55" w:after="30" w:line="288" w:lineRule="auto"/>
              <w:jc w:val="right"/>
            </w:pPr>
            <w:r>
              <w:rPr>
                <w:rFonts w:ascii="Arial" w:eastAsia="Arial" w:hAnsi="Arial" w:cs="Arial"/>
                <w:color w:val="000000"/>
                <w:sz w:val="18"/>
              </w:rPr>
              <w:t>%</w:t>
            </w:r>
          </w:p>
        </w:tc>
      </w:tr>
      <w:tr w:rsidR="001614AC" w14:paraId="636FEBF8" w14:textId="77777777">
        <w:trPr>
          <w:cantSplit/>
        </w:trPr>
        <w:tc>
          <w:tcPr>
            <w:tcW w:w="4500" w:type="dxa"/>
            <w:tcBorders>
              <w:top w:val="single" w:sz="8" w:space="0" w:color="E6EAED"/>
              <w:left w:val="nil"/>
              <w:bottom w:val="single" w:sz="8" w:space="0" w:color="E9E9E9"/>
              <w:right w:val="nil"/>
            </w:tcBorders>
            <w:tcMar>
              <w:top w:w="0" w:type="dxa"/>
              <w:left w:w="0" w:type="dxa"/>
              <w:bottom w:w="0" w:type="dxa"/>
              <w:right w:w="0" w:type="dxa"/>
            </w:tcMar>
            <w:vAlign w:val="bottom"/>
          </w:tcPr>
          <w:p w14:paraId="0289163D" w14:textId="77777777" w:rsidR="001614AC" w:rsidRDefault="001614AC">
            <w:pPr>
              <w:keepNext/>
            </w:pPr>
          </w:p>
        </w:tc>
        <w:tc>
          <w:tcPr>
            <w:tcW w:w="105" w:type="dxa"/>
            <w:tcBorders>
              <w:top w:val="nil"/>
              <w:left w:val="nil"/>
              <w:bottom w:val="nil"/>
              <w:right w:val="nil"/>
            </w:tcBorders>
            <w:tcMar>
              <w:top w:w="0" w:type="dxa"/>
              <w:left w:w="0" w:type="dxa"/>
              <w:bottom w:w="0" w:type="dxa"/>
              <w:right w:w="0" w:type="dxa"/>
            </w:tcMar>
            <w:vAlign w:val="bottom"/>
          </w:tcPr>
          <w:p w14:paraId="6026DDA7" w14:textId="77777777" w:rsidR="001614AC" w:rsidRDefault="001614AC">
            <w:pPr>
              <w:keepNext/>
            </w:pPr>
          </w:p>
        </w:tc>
        <w:tc>
          <w:tcPr>
            <w:tcW w:w="1755" w:type="dxa"/>
            <w:gridSpan w:val="3"/>
            <w:tcBorders>
              <w:top w:val="single" w:sz="8" w:space="0" w:color="E6EAED"/>
              <w:left w:val="nil"/>
              <w:bottom w:val="single" w:sz="8" w:space="0" w:color="E9E9E9"/>
              <w:right w:val="nil"/>
            </w:tcBorders>
            <w:tcMar>
              <w:top w:w="0" w:type="dxa"/>
              <w:left w:w="0" w:type="dxa"/>
              <w:bottom w:w="0" w:type="dxa"/>
              <w:right w:w="0" w:type="dxa"/>
            </w:tcMar>
            <w:vAlign w:val="bottom"/>
          </w:tcPr>
          <w:p w14:paraId="4E12320D" w14:textId="77777777" w:rsidR="001614AC" w:rsidRDefault="001614AC">
            <w:pPr>
              <w:keepNext/>
            </w:pPr>
          </w:p>
        </w:tc>
        <w:tc>
          <w:tcPr>
            <w:tcW w:w="105" w:type="dxa"/>
            <w:tcBorders>
              <w:top w:val="nil"/>
              <w:left w:val="nil"/>
              <w:bottom w:val="nil"/>
              <w:right w:val="nil"/>
            </w:tcBorders>
            <w:tcMar>
              <w:top w:w="0" w:type="dxa"/>
              <w:left w:w="0" w:type="dxa"/>
              <w:bottom w:w="0" w:type="dxa"/>
              <w:right w:w="0" w:type="dxa"/>
            </w:tcMar>
            <w:vAlign w:val="bottom"/>
          </w:tcPr>
          <w:p w14:paraId="2B16FA29" w14:textId="77777777" w:rsidR="001614AC" w:rsidRDefault="001614AC">
            <w:pPr>
              <w:keepNext/>
            </w:pPr>
          </w:p>
        </w:tc>
        <w:tc>
          <w:tcPr>
            <w:tcW w:w="1755" w:type="dxa"/>
            <w:gridSpan w:val="3"/>
            <w:tcBorders>
              <w:top w:val="single" w:sz="8" w:space="0" w:color="E6EAED"/>
              <w:left w:val="nil"/>
              <w:bottom w:val="single" w:sz="8" w:space="0" w:color="E9E9E9"/>
              <w:right w:val="nil"/>
            </w:tcBorders>
            <w:tcMar>
              <w:top w:w="0" w:type="dxa"/>
              <w:left w:w="0" w:type="dxa"/>
              <w:bottom w:w="0" w:type="dxa"/>
              <w:right w:w="0" w:type="dxa"/>
            </w:tcMar>
            <w:vAlign w:val="bottom"/>
          </w:tcPr>
          <w:p w14:paraId="2B87BDC7" w14:textId="77777777" w:rsidR="001614AC" w:rsidRDefault="001614AC">
            <w:pPr>
              <w:keepNext/>
            </w:pPr>
          </w:p>
        </w:tc>
        <w:tc>
          <w:tcPr>
            <w:tcW w:w="105" w:type="dxa"/>
            <w:tcBorders>
              <w:top w:val="nil"/>
              <w:left w:val="nil"/>
              <w:bottom w:val="nil"/>
              <w:right w:val="nil"/>
            </w:tcBorders>
            <w:tcMar>
              <w:top w:w="0" w:type="dxa"/>
              <w:left w:w="0" w:type="dxa"/>
              <w:bottom w:w="0" w:type="dxa"/>
              <w:right w:w="0" w:type="dxa"/>
            </w:tcMar>
            <w:vAlign w:val="bottom"/>
          </w:tcPr>
          <w:p w14:paraId="11884EB1" w14:textId="77777777" w:rsidR="001614AC" w:rsidRDefault="001614AC">
            <w:pPr>
              <w:keepNext/>
            </w:pPr>
          </w:p>
        </w:tc>
        <w:tc>
          <w:tcPr>
            <w:tcW w:w="1755" w:type="dxa"/>
            <w:gridSpan w:val="3"/>
            <w:tcBorders>
              <w:top w:val="single" w:sz="8" w:space="0" w:color="E6EAED"/>
              <w:left w:val="nil"/>
              <w:bottom w:val="single" w:sz="8" w:space="0" w:color="E9E9E9"/>
              <w:right w:val="nil"/>
            </w:tcBorders>
            <w:tcMar>
              <w:top w:w="0" w:type="dxa"/>
              <w:left w:w="0" w:type="dxa"/>
              <w:bottom w:w="0" w:type="dxa"/>
              <w:right w:w="0" w:type="dxa"/>
            </w:tcMar>
            <w:vAlign w:val="bottom"/>
          </w:tcPr>
          <w:p w14:paraId="353F9625" w14:textId="77777777" w:rsidR="001614AC" w:rsidRDefault="001614AC">
            <w:pPr>
              <w:keepNext/>
            </w:pPr>
          </w:p>
        </w:tc>
      </w:tr>
      <w:tr w:rsidR="001614AC" w14:paraId="254D9541" w14:textId="77777777">
        <w:trPr>
          <w:cantSplit/>
        </w:trPr>
        <w:tc>
          <w:tcPr>
            <w:tcW w:w="4500" w:type="dxa"/>
            <w:tcBorders>
              <w:top w:val="single" w:sz="8" w:space="0" w:color="E9E9E9"/>
              <w:left w:val="nil"/>
              <w:bottom w:val="single" w:sz="8" w:space="0" w:color="E9E9E9"/>
              <w:right w:val="nil"/>
            </w:tcBorders>
            <w:tcMar>
              <w:top w:w="0" w:type="dxa"/>
              <w:left w:w="53" w:type="dxa"/>
              <w:bottom w:w="0" w:type="dxa"/>
              <w:right w:w="53" w:type="dxa"/>
            </w:tcMar>
            <w:vAlign w:val="bottom"/>
          </w:tcPr>
          <w:p w14:paraId="57BC83D3" w14:textId="77777777" w:rsidR="001614AC" w:rsidRDefault="004468F9">
            <w:pPr>
              <w:keepNext/>
              <w:spacing w:before="55" w:after="30" w:line="288" w:lineRule="auto"/>
              <w:rPr>
                <w:rFonts w:ascii="Arial" w:eastAsia="Arial" w:hAnsi="Arial" w:cs="Arial"/>
                <w:sz w:val="18"/>
              </w:rPr>
            </w:pPr>
            <w:r>
              <w:rPr>
                <w:rFonts w:ascii="Arial" w:eastAsia="Arial" w:hAnsi="Arial" w:cs="Arial"/>
                <w:sz w:val="18"/>
              </w:rPr>
              <w:t xml:space="preserve">Primary RIF by FICO Score </w:t>
            </w:r>
            <w:r>
              <w:rPr>
                <w:rFonts w:ascii="Arial" w:eastAsia="Arial" w:hAnsi="Arial" w:cs="Arial"/>
                <w:sz w:val="18"/>
                <w:vertAlign w:val="superscript"/>
              </w:rPr>
              <w:t>(3)</w:t>
            </w:r>
          </w:p>
        </w:tc>
        <w:tc>
          <w:tcPr>
            <w:tcW w:w="105" w:type="dxa"/>
            <w:tcBorders>
              <w:top w:val="nil"/>
              <w:left w:val="nil"/>
              <w:bottom w:val="nil"/>
              <w:right w:val="nil"/>
            </w:tcBorders>
            <w:tcMar>
              <w:top w:w="0" w:type="dxa"/>
              <w:left w:w="0" w:type="dxa"/>
              <w:bottom w:w="0" w:type="dxa"/>
              <w:right w:w="0" w:type="dxa"/>
            </w:tcMar>
            <w:vAlign w:val="bottom"/>
          </w:tcPr>
          <w:p w14:paraId="761A23B8" w14:textId="77777777" w:rsidR="001614AC" w:rsidRDefault="001614AC">
            <w:pPr>
              <w:keepNext/>
            </w:pPr>
          </w:p>
        </w:tc>
        <w:tc>
          <w:tcPr>
            <w:tcW w:w="1755" w:type="dxa"/>
            <w:gridSpan w:val="3"/>
            <w:tcBorders>
              <w:top w:val="single" w:sz="8" w:space="0" w:color="E9E9E9"/>
              <w:left w:val="nil"/>
              <w:bottom w:val="single" w:sz="8" w:space="0" w:color="E9E9E9"/>
              <w:right w:val="nil"/>
            </w:tcBorders>
            <w:tcMar>
              <w:top w:w="0" w:type="dxa"/>
              <w:left w:w="0" w:type="dxa"/>
              <w:bottom w:w="0" w:type="dxa"/>
              <w:right w:w="0" w:type="dxa"/>
            </w:tcMar>
            <w:vAlign w:val="bottom"/>
          </w:tcPr>
          <w:p w14:paraId="63D94387" w14:textId="77777777" w:rsidR="001614AC" w:rsidRDefault="001614AC">
            <w:pPr>
              <w:keepNext/>
            </w:pPr>
          </w:p>
        </w:tc>
        <w:tc>
          <w:tcPr>
            <w:tcW w:w="105" w:type="dxa"/>
            <w:tcBorders>
              <w:top w:val="nil"/>
              <w:left w:val="nil"/>
              <w:bottom w:val="nil"/>
              <w:right w:val="nil"/>
            </w:tcBorders>
            <w:tcMar>
              <w:top w:w="0" w:type="dxa"/>
              <w:left w:w="0" w:type="dxa"/>
              <w:bottom w:w="0" w:type="dxa"/>
              <w:right w:w="0" w:type="dxa"/>
            </w:tcMar>
            <w:vAlign w:val="bottom"/>
          </w:tcPr>
          <w:p w14:paraId="21006B49" w14:textId="77777777" w:rsidR="001614AC" w:rsidRDefault="001614AC">
            <w:pPr>
              <w:keepNext/>
            </w:pPr>
          </w:p>
        </w:tc>
        <w:tc>
          <w:tcPr>
            <w:tcW w:w="1755" w:type="dxa"/>
            <w:gridSpan w:val="3"/>
            <w:tcBorders>
              <w:top w:val="single" w:sz="8" w:space="0" w:color="E9E9E9"/>
              <w:left w:val="nil"/>
              <w:bottom w:val="single" w:sz="8" w:space="0" w:color="E9E9E9"/>
              <w:right w:val="nil"/>
            </w:tcBorders>
            <w:tcMar>
              <w:top w:w="0" w:type="dxa"/>
              <w:left w:w="0" w:type="dxa"/>
              <w:bottom w:w="0" w:type="dxa"/>
              <w:right w:w="0" w:type="dxa"/>
            </w:tcMar>
            <w:vAlign w:val="bottom"/>
          </w:tcPr>
          <w:p w14:paraId="28208FCF" w14:textId="77777777" w:rsidR="001614AC" w:rsidRDefault="001614AC">
            <w:pPr>
              <w:keepNext/>
            </w:pPr>
          </w:p>
        </w:tc>
        <w:tc>
          <w:tcPr>
            <w:tcW w:w="105" w:type="dxa"/>
            <w:tcBorders>
              <w:top w:val="nil"/>
              <w:left w:val="nil"/>
              <w:bottom w:val="nil"/>
              <w:right w:val="nil"/>
            </w:tcBorders>
            <w:tcMar>
              <w:top w:w="0" w:type="dxa"/>
              <w:left w:w="0" w:type="dxa"/>
              <w:bottom w:w="0" w:type="dxa"/>
              <w:right w:w="0" w:type="dxa"/>
            </w:tcMar>
            <w:vAlign w:val="bottom"/>
          </w:tcPr>
          <w:p w14:paraId="0439CC33" w14:textId="77777777" w:rsidR="001614AC" w:rsidRDefault="001614AC">
            <w:pPr>
              <w:keepNext/>
            </w:pPr>
          </w:p>
        </w:tc>
        <w:tc>
          <w:tcPr>
            <w:tcW w:w="1755" w:type="dxa"/>
            <w:gridSpan w:val="3"/>
            <w:tcBorders>
              <w:top w:val="single" w:sz="8" w:space="0" w:color="E9E9E9"/>
              <w:left w:val="nil"/>
              <w:bottom w:val="single" w:sz="8" w:space="0" w:color="E9E9E9"/>
              <w:right w:val="nil"/>
            </w:tcBorders>
            <w:tcMar>
              <w:top w:w="0" w:type="dxa"/>
              <w:left w:w="0" w:type="dxa"/>
              <w:bottom w:w="0" w:type="dxa"/>
              <w:right w:w="0" w:type="dxa"/>
            </w:tcMar>
            <w:vAlign w:val="bottom"/>
          </w:tcPr>
          <w:p w14:paraId="385B6565" w14:textId="77777777" w:rsidR="001614AC" w:rsidRDefault="001614AC">
            <w:pPr>
              <w:keepNext/>
            </w:pPr>
          </w:p>
        </w:tc>
      </w:tr>
      <w:tr w:rsidR="001614AC" w14:paraId="17F6555F" w14:textId="77777777">
        <w:trPr>
          <w:cantSplit/>
        </w:trPr>
        <w:tc>
          <w:tcPr>
            <w:tcW w:w="4500" w:type="dxa"/>
            <w:tcBorders>
              <w:top w:val="single" w:sz="8" w:space="0" w:color="E9E9E9"/>
              <w:left w:val="nil"/>
              <w:bottom w:val="single" w:sz="8" w:space="0" w:color="E9E9E9"/>
              <w:right w:val="nil"/>
            </w:tcBorders>
            <w:tcMar>
              <w:top w:w="0" w:type="dxa"/>
              <w:left w:w="53" w:type="dxa"/>
              <w:bottom w:w="0" w:type="dxa"/>
              <w:right w:w="53" w:type="dxa"/>
            </w:tcMar>
            <w:vAlign w:val="bottom"/>
          </w:tcPr>
          <w:p w14:paraId="2C63B5FB" w14:textId="77777777" w:rsidR="001614AC" w:rsidRDefault="004468F9">
            <w:pPr>
              <w:keepNext/>
              <w:spacing w:before="55" w:after="30" w:line="288" w:lineRule="auto"/>
              <w:ind w:left="240"/>
            </w:pPr>
            <w:r>
              <w:rPr>
                <w:rFonts w:ascii="Arial" w:eastAsia="Arial" w:hAnsi="Arial" w:cs="Arial"/>
                <w:color w:val="000000"/>
                <w:sz w:val="18"/>
              </w:rPr>
              <w:t>&gt;=740</w:t>
            </w:r>
          </w:p>
        </w:tc>
        <w:tc>
          <w:tcPr>
            <w:tcW w:w="105" w:type="dxa"/>
            <w:tcBorders>
              <w:top w:val="nil"/>
              <w:left w:val="nil"/>
              <w:bottom w:val="nil"/>
              <w:right w:val="nil"/>
            </w:tcBorders>
            <w:tcMar>
              <w:top w:w="0" w:type="dxa"/>
              <w:left w:w="0" w:type="dxa"/>
              <w:bottom w:w="0" w:type="dxa"/>
              <w:right w:w="0" w:type="dxa"/>
            </w:tcMar>
            <w:vAlign w:val="bottom"/>
          </w:tcPr>
          <w:p w14:paraId="08493015" w14:textId="77777777" w:rsidR="001614AC" w:rsidRDefault="001614AC">
            <w:pPr>
              <w:keepNext/>
            </w:pPr>
          </w:p>
        </w:tc>
        <w:tc>
          <w:tcPr>
            <w:tcW w:w="165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7AC65D8F" w14:textId="77777777" w:rsidR="001614AC" w:rsidRDefault="004468F9">
            <w:pPr>
              <w:keepNext/>
              <w:spacing w:before="55" w:after="30" w:line="288" w:lineRule="auto"/>
              <w:jc w:val="right"/>
            </w:pPr>
            <w:r>
              <w:rPr>
                <w:rFonts w:ascii="Arial" w:eastAsia="Arial" w:hAnsi="Arial" w:cs="Arial"/>
                <w:color w:val="000000"/>
                <w:sz w:val="18"/>
              </w:rPr>
              <w:t>57.5 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27001F2D" w14:textId="77777777" w:rsidR="001614AC" w:rsidRDefault="004468F9">
            <w:pPr>
              <w:keepNext/>
              <w:spacing w:before="55" w:after="30" w:line="288" w:lineRule="auto"/>
              <w:jc w:val="right"/>
            </w:pPr>
            <w:r>
              <w:rPr>
                <w:rFonts w:ascii="Arial" w:eastAsia="Arial" w:hAnsi="Arial" w:cs="Arial"/>
                <w:color w:val="000000"/>
                <w:sz w:val="18"/>
              </w:rPr>
              <w:t>%</w:t>
            </w:r>
          </w:p>
        </w:tc>
        <w:tc>
          <w:tcPr>
            <w:tcW w:w="105" w:type="dxa"/>
            <w:tcBorders>
              <w:top w:val="nil"/>
              <w:left w:val="nil"/>
              <w:bottom w:val="nil"/>
              <w:right w:val="nil"/>
            </w:tcBorders>
            <w:tcMar>
              <w:top w:w="0" w:type="dxa"/>
              <w:left w:w="0" w:type="dxa"/>
              <w:bottom w:w="0" w:type="dxa"/>
              <w:right w:w="0" w:type="dxa"/>
            </w:tcMar>
            <w:vAlign w:val="bottom"/>
          </w:tcPr>
          <w:p w14:paraId="4AB8CE4C" w14:textId="77777777" w:rsidR="001614AC" w:rsidRDefault="001614AC">
            <w:pPr>
              <w:keepNext/>
            </w:pPr>
          </w:p>
        </w:tc>
        <w:tc>
          <w:tcPr>
            <w:tcW w:w="165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2ECF285B" w14:textId="77777777" w:rsidR="001614AC" w:rsidRDefault="004468F9">
            <w:pPr>
              <w:keepNext/>
              <w:spacing w:before="55" w:after="30" w:line="288" w:lineRule="auto"/>
              <w:jc w:val="right"/>
            </w:pPr>
            <w:r>
              <w:rPr>
                <w:rFonts w:ascii="Arial" w:eastAsia="Arial" w:hAnsi="Arial" w:cs="Arial"/>
                <w:color w:val="000000"/>
                <w:sz w:val="18"/>
              </w:rPr>
              <w:t>57.5 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5C4BF05E" w14:textId="77777777" w:rsidR="001614AC" w:rsidRDefault="004468F9">
            <w:pPr>
              <w:keepNext/>
              <w:spacing w:before="55" w:after="30" w:line="288" w:lineRule="auto"/>
              <w:jc w:val="right"/>
            </w:pPr>
            <w:r>
              <w:rPr>
                <w:rFonts w:ascii="Arial" w:eastAsia="Arial" w:hAnsi="Arial" w:cs="Arial"/>
                <w:color w:val="000000"/>
                <w:sz w:val="18"/>
              </w:rPr>
              <w:t>%</w:t>
            </w:r>
          </w:p>
        </w:tc>
        <w:tc>
          <w:tcPr>
            <w:tcW w:w="105" w:type="dxa"/>
            <w:tcBorders>
              <w:top w:val="nil"/>
              <w:left w:val="nil"/>
              <w:bottom w:val="nil"/>
              <w:right w:val="nil"/>
            </w:tcBorders>
            <w:tcMar>
              <w:top w:w="0" w:type="dxa"/>
              <w:left w:w="0" w:type="dxa"/>
              <w:bottom w:w="0" w:type="dxa"/>
              <w:right w:w="0" w:type="dxa"/>
            </w:tcMar>
            <w:vAlign w:val="bottom"/>
          </w:tcPr>
          <w:p w14:paraId="685120A9" w14:textId="77777777" w:rsidR="001614AC" w:rsidRDefault="001614AC">
            <w:pPr>
              <w:keepNext/>
            </w:pPr>
          </w:p>
        </w:tc>
        <w:tc>
          <w:tcPr>
            <w:tcW w:w="165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0B5EDD6C" w14:textId="77777777" w:rsidR="001614AC" w:rsidRDefault="004468F9">
            <w:pPr>
              <w:keepNext/>
              <w:spacing w:before="55" w:after="30" w:line="288" w:lineRule="auto"/>
              <w:jc w:val="right"/>
            </w:pPr>
            <w:r>
              <w:rPr>
                <w:rFonts w:ascii="Arial" w:eastAsia="Arial" w:hAnsi="Arial" w:cs="Arial"/>
                <w:color w:val="000000"/>
                <w:sz w:val="18"/>
              </w:rPr>
              <w:t>57.4 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51612C89" w14:textId="77777777" w:rsidR="001614AC" w:rsidRDefault="004468F9">
            <w:pPr>
              <w:keepNext/>
              <w:spacing w:before="55" w:after="30" w:line="288" w:lineRule="auto"/>
              <w:jc w:val="right"/>
            </w:pPr>
            <w:r>
              <w:rPr>
                <w:rFonts w:ascii="Arial" w:eastAsia="Arial" w:hAnsi="Arial" w:cs="Arial"/>
                <w:color w:val="000000"/>
                <w:sz w:val="18"/>
              </w:rPr>
              <w:t>%</w:t>
            </w:r>
          </w:p>
        </w:tc>
      </w:tr>
      <w:tr w:rsidR="001614AC" w14:paraId="3072BE00" w14:textId="77777777">
        <w:trPr>
          <w:cantSplit/>
        </w:trPr>
        <w:tc>
          <w:tcPr>
            <w:tcW w:w="4500" w:type="dxa"/>
            <w:tcBorders>
              <w:top w:val="single" w:sz="8" w:space="0" w:color="E9E9E9"/>
              <w:left w:val="nil"/>
              <w:bottom w:val="single" w:sz="8" w:space="0" w:color="E9E9E9"/>
              <w:right w:val="nil"/>
            </w:tcBorders>
            <w:tcMar>
              <w:top w:w="0" w:type="dxa"/>
              <w:left w:w="53" w:type="dxa"/>
              <w:bottom w:w="0" w:type="dxa"/>
              <w:right w:w="53" w:type="dxa"/>
            </w:tcMar>
            <w:vAlign w:val="bottom"/>
          </w:tcPr>
          <w:p w14:paraId="6035C991" w14:textId="77777777" w:rsidR="001614AC" w:rsidRDefault="004468F9">
            <w:pPr>
              <w:keepNext/>
              <w:spacing w:before="55" w:after="30" w:line="288" w:lineRule="auto"/>
              <w:ind w:left="240"/>
            </w:pPr>
            <w:r>
              <w:rPr>
                <w:rFonts w:ascii="Arial" w:eastAsia="Arial" w:hAnsi="Arial" w:cs="Arial"/>
                <w:color w:val="000000"/>
                <w:sz w:val="18"/>
              </w:rPr>
              <w:t>680-739</w:t>
            </w:r>
          </w:p>
        </w:tc>
        <w:tc>
          <w:tcPr>
            <w:tcW w:w="105" w:type="dxa"/>
            <w:tcBorders>
              <w:top w:val="nil"/>
              <w:left w:val="nil"/>
              <w:bottom w:val="nil"/>
              <w:right w:val="nil"/>
            </w:tcBorders>
            <w:tcMar>
              <w:top w:w="0" w:type="dxa"/>
              <w:left w:w="0" w:type="dxa"/>
              <w:bottom w:w="0" w:type="dxa"/>
              <w:right w:w="0" w:type="dxa"/>
            </w:tcMar>
            <w:vAlign w:val="bottom"/>
          </w:tcPr>
          <w:p w14:paraId="0A82B864" w14:textId="77777777" w:rsidR="001614AC" w:rsidRDefault="001614AC">
            <w:pPr>
              <w:keepNext/>
            </w:pPr>
          </w:p>
        </w:tc>
        <w:tc>
          <w:tcPr>
            <w:tcW w:w="165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53E87958" w14:textId="77777777" w:rsidR="001614AC" w:rsidRDefault="004468F9">
            <w:pPr>
              <w:keepNext/>
              <w:spacing w:before="55" w:after="30" w:line="288" w:lineRule="auto"/>
              <w:jc w:val="right"/>
            </w:pPr>
            <w:r>
              <w:rPr>
                <w:rFonts w:ascii="Arial" w:eastAsia="Arial" w:hAnsi="Arial" w:cs="Arial"/>
                <w:color w:val="000000"/>
                <w:sz w:val="18"/>
              </w:rPr>
              <w:t>34.8 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1883F478" w14:textId="77777777" w:rsidR="001614AC" w:rsidRDefault="004468F9">
            <w:pPr>
              <w:keepNext/>
              <w:spacing w:before="55" w:after="30" w:line="288" w:lineRule="auto"/>
              <w:jc w:val="right"/>
            </w:pPr>
            <w:r>
              <w:rPr>
                <w:rFonts w:ascii="Arial" w:eastAsia="Arial" w:hAnsi="Arial" w:cs="Arial"/>
                <w:color w:val="000000"/>
                <w:sz w:val="18"/>
              </w:rPr>
              <w:t>%</w:t>
            </w:r>
          </w:p>
        </w:tc>
        <w:tc>
          <w:tcPr>
            <w:tcW w:w="105" w:type="dxa"/>
            <w:tcBorders>
              <w:top w:val="nil"/>
              <w:left w:val="nil"/>
              <w:bottom w:val="nil"/>
              <w:right w:val="nil"/>
            </w:tcBorders>
            <w:tcMar>
              <w:top w:w="0" w:type="dxa"/>
              <w:left w:w="0" w:type="dxa"/>
              <w:bottom w:w="0" w:type="dxa"/>
              <w:right w:w="0" w:type="dxa"/>
            </w:tcMar>
            <w:vAlign w:val="bottom"/>
          </w:tcPr>
          <w:p w14:paraId="19466EB9" w14:textId="77777777" w:rsidR="001614AC" w:rsidRDefault="001614AC">
            <w:pPr>
              <w:keepNext/>
            </w:pPr>
          </w:p>
        </w:tc>
        <w:tc>
          <w:tcPr>
            <w:tcW w:w="165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3E125B7D" w14:textId="77777777" w:rsidR="001614AC" w:rsidRDefault="004468F9">
            <w:pPr>
              <w:keepNext/>
              <w:spacing w:before="55" w:after="30" w:line="288" w:lineRule="auto"/>
              <w:jc w:val="right"/>
            </w:pPr>
            <w:r>
              <w:rPr>
                <w:rFonts w:ascii="Arial" w:eastAsia="Arial" w:hAnsi="Arial" w:cs="Arial"/>
                <w:color w:val="000000"/>
                <w:sz w:val="18"/>
              </w:rPr>
              <w:t>34.6 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614CB1A9" w14:textId="77777777" w:rsidR="001614AC" w:rsidRDefault="004468F9">
            <w:pPr>
              <w:keepNext/>
              <w:spacing w:before="55" w:after="30" w:line="288" w:lineRule="auto"/>
              <w:jc w:val="right"/>
            </w:pPr>
            <w:r>
              <w:rPr>
                <w:rFonts w:ascii="Arial" w:eastAsia="Arial" w:hAnsi="Arial" w:cs="Arial"/>
                <w:color w:val="000000"/>
                <w:sz w:val="18"/>
              </w:rPr>
              <w:t>%</w:t>
            </w:r>
          </w:p>
        </w:tc>
        <w:tc>
          <w:tcPr>
            <w:tcW w:w="105" w:type="dxa"/>
            <w:tcBorders>
              <w:top w:val="nil"/>
              <w:left w:val="nil"/>
              <w:bottom w:val="nil"/>
              <w:right w:val="nil"/>
            </w:tcBorders>
            <w:tcMar>
              <w:top w:w="0" w:type="dxa"/>
              <w:left w:w="0" w:type="dxa"/>
              <w:bottom w:w="0" w:type="dxa"/>
              <w:right w:w="0" w:type="dxa"/>
            </w:tcMar>
            <w:vAlign w:val="bottom"/>
          </w:tcPr>
          <w:p w14:paraId="564885C5" w14:textId="77777777" w:rsidR="001614AC" w:rsidRDefault="001614AC">
            <w:pPr>
              <w:keepNext/>
            </w:pPr>
          </w:p>
        </w:tc>
        <w:tc>
          <w:tcPr>
            <w:tcW w:w="165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3740CD8E" w14:textId="77777777" w:rsidR="001614AC" w:rsidRDefault="004468F9">
            <w:pPr>
              <w:keepNext/>
              <w:spacing w:before="55" w:after="30" w:line="288" w:lineRule="auto"/>
              <w:jc w:val="right"/>
            </w:pPr>
            <w:r>
              <w:rPr>
                <w:rFonts w:ascii="Arial" w:eastAsia="Arial" w:hAnsi="Arial" w:cs="Arial"/>
                <w:color w:val="000000"/>
                <w:sz w:val="18"/>
              </w:rPr>
              <w:t>34.3 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4C1A8525" w14:textId="77777777" w:rsidR="001614AC" w:rsidRDefault="004468F9">
            <w:pPr>
              <w:keepNext/>
              <w:spacing w:before="55" w:after="30" w:line="288" w:lineRule="auto"/>
              <w:jc w:val="right"/>
            </w:pPr>
            <w:r>
              <w:rPr>
                <w:rFonts w:ascii="Arial" w:eastAsia="Arial" w:hAnsi="Arial" w:cs="Arial"/>
                <w:color w:val="000000"/>
                <w:sz w:val="18"/>
              </w:rPr>
              <w:t>%</w:t>
            </w:r>
          </w:p>
        </w:tc>
      </w:tr>
      <w:tr w:rsidR="001614AC" w14:paraId="23677B70" w14:textId="77777777">
        <w:trPr>
          <w:cantSplit/>
        </w:trPr>
        <w:tc>
          <w:tcPr>
            <w:tcW w:w="4500" w:type="dxa"/>
            <w:tcBorders>
              <w:top w:val="single" w:sz="8" w:space="0" w:color="E9E9E9"/>
              <w:left w:val="nil"/>
              <w:bottom w:val="single" w:sz="8" w:space="0" w:color="E9E9E9"/>
              <w:right w:val="nil"/>
            </w:tcBorders>
            <w:tcMar>
              <w:top w:w="0" w:type="dxa"/>
              <w:left w:w="53" w:type="dxa"/>
              <w:bottom w:w="0" w:type="dxa"/>
              <w:right w:w="53" w:type="dxa"/>
            </w:tcMar>
            <w:vAlign w:val="bottom"/>
          </w:tcPr>
          <w:p w14:paraId="3CEFCC82" w14:textId="77777777" w:rsidR="001614AC" w:rsidRDefault="004468F9">
            <w:pPr>
              <w:keepNext/>
              <w:spacing w:before="55" w:after="30" w:line="288" w:lineRule="auto"/>
              <w:ind w:left="240"/>
            </w:pPr>
            <w:r>
              <w:rPr>
                <w:rFonts w:ascii="Arial" w:eastAsia="Arial" w:hAnsi="Arial" w:cs="Arial"/>
                <w:color w:val="000000"/>
                <w:sz w:val="18"/>
              </w:rPr>
              <w:t>620-679</w:t>
            </w:r>
          </w:p>
        </w:tc>
        <w:tc>
          <w:tcPr>
            <w:tcW w:w="105" w:type="dxa"/>
            <w:tcBorders>
              <w:top w:val="nil"/>
              <w:left w:val="nil"/>
              <w:bottom w:val="nil"/>
              <w:right w:val="nil"/>
            </w:tcBorders>
            <w:tcMar>
              <w:top w:w="0" w:type="dxa"/>
              <w:left w:w="0" w:type="dxa"/>
              <w:bottom w:w="0" w:type="dxa"/>
              <w:right w:w="0" w:type="dxa"/>
            </w:tcMar>
            <w:vAlign w:val="bottom"/>
          </w:tcPr>
          <w:p w14:paraId="56856E24" w14:textId="77777777" w:rsidR="001614AC" w:rsidRDefault="001614AC">
            <w:pPr>
              <w:keepNext/>
            </w:pPr>
          </w:p>
        </w:tc>
        <w:tc>
          <w:tcPr>
            <w:tcW w:w="165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57DF4FE4" w14:textId="77777777" w:rsidR="001614AC" w:rsidRDefault="004468F9">
            <w:pPr>
              <w:keepNext/>
              <w:spacing w:before="55" w:after="30" w:line="288" w:lineRule="auto"/>
              <w:jc w:val="right"/>
            </w:pPr>
            <w:r>
              <w:rPr>
                <w:rFonts w:ascii="Arial" w:eastAsia="Arial" w:hAnsi="Arial" w:cs="Arial"/>
                <w:color w:val="000000"/>
                <w:sz w:val="18"/>
              </w:rPr>
              <w:t>7.2 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2D08BE7D" w14:textId="77777777" w:rsidR="001614AC" w:rsidRDefault="004468F9">
            <w:pPr>
              <w:keepNext/>
              <w:spacing w:before="55" w:after="30" w:line="288" w:lineRule="auto"/>
              <w:jc w:val="right"/>
            </w:pPr>
            <w:r>
              <w:rPr>
                <w:rFonts w:ascii="Arial" w:eastAsia="Arial" w:hAnsi="Arial" w:cs="Arial"/>
                <w:color w:val="000000"/>
                <w:sz w:val="18"/>
              </w:rPr>
              <w:t>%</w:t>
            </w:r>
          </w:p>
        </w:tc>
        <w:tc>
          <w:tcPr>
            <w:tcW w:w="105" w:type="dxa"/>
            <w:tcBorders>
              <w:top w:val="nil"/>
              <w:left w:val="nil"/>
              <w:bottom w:val="nil"/>
              <w:right w:val="nil"/>
            </w:tcBorders>
            <w:tcMar>
              <w:top w:w="0" w:type="dxa"/>
              <w:left w:w="0" w:type="dxa"/>
              <w:bottom w:w="0" w:type="dxa"/>
              <w:right w:w="0" w:type="dxa"/>
            </w:tcMar>
            <w:vAlign w:val="bottom"/>
          </w:tcPr>
          <w:p w14:paraId="43808106" w14:textId="77777777" w:rsidR="001614AC" w:rsidRDefault="001614AC">
            <w:pPr>
              <w:keepNext/>
            </w:pPr>
          </w:p>
        </w:tc>
        <w:tc>
          <w:tcPr>
            <w:tcW w:w="165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33E2A530" w14:textId="77777777" w:rsidR="001614AC" w:rsidRDefault="004468F9">
            <w:pPr>
              <w:keepNext/>
              <w:spacing w:before="55" w:after="30" w:line="288" w:lineRule="auto"/>
              <w:jc w:val="right"/>
            </w:pPr>
            <w:r>
              <w:rPr>
                <w:rFonts w:ascii="Arial" w:eastAsia="Arial" w:hAnsi="Arial" w:cs="Arial"/>
                <w:color w:val="000000"/>
                <w:sz w:val="18"/>
              </w:rPr>
              <w:t>7.3 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18E7EC65" w14:textId="77777777" w:rsidR="001614AC" w:rsidRDefault="004468F9">
            <w:pPr>
              <w:keepNext/>
              <w:spacing w:before="55" w:after="30" w:line="288" w:lineRule="auto"/>
              <w:jc w:val="right"/>
            </w:pPr>
            <w:r>
              <w:rPr>
                <w:rFonts w:ascii="Arial" w:eastAsia="Arial" w:hAnsi="Arial" w:cs="Arial"/>
                <w:color w:val="000000"/>
                <w:sz w:val="18"/>
              </w:rPr>
              <w:t>%</w:t>
            </w:r>
          </w:p>
        </w:tc>
        <w:tc>
          <w:tcPr>
            <w:tcW w:w="105" w:type="dxa"/>
            <w:tcBorders>
              <w:top w:val="nil"/>
              <w:left w:val="nil"/>
              <w:bottom w:val="nil"/>
              <w:right w:val="nil"/>
            </w:tcBorders>
            <w:tcMar>
              <w:top w:w="0" w:type="dxa"/>
              <w:left w:w="0" w:type="dxa"/>
              <w:bottom w:w="0" w:type="dxa"/>
              <w:right w:w="0" w:type="dxa"/>
            </w:tcMar>
            <w:vAlign w:val="bottom"/>
          </w:tcPr>
          <w:p w14:paraId="14649CE3" w14:textId="77777777" w:rsidR="001614AC" w:rsidRDefault="001614AC">
            <w:pPr>
              <w:keepNext/>
            </w:pPr>
          </w:p>
        </w:tc>
        <w:tc>
          <w:tcPr>
            <w:tcW w:w="165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72E35ACC" w14:textId="77777777" w:rsidR="001614AC" w:rsidRDefault="004468F9">
            <w:pPr>
              <w:keepNext/>
              <w:spacing w:before="55" w:after="30" w:line="288" w:lineRule="auto"/>
              <w:jc w:val="right"/>
            </w:pPr>
            <w:r>
              <w:rPr>
                <w:rFonts w:ascii="Arial" w:eastAsia="Arial" w:hAnsi="Arial" w:cs="Arial"/>
                <w:color w:val="000000"/>
                <w:sz w:val="18"/>
              </w:rPr>
              <w:t>7.7 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171F3601" w14:textId="77777777" w:rsidR="001614AC" w:rsidRDefault="004468F9">
            <w:pPr>
              <w:keepNext/>
              <w:spacing w:before="55" w:after="30" w:line="288" w:lineRule="auto"/>
              <w:jc w:val="right"/>
            </w:pPr>
            <w:r>
              <w:rPr>
                <w:rFonts w:ascii="Arial" w:eastAsia="Arial" w:hAnsi="Arial" w:cs="Arial"/>
                <w:color w:val="000000"/>
                <w:sz w:val="18"/>
              </w:rPr>
              <w:t>%</w:t>
            </w:r>
          </w:p>
        </w:tc>
      </w:tr>
      <w:tr w:rsidR="001614AC" w14:paraId="4BAC6F77" w14:textId="77777777">
        <w:trPr>
          <w:cantSplit/>
        </w:trPr>
        <w:tc>
          <w:tcPr>
            <w:tcW w:w="4500" w:type="dxa"/>
            <w:tcBorders>
              <w:top w:val="single" w:sz="8" w:space="0" w:color="E9E9E9"/>
              <w:left w:val="nil"/>
              <w:bottom w:val="single" w:sz="8" w:space="0" w:color="E9E9E9"/>
              <w:right w:val="nil"/>
            </w:tcBorders>
            <w:tcMar>
              <w:top w:w="0" w:type="dxa"/>
              <w:left w:w="53" w:type="dxa"/>
              <w:bottom w:w="0" w:type="dxa"/>
              <w:right w:w="53" w:type="dxa"/>
            </w:tcMar>
            <w:vAlign w:val="bottom"/>
          </w:tcPr>
          <w:p w14:paraId="53F73E92" w14:textId="77777777" w:rsidR="001614AC" w:rsidRDefault="004468F9">
            <w:pPr>
              <w:keepNext/>
              <w:spacing w:before="55" w:after="30" w:line="288" w:lineRule="auto"/>
              <w:ind w:left="240"/>
            </w:pPr>
            <w:r>
              <w:rPr>
                <w:rFonts w:ascii="Arial" w:eastAsia="Arial" w:hAnsi="Arial" w:cs="Arial"/>
                <w:color w:val="000000"/>
                <w:sz w:val="18"/>
              </w:rPr>
              <w:t>&lt;=619</w:t>
            </w:r>
          </w:p>
        </w:tc>
        <w:tc>
          <w:tcPr>
            <w:tcW w:w="105" w:type="dxa"/>
            <w:tcBorders>
              <w:top w:val="nil"/>
              <w:left w:val="nil"/>
              <w:bottom w:val="nil"/>
              <w:right w:val="nil"/>
            </w:tcBorders>
            <w:tcMar>
              <w:top w:w="0" w:type="dxa"/>
              <w:left w:w="0" w:type="dxa"/>
              <w:bottom w:w="0" w:type="dxa"/>
              <w:right w:w="0" w:type="dxa"/>
            </w:tcMar>
            <w:vAlign w:val="bottom"/>
          </w:tcPr>
          <w:p w14:paraId="4F283A6F" w14:textId="77777777" w:rsidR="001614AC" w:rsidRDefault="001614AC">
            <w:pPr>
              <w:keepNext/>
            </w:pPr>
          </w:p>
        </w:tc>
        <w:tc>
          <w:tcPr>
            <w:tcW w:w="165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55569488" w14:textId="77777777" w:rsidR="001614AC" w:rsidRDefault="004468F9">
            <w:pPr>
              <w:keepNext/>
              <w:spacing w:before="55" w:after="30" w:line="288" w:lineRule="auto"/>
              <w:jc w:val="right"/>
            </w:pPr>
            <w:r>
              <w:rPr>
                <w:rFonts w:ascii="Arial" w:eastAsia="Arial" w:hAnsi="Arial" w:cs="Arial"/>
                <w:color w:val="000000"/>
                <w:sz w:val="18"/>
              </w:rPr>
              <w:t>0.5 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758D07EF" w14:textId="77777777" w:rsidR="001614AC" w:rsidRDefault="004468F9">
            <w:pPr>
              <w:keepNext/>
              <w:spacing w:before="55" w:after="30" w:line="288" w:lineRule="auto"/>
              <w:jc w:val="right"/>
            </w:pPr>
            <w:r>
              <w:rPr>
                <w:rFonts w:ascii="Arial" w:eastAsia="Arial" w:hAnsi="Arial" w:cs="Arial"/>
                <w:color w:val="000000"/>
                <w:sz w:val="18"/>
              </w:rPr>
              <w:t>%</w:t>
            </w:r>
          </w:p>
        </w:tc>
        <w:tc>
          <w:tcPr>
            <w:tcW w:w="105" w:type="dxa"/>
            <w:tcBorders>
              <w:top w:val="nil"/>
              <w:left w:val="nil"/>
              <w:bottom w:val="nil"/>
              <w:right w:val="nil"/>
            </w:tcBorders>
            <w:tcMar>
              <w:top w:w="0" w:type="dxa"/>
              <w:left w:w="0" w:type="dxa"/>
              <w:bottom w:w="0" w:type="dxa"/>
              <w:right w:w="0" w:type="dxa"/>
            </w:tcMar>
            <w:vAlign w:val="bottom"/>
          </w:tcPr>
          <w:p w14:paraId="3E76568F" w14:textId="77777777" w:rsidR="001614AC" w:rsidRDefault="001614AC">
            <w:pPr>
              <w:keepNext/>
            </w:pPr>
          </w:p>
        </w:tc>
        <w:tc>
          <w:tcPr>
            <w:tcW w:w="165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5CE373CE" w14:textId="77777777" w:rsidR="001614AC" w:rsidRDefault="004468F9">
            <w:pPr>
              <w:keepNext/>
              <w:spacing w:before="55" w:after="30" w:line="288" w:lineRule="auto"/>
              <w:jc w:val="right"/>
            </w:pPr>
            <w:r>
              <w:rPr>
                <w:rFonts w:ascii="Arial" w:eastAsia="Arial" w:hAnsi="Arial" w:cs="Arial"/>
                <w:color w:val="000000"/>
                <w:sz w:val="18"/>
              </w:rPr>
              <w:t>0.6 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1CDE8718" w14:textId="77777777" w:rsidR="001614AC" w:rsidRDefault="004468F9">
            <w:pPr>
              <w:keepNext/>
              <w:spacing w:before="55" w:after="30" w:line="288" w:lineRule="auto"/>
              <w:jc w:val="right"/>
            </w:pPr>
            <w:r>
              <w:rPr>
                <w:rFonts w:ascii="Arial" w:eastAsia="Arial" w:hAnsi="Arial" w:cs="Arial"/>
                <w:color w:val="000000"/>
                <w:sz w:val="18"/>
              </w:rPr>
              <w:t>%</w:t>
            </w:r>
          </w:p>
        </w:tc>
        <w:tc>
          <w:tcPr>
            <w:tcW w:w="105" w:type="dxa"/>
            <w:tcBorders>
              <w:top w:val="nil"/>
              <w:left w:val="nil"/>
              <w:bottom w:val="nil"/>
              <w:right w:val="nil"/>
            </w:tcBorders>
            <w:tcMar>
              <w:top w:w="0" w:type="dxa"/>
              <w:left w:w="0" w:type="dxa"/>
              <w:bottom w:w="0" w:type="dxa"/>
              <w:right w:w="0" w:type="dxa"/>
            </w:tcMar>
            <w:vAlign w:val="bottom"/>
          </w:tcPr>
          <w:p w14:paraId="1FF174B8" w14:textId="77777777" w:rsidR="001614AC" w:rsidRDefault="001614AC">
            <w:pPr>
              <w:keepNext/>
            </w:pPr>
          </w:p>
        </w:tc>
        <w:tc>
          <w:tcPr>
            <w:tcW w:w="165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0D1777E3" w14:textId="77777777" w:rsidR="001614AC" w:rsidRDefault="004468F9">
            <w:pPr>
              <w:keepNext/>
              <w:spacing w:before="55" w:after="30" w:line="288" w:lineRule="auto"/>
              <w:jc w:val="right"/>
            </w:pPr>
            <w:r>
              <w:rPr>
                <w:rFonts w:ascii="Arial" w:eastAsia="Arial" w:hAnsi="Arial" w:cs="Arial"/>
                <w:color w:val="000000"/>
                <w:sz w:val="18"/>
              </w:rPr>
              <w:t>0.6 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585EE60D" w14:textId="77777777" w:rsidR="001614AC" w:rsidRDefault="004468F9">
            <w:pPr>
              <w:keepNext/>
              <w:spacing w:before="55" w:after="30" w:line="288" w:lineRule="auto"/>
              <w:jc w:val="right"/>
            </w:pPr>
            <w:r>
              <w:rPr>
                <w:rFonts w:ascii="Arial" w:eastAsia="Arial" w:hAnsi="Arial" w:cs="Arial"/>
                <w:color w:val="000000"/>
                <w:sz w:val="18"/>
              </w:rPr>
              <w:t>%</w:t>
            </w:r>
          </w:p>
        </w:tc>
      </w:tr>
      <w:tr w:rsidR="001614AC" w14:paraId="71C04AFC" w14:textId="77777777">
        <w:trPr>
          <w:cantSplit/>
        </w:trPr>
        <w:tc>
          <w:tcPr>
            <w:tcW w:w="4500" w:type="dxa"/>
            <w:tcBorders>
              <w:top w:val="single" w:sz="8" w:space="0" w:color="E9E9E9"/>
              <w:left w:val="nil"/>
              <w:bottom w:val="single" w:sz="8" w:space="0" w:color="E9E9E9"/>
              <w:right w:val="nil"/>
            </w:tcBorders>
            <w:tcMar>
              <w:top w:w="0" w:type="dxa"/>
              <w:left w:w="0" w:type="dxa"/>
              <w:bottom w:w="0" w:type="dxa"/>
              <w:right w:w="0" w:type="dxa"/>
            </w:tcMar>
            <w:vAlign w:val="bottom"/>
          </w:tcPr>
          <w:p w14:paraId="313D13E7" w14:textId="77777777" w:rsidR="001614AC" w:rsidRDefault="001614AC">
            <w:pPr>
              <w:keepNext/>
            </w:pPr>
          </w:p>
        </w:tc>
        <w:tc>
          <w:tcPr>
            <w:tcW w:w="105" w:type="dxa"/>
            <w:tcBorders>
              <w:top w:val="nil"/>
              <w:left w:val="nil"/>
              <w:bottom w:val="nil"/>
              <w:right w:val="nil"/>
            </w:tcBorders>
            <w:tcMar>
              <w:top w:w="0" w:type="dxa"/>
              <w:left w:w="0" w:type="dxa"/>
              <w:bottom w:w="0" w:type="dxa"/>
              <w:right w:w="0" w:type="dxa"/>
            </w:tcMar>
            <w:vAlign w:val="bottom"/>
          </w:tcPr>
          <w:p w14:paraId="0F315F6F" w14:textId="77777777" w:rsidR="001614AC" w:rsidRDefault="001614AC">
            <w:pPr>
              <w:keepNext/>
            </w:pPr>
          </w:p>
        </w:tc>
        <w:tc>
          <w:tcPr>
            <w:tcW w:w="1755" w:type="dxa"/>
            <w:gridSpan w:val="3"/>
            <w:tcBorders>
              <w:top w:val="single" w:sz="8" w:space="0" w:color="E9E9E9"/>
              <w:left w:val="nil"/>
              <w:bottom w:val="single" w:sz="8" w:space="0" w:color="E9E9E9"/>
              <w:right w:val="nil"/>
            </w:tcBorders>
            <w:tcMar>
              <w:top w:w="0" w:type="dxa"/>
              <w:left w:w="0" w:type="dxa"/>
              <w:bottom w:w="0" w:type="dxa"/>
              <w:right w:w="0" w:type="dxa"/>
            </w:tcMar>
            <w:vAlign w:val="bottom"/>
          </w:tcPr>
          <w:p w14:paraId="7426E8FB" w14:textId="77777777" w:rsidR="001614AC" w:rsidRDefault="001614AC">
            <w:pPr>
              <w:keepNext/>
            </w:pPr>
          </w:p>
        </w:tc>
        <w:tc>
          <w:tcPr>
            <w:tcW w:w="105" w:type="dxa"/>
            <w:tcBorders>
              <w:top w:val="nil"/>
              <w:left w:val="nil"/>
              <w:bottom w:val="nil"/>
              <w:right w:val="nil"/>
            </w:tcBorders>
            <w:tcMar>
              <w:top w:w="0" w:type="dxa"/>
              <w:left w:w="0" w:type="dxa"/>
              <w:bottom w:w="0" w:type="dxa"/>
              <w:right w:w="0" w:type="dxa"/>
            </w:tcMar>
            <w:vAlign w:val="bottom"/>
          </w:tcPr>
          <w:p w14:paraId="13C4E637" w14:textId="77777777" w:rsidR="001614AC" w:rsidRDefault="001614AC">
            <w:pPr>
              <w:keepNext/>
            </w:pPr>
          </w:p>
        </w:tc>
        <w:tc>
          <w:tcPr>
            <w:tcW w:w="1755" w:type="dxa"/>
            <w:gridSpan w:val="3"/>
            <w:tcBorders>
              <w:top w:val="single" w:sz="8" w:space="0" w:color="E9E9E9"/>
              <w:left w:val="nil"/>
              <w:bottom w:val="single" w:sz="8" w:space="0" w:color="E9E9E9"/>
              <w:right w:val="nil"/>
            </w:tcBorders>
            <w:tcMar>
              <w:top w:w="0" w:type="dxa"/>
              <w:left w:w="0" w:type="dxa"/>
              <w:bottom w:w="0" w:type="dxa"/>
              <w:right w:w="0" w:type="dxa"/>
            </w:tcMar>
            <w:vAlign w:val="bottom"/>
          </w:tcPr>
          <w:p w14:paraId="03C0775E" w14:textId="77777777" w:rsidR="001614AC" w:rsidRDefault="001614AC">
            <w:pPr>
              <w:keepNext/>
            </w:pPr>
          </w:p>
        </w:tc>
        <w:tc>
          <w:tcPr>
            <w:tcW w:w="105" w:type="dxa"/>
            <w:tcBorders>
              <w:top w:val="nil"/>
              <w:left w:val="nil"/>
              <w:bottom w:val="nil"/>
              <w:right w:val="nil"/>
            </w:tcBorders>
            <w:tcMar>
              <w:top w:w="0" w:type="dxa"/>
              <w:left w:w="0" w:type="dxa"/>
              <w:bottom w:w="0" w:type="dxa"/>
              <w:right w:w="0" w:type="dxa"/>
            </w:tcMar>
            <w:vAlign w:val="bottom"/>
          </w:tcPr>
          <w:p w14:paraId="09B00B26" w14:textId="77777777" w:rsidR="001614AC" w:rsidRDefault="001614AC">
            <w:pPr>
              <w:keepNext/>
            </w:pPr>
          </w:p>
        </w:tc>
        <w:tc>
          <w:tcPr>
            <w:tcW w:w="1755" w:type="dxa"/>
            <w:gridSpan w:val="3"/>
            <w:tcBorders>
              <w:top w:val="single" w:sz="8" w:space="0" w:color="E9E9E9"/>
              <w:left w:val="nil"/>
              <w:bottom w:val="single" w:sz="8" w:space="0" w:color="E9E9E9"/>
              <w:right w:val="nil"/>
            </w:tcBorders>
            <w:tcMar>
              <w:top w:w="0" w:type="dxa"/>
              <w:left w:w="0" w:type="dxa"/>
              <w:bottom w:w="0" w:type="dxa"/>
              <w:right w:w="0" w:type="dxa"/>
            </w:tcMar>
            <w:vAlign w:val="bottom"/>
          </w:tcPr>
          <w:p w14:paraId="41A8548C" w14:textId="77777777" w:rsidR="001614AC" w:rsidRDefault="001614AC">
            <w:pPr>
              <w:keepNext/>
            </w:pPr>
          </w:p>
        </w:tc>
      </w:tr>
      <w:tr w:rsidR="001614AC" w14:paraId="29147AA1" w14:textId="77777777">
        <w:trPr>
          <w:cantSplit/>
        </w:trPr>
        <w:tc>
          <w:tcPr>
            <w:tcW w:w="4500" w:type="dxa"/>
            <w:tcBorders>
              <w:top w:val="single" w:sz="8" w:space="0" w:color="E9E9E9"/>
              <w:left w:val="nil"/>
              <w:bottom w:val="single" w:sz="8" w:space="0" w:color="E9E9E9"/>
              <w:right w:val="nil"/>
            </w:tcBorders>
            <w:tcMar>
              <w:top w:w="0" w:type="dxa"/>
              <w:left w:w="53" w:type="dxa"/>
              <w:bottom w:w="0" w:type="dxa"/>
              <w:right w:w="53" w:type="dxa"/>
            </w:tcMar>
            <w:vAlign w:val="bottom"/>
          </w:tcPr>
          <w:p w14:paraId="7909945D" w14:textId="77777777" w:rsidR="001614AC" w:rsidRDefault="004468F9">
            <w:pPr>
              <w:keepNext/>
              <w:spacing w:before="55" w:after="30" w:line="288" w:lineRule="auto"/>
            </w:pPr>
            <w:r>
              <w:rPr>
                <w:rFonts w:ascii="Arial" w:eastAsia="Arial" w:hAnsi="Arial" w:cs="Arial"/>
                <w:color w:val="000000"/>
                <w:sz w:val="18"/>
              </w:rPr>
              <w:t>Primary RIF by LTV</w:t>
            </w:r>
          </w:p>
        </w:tc>
        <w:tc>
          <w:tcPr>
            <w:tcW w:w="105" w:type="dxa"/>
            <w:tcBorders>
              <w:top w:val="nil"/>
              <w:left w:val="nil"/>
              <w:bottom w:val="nil"/>
              <w:right w:val="nil"/>
            </w:tcBorders>
            <w:tcMar>
              <w:top w:w="0" w:type="dxa"/>
              <w:left w:w="0" w:type="dxa"/>
              <w:bottom w:w="0" w:type="dxa"/>
              <w:right w:w="0" w:type="dxa"/>
            </w:tcMar>
            <w:vAlign w:val="bottom"/>
          </w:tcPr>
          <w:p w14:paraId="7F8DA67F" w14:textId="77777777" w:rsidR="001614AC" w:rsidRDefault="001614AC">
            <w:pPr>
              <w:keepNext/>
            </w:pPr>
          </w:p>
        </w:tc>
        <w:tc>
          <w:tcPr>
            <w:tcW w:w="1755" w:type="dxa"/>
            <w:gridSpan w:val="3"/>
            <w:tcBorders>
              <w:top w:val="single" w:sz="8" w:space="0" w:color="E9E9E9"/>
              <w:left w:val="nil"/>
              <w:bottom w:val="single" w:sz="8" w:space="0" w:color="E9E9E9"/>
              <w:right w:val="nil"/>
            </w:tcBorders>
            <w:tcMar>
              <w:top w:w="0" w:type="dxa"/>
              <w:left w:w="0" w:type="dxa"/>
              <w:bottom w:w="0" w:type="dxa"/>
              <w:right w:w="0" w:type="dxa"/>
            </w:tcMar>
            <w:vAlign w:val="bottom"/>
          </w:tcPr>
          <w:p w14:paraId="783959EF" w14:textId="77777777" w:rsidR="001614AC" w:rsidRDefault="001614AC">
            <w:pPr>
              <w:keepNext/>
            </w:pPr>
          </w:p>
        </w:tc>
        <w:tc>
          <w:tcPr>
            <w:tcW w:w="105" w:type="dxa"/>
            <w:tcBorders>
              <w:top w:val="nil"/>
              <w:left w:val="nil"/>
              <w:bottom w:val="nil"/>
              <w:right w:val="nil"/>
            </w:tcBorders>
            <w:tcMar>
              <w:top w:w="0" w:type="dxa"/>
              <w:left w:w="0" w:type="dxa"/>
              <w:bottom w:w="0" w:type="dxa"/>
              <w:right w:w="0" w:type="dxa"/>
            </w:tcMar>
            <w:vAlign w:val="bottom"/>
          </w:tcPr>
          <w:p w14:paraId="4B3C1325" w14:textId="77777777" w:rsidR="001614AC" w:rsidRDefault="001614AC">
            <w:pPr>
              <w:keepNext/>
            </w:pPr>
          </w:p>
        </w:tc>
        <w:tc>
          <w:tcPr>
            <w:tcW w:w="1755" w:type="dxa"/>
            <w:gridSpan w:val="3"/>
            <w:tcBorders>
              <w:top w:val="single" w:sz="8" w:space="0" w:color="E9E9E9"/>
              <w:left w:val="nil"/>
              <w:bottom w:val="single" w:sz="8" w:space="0" w:color="E9E9E9"/>
              <w:right w:val="nil"/>
            </w:tcBorders>
            <w:tcMar>
              <w:top w:w="0" w:type="dxa"/>
              <w:left w:w="0" w:type="dxa"/>
              <w:bottom w:w="0" w:type="dxa"/>
              <w:right w:w="0" w:type="dxa"/>
            </w:tcMar>
            <w:vAlign w:val="bottom"/>
          </w:tcPr>
          <w:p w14:paraId="5AB74CE1" w14:textId="77777777" w:rsidR="001614AC" w:rsidRDefault="001614AC">
            <w:pPr>
              <w:keepNext/>
            </w:pPr>
          </w:p>
        </w:tc>
        <w:tc>
          <w:tcPr>
            <w:tcW w:w="105" w:type="dxa"/>
            <w:tcBorders>
              <w:top w:val="nil"/>
              <w:left w:val="nil"/>
              <w:bottom w:val="nil"/>
              <w:right w:val="nil"/>
            </w:tcBorders>
            <w:tcMar>
              <w:top w:w="0" w:type="dxa"/>
              <w:left w:w="0" w:type="dxa"/>
              <w:bottom w:w="0" w:type="dxa"/>
              <w:right w:w="0" w:type="dxa"/>
            </w:tcMar>
            <w:vAlign w:val="bottom"/>
          </w:tcPr>
          <w:p w14:paraId="450D36CB" w14:textId="77777777" w:rsidR="001614AC" w:rsidRDefault="001614AC">
            <w:pPr>
              <w:keepNext/>
            </w:pPr>
          </w:p>
        </w:tc>
        <w:tc>
          <w:tcPr>
            <w:tcW w:w="1755" w:type="dxa"/>
            <w:gridSpan w:val="3"/>
            <w:tcBorders>
              <w:top w:val="single" w:sz="8" w:space="0" w:color="E9E9E9"/>
              <w:left w:val="nil"/>
              <w:bottom w:val="single" w:sz="8" w:space="0" w:color="E9E9E9"/>
              <w:right w:val="nil"/>
            </w:tcBorders>
            <w:tcMar>
              <w:top w:w="0" w:type="dxa"/>
              <w:left w:w="0" w:type="dxa"/>
              <w:bottom w:w="0" w:type="dxa"/>
              <w:right w:w="0" w:type="dxa"/>
            </w:tcMar>
            <w:vAlign w:val="bottom"/>
          </w:tcPr>
          <w:p w14:paraId="26FBE888" w14:textId="77777777" w:rsidR="001614AC" w:rsidRDefault="001614AC">
            <w:pPr>
              <w:keepNext/>
            </w:pPr>
          </w:p>
        </w:tc>
      </w:tr>
      <w:tr w:rsidR="001614AC" w14:paraId="548D912C" w14:textId="77777777">
        <w:trPr>
          <w:cantSplit/>
        </w:trPr>
        <w:tc>
          <w:tcPr>
            <w:tcW w:w="4500" w:type="dxa"/>
            <w:tcBorders>
              <w:top w:val="single" w:sz="8" w:space="0" w:color="E9E9E9"/>
              <w:left w:val="nil"/>
              <w:bottom w:val="single" w:sz="8" w:space="0" w:color="E9E9E9"/>
              <w:right w:val="nil"/>
            </w:tcBorders>
            <w:tcMar>
              <w:top w:w="0" w:type="dxa"/>
              <w:left w:w="53" w:type="dxa"/>
              <w:bottom w:w="0" w:type="dxa"/>
              <w:right w:w="53" w:type="dxa"/>
            </w:tcMar>
            <w:vAlign w:val="bottom"/>
          </w:tcPr>
          <w:p w14:paraId="11B1486F" w14:textId="77777777" w:rsidR="001614AC" w:rsidRDefault="004468F9">
            <w:pPr>
              <w:keepNext/>
              <w:spacing w:before="55" w:after="30" w:line="288" w:lineRule="auto"/>
              <w:ind w:left="240"/>
            </w:pPr>
            <w:r>
              <w:rPr>
                <w:rFonts w:ascii="Arial" w:eastAsia="Arial" w:hAnsi="Arial" w:cs="Arial"/>
                <w:color w:val="000000"/>
                <w:sz w:val="18"/>
              </w:rPr>
              <w:t>95.01% and above</w:t>
            </w:r>
          </w:p>
        </w:tc>
        <w:tc>
          <w:tcPr>
            <w:tcW w:w="105" w:type="dxa"/>
            <w:tcBorders>
              <w:top w:val="nil"/>
              <w:left w:val="nil"/>
              <w:bottom w:val="nil"/>
              <w:right w:val="nil"/>
            </w:tcBorders>
            <w:tcMar>
              <w:top w:w="0" w:type="dxa"/>
              <w:left w:w="0" w:type="dxa"/>
              <w:bottom w:w="0" w:type="dxa"/>
              <w:right w:w="0" w:type="dxa"/>
            </w:tcMar>
            <w:vAlign w:val="bottom"/>
          </w:tcPr>
          <w:p w14:paraId="59348AE9" w14:textId="77777777" w:rsidR="001614AC" w:rsidRDefault="001614AC">
            <w:pPr>
              <w:keepNext/>
            </w:pPr>
          </w:p>
        </w:tc>
        <w:tc>
          <w:tcPr>
            <w:tcW w:w="165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4FC1FC83" w14:textId="77777777" w:rsidR="001614AC" w:rsidRDefault="004468F9">
            <w:pPr>
              <w:keepNext/>
              <w:spacing w:before="55" w:after="30" w:line="288" w:lineRule="auto"/>
              <w:jc w:val="right"/>
            </w:pPr>
            <w:r>
              <w:rPr>
                <w:rFonts w:ascii="Arial" w:eastAsia="Arial" w:hAnsi="Arial" w:cs="Arial"/>
                <w:color w:val="000000"/>
                <w:sz w:val="18"/>
              </w:rPr>
              <w:t>14.5 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60010EB2" w14:textId="77777777" w:rsidR="001614AC" w:rsidRDefault="004468F9">
            <w:pPr>
              <w:keepNext/>
              <w:spacing w:before="55" w:after="30" w:line="288" w:lineRule="auto"/>
              <w:jc w:val="right"/>
            </w:pPr>
            <w:r>
              <w:rPr>
                <w:rFonts w:ascii="Arial" w:eastAsia="Arial" w:hAnsi="Arial" w:cs="Arial"/>
                <w:color w:val="000000"/>
                <w:sz w:val="18"/>
              </w:rPr>
              <w:t>%</w:t>
            </w:r>
          </w:p>
        </w:tc>
        <w:tc>
          <w:tcPr>
            <w:tcW w:w="105" w:type="dxa"/>
            <w:tcBorders>
              <w:top w:val="nil"/>
              <w:left w:val="nil"/>
              <w:bottom w:val="nil"/>
              <w:right w:val="nil"/>
            </w:tcBorders>
            <w:tcMar>
              <w:top w:w="0" w:type="dxa"/>
              <w:left w:w="0" w:type="dxa"/>
              <w:bottom w:w="0" w:type="dxa"/>
              <w:right w:w="0" w:type="dxa"/>
            </w:tcMar>
            <w:vAlign w:val="bottom"/>
          </w:tcPr>
          <w:p w14:paraId="239DAC17" w14:textId="77777777" w:rsidR="001614AC" w:rsidRDefault="001614AC">
            <w:pPr>
              <w:keepNext/>
            </w:pPr>
          </w:p>
        </w:tc>
        <w:tc>
          <w:tcPr>
            <w:tcW w:w="165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72DFB7A2" w14:textId="77777777" w:rsidR="001614AC" w:rsidRDefault="004468F9">
            <w:pPr>
              <w:keepNext/>
              <w:spacing w:before="55" w:after="30" w:line="288" w:lineRule="auto"/>
              <w:jc w:val="right"/>
            </w:pPr>
            <w:r>
              <w:rPr>
                <w:rFonts w:ascii="Arial" w:eastAsia="Arial" w:hAnsi="Arial" w:cs="Arial"/>
                <w:color w:val="000000"/>
                <w:sz w:val="18"/>
              </w:rPr>
              <w:t>14.4 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0B94B46C" w14:textId="77777777" w:rsidR="001614AC" w:rsidRDefault="004468F9">
            <w:pPr>
              <w:keepNext/>
              <w:spacing w:before="55" w:after="30" w:line="288" w:lineRule="auto"/>
              <w:jc w:val="right"/>
            </w:pPr>
            <w:r>
              <w:rPr>
                <w:rFonts w:ascii="Arial" w:eastAsia="Arial" w:hAnsi="Arial" w:cs="Arial"/>
                <w:color w:val="000000"/>
                <w:sz w:val="18"/>
              </w:rPr>
              <w:t>%</w:t>
            </w:r>
          </w:p>
        </w:tc>
        <w:tc>
          <w:tcPr>
            <w:tcW w:w="105" w:type="dxa"/>
            <w:tcBorders>
              <w:top w:val="nil"/>
              <w:left w:val="nil"/>
              <w:bottom w:val="nil"/>
              <w:right w:val="nil"/>
            </w:tcBorders>
            <w:tcMar>
              <w:top w:w="0" w:type="dxa"/>
              <w:left w:w="0" w:type="dxa"/>
              <w:bottom w:w="0" w:type="dxa"/>
              <w:right w:w="0" w:type="dxa"/>
            </w:tcMar>
            <w:vAlign w:val="bottom"/>
          </w:tcPr>
          <w:p w14:paraId="62DA3C5E" w14:textId="77777777" w:rsidR="001614AC" w:rsidRDefault="001614AC">
            <w:pPr>
              <w:keepNext/>
            </w:pPr>
          </w:p>
        </w:tc>
        <w:tc>
          <w:tcPr>
            <w:tcW w:w="165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694AD7A2" w14:textId="77777777" w:rsidR="001614AC" w:rsidRDefault="004468F9">
            <w:pPr>
              <w:keepNext/>
              <w:spacing w:before="55" w:after="30" w:line="288" w:lineRule="auto"/>
              <w:jc w:val="right"/>
            </w:pPr>
            <w:r>
              <w:rPr>
                <w:rFonts w:ascii="Arial" w:eastAsia="Arial" w:hAnsi="Arial" w:cs="Arial"/>
                <w:color w:val="000000"/>
                <w:sz w:val="18"/>
              </w:rPr>
              <w:t>14.2 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773F5ADC" w14:textId="77777777" w:rsidR="001614AC" w:rsidRDefault="004468F9">
            <w:pPr>
              <w:keepNext/>
              <w:spacing w:before="55" w:after="30" w:line="288" w:lineRule="auto"/>
              <w:jc w:val="right"/>
            </w:pPr>
            <w:r>
              <w:rPr>
                <w:rFonts w:ascii="Arial" w:eastAsia="Arial" w:hAnsi="Arial" w:cs="Arial"/>
                <w:color w:val="000000"/>
                <w:sz w:val="18"/>
              </w:rPr>
              <w:t>%</w:t>
            </w:r>
          </w:p>
        </w:tc>
      </w:tr>
      <w:tr w:rsidR="001614AC" w14:paraId="1014B659" w14:textId="77777777">
        <w:trPr>
          <w:cantSplit/>
        </w:trPr>
        <w:tc>
          <w:tcPr>
            <w:tcW w:w="4500" w:type="dxa"/>
            <w:tcBorders>
              <w:top w:val="single" w:sz="8" w:space="0" w:color="E9E9E9"/>
              <w:left w:val="nil"/>
              <w:bottom w:val="single" w:sz="8" w:space="0" w:color="E9E9E9"/>
              <w:right w:val="nil"/>
            </w:tcBorders>
            <w:tcMar>
              <w:top w:w="0" w:type="dxa"/>
              <w:left w:w="53" w:type="dxa"/>
              <w:bottom w:w="0" w:type="dxa"/>
              <w:right w:w="53" w:type="dxa"/>
            </w:tcMar>
            <w:vAlign w:val="bottom"/>
          </w:tcPr>
          <w:p w14:paraId="56072A83" w14:textId="77777777" w:rsidR="001614AC" w:rsidRDefault="004468F9">
            <w:pPr>
              <w:keepNext/>
              <w:spacing w:before="55" w:after="30" w:line="288" w:lineRule="auto"/>
              <w:ind w:left="240"/>
            </w:pPr>
            <w:r>
              <w:rPr>
                <w:rFonts w:ascii="Arial" w:eastAsia="Arial" w:hAnsi="Arial" w:cs="Arial"/>
                <w:color w:val="000000"/>
                <w:sz w:val="18"/>
              </w:rPr>
              <w:t xml:space="preserve">90.01% to 95.00% </w:t>
            </w:r>
          </w:p>
        </w:tc>
        <w:tc>
          <w:tcPr>
            <w:tcW w:w="105" w:type="dxa"/>
            <w:tcBorders>
              <w:top w:val="nil"/>
              <w:left w:val="nil"/>
              <w:bottom w:val="nil"/>
              <w:right w:val="nil"/>
            </w:tcBorders>
            <w:tcMar>
              <w:top w:w="0" w:type="dxa"/>
              <w:left w:w="0" w:type="dxa"/>
              <w:bottom w:w="0" w:type="dxa"/>
              <w:right w:w="0" w:type="dxa"/>
            </w:tcMar>
            <w:vAlign w:val="bottom"/>
          </w:tcPr>
          <w:p w14:paraId="6BF6C226" w14:textId="77777777" w:rsidR="001614AC" w:rsidRDefault="001614AC">
            <w:pPr>
              <w:keepNext/>
            </w:pPr>
          </w:p>
        </w:tc>
        <w:tc>
          <w:tcPr>
            <w:tcW w:w="165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74830E7B" w14:textId="77777777" w:rsidR="001614AC" w:rsidRDefault="004468F9">
            <w:pPr>
              <w:keepNext/>
              <w:spacing w:before="55" w:after="30" w:line="288" w:lineRule="auto"/>
              <w:jc w:val="right"/>
            </w:pPr>
            <w:r>
              <w:rPr>
                <w:rFonts w:ascii="Arial" w:eastAsia="Arial" w:hAnsi="Arial" w:cs="Arial"/>
                <w:color w:val="000000"/>
                <w:sz w:val="18"/>
              </w:rPr>
              <w:t>48.5 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62CF8D6D" w14:textId="77777777" w:rsidR="001614AC" w:rsidRDefault="004468F9">
            <w:pPr>
              <w:keepNext/>
              <w:spacing w:before="55" w:after="30" w:line="288" w:lineRule="auto"/>
              <w:jc w:val="right"/>
            </w:pPr>
            <w:r>
              <w:rPr>
                <w:rFonts w:ascii="Arial" w:eastAsia="Arial" w:hAnsi="Arial" w:cs="Arial"/>
                <w:color w:val="000000"/>
                <w:sz w:val="18"/>
              </w:rPr>
              <w:t>%</w:t>
            </w:r>
          </w:p>
        </w:tc>
        <w:tc>
          <w:tcPr>
            <w:tcW w:w="105" w:type="dxa"/>
            <w:tcBorders>
              <w:top w:val="nil"/>
              <w:left w:val="nil"/>
              <w:bottom w:val="nil"/>
              <w:right w:val="nil"/>
            </w:tcBorders>
            <w:tcMar>
              <w:top w:w="0" w:type="dxa"/>
              <w:left w:w="0" w:type="dxa"/>
              <w:bottom w:w="0" w:type="dxa"/>
              <w:right w:w="0" w:type="dxa"/>
            </w:tcMar>
            <w:vAlign w:val="bottom"/>
          </w:tcPr>
          <w:p w14:paraId="4F717B78" w14:textId="77777777" w:rsidR="001614AC" w:rsidRDefault="001614AC">
            <w:pPr>
              <w:keepNext/>
            </w:pPr>
          </w:p>
        </w:tc>
        <w:tc>
          <w:tcPr>
            <w:tcW w:w="165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4F9A8183" w14:textId="77777777" w:rsidR="001614AC" w:rsidRDefault="004468F9">
            <w:pPr>
              <w:keepNext/>
              <w:spacing w:before="55" w:after="30" w:line="288" w:lineRule="auto"/>
              <w:jc w:val="right"/>
            </w:pPr>
            <w:r>
              <w:rPr>
                <w:rFonts w:ascii="Arial" w:eastAsia="Arial" w:hAnsi="Arial" w:cs="Arial"/>
                <w:color w:val="000000"/>
                <w:sz w:val="18"/>
              </w:rPr>
              <w:t>49.3 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75674D09" w14:textId="77777777" w:rsidR="001614AC" w:rsidRDefault="004468F9">
            <w:pPr>
              <w:keepNext/>
              <w:spacing w:before="55" w:after="30" w:line="288" w:lineRule="auto"/>
              <w:jc w:val="right"/>
            </w:pPr>
            <w:r>
              <w:rPr>
                <w:rFonts w:ascii="Arial" w:eastAsia="Arial" w:hAnsi="Arial" w:cs="Arial"/>
                <w:color w:val="000000"/>
                <w:sz w:val="18"/>
              </w:rPr>
              <w:t>%</w:t>
            </w:r>
          </w:p>
        </w:tc>
        <w:tc>
          <w:tcPr>
            <w:tcW w:w="105" w:type="dxa"/>
            <w:tcBorders>
              <w:top w:val="nil"/>
              <w:left w:val="nil"/>
              <w:bottom w:val="nil"/>
              <w:right w:val="nil"/>
            </w:tcBorders>
            <w:tcMar>
              <w:top w:w="0" w:type="dxa"/>
              <w:left w:w="0" w:type="dxa"/>
              <w:bottom w:w="0" w:type="dxa"/>
              <w:right w:w="0" w:type="dxa"/>
            </w:tcMar>
            <w:vAlign w:val="bottom"/>
          </w:tcPr>
          <w:p w14:paraId="1703594B" w14:textId="77777777" w:rsidR="001614AC" w:rsidRDefault="001614AC">
            <w:pPr>
              <w:keepNext/>
            </w:pPr>
          </w:p>
        </w:tc>
        <w:tc>
          <w:tcPr>
            <w:tcW w:w="165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76855202" w14:textId="77777777" w:rsidR="001614AC" w:rsidRDefault="004468F9">
            <w:pPr>
              <w:keepNext/>
              <w:spacing w:before="55" w:after="30" w:line="288" w:lineRule="auto"/>
              <w:jc w:val="right"/>
            </w:pPr>
            <w:r>
              <w:rPr>
                <w:rFonts w:ascii="Arial" w:eastAsia="Arial" w:hAnsi="Arial" w:cs="Arial"/>
                <w:color w:val="000000"/>
                <w:sz w:val="18"/>
              </w:rPr>
              <w:t>50.4 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73A806AB" w14:textId="77777777" w:rsidR="001614AC" w:rsidRDefault="004468F9">
            <w:pPr>
              <w:keepNext/>
              <w:spacing w:before="55" w:after="30" w:line="288" w:lineRule="auto"/>
              <w:jc w:val="right"/>
            </w:pPr>
            <w:r>
              <w:rPr>
                <w:rFonts w:ascii="Arial" w:eastAsia="Arial" w:hAnsi="Arial" w:cs="Arial"/>
                <w:color w:val="000000"/>
                <w:sz w:val="18"/>
              </w:rPr>
              <w:t>%</w:t>
            </w:r>
          </w:p>
        </w:tc>
      </w:tr>
      <w:tr w:rsidR="001614AC" w14:paraId="2ADB51D4" w14:textId="77777777">
        <w:trPr>
          <w:cantSplit/>
        </w:trPr>
        <w:tc>
          <w:tcPr>
            <w:tcW w:w="4500" w:type="dxa"/>
            <w:tcBorders>
              <w:top w:val="single" w:sz="8" w:space="0" w:color="E9E9E9"/>
              <w:left w:val="nil"/>
              <w:bottom w:val="single" w:sz="8" w:space="0" w:color="E9E9E9"/>
              <w:right w:val="nil"/>
            </w:tcBorders>
            <w:tcMar>
              <w:top w:w="0" w:type="dxa"/>
              <w:left w:w="53" w:type="dxa"/>
              <w:bottom w:w="0" w:type="dxa"/>
              <w:right w:w="53" w:type="dxa"/>
            </w:tcMar>
            <w:vAlign w:val="bottom"/>
          </w:tcPr>
          <w:p w14:paraId="05A4414A" w14:textId="77777777" w:rsidR="001614AC" w:rsidRDefault="004468F9">
            <w:pPr>
              <w:keepNext/>
              <w:spacing w:before="55" w:after="30" w:line="288" w:lineRule="auto"/>
              <w:ind w:left="240"/>
            </w:pPr>
            <w:r>
              <w:rPr>
                <w:rFonts w:ascii="Arial" w:eastAsia="Arial" w:hAnsi="Arial" w:cs="Arial"/>
                <w:color w:val="000000"/>
                <w:sz w:val="18"/>
              </w:rPr>
              <w:t xml:space="preserve">85.01% to 90.00% </w:t>
            </w:r>
          </w:p>
        </w:tc>
        <w:tc>
          <w:tcPr>
            <w:tcW w:w="105" w:type="dxa"/>
            <w:tcBorders>
              <w:top w:val="nil"/>
              <w:left w:val="nil"/>
              <w:bottom w:val="nil"/>
              <w:right w:val="nil"/>
            </w:tcBorders>
            <w:tcMar>
              <w:top w:w="0" w:type="dxa"/>
              <w:left w:w="0" w:type="dxa"/>
              <w:bottom w:w="0" w:type="dxa"/>
              <w:right w:w="0" w:type="dxa"/>
            </w:tcMar>
            <w:vAlign w:val="bottom"/>
          </w:tcPr>
          <w:p w14:paraId="096955E7" w14:textId="77777777" w:rsidR="001614AC" w:rsidRDefault="001614AC">
            <w:pPr>
              <w:keepNext/>
            </w:pPr>
          </w:p>
        </w:tc>
        <w:tc>
          <w:tcPr>
            <w:tcW w:w="165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2911443A" w14:textId="77777777" w:rsidR="001614AC" w:rsidRDefault="004468F9">
            <w:pPr>
              <w:keepNext/>
              <w:spacing w:before="55" w:after="30" w:line="288" w:lineRule="auto"/>
              <w:jc w:val="right"/>
            </w:pPr>
            <w:r>
              <w:rPr>
                <w:rFonts w:ascii="Arial" w:eastAsia="Arial" w:hAnsi="Arial" w:cs="Arial"/>
                <w:color w:val="000000"/>
                <w:sz w:val="18"/>
              </w:rPr>
              <w:t>28.1 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16733F96" w14:textId="77777777" w:rsidR="001614AC" w:rsidRDefault="004468F9">
            <w:pPr>
              <w:keepNext/>
              <w:spacing w:before="55" w:after="30" w:line="288" w:lineRule="auto"/>
              <w:jc w:val="right"/>
            </w:pPr>
            <w:r>
              <w:rPr>
                <w:rFonts w:ascii="Arial" w:eastAsia="Arial" w:hAnsi="Arial" w:cs="Arial"/>
                <w:color w:val="000000"/>
                <w:sz w:val="18"/>
              </w:rPr>
              <w:t>%</w:t>
            </w:r>
          </w:p>
        </w:tc>
        <w:tc>
          <w:tcPr>
            <w:tcW w:w="105" w:type="dxa"/>
            <w:tcBorders>
              <w:top w:val="nil"/>
              <w:left w:val="nil"/>
              <w:bottom w:val="nil"/>
              <w:right w:val="nil"/>
            </w:tcBorders>
            <w:tcMar>
              <w:top w:w="0" w:type="dxa"/>
              <w:left w:w="0" w:type="dxa"/>
              <w:bottom w:w="0" w:type="dxa"/>
              <w:right w:w="0" w:type="dxa"/>
            </w:tcMar>
            <w:vAlign w:val="bottom"/>
          </w:tcPr>
          <w:p w14:paraId="5E5B2127" w14:textId="77777777" w:rsidR="001614AC" w:rsidRDefault="001614AC">
            <w:pPr>
              <w:keepNext/>
            </w:pPr>
          </w:p>
        </w:tc>
        <w:tc>
          <w:tcPr>
            <w:tcW w:w="165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6913AFD4" w14:textId="77777777" w:rsidR="001614AC" w:rsidRDefault="004468F9">
            <w:pPr>
              <w:keepNext/>
              <w:spacing w:before="55" w:after="30" w:line="288" w:lineRule="auto"/>
              <w:jc w:val="right"/>
            </w:pPr>
            <w:r>
              <w:rPr>
                <w:rFonts w:ascii="Arial" w:eastAsia="Arial" w:hAnsi="Arial" w:cs="Arial"/>
                <w:color w:val="000000"/>
                <w:sz w:val="18"/>
              </w:rPr>
              <w:t>28.0 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334D4FFA" w14:textId="77777777" w:rsidR="001614AC" w:rsidRDefault="004468F9">
            <w:pPr>
              <w:keepNext/>
              <w:spacing w:before="55" w:after="30" w:line="288" w:lineRule="auto"/>
              <w:jc w:val="right"/>
            </w:pPr>
            <w:r>
              <w:rPr>
                <w:rFonts w:ascii="Arial" w:eastAsia="Arial" w:hAnsi="Arial" w:cs="Arial"/>
                <w:color w:val="000000"/>
                <w:sz w:val="18"/>
              </w:rPr>
              <w:t>%</w:t>
            </w:r>
          </w:p>
        </w:tc>
        <w:tc>
          <w:tcPr>
            <w:tcW w:w="105" w:type="dxa"/>
            <w:tcBorders>
              <w:top w:val="nil"/>
              <w:left w:val="nil"/>
              <w:bottom w:val="nil"/>
              <w:right w:val="nil"/>
            </w:tcBorders>
            <w:tcMar>
              <w:top w:w="0" w:type="dxa"/>
              <w:left w:w="0" w:type="dxa"/>
              <w:bottom w:w="0" w:type="dxa"/>
              <w:right w:w="0" w:type="dxa"/>
            </w:tcMar>
            <w:vAlign w:val="bottom"/>
          </w:tcPr>
          <w:p w14:paraId="3801FC3E" w14:textId="77777777" w:rsidR="001614AC" w:rsidRDefault="001614AC">
            <w:pPr>
              <w:keepNext/>
            </w:pPr>
          </w:p>
        </w:tc>
        <w:tc>
          <w:tcPr>
            <w:tcW w:w="165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3F36A8DF" w14:textId="77777777" w:rsidR="001614AC" w:rsidRDefault="004468F9">
            <w:pPr>
              <w:keepNext/>
              <w:spacing w:before="55" w:after="30" w:line="288" w:lineRule="auto"/>
              <w:jc w:val="right"/>
            </w:pPr>
            <w:r>
              <w:rPr>
                <w:rFonts w:ascii="Arial" w:eastAsia="Arial" w:hAnsi="Arial" w:cs="Arial"/>
                <w:color w:val="000000"/>
                <w:sz w:val="18"/>
              </w:rPr>
              <w:t>28.1 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2EF93E64" w14:textId="77777777" w:rsidR="001614AC" w:rsidRDefault="004468F9">
            <w:pPr>
              <w:keepNext/>
              <w:spacing w:before="55" w:after="30" w:line="288" w:lineRule="auto"/>
              <w:jc w:val="right"/>
            </w:pPr>
            <w:r>
              <w:rPr>
                <w:rFonts w:ascii="Arial" w:eastAsia="Arial" w:hAnsi="Arial" w:cs="Arial"/>
                <w:color w:val="000000"/>
                <w:sz w:val="18"/>
              </w:rPr>
              <w:t>%</w:t>
            </w:r>
          </w:p>
        </w:tc>
      </w:tr>
      <w:tr w:rsidR="001614AC" w14:paraId="6BB950C8" w14:textId="77777777">
        <w:trPr>
          <w:cantSplit/>
        </w:trPr>
        <w:tc>
          <w:tcPr>
            <w:tcW w:w="4500" w:type="dxa"/>
            <w:tcBorders>
              <w:top w:val="single" w:sz="8" w:space="0" w:color="E9E9E9"/>
              <w:left w:val="nil"/>
              <w:bottom w:val="single" w:sz="8" w:space="0" w:color="E9E9E9"/>
              <w:right w:val="nil"/>
            </w:tcBorders>
            <w:tcMar>
              <w:top w:w="0" w:type="dxa"/>
              <w:left w:w="53" w:type="dxa"/>
              <w:bottom w:w="0" w:type="dxa"/>
              <w:right w:w="53" w:type="dxa"/>
            </w:tcMar>
            <w:vAlign w:val="bottom"/>
          </w:tcPr>
          <w:p w14:paraId="3ADF0124" w14:textId="77777777" w:rsidR="001614AC" w:rsidRDefault="004468F9">
            <w:pPr>
              <w:spacing w:before="55" w:after="30" w:line="288" w:lineRule="auto"/>
              <w:ind w:left="240"/>
            </w:pPr>
            <w:r>
              <w:rPr>
                <w:rFonts w:ascii="Arial" w:eastAsia="Arial" w:hAnsi="Arial" w:cs="Arial"/>
                <w:color w:val="000000"/>
                <w:sz w:val="18"/>
              </w:rPr>
              <w:t>85.00% and below</w:t>
            </w:r>
          </w:p>
        </w:tc>
        <w:tc>
          <w:tcPr>
            <w:tcW w:w="105" w:type="dxa"/>
            <w:tcBorders>
              <w:top w:val="nil"/>
              <w:left w:val="nil"/>
              <w:bottom w:val="nil"/>
              <w:right w:val="nil"/>
            </w:tcBorders>
            <w:tcMar>
              <w:top w:w="0" w:type="dxa"/>
              <w:left w:w="0" w:type="dxa"/>
              <w:bottom w:w="0" w:type="dxa"/>
              <w:right w:w="0" w:type="dxa"/>
            </w:tcMar>
            <w:vAlign w:val="bottom"/>
          </w:tcPr>
          <w:p w14:paraId="183B94BA" w14:textId="77777777" w:rsidR="001614AC" w:rsidRDefault="001614AC"/>
        </w:tc>
        <w:tc>
          <w:tcPr>
            <w:tcW w:w="165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40C56475" w14:textId="77777777" w:rsidR="001614AC" w:rsidRDefault="004468F9">
            <w:pPr>
              <w:spacing w:before="55" w:after="30" w:line="288" w:lineRule="auto"/>
              <w:jc w:val="right"/>
            </w:pPr>
            <w:r>
              <w:rPr>
                <w:rFonts w:ascii="Arial" w:eastAsia="Arial" w:hAnsi="Arial" w:cs="Arial"/>
                <w:color w:val="000000"/>
                <w:sz w:val="18"/>
              </w:rPr>
              <w:t>8.9 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6FABC1E1" w14:textId="77777777" w:rsidR="001614AC" w:rsidRDefault="004468F9">
            <w:pPr>
              <w:spacing w:before="55" w:after="30" w:line="288" w:lineRule="auto"/>
              <w:jc w:val="right"/>
            </w:pPr>
            <w:r>
              <w:rPr>
                <w:rFonts w:ascii="Arial" w:eastAsia="Arial" w:hAnsi="Arial" w:cs="Arial"/>
                <w:color w:val="000000"/>
                <w:sz w:val="18"/>
              </w:rPr>
              <w:t>%</w:t>
            </w:r>
          </w:p>
        </w:tc>
        <w:tc>
          <w:tcPr>
            <w:tcW w:w="105" w:type="dxa"/>
            <w:tcBorders>
              <w:top w:val="nil"/>
              <w:left w:val="nil"/>
              <w:bottom w:val="nil"/>
              <w:right w:val="nil"/>
            </w:tcBorders>
            <w:tcMar>
              <w:top w:w="0" w:type="dxa"/>
              <w:left w:w="0" w:type="dxa"/>
              <w:bottom w:w="0" w:type="dxa"/>
              <w:right w:w="0" w:type="dxa"/>
            </w:tcMar>
            <w:vAlign w:val="bottom"/>
          </w:tcPr>
          <w:p w14:paraId="2B39CBBA" w14:textId="77777777" w:rsidR="001614AC" w:rsidRDefault="001614AC"/>
        </w:tc>
        <w:tc>
          <w:tcPr>
            <w:tcW w:w="165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63496321" w14:textId="77777777" w:rsidR="001614AC" w:rsidRDefault="004468F9">
            <w:pPr>
              <w:spacing w:before="55" w:after="30" w:line="288" w:lineRule="auto"/>
              <w:jc w:val="right"/>
            </w:pPr>
            <w:r>
              <w:rPr>
                <w:rFonts w:ascii="Arial" w:eastAsia="Arial" w:hAnsi="Arial" w:cs="Arial"/>
                <w:color w:val="000000"/>
                <w:sz w:val="18"/>
              </w:rPr>
              <w:t>8.3 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116CCA8C" w14:textId="77777777" w:rsidR="001614AC" w:rsidRDefault="004468F9">
            <w:pPr>
              <w:spacing w:before="55" w:after="30" w:line="288" w:lineRule="auto"/>
              <w:jc w:val="right"/>
            </w:pPr>
            <w:r>
              <w:rPr>
                <w:rFonts w:ascii="Arial" w:eastAsia="Arial" w:hAnsi="Arial" w:cs="Arial"/>
                <w:color w:val="000000"/>
                <w:sz w:val="18"/>
              </w:rPr>
              <w:t>%</w:t>
            </w:r>
          </w:p>
        </w:tc>
        <w:tc>
          <w:tcPr>
            <w:tcW w:w="105" w:type="dxa"/>
            <w:tcBorders>
              <w:top w:val="nil"/>
              <w:left w:val="nil"/>
              <w:bottom w:val="nil"/>
              <w:right w:val="nil"/>
            </w:tcBorders>
            <w:tcMar>
              <w:top w:w="0" w:type="dxa"/>
              <w:left w:w="0" w:type="dxa"/>
              <w:bottom w:w="0" w:type="dxa"/>
              <w:right w:w="0" w:type="dxa"/>
            </w:tcMar>
            <w:vAlign w:val="bottom"/>
          </w:tcPr>
          <w:p w14:paraId="15A3235F" w14:textId="77777777" w:rsidR="001614AC" w:rsidRDefault="001614AC"/>
        </w:tc>
        <w:tc>
          <w:tcPr>
            <w:tcW w:w="165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2E90A411" w14:textId="77777777" w:rsidR="001614AC" w:rsidRDefault="004468F9">
            <w:pPr>
              <w:spacing w:before="55" w:after="30" w:line="288" w:lineRule="auto"/>
              <w:jc w:val="right"/>
            </w:pPr>
            <w:r>
              <w:rPr>
                <w:rFonts w:ascii="Arial" w:eastAsia="Arial" w:hAnsi="Arial" w:cs="Arial"/>
                <w:color w:val="000000"/>
                <w:sz w:val="18"/>
              </w:rPr>
              <w:t>7.3 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7DF2EE9F" w14:textId="77777777" w:rsidR="001614AC" w:rsidRDefault="004468F9">
            <w:pPr>
              <w:spacing w:before="55" w:after="30" w:line="288" w:lineRule="auto"/>
              <w:jc w:val="right"/>
            </w:pPr>
            <w:r>
              <w:rPr>
                <w:rFonts w:ascii="Arial" w:eastAsia="Arial" w:hAnsi="Arial" w:cs="Arial"/>
                <w:color w:val="000000"/>
                <w:sz w:val="18"/>
              </w:rPr>
              <w:t>%</w:t>
            </w:r>
          </w:p>
        </w:tc>
      </w:tr>
    </w:tbl>
    <w:p w14:paraId="3F5CEEC9" w14:textId="77777777" w:rsidR="001614AC" w:rsidRDefault="004468F9" w:rsidP="004468F9">
      <w:pPr>
        <w:numPr>
          <w:ilvl w:val="0"/>
          <w:numId w:val="29"/>
        </w:numPr>
        <w:spacing w:line="288" w:lineRule="auto"/>
        <w:ind w:left="360"/>
        <w:rPr>
          <w:rFonts w:ascii="Arial" w:eastAsia="Arial" w:hAnsi="Arial" w:cs="Arial"/>
          <w:b/>
          <w:color w:val="64615D"/>
          <w:sz w:val="16"/>
        </w:rPr>
      </w:pPr>
      <w:r>
        <w:rPr>
          <w:rFonts w:ascii="Arial" w:eastAsia="Arial" w:hAnsi="Arial" w:cs="Arial"/>
          <w:color w:val="64615D"/>
          <w:sz w:val="16"/>
        </w:rPr>
        <w:t xml:space="preserve">The Persistency Rate on a quarterly, annualized basis is calculated based on loan-level detail for the quarter ending as of the date shown. It may be impacted by seasonality or other factors, including the level </w:t>
      </w:r>
      <w:r>
        <w:rPr>
          <w:rFonts w:ascii="Arial" w:eastAsia="Arial" w:hAnsi="Arial" w:cs="Arial"/>
          <w:color w:val="64615D"/>
          <w:sz w:val="16"/>
        </w:rPr>
        <w:t>of refinance activity during the applicable periods, and may not be indicative of full-year trends.</w:t>
      </w:r>
    </w:p>
    <w:p w14:paraId="6B415EAC" w14:textId="77777777" w:rsidR="001614AC" w:rsidRDefault="004468F9" w:rsidP="004468F9">
      <w:pPr>
        <w:numPr>
          <w:ilvl w:val="0"/>
          <w:numId w:val="29"/>
        </w:numPr>
        <w:spacing w:line="288" w:lineRule="auto"/>
        <w:ind w:left="360"/>
        <w:rPr>
          <w:rFonts w:ascii="Arial" w:eastAsia="Arial" w:hAnsi="Arial" w:cs="Arial"/>
          <w:b/>
          <w:color w:val="64615D"/>
          <w:sz w:val="16"/>
        </w:rPr>
      </w:pPr>
      <w:r>
        <w:rPr>
          <w:rFonts w:ascii="Arial" w:eastAsia="Arial" w:hAnsi="Arial" w:cs="Arial"/>
          <w:color w:val="64615D"/>
          <w:sz w:val="16"/>
        </w:rPr>
        <w:t>Borrower-paid Single Premium Policies were 9.2%, 9.4% and 9.9% of primary RIF for the periods indicated, respectively.</w:t>
      </w:r>
    </w:p>
    <w:p w14:paraId="45D9DB87" w14:textId="77777777" w:rsidR="001614AC" w:rsidRDefault="004468F9" w:rsidP="004468F9">
      <w:pPr>
        <w:numPr>
          <w:ilvl w:val="0"/>
          <w:numId w:val="29"/>
        </w:numPr>
        <w:spacing w:line="288" w:lineRule="auto"/>
        <w:ind w:left="360"/>
        <w:rPr>
          <w:rFonts w:ascii="Arial" w:eastAsia="Arial" w:hAnsi="Arial" w:cs="Arial"/>
          <w:b/>
          <w:color w:val="64615D"/>
          <w:sz w:val="16"/>
        </w:rPr>
      </w:pPr>
      <w:r>
        <w:rPr>
          <w:rFonts w:ascii="Arial" w:eastAsia="Arial" w:hAnsi="Arial" w:cs="Arial"/>
          <w:color w:val="64615D"/>
          <w:sz w:val="16"/>
        </w:rPr>
        <w:t>For loans with multiple borrowers, th</w:t>
      </w:r>
      <w:r>
        <w:rPr>
          <w:rFonts w:ascii="Arial" w:eastAsia="Arial" w:hAnsi="Arial" w:cs="Arial"/>
          <w:color w:val="64615D"/>
          <w:sz w:val="16"/>
        </w:rPr>
        <w:t xml:space="preserve">e percentage of primary RIF by FICO score represents the lowest of the borrowers’ FICO scores. </w:t>
      </w:r>
    </w:p>
    <w:p w14:paraId="51C7AB60" w14:textId="77777777" w:rsidR="001614AC" w:rsidRDefault="004468F9">
      <w:pPr>
        <w:keepNext/>
        <w:spacing w:before="180" w:after="140" w:line="288" w:lineRule="auto"/>
        <w:rPr>
          <w:rFonts w:ascii="Arial" w:eastAsia="Arial" w:hAnsi="Arial" w:cs="Arial"/>
          <w:b/>
          <w:color w:val="002B49"/>
          <w:sz w:val="26"/>
        </w:rPr>
      </w:pPr>
      <w:r>
        <w:rPr>
          <w:rFonts w:ascii="Arial" w:eastAsia="Arial" w:hAnsi="Arial" w:cs="Arial"/>
          <w:b/>
          <w:color w:val="002B49"/>
          <w:sz w:val="26"/>
        </w:rPr>
        <w:t>Risk Distribution</w:t>
      </w:r>
    </w:p>
    <w:p w14:paraId="740659D7" w14:textId="77777777" w:rsidR="001614AC" w:rsidRDefault="004468F9">
      <w:pPr>
        <w:spacing w:before="100" w:after="100" w:line="288" w:lineRule="auto"/>
        <w:ind w:firstLine="450"/>
        <w:rPr>
          <w:rFonts w:ascii="Arial" w:eastAsia="Arial" w:hAnsi="Arial" w:cs="Arial"/>
          <w:b/>
          <w:color w:val="64615D"/>
          <w:sz w:val="18"/>
        </w:rPr>
      </w:pPr>
      <w:r>
        <w:rPr>
          <w:rFonts w:ascii="Arial" w:eastAsia="Arial" w:hAnsi="Arial" w:cs="Arial"/>
          <w:sz w:val="18"/>
        </w:rPr>
        <w:t>We use third-party reinsurance in our mortgage insurance business as part of our risk distribution strategy, including to manage our capital position and risk profile. When we enter into a reinsurance agreement, the reinsurer receives a premium and, in exc</w:t>
      </w:r>
      <w:r>
        <w:rPr>
          <w:rFonts w:ascii="Arial" w:eastAsia="Arial" w:hAnsi="Arial" w:cs="Arial"/>
          <w:sz w:val="18"/>
        </w:rPr>
        <w:t>hange, insures an agreed-upon portion of incurred losses. While these arrangements have the impact of reducing our earned premiums, they reduce our required capital and are expected to increase our return on required capital for the related policies. The i</w:t>
      </w:r>
      <w:r>
        <w:rPr>
          <w:rFonts w:ascii="Arial" w:eastAsia="Arial" w:hAnsi="Arial" w:cs="Arial"/>
          <w:sz w:val="18"/>
        </w:rPr>
        <w:t xml:space="preserve">mpact of these programs on our financial results will vary depending on the level of ceded RIF, as well as the levels of prepayments and incurred losses on the reinsured portfolios, among other factors. See “Item 7. Management’s Discussion and Analysis of </w:t>
      </w:r>
      <w:r>
        <w:rPr>
          <w:rFonts w:ascii="Arial" w:eastAsia="Arial" w:hAnsi="Arial" w:cs="Arial"/>
          <w:sz w:val="18"/>
        </w:rPr>
        <w:t xml:space="preserve">Financial Condition and Results of Operations—Key Factors Affecting Our Results—Mortgage—Risk Distribution” and Note 8 of Notes to Consolidated Financial Statements in our 2020 Form 10-K for more information about our reinsurance transactions. </w:t>
      </w:r>
    </w:p>
    <w:p w14:paraId="32B17063" w14:textId="77777777" w:rsidR="001614AC" w:rsidRDefault="004468F9">
      <w:pPr>
        <w:keepNext/>
        <w:spacing w:before="100" w:after="100" w:line="288" w:lineRule="auto"/>
        <w:ind w:firstLine="450"/>
        <w:rPr>
          <w:rFonts w:ascii="Arial" w:eastAsia="Arial" w:hAnsi="Arial" w:cs="Arial"/>
          <w:b/>
          <w:color w:val="64615D"/>
          <w:sz w:val="18"/>
          <w:shd w:val="clear" w:color="auto" w:fill="FFFF00"/>
        </w:rPr>
      </w:pPr>
      <w:r>
        <w:rPr>
          <w:rFonts w:ascii="Arial" w:eastAsia="Arial" w:hAnsi="Arial" w:cs="Arial"/>
          <w:sz w:val="18"/>
        </w:rPr>
        <w:lastRenderedPageBreak/>
        <w:t>The table b</w:t>
      </w:r>
      <w:r>
        <w:rPr>
          <w:rFonts w:ascii="Arial" w:eastAsia="Arial" w:hAnsi="Arial" w:cs="Arial"/>
          <w:sz w:val="18"/>
        </w:rPr>
        <w:t>elow provides information about the amounts by which Radian Guaranty’s reinsurance programs reduced its Minimum Required Assets as of the dates indicated.</w:t>
      </w:r>
    </w:p>
    <w:tbl>
      <w:tblPr>
        <w:tblW w:w="102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2"/>
        <w:gridCol w:w="104"/>
        <w:gridCol w:w="160"/>
        <w:gridCol w:w="1298"/>
        <w:gridCol w:w="176"/>
        <w:gridCol w:w="105"/>
        <w:gridCol w:w="160"/>
        <w:gridCol w:w="1492"/>
        <w:gridCol w:w="176"/>
        <w:gridCol w:w="105"/>
        <w:gridCol w:w="160"/>
        <w:gridCol w:w="1298"/>
        <w:gridCol w:w="176"/>
      </w:tblGrid>
      <w:tr w:rsidR="001614AC" w14:paraId="6B5808F9" w14:textId="77777777">
        <w:trPr>
          <w:cantSplit/>
        </w:trPr>
        <w:tc>
          <w:tcPr>
            <w:tcW w:w="10080" w:type="dxa"/>
            <w:gridSpan w:val="13"/>
            <w:tcBorders>
              <w:top w:val="nil"/>
              <w:left w:val="nil"/>
              <w:bottom w:val="single" w:sz="12" w:space="0" w:color="99AAB6"/>
              <w:right w:val="nil"/>
            </w:tcBorders>
            <w:tcMar>
              <w:top w:w="0" w:type="dxa"/>
              <w:left w:w="53" w:type="dxa"/>
              <w:bottom w:w="0" w:type="dxa"/>
              <w:right w:w="53" w:type="dxa"/>
            </w:tcMar>
            <w:vAlign w:val="bottom"/>
          </w:tcPr>
          <w:p w14:paraId="5C31535D" w14:textId="77777777" w:rsidR="001614AC" w:rsidRDefault="004468F9">
            <w:pPr>
              <w:keepNext/>
              <w:spacing w:before="75" w:after="30" w:line="288" w:lineRule="auto"/>
              <w:rPr>
                <w:rFonts w:ascii="Arial" w:eastAsia="Arial" w:hAnsi="Arial" w:cs="Arial"/>
                <w:b/>
                <w:sz w:val="20"/>
              </w:rPr>
            </w:pPr>
            <w:r>
              <w:rPr>
                <w:rFonts w:ascii="Arial" w:eastAsia="Arial" w:hAnsi="Arial" w:cs="Arial"/>
                <w:b/>
                <w:sz w:val="20"/>
              </w:rPr>
              <w:t>PMIERs benefit from risk distribution</w:t>
            </w:r>
          </w:p>
        </w:tc>
      </w:tr>
      <w:tr w:rsidR="001614AC" w14:paraId="1407755F" w14:textId="77777777">
        <w:trPr>
          <w:cantSplit/>
          <w:trHeight w:hRule="exact" w:val="135"/>
        </w:trPr>
        <w:tc>
          <w:tcPr>
            <w:tcW w:w="4890" w:type="dxa"/>
            <w:tcBorders>
              <w:top w:val="nil"/>
              <w:left w:val="nil"/>
              <w:bottom w:val="nil"/>
              <w:right w:val="nil"/>
            </w:tcBorders>
            <w:tcMar>
              <w:top w:w="0" w:type="dxa"/>
              <w:left w:w="0" w:type="dxa"/>
              <w:bottom w:w="0" w:type="dxa"/>
              <w:right w:w="0" w:type="dxa"/>
            </w:tcMar>
            <w:vAlign w:val="bottom"/>
          </w:tcPr>
          <w:p w14:paraId="2B5D31C4" w14:textId="77777777" w:rsidR="001614AC" w:rsidRDefault="001614AC">
            <w:pPr>
              <w:keepNext/>
            </w:pPr>
          </w:p>
        </w:tc>
        <w:tc>
          <w:tcPr>
            <w:tcW w:w="105" w:type="dxa"/>
            <w:tcBorders>
              <w:top w:val="single" w:sz="12" w:space="0" w:color="99AAB6"/>
              <w:left w:val="nil"/>
              <w:bottom w:val="nil"/>
              <w:right w:val="nil"/>
            </w:tcBorders>
            <w:tcMar>
              <w:top w:w="0" w:type="dxa"/>
              <w:left w:w="0" w:type="dxa"/>
              <w:bottom w:w="0" w:type="dxa"/>
              <w:right w:w="0" w:type="dxa"/>
            </w:tcMar>
            <w:vAlign w:val="bottom"/>
          </w:tcPr>
          <w:p w14:paraId="314B090A" w14:textId="77777777" w:rsidR="001614AC" w:rsidRDefault="001614AC">
            <w:pPr>
              <w:keepNext/>
            </w:pPr>
          </w:p>
        </w:tc>
        <w:tc>
          <w:tcPr>
            <w:tcW w:w="1560" w:type="dxa"/>
            <w:gridSpan w:val="3"/>
            <w:tcBorders>
              <w:top w:val="single" w:sz="12" w:space="0" w:color="99AAB6"/>
              <w:left w:val="nil"/>
              <w:bottom w:val="nil"/>
              <w:right w:val="nil"/>
            </w:tcBorders>
            <w:tcMar>
              <w:top w:w="0" w:type="dxa"/>
              <w:left w:w="0" w:type="dxa"/>
              <w:bottom w:w="0" w:type="dxa"/>
              <w:right w:w="0" w:type="dxa"/>
            </w:tcMar>
            <w:vAlign w:val="bottom"/>
          </w:tcPr>
          <w:p w14:paraId="26A6A07F" w14:textId="77777777" w:rsidR="001614AC" w:rsidRDefault="001614AC">
            <w:pPr>
              <w:keepNext/>
            </w:pPr>
          </w:p>
        </w:tc>
        <w:tc>
          <w:tcPr>
            <w:tcW w:w="105" w:type="dxa"/>
            <w:tcBorders>
              <w:top w:val="single" w:sz="12" w:space="0" w:color="99AAB6"/>
              <w:left w:val="nil"/>
              <w:bottom w:val="nil"/>
              <w:right w:val="nil"/>
            </w:tcBorders>
            <w:tcMar>
              <w:top w:w="0" w:type="dxa"/>
              <w:left w:w="0" w:type="dxa"/>
              <w:bottom w:w="0" w:type="dxa"/>
              <w:right w:w="0" w:type="dxa"/>
            </w:tcMar>
            <w:vAlign w:val="bottom"/>
          </w:tcPr>
          <w:p w14:paraId="6167F623" w14:textId="77777777" w:rsidR="001614AC" w:rsidRDefault="001614AC">
            <w:pPr>
              <w:keepNext/>
            </w:pPr>
          </w:p>
        </w:tc>
        <w:tc>
          <w:tcPr>
            <w:tcW w:w="1755" w:type="dxa"/>
            <w:gridSpan w:val="3"/>
            <w:tcBorders>
              <w:top w:val="single" w:sz="12" w:space="0" w:color="99AAB6"/>
              <w:left w:val="nil"/>
              <w:bottom w:val="nil"/>
              <w:right w:val="nil"/>
            </w:tcBorders>
            <w:tcMar>
              <w:top w:w="0" w:type="dxa"/>
              <w:left w:w="0" w:type="dxa"/>
              <w:bottom w:w="0" w:type="dxa"/>
              <w:right w:w="0" w:type="dxa"/>
            </w:tcMar>
            <w:vAlign w:val="bottom"/>
          </w:tcPr>
          <w:p w14:paraId="6C5A79EC" w14:textId="77777777" w:rsidR="001614AC" w:rsidRDefault="001614AC">
            <w:pPr>
              <w:keepNext/>
            </w:pPr>
          </w:p>
        </w:tc>
        <w:tc>
          <w:tcPr>
            <w:tcW w:w="105" w:type="dxa"/>
            <w:tcBorders>
              <w:top w:val="single" w:sz="12" w:space="0" w:color="99AAB6"/>
              <w:left w:val="nil"/>
              <w:bottom w:val="nil"/>
              <w:right w:val="nil"/>
            </w:tcBorders>
            <w:tcMar>
              <w:top w:w="0" w:type="dxa"/>
              <w:left w:w="0" w:type="dxa"/>
              <w:bottom w:w="0" w:type="dxa"/>
              <w:right w:w="0" w:type="dxa"/>
            </w:tcMar>
            <w:vAlign w:val="bottom"/>
          </w:tcPr>
          <w:p w14:paraId="66045170" w14:textId="77777777" w:rsidR="001614AC" w:rsidRDefault="001614AC">
            <w:pPr>
              <w:keepNext/>
            </w:pPr>
          </w:p>
        </w:tc>
        <w:tc>
          <w:tcPr>
            <w:tcW w:w="1560" w:type="dxa"/>
            <w:gridSpan w:val="3"/>
            <w:tcBorders>
              <w:top w:val="single" w:sz="12" w:space="0" w:color="99AAB6"/>
              <w:left w:val="nil"/>
              <w:bottom w:val="nil"/>
              <w:right w:val="nil"/>
            </w:tcBorders>
            <w:tcMar>
              <w:top w:w="0" w:type="dxa"/>
              <w:left w:w="0" w:type="dxa"/>
              <w:bottom w:w="0" w:type="dxa"/>
              <w:right w:w="0" w:type="dxa"/>
            </w:tcMar>
            <w:vAlign w:val="bottom"/>
          </w:tcPr>
          <w:p w14:paraId="4EB51585" w14:textId="77777777" w:rsidR="001614AC" w:rsidRDefault="001614AC">
            <w:pPr>
              <w:keepNext/>
            </w:pPr>
          </w:p>
        </w:tc>
      </w:tr>
      <w:tr w:rsidR="001614AC" w14:paraId="381CCEFF" w14:textId="77777777">
        <w:trPr>
          <w:cantSplit/>
        </w:trPr>
        <w:tc>
          <w:tcPr>
            <w:tcW w:w="4890" w:type="dxa"/>
            <w:tcBorders>
              <w:top w:val="nil"/>
              <w:left w:val="nil"/>
              <w:bottom w:val="single" w:sz="8" w:space="0" w:color="C7C9C7"/>
              <w:right w:val="nil"/>
            </w:tcBorders>
            <w:tcMar>
              <w:top w:w="0" w:type="dxa"/>
              <w:left w:w="53" w:type="dxa"/>
              <w:bottom w:w="0" w:type="dxa"/>
              <w:right w:w="53" w:type="dxa"/>
            </w:tcMar>
            <w:vAlign w:val="bottom"/>
          </w:tcPr>
          <w:p w14:paraId="7D2E801F" w14:textId="77777777" w:rsidR="001614AC" w:rsidRDefault="004468F9">
            <w:pPr>
              <w:keepNext/>
              <w:spacing w:before="75" w:after="30" w:line="288" w:lineRule="auto"/>
            </w:pPr>
            <w:r>
              <w:rPr>
                <w:rFonts w:ascii="Arial" w:eastAsia="Arial" w:hAnsi="Arial" w:cs="Arial"/>
                <w:color w:val="8B8886"/>
                <w:sz w:val="16"/>
              </w:rPr>
              <w:t>($ in thousands)</w:t>
            </w:r>
          </w:p>
        </w:tc>
        <w:tc>
          <w:tcPr>
            <w:tcW w:w="105" w:type="dxa"/>
            <w:tcBorders>
              <w:top w:val="nil"/>
              <w:left w:val="nil"/>
              <w:bottom w:val="single" w:sz="8" w:space="0" w:color="C7C9C7"/>
              <w:right w:val="nil"/>
            </w:tcBorders>
            <w:tcMar>
              <w:top w:w="0" w:type="dxa"/>
              <w:left w:w="0" w:type="dxa"/>
              <w:bottom w:w="0" w:type="dxa"/>
              <w:right w:w="0" w:type="dxa"/>
            </w:tcMar>
            <w:vAlign w:val="bottom"/>
          </w:tcPr>
          <w:p w14:paraId="7BF61174" w14:textId="77777777" w:rsidR="001614AC" w:rsidRDefault="001614AC">
            <w:pPr>
              <w:keepNext/>
            </w:pPr>
          </w:p>
        </w:tc>
        <w:tc>
          <w:tcPr>
            <w:tcW w:w="1560" w:type="dxa"/>
            <w:gridSpan w:val="3"/>
            <w:tcBorders>
              <w:top w:val="nil"/>
              <w:left w:val="nil"/>
              <w:bottom w:val="single" w:sz="8" w:space="0" w:color="C7C9C7"/>
              <w:right w:val="nil"/>
            </w:tcBorders>
            <w:shd w:val="clear" w:color="auto" w:fill="E6F8F8"/>
            <w:tcMar>
              <w:top w:w="0" w:type="dxa"/>
              <w:left w:w="53" w:type="dxa"/>
              <w:bottom w:w="0" w:type="dxa"/>
              <w:right w:w="53" w:type="dxa"/>
            </w:tcMar>
            <w:vAlign w:val="bottom"/>
          </w:tcPr>
          <w:p w14:paraId="2A089A6F" w14:textId="77777777" w:rsidR="001614AC" w:rsidRDefault="004468F9">
            <w:pPr>
              <w:keepNext/>
              <w:spacing w:before="75" w:after="30" w:line="288" w:lineRule="auto"/>
              <w:jc w:val="center"/>
            </w:pPr>
            <w:r>
              <w:rPr>
                <w:rFonts w:ascii="Arial" w:eastAsia="Arial" w:hAnsi="Arial" w:cs="Arial"/>
                <w:b/>
                <w:color w:val="00BAB3"/>
                <w:sz w:val="18"/>
              </w:rPr>
              <w:t>June 30, 2021</w:t>
            </w:r>
          </w:p>
        </w:tc>
        <w:tc>
          <w:tcPr>
            <w:tcW w:w="105" w:type="dxa"/>
            <w:tcBorders>
              <w:top w:val="nil"/>
              <w:left w:val="nil"/>
              <w:bottom w:val="single" w:sz="8" w:space="0" w:color="C7C9C7"/>
              <w:right w:val="nil"/>
            </w:tcBorders>
            <w:tcMar>
              <w:top w:w="0" w:type="dxa"/>
              <w:left w:w="0" w:type="dxa"/>
              <w:bottom w:w="0" w:type="dxa"/>
              <w:right w:w="0" w:type="dxa"/>
            </w:tcMar>
            <w:vAlign w:val="bottom"/>
          </w:tcPr>
          <w:p w14:paraId="27196194" w14:textId="77777777" w:rsidR="001614AC" w:rsidRDefault="001614AC">
            <w:pPr>
              <w:keepNext/>
            </w:pPr>
          </w:p>
        </w:tc>
        <w:tc>
          <w:tcPr>
            <w:tcW w:w="1755" w:type="dxa"/>
            <w:gridSpan w:val="3"/>
            <w:tcBorders>
              <w:top w:val="nil"/>
              <w:left w:val="nil"/>
              <w:bottom w:val="single" w:sz="8" w:space="0" w:color="C7C9C7"/>
              <w:right w:val="nil"/>
            </w:tcBorders>
            <w:shd w:val="clear" w:color="auto" w:fill="F4F4F4"/>
            <w:tcMar>
              <w:top w:w="0" w:type="dxa"/>
              <w:left w:w="53" w:type="dxa"/>
              <w:bottom w:w="0" w:type="dxa"/>
              <w:right w:w="53" w:type="dxa"/>
            </w:tcMar>
            <w:vAlign w:val="bottom"/>
          </w:tcPr>
          <w:p w14:paraId="13C128A9" w14:textId="77777777" w:rsidR="001614AC" w:rsidRDefault="004468F9">
            <w:pPr>
              <w:keepNext/>
              <w:spacing w:before="75" w:after="30" w:line="288" w:lineRule="auto"/>
              <w:jc w:val="center"/>
            </w:pPr>
            <w:r>
              <w:rPr>
                <w:rFonts w:ascii="Arial" w:eastAsia="Arial" w:hAnsi="Arial" w:cs="Arial"/>
                <w:b/>
                <w:color w:val="00BAB3"/>
                <w:sz w:val="18"/>
              </w:rPr>
              <w:t>December 31, 2020</w:t>
            </w:r>
          </w:p>
        </w:tc>
        <w:tc>
          <w:tcPr>
            <w:tcW w:w="105" w:type="dxa"/>
            <w:tcBorders>
              <w:top w:val="nil"/>
              <w:left w:val="nil"/>
              <w:bottom w:val="single" w:sz="8" w:space="0" w:color="C7C9C7"/>
              <w:right w:val="nil"/>
            </w:tcBorders>
            <w:tcMar>
              <w:top w:w="0" w:type="dxa"/>
              <w:left w:w="0" w:type="dxa"/>
              <w:bottom w:w="0" w:type="dxa"/>
              <w:right w:w="0" w:type="dxa"/>
            </w:tcMar>
            <w:vAlign w:val="bottom"/>
          </w:tcPr>
          <w:p w14:paraId="74419037" w14:textId="77777777" w:rsidR="001614AC" w:rsidRDefault="001614AC">
            <w:pPr>
              <w:keepNext/>
            </w:pPr>
          </w:p>
        </w:tc>
        <w:tc>
          <w:tcPr>
            <w:tcW w:w="1560" w:type="dxa"/>
            <w:gridSpan w:val="3"/>
            <w:tcBorders>
              <w:top w:val="nil"/>
              <w:left w:val="nil"/>
              <w:bottom w:val="single" w:sz="8" w:space="0" w:color="C7C9C7"/>
              <w:right w:val="nil"/>
            </w:tcBorders>
            <w:shd w:val="clear" w:color="auto" w:fill="F4F4F4"/>
            <w:tcMar>
              <w:top w:w="0" w:type="dxa"/>
              <w:left w:w="53" w:type="dxa"/>
              <w:bottom w:w="0" w:type="dxa"/>
              <w:right w:w="53" w:type="dxa"/>
            </w:tcMar>
            <w:vAlign w:val="bottom"/>
          </w:tcPr>
          <w:p w14:paraId="1246905C" w14:textId="77777777" w:rsidR="001614AC" w:rsidRDefault="004468F9">
            <w:pPr>
              <w:keepNext/>
              <w:spacing w:before="75" w:after="30" w:line="288" w:lineRule="auto"/>
              <w:jc w:val="center"/>
            </w:pPr>
            <w:r>
              <w:rPr>
                <w:rFonts w:ascii="Arial" w:eastAsia="Arial" w:hAnsi="Arial" w:cs="Arial"/>
                <w:b/>
                <w:color w:val="00BAB3"/>
                <w:sz w:val="18"/>
              </w:rPr>
              <w:t>June 30, 2020</w:t>
            </w:r>
          </w:p>
        </w:tc>
      </w:tr>
      <w:tr w:rsidR="001614AC" w14:paraId="4875239D" w14:textId="77777777">
        <w:trPr>
          <w:cantSplit/>
        </w:trPr>
        <w:tc>
          <w:tcPr>
            <w:tcW w:w="4890" w:type="dxa"/>
            <w:tcBorders>
              <w:top w:val="single" w:sz="8" w:space="0" w:color="C7C9C7"/>
              <w:left w:val="nil"/>
              <w:bottom w:val="single" w:sz="8" w:space="0" w:color="E9E9E9"/>
              <w:right w:val="nil"/>
            </w:tcBorders>
            <w:tcMar>
              <w:top w:w="0" w:type="dxa"/>
              <w:left w:w="53" w:type="dxa"/>
              <w:bottom w:w="0" w:type="dxa"/>
              <w:right w:w="53" w:type="dxa"/>
            </w:tcMar>
            <w:vAlign w:val="bottom"/>
          </w:tcPr>
          <w:p w14:paraId="443DE19B" w14:textId="77777777" w:rsidR="001614AC" w:rsidRDefault="004468F9">
            <w:pPr>
              <w:keepNext/>
              <w:spacing w:before="55" w:after="30" w:line="288" w:lineRule="auto"/>
            </w:pPr>
            <w:r>
              <w:rPr>
                <w:rFonts w:ascii="Arial" w:eastAsia="Arial" w:hAnsi="Arial" w:cs="Arial"/>
                <w:color w:val="000000"/>
                <w:sz w:val="18"/>
              </w:rPr>
              <w:t xml:space="preserve">PMIERs impact - reduction in Minimum Required Assets </w:t>
            </w:r>
          </w:p>
        </w:tc>
        <w:tc>
          <w:tcPr>
            <w:tcW w:w="105" w:type="dxa"/>
            <w:tcBorders>
              <w:top w:val="single" w:sz="8" w:space="0" w:color="C7C9C7"/>
              <w:left w:val="nil"/>
              <w:bottom w:val="nil"/>
              <w:right w:val="nil"/>
            </w:tcBorders>
            <w:tcMar>
              <w:top w:w="0" w:type="dxa"/>
              <w:left w:w="0" w:type="dxa"/>
              <w:bottom w:w="0" w:type="dxa"/>
              <w:right w:w="0" w:type="dxa"/>
            </w:tcMar>
            <w:vAlign w:val="bottom"/>
          </w:tcPr>
          <w:p w14:paraId="1504D067" w14:textId="77777777" w:rsidR="001614AC" w:rsidRDefault="001614AC">
            <w:pPr>
              <w:keepNext/>
            </w:pPr>
          </w:p>
        </w:tc>
        <w:tc>
          <w:tcPr>
            <w:tcW w:w="1560" w:type="dxa"/>
            <w:gridSpan w:val="3"/>
            <w:tcBorders>
              <w:top w:val="single" w:sz="8" w:space="0" w:color="C7C9C7"/>
              <w:left w:val="nil"/>
              <w:bottom w:val="single" w:sz="8" w:space="0" w:color="E9E9E9"/>
              <w:right w:val="nil"/>
            </w:tcBorders>
            <w:tcMar>
              <w:top w:w="0" w:type="dxa"/>
              <w:left w:w="0" w:type="dxa"/>
              <w:bottom w:w="0" w:type="dxa"/>
              <w:right w:w="0" w:type="dxa"/>
            </w:tcMar>
            <w:vAlign w:val="bottom"/>
          </w:tcPr>
          <w:p w14:paraId="74BBB1C4" w14:textId="77777777" w:rsidR="001614AC" w:rsidRDefault="001614AC">
            <w:pPr>
              <w:keepNext/>
            </w:pPr>
          </w:p>
        </w:tc>
        <w:tc>
          <w:tcPr>
            <w:tcW w:w="105" w:type="dxa"/>
            <w:tcBorders>
              <w:top w:val="single" w:sz="8" w:space="0" w:color="C7C9C7"/>
              <w:left w:val="nil"/>
              <w:bottom w:val="nil"/>
              <w:right w:val="nil"/>
            </w:tcBorders>
            <w:tcMar>
              <w:top w:w="0" w:type="dxa"/>
              <w:left w:w="0" w:type="dxa"/>
              <w:bottom w:w="0" w:type="dxa"/>
              <w:right w:w="0" w:type="dxa"/>
            </w:tcMar>
            <w:vAlign w:val="bottom"/>
          </w:tcPr>
          <w:p w14:paraId="5F9FAECD" w14:textId="77777777" w:rsidR="001614AC" w:rsidRDefault="001614AC">
            <w:pPr>
              <w:keepNext/>
            </w:pPr>
          </w:p>
        </w:tc>
        <w:tc>
          <w:tcPr>
            <w:tcW w:w="1755" w:type="dxa"/>
            <w:gridSpan w:val="3"/>
            <w:tcBorders>
              <w:top w:val="single" w:sz="8" w:space="0" w:color="C7C9C7"/>
              <w:left w:val="nil"/>
              <w:bottom w:val="single" w:sz="8" w:space="0" w:color="E9E9E9"/>
              <w:right w:val="nil"/>
            </w:tcBorders>
            <w:tcMar>
              <w:top w:w="0" w:type="dxa"/>
              <w:left w:w="0" w:type="dxa"/>
              <w:bottom w:w="0" w:type="dxa"/>
              <w:right w:w="0" w:type="dxa"/>
            </w:tcMar>
            <w:vAlign w:val="bottom"/>
          </w:tcPr>
          <w:p w14:paraId="0C01DF65" w14:textId="77777777" w:rsidR="001614AC" w:rsidRDefault="001614AC">
            <w:pPr>
              <w:keepNext/>
            </w:pPr>
          </w:p>
        </w:tc>
        <w:tc>
          <w:tcPr>
            <w:tcW w:w="105" w:type="dxa"/>
            <w:tcBorders>
              <w:top w:val="single" w:sz="8" w:space="0" w:color="C7C9C7"/>
              <w:left w:val="nil"/>
              <w:bottom w:val="nil"/>
              <w:right w:val="nil"/>
            </w:tcBorders>
            <w:tcMar>
              <w:top w:w="0" w:type="dxa"/>
              <w:left w:w="0" w:type="dxa"/>
              <w:bottom w:w="0" w:type="dxa"/>
              <w:right w:w="0" w:type="dxa"/>
            </w:tcMar>
            <w:vAlign w:val="bottom"/>
          </w:tcPr>
          <w:p w14:paraId="3EE3CEE7" w14:textId="77777777" w:rsidR="001614AC" w:rsidRDefault="001614AC">
            <w:pPr>
              <w:keepNext/>
            </w:pPr>
          </w:p>
        </w:tc>
        <w:tc>
          <w:tcPr>
            <w:tcW w:w="1560" w:type="dxa"/>
            <w:gridSpan w:val="3"/>
            <w:tcBorders>
              <w:top w:val="single" w:sz="8" w:space="0" w:color="C7C9C7"/>
              <w:left w:val="nil"/>
              <w:bottom w:val="single" w:sz="8" w:space="0" w:color="E9E9E9"/>
              <w:right w:val="nil"/>
            </w:tcBorders>
            <w:tcMar>
              <w:top w:w="0" w:type="dxa"/>
              <w:left w:w="0" w:type="dxa"/>
              <w:bottom w:w="0" w:type="dxa"/>
              <w:right w:w="0" w:type="dxa"/>
            </w:tcMar>
            <w:vAlign w:val="bottom"/>
          </w:tcPr>
          <w:p w14:paraId="44854A03" w14:textId="77777777" w:rsidR="001614AC" w:rsidRDefault="001614AC">
            <w:pPr>
              <w:keepNext/>
            </w:pPr>
          </w:p>
        </w:tc>
      </w:tr>
      <w:tr w:rsidR="001614AC" w14:paraId="58BF6CEB" w14:textId="77777777">
        <w:trPr>
          <w:cantSplit/>
        </w:trPr>
        <w:tc>
          <w:tcPr>
            <w:tcW w:w="4890" w:type="dxa"/>
            <w:tcBorders>
              <w:top w:val="single" w:sz="8" w:space="0" w:color="E9E9E9"/>
              <w:left w:val="nil"/>
              <w:bottom w:val="single" w:sz="8" w:space="0" w:color="E9E9E9"/>
              <w:right w:val="nil"/>
            </w:tcBorders>
            <w:tcMar>
              <w:top w:w="0" w:type="dxa"/>
              <w:left w:w="53" w:type="dxa"/>
              <w:bottom w:w="0" w:type="dxa"/>
              <w:right w:w="53" w:type="dxa"/>
            </w:tcMar>
            <w:vAlign w:val="bottom"/>
          </w:tcPr>
          <w:p w14:paraId="50E425A9" w14:textId="77777777" w:rsidR="001614AC" w:rsidRDefault="004468F9">
            <w:pPr>
              <w:keepNext/>
              <w:spacing w:before="55" w:after="30" w:line="288" w:lineRule="auto"/>
              <w:ind w:left="240"/>
            </w:pPr>
            <w:r>
              <w:rPr>
                <w:rFonts w:ascii="Arial" w:eastAsia="Arial" w:hAnsi="Arial" w:cs="Arial"/>
                <w:color w:val="000000"/>
                <w:sz w:val="18"/>
              </w:rPr>
              <w:t>Excess-of-Loss Program</w:t>
            </w:r>
          </w:p>
        </w:tc>
        <w:tc>
          <w:tcPr>
            <w:tcW w:w="105" w:type="dxa"/>
            <w:tcBorders>
              <w:top w:val="nil"/>
              <w:left w:val="nil"/>
              <w:bottom w:val="nil"/>
              <w:right w:val="nil"/>
            </w:tcBorders>
            <w:tcMar>
              <w:top w:w="0" w:type="dxa"/>
              <w:left w:w="0" w:type="dxa"/>
              <w:bottom w:w="0" w:type="dxa"/>
              <w:right w:w="0" w:type="dxa"/>
            </w:tcMar>
            <w:vAlign w:val="bottom"/>
          </w:tcPr>
          <w:p w14:paraId="5B85A640" w14:textId="77777777" w:rsidR="001614AC" w:rsidRDefault="001614AC">
            <w:pPr>
              <w:keepNext/>
            </w:pPr>
          </w:p>
        </w:tc>
        <w:tc>
          <w:tcPr>
            <w:tcW w:w="160" w:type="dxa"/>
            <w:tcBorders>
              <w:top w:val="single" w:sz="8" w:space="0" w:color="E9E9E9"/>
              <w:left w:val="nil"/>
              <w:bottom w:val="single" w:sz="8" w:space="0" w:color="E9E9E9"/>
              <w:right w:val="nil"/>
            </w:tcBorders>
            <w:tcMar>
              <w:top w:w="0" w:type="dxa"/>
              <w:left w:w="53" w:type="dxa"/>
              <w:bottom w:w="0" w:type="dxa"/>
              <w:right w:w="0" w:type="dxa"/>
            </w:tcMar>
            <w:vAlign w:val="bottom"/>
          </w:tcPr>
          <w:p w14:paraId="3147C7A2" w14:textId="77777777" w:rsidR="001614AC" w:rsidRDefault="004468F9">
            <w:pPr>
              <w:keepNext/>
              <w:spacing w:before="55" w:after="30" w:line="288" w:lineRule="auto"/>
            </w:pPr>
            <w:r>
              <w:rPr>
                <w:rFonts w:ascii="Arial" w:eastAsia="Arial" w:hAnsi="Arial" w:cs="Arial"/>
                <w:color w:val="000000"/>
                <w:sz w:val="18"/>
              </w:rPr>
              <w:t>$</w:t>
            </w:r>
          </w:p>
        </w:tc>
        <w:tc>
          <w:tcPr>
            <w:tcW w:w="1300" w:type="dxa"/>
            <w:tcBorders>
              <w:top w:val="single" w:sz="8" w:space="0" w:color="E9E9E9"/>
              <w:left w:val="nil"/>
              <w:bottom w:val="single" w:sz="8" w:space="0" w:color="E9E9E9"/>
              <w:right w:val="nil"/>
            </w:tcBorders>
            <w:tcMar>
              <w:top w:w="0" w:type="dxa"/>
              <w:left w:w="0" w:type="dxa"/>
              <w:bottom w:w="0" w:type="dxa"/>
              <w:right w:w="0" w:type="dxa"/>
            </w:tcMar>
            <w:vAlign w:val="bottom"/>
          </w:tcPr>
          <w:p w14:paraId="29C25849" w14:textId="77777777" w:rsidR="001614AC" w:rsidRDefault="004468F9">
            <w:pPr>
              <w:keepNext/>
              <w:spacing w:before="55" w:after="30" w:line="288" w:lineRule="auto"/>
              <w:jc w:val="right"/>
            </w:pPr>
            <w:r>
              <w:rPr>
                <w:rFonts w:ascii="Arial" w:eastAsia="Arial" w:hAnsi="Arial" w:cs="Arial"/>
                <w:color w:val="000000"/>
                <w:sz w:val="18"/>
              </w:rPr>
              <w:t>907,112 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1FC1B878" w14:textId="77777777" w:rsidR="001614AC" w:rsidRDefault="001614AC">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65CEA62A" w14:textId="77777777" w:rsidR="001614AC" w:rsidRDefault="001614AC">
            <w:pPr>
              <w:keepNext/>
            </w:pPr>
          </w:p>
        </w:tc>
        <w:tc>
          <w:tcPr>
            <w:tcW w:w="160" w:type="dxa"/>
            <w:tcBorders>
              <w:top w:val="single" w:sz="8" w:space="0" w:color="E9E9E9"/>
              <w:left w:val="nil"/>
              <w:bottom w:val="single" w:sz="8" w:space="0" w:color="E9E9E9"/>
              <w:right w:val="nil"/>
            </w:tcBorders>
            <w:tcMar>
              <w:top w:w="0" w:type="dxa"/>
              <w:left w:w="53" w:type="dxa"/>
              <w:bottom w:w="0" w:type="dxa"/>
              <w:right w:w="0" w:type="dxa"/>
            </w:tcMar>
            <w:vAlign w:val="bottom"/>
          </w:tcPr>
          <w:p w14:paraId="43C9798A" w14:textId="77777777" w:rsidR="001614AC" w:rsidRDefault="004468F9">
            <w:pPr>
              <w:keepNext/>
              <w:spacing w:before="55" w:after="30" w:line="288" w:lineRule="auto"/>
            </w:pPr>
            <w:r>
              <w:rPr>
                <w:rFonts w:ascii="Arial" w:eastAsia="Arial" w:hAnsi="Arial" w:cs="Arial"/>
                <w:color w:val="000000"/>
                <w:sz w:val="18"/>
              </w:rPr>
              <w:t>$</w:t>
            </w:r>
          </w:p>
        </w:tc>
        <w:tc>
          <w:tcPr>
            <w:tcW w:w="1495" w:type="dxa"/>
            <w:tcBorders>
              <w:top w:val="single" w:sz="8" w:space="0" w:color="E9E9E9"/>
              <w:left w:val="nil"/>
              <w:bottom w:val="single" w:sz="8" w:space="0" w:color="E9E9E9"/>
              <w:right w:val="nil"/>
            </w:tcBorders>
            <w:tcMar>
              <w:top w:w="0" w:type="dxa"/>
              <w:left w:w="0" w:type="dxa"/>
              <w:bottom w:w="0" w:type="dxa"/>
              <w:right w:w="0" w:type="dxa"/>
            </w:tcMar>
            <w:vAlign w:val="bottom"/>
          </w:tcPr>
          <w:p w14:paraId="23488CA2" w14:textId="77777777" w:rsidR="001614AC" w:rsidRDefault="004468F9">
            <w:pPr>
              <w:keepNext/>
              <w:spacing w:before="55" w:after="30" w:line="288" w:lineRule="auto"/>
              <w:jc w:val="right"/>
            </w:pPr>
            <w:r>
              <w:rPr>
                <w:rFonts w:ascii="Arial" w:eastAsia="Arial" w:hAnsi="Arial" w:cs="Arial"/>
                <w:color w:val="000000"/>
                <w:sz w:val="18"/>
              </w:rPr>
              <w:t>912,734 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3147F31A" w14:textId="77777777" w:rsidR="001614AC" w:rsidRDefault="001614AC">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3045F487" w14:textId="77777777" w:rsidR="001614AC" w:rsidRDefault="001614AC">
            <w:pPr>
              <w:keepNext/>
            </w:pPr>
          </w:p>
        </w:tc>
        <w:tc>
          <w:tcPr>
            <w:tcW w:w="160" w:type="dxa"/>
            <w:tcBorders>
              <w:top w:val="single" w:sz="8" w:space="0" w:color="E9E9E9"/>
              <w:left w:val="nil"/>
              <w:bottom w:val="single" w:sz="8" w:space="0" w:color="E9E9E9"/>
              <w:right w:val="nil"/>
            </w:tcBorders>
            <w:tcMar>
              <w:top w:w="0" w:type="dxa"/>
              <w:left w:w="53" w:type="dxa"/>
              <w:bottom w:w="0" w:type="dxa"/>
              <w:right w:w="0" w:type="dxa"/>
            </w:tcMar>
            <w:vAlign w:val="bottom"/>
          </w:tcPr>
          <w:p w14:paraId="06C2AED8" w14:textId="77777777" w:rsidR="001614AC" w:rsidRDefault="004468F9">
            <w:pPr>
              <w:keepNext/>
              <w:spacing w:before="55" w:after="30" w:line="288" w:lineRule="auto"/>
            </w:pPr>
            <w:r>
              <w:rPr>
                <w:rFonts w:ascii="Arial" w:eastAsia="Arial" w:hAnsi="Arial" w:cs="Arial"/>
                <w:color w:val="000000"/>
                <w:sz w:val="18"/>
              </w:rPr>
              <w:t>$</w:t>
            </w:r>
          </w:p>
        </w:tc>
        <w:tc>
          <w:tcPr>
            <w:tcW w:w="1300" w:type="dxa"/>
            <w:tcBorders>
              <w:top w:val="single" w:sz="8" w:space="0" w:color="E9E9E9"/>
              <w:left w:val="nil"/>
              <w:bottom w:val="single" w:sz="8" w:space="0" w:color="E9E9E9"/>
              <w:right w:val="nil"/>
            </w:tcBorders>
            <w:tcMar>
              <w:top w:w="0" w:type="dxa"/>
              <w:left w:w="0" w:type="dxa"/>
              <w:bottom w:w="0" w:type="dxa"/>
              <w:right w:w="0" w:type="dxa"/>
            </w:tcMar>
            <w:vAlign w:val="bottom"/>
          </w:tcPr>
          <w:p w14:paraId="75BA591A" w14:textId="77777777" w:rsidR="001614AC" w:rsidRDefault="004468F9">
            <w:pPr>
              <w:keepNext/>
              <w:spacing w:before="55" w:after="30" w:line="288" w:lineRule="auto"/>
              <w:jc w:val="right"/>
            </w:pPr>
            <w:r>
              <w:rPr>
                <w:rFonts w:ascii="Arial" w:eastAsia="Arial" w:hAnsi="Arial" w:cs="Arial"/>
                <w:color w:val="000000"/>
                <w:sz w:val="18"/>
              </w:rPr>
              <w:t>970,294 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08F922F9" w14:textId="77777777" w:rsidR="001614AC" w:rsidRDefault="001614AC">
            <w:pPr>
              <w:keepNext/>
              <w:spacing w:before="55" w:after="30" w:line="288" w:lineRule="auto"/>
              <w:jc w:val="right"/>
            </w:pPr>
          </w:p>
        </w:tc>
      </w:tr>
      <w:tr w:rsidR="001614AC" w14:paraId="2884BB59" w14:textId="77777777">
        <w:trPr>
          <w:cantSplit/>
        </w:trPr>
        <w:tc>
          <w:tcPr>
            <w:tcW w:w="4890" w:type="dxa"/>
            <w:tcBorders>
              <w:top w:val="single" w:sz="8" w:space="0" w:color="E9E9E9"/>
              <w:left w:val="nil"/>
              <w:bottom w:val="single" w:sz="8" w:space="0" w:color="E9E9E9"/>
              <w:right w:val="nil"/>
            </w:tcBorders>
            <w:tcMar>
              <w:top w:w="0" w:type="dxa"/>
              <w:left w:w="53" w:type="dxa"/>
              <w:bottom w:w="0" w:type="dxa"/>
              <w:right w:w="53" w:type="dxa"/>
            </w:tcMar>
            <w:vAlign w:val="bottom"/>
          </w:tcPr>
          <w:p w14:paraId="42C251A2" w14:textId="77777777" w:rsidR="001614AC" w:rsidRDefault="004468F9">
            <w:pPr>
              <w:keepNext/>
              <w:spacing w:before="55" w:after="30" w:line="288" w:lineRule="auto"/>
              <w:ind w:left="240"/>
            </w:pPr>
            <w:r>
              <w:rPr>
                <w:rFonts w:ascii="Arial" w:eastAsia="Arial" w:hAnsi="Arial" w:cs="Arial"/>
                <w:color w:val="000000"/>
                <w:sz w:val="18"/>
              </w:rPr>
              <w:t>Single Premium QSR Program</w:t>
            </w:r>
          </w:p>
        </w:tc>
        <w:tc>
          <w:tcPr>
            <w:tcW w:w="105" w:type="dxa"/>
            <w:tcBorders>
              <w:top w:val="nil"/>
              <w:left w:val="nil"/>
              <w:bottom w:val="nil"/>
              <w:right w:val="nil"/>
            </w:tcBorders>
            <w:tcMar>
              <w:top w:w="0" w:type="dxa"/>
              <w:left w:w="0" w:type="dxa"/>
              <w:bottom w:w="0" w:type="dxa"/>
              <w:right w:w="0" w:type="dxa"/>
            </w:tcMar>
            <w:vAlign w:val="bottom"/>
          </w:tcPr>
          <w:p w14:paraId="33C27AA9" w14:textId="77777777" w:rsidR="001614AC" w:rsidRDefault="001614AC">
            <w:pPr>
              <w:keepNext/>
            </w:pPr>
          </w:p>
        </w:tc>
        <w:tc>
          <w:tcPr>
            <w:tcW w:w="1460"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46E871D2" w14:textId="77777777" w:rsidR="001614AC" w:rsidRDefault="004468F9">
            <w:pPr>
              <w:keepNext/>
              <w:spacing w:before="55" w:after="30" w:line="288" w:lineRule="auto"/>
              <w:jc w:val="right"/>
            </w:pPr>
            <w:r>
              <w:rPr>
                <w:rFonts w:ascii="Arial" w:eastAsia="Arial" w:hAnsi="Arial" w:cs="Arial"/>
                <w:color w:val="000000"/>
                <w:sz w:val="18"/>
              </w:rPr>
              <w:t>355,115 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5E63699E" w14:textId="77777777" w:rsidR="001614AC" w:rsidRDefault="001614AC">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26D7B48E" w14:textId="77777777" w:rsidR="001614AC" w:rsidRDefault="001614AC">
            <w:pPr>
              <w:keepNext/>
            </w:pPr>
          </w:p>
        </w:tc>
        <w:tc>
          <w:tcPr>
            <w:tcW w:w="165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3C36837A" w14:textId="77777777" w:rsidR="001614AC" w:rsidRDefault="004468F9">
            <w:pPr>
              <w:keepNext/>
              <w:spacing w:before="55" w:after="30" w:line="288" w:lineRule="auto"/>
              <w:jc w:val="right"/>
            </w:pPr>
            <w:r>
              <w:rPr>
                <w:rFonts w:ascii="Arial" w:eastAsia="Arial" w:hAnsi="Arial" w:cs="Arial"/>
                <w:color w:val="000000"/>
                <w:sz w:val="18"/>
              </w:rPr>
              <w:t>423,712 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125EBBA3" w14:textId="77777777" w:rsidR="001614AC" w:rsidRDefault="001614AC">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5751074C" w14:textId="77777777" w:rsidR="001614AC" w:rsidRDefault="001614AC">
            <w:pPr>
              <w:keepNext/>
            </w:pPr>
          </w:p>
        </w:tc>
        <w:tc>
          <w:tcPr>
            <w:tcW w:w="1460"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5A91D975" w14:textId="77777777" w:rsidR="001614AC" w:rsidRDefault="004468F9">
            <w:pPr>
              <w:keepNext/>
              <w:spacing w:before="55" w:after="30" w:line="288" w:lineRule="auto"/>
              <w:jc w:val="right"/>
            </w:pPr>
            <w:r>
              <w:rPr>
                <w:rFonts w:ascii="Arial" w:eastAsia="Arial" w:hAnsi="Arial" w:cs="Arial"/>
                <w:color w:val="000000"/>
                <w:sz w:val="18"/>
              </w:rPr>
              <w:t>517,028 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28503818" w14:textId="77777777" w:rsidR="001614AC" w:rsidRDefault="001614AC">
            <w:pPr>
              <w:keepNext/>
              <w:spacing w:before="55" w:after="30" w:line="288" w:lineRule="auto"/>
              <w:jc w:val="right"/>
            </w:pPr>
          </w:p>
        </w:tc>
      </w:tr>
      <w:tr w:rsidR="001614AC" w14:paraId="24093A5A" w14:textId="77777777">
        <w:trPr>
          <w:cantSplit/>
        </w:trPr>
        <w:tc>
          <w:tcPr>
            <w:tcW w:w="4890" w:type="dxa"/>
            <w:tcBorders>
              <w:top w:val="single" w:sz="8" w:space="0" w:color="E9E9E9"/>
              <w:left w:val="nil"/>
              <w:bottom w:val="nil"/>
              <w:right w:val="nil"/>
            </w:tcBorders>
            <w:tcMar>
              <w:top w:w="0" w:type="dxa"/>
              <w:left w:w="53" w:type="dxa"/>
              <w:bottom w:w="0" w:type="dxa"/>
              <w:right w:w="53" w:type="dxa"/>
            </w:tcMar>
            <w:vAlign w:val="bottom"/>
          </w:tcPr>
          <w:p w14:paraId="07141BE1" w14:textId="77777777" w:rsidR="001614AC" w:rsidRDefault="004468F9">
            <w:pPr>
              <w:keepNext/>
              <w:spacing w:before="55" w:after="30" w:line="288" w:lineRule="auto"/>
              <w:ind w:left="240"/>
            </w:pPr>
            <w:r>
              <w:rPr>
                <w:rFonts w:ascii="Arial" w:eastAsia="Arial" w:hAnsi="Arial" w:cs="Arial"/>
                <w:color w:val="000000"/>
                <w:sz w:val="18"/>
              </w:rPr>
              <w:t>QSR Program</w:t>
            </w:r>
          </w:p>
        </w:tc>
        <w:tc>
          <w:tcPr>
            <w:tcW w:w="105" w:type="dxa"/>
            <w:tcBorders>
              <w:top w:val="nil"/>
              <w:left w:val="nil"/>
              <w:bottom w:val="nil"/>
              <w:right w:val="nil"/>
            </w:tcBorders>
            <w:tcMar>
              <w:top w:w="0" w:type="dxa"/>
              <w:left w:w="0" w:type="dxa"/>
              <w:bottom w:w="0" w:type="dxa"/>
              <w:right w:w="0" w:type="dxa"/>
            </w:tcMar>
            <w:vAlign w:val="bottom"/>
          </w:tcPr>
          <w:p w14:paraId="297E3259" w14:textId="77777777" w:rsidR="001614AC" w:rsidRDefault="001614AC">
            <w:pPr>
              <w:keepNext/>
            </w:pPr>
          </w:p>
        </w:tc>
        <w:tc>
          <w:tcPr>
            <w:tcW w:w="1460" w:type="dxa"/>
            <w:gridSpan w:val="2"/>
            <w:tcBorders>
              <w:top w:val="single" w:sz="8" w:space="0" w:color="E9E9E9"/>
              <w:left w:val="nil"/>
              <w:bottom w:val="single" w:sz="8" w:space="0" w:color="C7C9C7"/>
              <w:right w:val="nil"/>
            </w:tcBorders>
            <w:tcMar>
              <w:top w:w="0" w:type="dxa"/>
              <w:left w:w="53" w:type="dxa"/>
              <w:bottom w:w="0" w:type="dxa"/>
              <w:right w:w="0" w:type="dxa"/>
            </w:tcMar>
            <w:vAlign w:val="bottom"/>
          </w:tcPr>
          <w:p w14:paraId="695E4F3B" w14:textId="77777777" w:rsidR="001614AC" w:rsidRDefault="004468F9">
            <w:pPr>
              <w:keepNext/>
              <w:spacing w:before="55" w:after="30" w:line="288" w:lineRule="auto"/>
              <w:jc w:val="right"/>
            </w:pPr>
            <w:r>
              <w:rPr>
                <w:rFonts w:ascii="Arial" w:eastAsia="Arial" w:hAnsi="Arial" w:cs="Arial"/>
                <w:color w:val="000000"/>
                <w:sz w:val="18"/>
              </w:rPr>
              <w:t>16,545 </w:t>
            </w:r>
          </w:p>
        </w:tc>
        <w:tc>
          <w:tcPr>
            <w:tcW w:w="100" w:type="dxa"/>
            <w:tcBorders>
              <w:top w:val="single" w:sz="8" w:space="0" w:color="E9E9E9"/>
              <w:left w:val="nil"/>
              <w:bottom w:val="single" w:sz="8" w:space="0" w:color="C7C9C7"/>
              <w:right w:val="nil"/>
            </w:tcBorders>
            <w:tcMar>
              <w:top w:w="0" w:type="dxa"/>
              <w:left w:w="0" w:type="dxa"/>
              <w:bottom w:w="0" w:type="dxa"/>
              <w:right w:w="15" w:type="dxa"/>
            </w:tcMar>
            <w:vAlign w:val="bottom"/>
          </w:tcPr>
          <w:p w14:paraId="62126E89" w14:textId="77777777" w:rsidR="001614AC" w:rsidRDefault="001614AC">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78277161" w14:textId="77777777" w:rsidR="001614AC" w:rsidRDefault="001614AC">
            <w:pPr>
              <w:keepNext/>
            </w:pPr>
          </w:p>
        </w:tc>
        <w:tc>
          <w:tcPr>
            <w:tcW w:w="1655" w:type="dxa"/>
            <w:gridSpan w:val="2"/>
            <w:tcBorders>
              <w:top w:val="single" w:sz="8" w:space="0" w:color="E9E9E9"/>
              <w:left w:val="nil"/>
              <w:bottom w:val="single" w:sz="8" w:space="0" w:color="C7C9C7"/>
              <w:right w:val="nil"/>
            </w:tcBorders>
            <w:tcMar>
              <w:top w:w="0" w:type="dxa"/>
              <w:left w:w="53" w:type="dxa"/>
              <w:bottom w:w="0" w:type="dxa"/>
              <w:right w:w="0" w:type="dxa"/>
            </w:tcMar>
            <w:vAlign w:val="bottom"/>
          </w:tcPr>
          <w:p w14:paraId="1C35A0DC" w14:textId="77777777" w:rsidR="001614AC" w:rsidRDefault="004468F9">
            <w:pPr>
              <w:keepNext/>
              <w:spacing w:before="55" w:after="30" w:line="288" w:lineRule="auto"/>
              <w:jc w:val="right"/>
            </w:pPr>
            <w:r>
              <w:rPr>
                <w:rFonts w:ascii="Arial" w:eastAsia="Arial" w:hAnsi="Arial" w:cs="Arial"/>
                <w:color w:val="000000"/>
                <w:sz w:val="18"/>
              </w:rPr>
              <w:t>22,712 </w:t>
            </w:r>
          </w:p>
        </w:tc>
        <w:tc>
          <w:tcPr>
            <w:tcW w:w="100" w:type="dxa"/>
            <w:tcBorders>
              <w:top w:val="single" w:sz="8" w:space="0" w:color="E9E9E9"/>
              <w:left w:val="nil"/>
              <w:bottom w:val="single" w:sz="8" w:space="0" w:color="C7C9C7"/>
              <w:right w:val="nil"/>
            </w:tcBorders>
            <w:tcMar>
              <w:top w:w="0" w:type="dxa"/>
              <w:left w:w="0" w:type="dxa"/>
              <w:bottom w:w="0" w:type="dxa"/>
              <w:right w:w="15" w:type="dxa"/>
            </w:tcMar>
            <w:vAlign w:val="bottom"/>
          </w:tcPr>
          <w:p w14:paraId="5068CCE5" w14:textId="77777777" w:rsidR="001614AC" w:rsidRDefault="001614AC">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5F895723" w14:textId="77777777" w:rsidR="001614AC" w:rsidRDefault="001614AC">
            <w:pPr>
              <w:keepNext/>
            </w:pPr>
          </w:p>
        </w:tc>
        <w:tc>
          <w:tcPr>
            <w:tcW w:w="1460" w:type="dxa"/>
            <w:gridSpan w:val="2"/>
            <w:tcBorders>
              <w:top w:val="single" w:sz="8" w:space="0" w:color="E9E9E9"/>
              <w:left w:val="nil"/>
              <w:bottom w:val="single" w:sz="8" w:space="0" w:color="C7C9C7"/>
              <w:right w:val="nil"/>
            </w:tcBorders>
            <w:tcMar>
              <w:top w:w="0" w:type="dxa"/>
              <w:left w:w="53" w:type="dxa"/>
              <w:bottom w:w="0" w:type="dxa"/>
              <w:right w:w="0" w:type="dxa"/>
            </w:tcMar>
            <w:vAlign w:val="bottom"/>
          </w:tcPr>
          <w:p w14:paraId="32E0D3C6" w14:textId="77777777" w:rsidR="001614AC" w:rsidRDefault="004468F9">
            <w:pPr>
              <w:keepNext/>
              <w:spacing w:before="55" w:after="30" w:line="288" w:lineRule="auto"/>
              <w:jc w:val="right"/>
            </w:pPr>
            <w:r>
              <w:rPr>
                <w:rFonts w:ascii="Arial" w:eastAsia="Arial" w:hAnsi="Arial" w:cs="Arial"/>
                <w:color w:val="000000"/>
                <w:sz w:val="18"/>
              </w:rPr>
              <w:t>30,837 </w:t>
            </w:r>
          </w:p>
        </w:tc>
        <w:tc>
          <w:tcPr>
            <w:tcW w:w="100" w:type="dxa"/>
            <w:tcBorders>
              <w:top w:val="single" w:sz="8" w:space="0" w:color="E9E9E9"/>
              <w:left w:val="nil"/>
              <w:bottom w:val="single" w:sz="8" w:space="0" w:color="C7C9C7"/>
              <w:right w:val="nil"/>
            </w:tcBorders>
            <w:tcMar>
              <w:top w:w="0" w:type="dxa"/>
              <w:left w:w="0" w:type="dxa"/>
              <w:bottom w:w="0" w:type="dxa"/>
              <w:right w:w="15" w:type="dxa"/>
            </w:tcMar>
            <w:vAlign w:val="bottom"/>
          </w:tcPr>
          <w:p w14:paraId="762928A5" w14:textId="77777777" w:rsidR="001614AC" w:rsidRDefault="001614AC">
            <w:pPr>
              <w:keepNext/>
              <w:spacing w:before="55" w:after="30" w:line="288" w:lineRule="auto"/>
              <w:jc w:val="right"/>
            </w:pPr>
          </w:p>
        </w:tc>
      </w:tr>
      <w:tr w:rsidR="001614AC" w14:paraId="439FE016" w14:textId="77777777">
        <w:trPr>
          <w:cantSplit/>
        </w:trPr>
        <w:tc>
          <w:tcPr>
            <w:tcW w:w="4890" w:type="dxa"/>
            <w:tcBorders>
              <w:top w:val="nil"/>
              <w:left w:val="nil"/>
              <w:bottom w:val="nil"/>
              <w:right w:val="nil"/>
            </w:tcBorders>
            <w:shd w:val="clear" w:color="auto" w:fill="F4F4F4"/>
            <w:tcMar>
              <w:top w:w="0" w:type="dxa"/>
              <w:left w:w="53" w:type="dxa"/>
              <w:bottom w:w="0" w:type="dxa"/>
              <w:right w:w="53" w:type="dxa"/>
            </w:tcMar>
            <w:vAlign w:val="bottom"/>
          </w:tcPr>
          <w:p w14:paraId="111064A4" w14:textId="77777777" w:rsidR="001614AC" w:rsidRDefault="004468F9">
            <w:pPr>
              <w:keepNext/>
              <w:spacing w:before="75" w:after="30" w:line="288" w:lineRule="auto"/>
              <w:ind w:left="240"/>
            </w:pPr>
            <w:r>
              <w:rPr>
                <w:rFonts w:ascii="Arial" w:eastAsia="Arial" w:hAnsi="Arial" w:cs="Arial"/>
                <w:color w:val="000000"/>
                <w:sz w:val="18"/>
              </w:rPr>
              <w:t>Total PMIERs impact</w:t>
            </w:r>
          </w:p>
        </w:tc>
        <w:tc>
          <w:tcPr>
            <w:tcW w:w="105" w:type="dxa"/>
            <w:tcBorders>
              <w:top w:val="nil"/>
              <w:left w:val="nil"/>
              <w:bottom w:val="nil"/>
              <w:right w:val="nil"/>
            </w:tcBorders>
            <w:shd w:val="clear" w:color="auto" w:fill="F4F4F4"/>
            <w:tcMar>
              <w:top w:w="0" w:type="dxa"/>
              <w:left w:w="0" w:type="dxa"/>
              <w:bottom w:w="0" w:type="dxa"/>
              <w:right w:w="0" w:type="dxa"/>
            </w:tcMar>
            <w:vAlign w:val="bottom"/>
          </w:tcPr>
          <w:p w14:paraId="3CF1A82B" w14:textId="77777777" w:rsidR="001614AC" w:rsidRDefault="001614AC">
            <w:pPr>
              <w:keepNext/>
            </w:pPr>
          </w:p>
        </w:tc>
        <w:tc>
          <w:tcPr>
            <w:tcW w:w="160" w:type="dxa"/>
            <w:tcBorders>
              <w:top w:val="single" w:sz="8" w:space="0" w:color="C7C9C7"/>
              <w:left w:val="nil"/>
              <w:bottom w:val="double" w:sz="8" w:space="0" w:color="C7C9C7"/>
              <w:right w:val="nil"/>
            </w:tcBorders>
            <w:shd w:val="clear" w:color="auto" w:fill="F4F4F4"/>
            <w:tcMar>
              <w:top w:w="0" w:type="dxa"/>
              <w:left w:w="53" w:type="dxa"/>
              <w:bottom w:w="0" w:type="dxa"/>
              <w:right w:w="0" w:type="dxa"/>
            </w:tcMar>
            <w:vAlign w:val="bottom"/>
          </w:tcPr>
          <w:p w14:paraId="1DCD4321" w14:textId="77777777" w:rsidR="001614AC" w:rsidRDefault="004468F9">
            <w:pPr>
              <w:keepNext/>
              <w:spacing w:before="55" w:after="30" w:line="288" w:lineRule="auto"/>
            </w:pPr>
            <w:r>
              <w:rPr>
                <w:rFonts w:ascii="Arial" w:eastAsia="Arial" w:hAnsi="Arial" w:cs="Arial"/>
                <w:color w:val="000000"/>
                <w:sz w:val="18"/>
              </w:rPr>
              <w:t>$</w:t>
            </w:r>
          </w:p>
        </w:tc>
        <w:tc>
          <w:tcPr>
            <w:tcW w:w="1300" w:type="dxa"/>
            <w:tcBorders>
              <w:top w:val="single" w:sz="8" w:space="0" w:color="C7C9C7"/>
              <w:left w:val="nil"/>
              <w:bottom w:val="double" w:sz="8" w:space="0" w:color="C7C9C7"/>
              <w:right w:val="nil"/>
            </w:tcBorders>
            <w:shd w:val="clear" w:color="auto" w:fill="F4F4F4"/>
            <w:tcMar>
              <w:top w:w="0" w:type="dxa"/>
              <w:left w:w="0" w:type="dxa"/>
              <w:bottom w:w="0" w:type="dxa"/>
              <w:right w:w="0" w:type="dxa"/>
            </w:tcMar>
            <w:vAlign w:val="bottom"/>
          </w:tcPr>
          <w:p w14:paraId="669503BB" w14:textId="77777777" w:rsidR="001614AC" w:rsidRDefault="004468F9">
            <w:pPr>
              <w:keepNext/>
              <w:spacing w:before="55" w:after="30" w:line="288" w:lineRule="auto"/>
              <w:jc w:val="right"/>
            </w:pPr>
            <w:r>
              <w:rPr>
                <w:rFonts w:ascii="Arial" w:eastAsia="Arial" w:hAnsi="Arial" w:cs="Arial"/>
                <w:color w:val="000000"/>
                <w:sz w:val="18"/>
              </w:rPr>
              <w:t>1,278,772 </w:t>
            </w:r>
          </w:p>
        </w:tc>
        <w:tc>
          <w:tcPr>
            <w:tcW w:w="100" w:type="dxa"/>
            <w:tcBorders>
              <w:top w:val="single" w:sz="8" w:space="0" w:color="C7C9C7"/>
              <w:left w:val="nil"/>
              <w:bottom w:val="double" w:sz="8" w:space="0" w:color="C7C9C7"/>
              <w:right w:val="nil"/>
            </w:tcBorders>
            <w:shd w:val="clear" w:color="auto" w:fill="F4F4F4"/>
            <w:tcMar>
              <w:top w:w="0" w:type="dxa"/>
              <w:left w:w="0" w:type="dxa"/>
              <w:bottom w:w="0" w:type="dxa"/>
              <w:right w:w="15" w:type="dxa"/>
            </w:tcMar>
            <w:vAlign w:val="bottom"/>
          </w:tcPr>
          <w:p w14:paraId="7DBD065B" w14:textId="77777777" w:rsidR="001614AC" w:rsidRDefault="001614AC">
            <w:pPr>
              <w:keepNext/>
              <w:spacing w:before="55" w:after="30" w:line="288" w:lineRule="auto"/>
              <w:jc w:val="right"/>
            </w:pPr>
          </w:p>
        </w:tc>
        <w:tc>
          <w:tcPr>
            <w:tcW w:w="105" w:type="dxa"/>
            <w:tcBorders>
              <w:top w:val="nil"/>
              <w:left w:val="nil"/>
              <w:bottom w:val="nil"/>
              <w:right w:val="nil"/>
            </w:tcBorders>
            <w:shd w:val="clear" w:color="auto" w:fill="F4F4F4"/>
            <w:tcMar>
              <w:top w:w="0" w:type="dxa"/>
              <w:left w:w="0" w:type="dxa"/>
              <w:bottom w:w="0" w:type="dxa"/>
              <w:right w:w="0" w:type="dxa"/>
            </w:tcMar>
            <w:vAlign w:val="bottom"/>
          </w:tcPr>
          <w:p w14:paraId="57A9C0B3" w14:textId="77777777" w:rsidR="001614AC" w:rsidRDefault="001614AC">
            <w:pPr>
              <w:keepNext/>
            </w:pPr>
          </w:p>
        </w:tc>
        <w:tc>
          <w:tcPr>
            <w:tcW w:w="160" w:type="dxa"/>
            <w:tcBorders>
              <w:top w:val="single" w:sz="8" w:space="0" w:color="C7C9C7"/>
              <w:left w:val="nil"/>
              <w:bottom w:val="double" w:sz="8" w:space="0" w:color="C7C9C7"/>
              <w:right w:val="nil"/>
            </w:tcBorders>
            <w:shd w:val="clear" w:color="auto" w:fill="F4F4F4"/>
            <w:tcMar>
              <w:top w:w="0" w:type="dxa"/>
              <w:left w:w="53" w:type="dxa"/>
              <w:bottom w:w="0" w:type="dxa"/>
              <w:right w:w="0" w:type="dxa"/>
            </w:tcMar>
            <w:vAlign w:val="bottom"/>
          </w:tcPr>
          <w:p w14:paraId="265285BF" w14:textId="77777777" w:rsidR="001614AC" w:rsidRDefault="004468F9">
            <w:pPr>
              <w:keepNext/>
              <w:spacing w:before="55" w:after="30" w:line="288" w:lineRule="auto"/>
            </w:pPr>
            <w:r>
              <w:rPr>
                <w:rFonts w:ascii="Arial" w:eastAsia="Arial" w:hAnsi="Arial" w:cs="Arial"/>
                <w:color w:val="000000"/>
                <w:sz w:val="18"/>
              </w:rPr>
              <w:t>$</w:t>
            </w:r>
          </w:p>
        </w:tc>
        <w:tc>
          <w:tcPr>
            <w:tcW w:w="1495" w:type="dxa"/>
            <w:tcBorders>
              <w:top w:val="single" w:sz="8" w:space="0" w:color="C7C9C7"/>
              <w:left w:val="nil"/>
              <w:bottom w:val="double" w:sz="8" w:space="0" w:color="C7C9C7"/>
              <w:right w:val="nil"/>
            </w:tcBorders>
            <w:shd w:val="clear" w:color="auto" w:fill="F4F4F4"/>
            <w:tcMar>
              <w:top w:w="0" w:type="dxa"/>
              <w:left w:w="0" w:type="dxa"/>
              <w:bottom w:w="0" w:type="dxa"/>
              <w:right w:w="0" w:type="dxa"/>
            </w:tcMar>
            <w:vAlign w:val="bottom"/>
          </w:tcPr>
          <w:p w14:paraId="46E1A762" w14:textId="77777777" w:rsidR="001614AC" w:rsidRDefault="004468F9">
            <w:pPr>
              <w:keepNext/>
              <w:spacing w:before="55" w:after="30" w:line="288" w:lineRule="auto"/>
              <w:jc w:val="right"/>
            </w:pPr>
            <w:r>
              <w:rPr>
                <w:rFonts w:ascii="Arial" w:eastAsia="Arial" w:hAnsi="Arial" w:cs="Arial"/>
                <w:color w:val="000000"/>
                <w:sz w:val="18"/>
              </w:rPr>
              <w:t>1,359,158 </w:t>
            </w:r>
          </w:p>
        </w:tc>
        <w:tc>
          <w:tcPr>
            <w:tcW w:w="100" w:type="dxa"/>
            <w:tcBorders>
              <w:top w:val="single" w:sz="8" w:space="0" w:color="C7C9C7"/>
              <w:left w:val="nil"/>
              <w:bottom w:val="double" w:sz="8" w:space="0" w:color="C7C9C7"/>
              <w:right w:val="nil"/>
            </w:tcBorders>
            <w:shd w:val="clear" w:color="auto" w:fill="F4F4F4"/>
            <w:tcMar>
              <w:top w:w="0" w:type="dxa"/>
              <w:left w:w="0" w:type="dxa"/>
              <w:bottom w:w="0" w:type="dxa"/>
              <w:right w:w="15" w:type="dxa"/>
            </w:tcMar>
            <w:vAlign w:val="bottom"/>
          </w:tcPr>
          <w:p w14:paraId="59DF40E1" w14:textId="77777777" w:rsidR="001614AC" w:rsidRDefault="001614AC">
            <w:pPr>
              <w:keepNext/>
              <w:spacing w:before="55" w:after="30" w:line="288" w:lineRule="auto"/>
              <w:jc w:val="right"/>
            </w:pPr>
          </w:p>
        </w:tc>
        <w:tc>
          <w:tcPr>
            <w:tcW w:w="105" w:type="dxa"/>
            <w:tcBorders>
              <w:top w:val="nil"/>
              <w:left w:val="nil"/>
              <w:bottom w:val="nil"/>
              <w:right w:val="nil"/>
            </w:tcBorders>
            <w:shd w:val="clear" w:color="auto" w:fill="F4F4F4"/>
            <w:tcMar>
              <w:top w:w="0" w:type="dxa"/>
              <w:left w:w="0" w:type="dxa"/>
              <w:bottom w:w="0" w:type="dxa"/>
              <w:right w:w="0" w:type="dxa"/>
            </w:tcMar>
            <w:vAlign w:val="bottom"/>
          </w:tcPr>
          <w:p w14:paraId="64C8CF41" w14:textId="77777777" w:rsidR="001614AC" w:rsidRDefault="001614AC">
            <w:pPr>
              <w:keepNext/>
            </w:pPr>
          </w:p>
        </w:tc>
        <w:tc>
          <w:tcPr>
            <w:tcW w:w="160" w:type="dxa"/>
            <w:tcBorders>
              <w:top w:val="single" w:sz="8" w:space="0" w:color="C7C9C7"/>
              <w:left w:val="nil"/>
              <w:bottom w:val="double" w:sz="8" w:space="0" w:color="C7C9C7"/>
              <w:right w:val="nil"/>
            </w:tcBorders>
            <w:shd w:val="clear" w:color="auto" w:fill="F4F4F4"/>
            <w:tcMar>
              <w:top w:w="0" w:type="dxa"/>
              <w:left w:w="53" w:type="dxa"/>
              <w:bottom w:w="0" w:type="dxa"/>
              <w:right w:w="0" w:type="dxa"/>
            </w:tcMar>
            <w:vAlign w:val="bottom"/>
          </w:tcPr>
          <w:p w14:paraId="06C3D073" w14:textId="77777777" w:rsidR="001614AC" w:rsidRDefault="004468F9">
            <w:pPr>
              <w:keepNext/>
              <w:spacing w:before="55" w:after="30" w:line="288" w:lineRule="auto"/>
            </w:pPr>
            <w:r>
              <w:rPr>
                <w:rFonts w:ascii="Arial" w:eastAsia="Arial" w:hAnsi="Arial" w:cs="Arial"/>
                <w:color w:val="000000"/>
                <w:sz w:val="18"/>
              </w:rPr>
              <w:t>$</w:t>
            </w:r>
          </w:p>
        </w:tc>
        <w:tc>
          <w:tcPr>
            <w:tcW w:w="1300" w:type="dxa"/>
            <w:tcBorders>
              <w:top w:val="single" w:sz="8" w:space="0" w:color="C7C9C7"/>
              <w:left w:val="nil"/>
              <w:bottom w:val="double" w:sz="8" w:space="0" w:color="C7C9C7"/>
              <w:right w:val="nil"/>
            </w:tcBorders>
            <w:shd w:val="clear" w:color="auto" w:fill="F4F4F4"/>
            <w:tcMar>
              <w:top w:w="0" w:type="dxa"/>
              <w:left w:w="0" w:type="dxa"/>
              <w:bottom w:w="0" w:type="dxa"/>
              <w:right w:w="0" w:type="dxa"/>
            </w:tcMar>
            <w:vAlign w:val="bottom"/>
          </w:tcPr>
          <w:p w14:paraId="21208B78" w14:textId="77777777" w:rsidR="001614AC" w:rsidRDefault="004468F9">
            <w:pPr>
              <w:keepNext/>
              <w:spacing w:before="55" w:after="30" w:line="288" w:lineRule="auto"/>
              <w:jc w:val="right"/>
            </w:pPr>
            <w:r>
              <w:rPr>
                <w:rFonts w:ascii="Arial" w:eastAsia="Arial" w:hAnsi="Arial" w:cs="Arial"/>
                <w:color w:val="000000"/>
                <w:sz w:val="18"/>
              </w:rPr>
              <w:t>1,518,159 </w:t>
            </w:r>
          </w:p>
        </w:tc>
        <w:tc>
          <w:tcPr>
            <w:tcW w:w="100" w:type="dxa"/>
            <w:tcBorders>
              <w:top w:val="single" w:sz="8" w:space="0" w:color="C7C9C7"/>
              <w:left w:val="nil"/>
              <w:bottom w:val="double" w:sz="8" w:space="0" w:color="C7C9C7"/>
              <w:right w:val="nil"/>
            </w:tcBorders>
            <w:shd w:val="clear" w:color="auto" w:fill="F4F4F4"/>
            <w:tcMar>
              <w:top w:w="0" w:type="dxa"/>
              <w:left w:w="0" w:type="dxa"/>
              <w:bottom w:w="0" w:type="dxa"/>
              <w:right w:w="15" w:type="dxa"/>
            </w:tcMar>
            <w:vAlign w:val="bottom"/>
          </w:tcPr>
          <w:p w14:paraId="78933D34" w14:textId="77777777" w:rsidR="001614AC" w:rsidRDefault="001614AC">
            <w:pPr>
              <w:keepNext/>
              <w:spacing w:before="55" w:after="30" w:line="288" w:lineRule="auto"/>
              <w:jc w:val="right"/>
            </w:pPr>
          </w:p>
        </w:tc>
      </w:tr>
      <w:tr w:rsidR="001614AC" w14:paraId="205081D9" w14:textId="77777777">
        <w:trPr>
          <w:cantSplit/>
        </w:trPr>
        <w:tc>
          <w:tcPr>
            <w:tcW w:w="4890" w:type="dxa"/>
            <w:tcBorders>
              <w:top w:val="nil"/>
              <w:left w:val="nil"/>
              <w:bottom w:val="single" w:sz="8" w:space="0" w:color="E9E9E9"/>
              <w:right w:val="nil"/>
            </w:tcBorders>
            <w:tcMar>
              <w:top w:w="0" w:type="dxa"/>
              <w:left w:w="53" w:type="dxa"/>
              <w:bottom w:w="0" w:type="dxa"/>
              <w:right w:w="53" w:type="dxa"/>
            </w:tcMar>
            <w:vAlign w:val="bottom"/>
          </w:tcPr>
          <w:p w14:paraId="676490EB" w14:textId="77777777" w:rsidR="001614AC" w:rsidRDefault="004468F9">
            <w:pPr>
              <w:spacing w:before="75" w:after="30" w:line="288" w:lineRule="auto"/>
            </w:pPr>
            <w:r>
              <w:rPr>
                <w:rFonts w:ascii="Arial" w:eastAsia="Arial" w:hAnsi="Arial" w:cs="Arial"/>
                <w:color w:val="000000"/>
                <w:sz w:val="18"/>
              </w:rPr>
              <w:t xml:space="preserve">Percentage of gross Minimum Required Assets </w:t>
            </w:r>
          </w:p>
        </w:tc>
        <w:tc>
          <w:tcPr>
            <w:tcW w:w="105" w:type="dxa"/>
            <w:tcBorders>
              <w:top w:val="nil"/>
              <w:left w:val="nil"/>
              <w:bottom w:val="nil"/>
              <w:right w:val="nil"/>
            </w:tcBorders>
            <w:tcMar>
              <w:top w:w="0" w:type="dxa"/>
              <w:left w:w="0" w:type="dxa"/>
              <w:bottom w:w="0" w:type="dxa"/>
              <w:right w:w="0" w:type="dxa"/>
            </w:tcMar>
            <w:vAlign w:val="bottom"/>
          </w:tcPr>
          <w:p w14:paraId="18187AEA" w14:textId="77777777" w:rsidR="001614AC" w:rsidRDefault="001614AC"/>
        </w:tc>
        <w:tc>
          <w:tcPr>
            <w:tcW w:w="1460" w:type="dxa"/>
            <w:gridSpan w:val="2"/>
            <w:tcBorders>
              <w:top w:val="double" w:sz="8" w:space="0" w:color="C7C9C7"/>
              <w:left w:val="nil"/>
              <w:bottom w:val="single" w:sz="8" w:space="0" w:color="E9E9E9"/>
              <w:right w:val="nil"/>
            </w:tcBorders>
            <w:tcMar>
              <w:top w:w="0" w:type="dxa"/>
              <w:left w:w="53" w:type="dxa"/>
              <w:bottom w:w="0" w:type="dxa"/>
              <w:right w:w="0" w:type="dxa"/>
            </w:tcMar>
            <w:vAlign w:val="bottom"/>
          </w:tcPr>
          <w:p w14:paraId="7E3019ED" w14:textId="77777777" w:rsidR="001614AC" w:rsidRDefault="004468F9">
            <w:pPr>
              <w:spacing w:before="55" w:after="30" w:line="288" w:lineRule="auto"/>
              <w:jc w:val="right"/>
            </w:pPr>
            <w:r>
              <w:rPr>
                <w:rFonts w:ascii="Arial" w:eastAsia="Arial" w:hAnsi="Arial" w:cs="Arial"/>
                <w:color w:val="000000"/>
                <w:sz w:val="18"/>
              </w:rPr>
              <w:t>28.7 </w:t>
            </w:r>
          </w:p>
        </w:tc>
        <w:tc>
          <w:tcPr>
            <w:tcW w:w="100" w:type="dxa"/>
            <w:tcBorders>
              <w:top w:val="double" w:sz="8" w:space="0" w:color="C7C9C7"/>
              <w:left w:val="nil"/>
              <w:bottom w:val="single" w:sz="8" w:space="0" w:color="E9E9E9"/>
              <w:right w:val="nil"/>
            </w:tcBorders>
            <w:tcMar>
              <w:top w:w="0" w:type="dxa"/>
              <w:left w:w="0" w:type="dxa"/>
              <w:bottom w:w="0" w:type="dxa"/>
              <w:right w:w="15" w:type="dxa"/>
            </w:tcMar>
            <w:vAlign w:val="bottom"/>
          </w:tcPr>
          <w:p w14:paraId="165F9EC6" w14:textId="77777777" w:rsidR="001614AC" w:rsidRDefault="004468F9">
            <w:pPr>
              <w:spacing w:before="55" w:after="30" w:line="288" w:lineRule="auto"/>
              <w:jc w:val="right"/>
            </w:pPr>
            <w:r>
              <w:rPr>
                <w:rFonts w:ascii="Arial" w:eastAsia="Arial" w:hAnsi="Arial" w:cs="Arial"/>
                <w:color w:val="000000"/>
                <w:sz w:val="18"/>
              </w:rPr>
              <w:t>%</w:t>
            </w:r>
          </w:p>
        </w:tc>
        <w:tc>
          <w:tcPr>
            <w:tcW w:w="105" w:type="dxa"/>
            <w:tcBorders>
              <w:top w:val="nil"/>
              <w:left w:val="nil"/>
              <w:bottom w:val="nil"/>
              <w:right w:val="nil"/>
            </w:tcBorders>
            <w:tcMar>
              <w:top w:w="0" w:type="dxa"/>
              <w:left w:w="0" w:type="dxa"/>
              <w:bottom w:w="0" w:type="dxa"/>
              <w:right w:w="0" w:type="dxa"/>
            </w:tcMar>
            <w:vAlign w:val="bottom"/>
          </w:tcPr>
          <w:p w14:paraId="6D5AC734" w14:textId="77777777" w:rsidR="001614AC" w:rsidRDefault="001614AC"/>
        </w:tc>
        <w:tc>
          <w:tcPr>
            <w:tcW w:w="1655" w:type="dxa"/>
            <w:gridSpan w:val="2"/>
            <w:tcBorders>
              <w:top w:val="double" w:sz="8" w:space="0" w:color="C7C9C7"/>
              <w:left w:val="nil"/>
              <w:bottom w:val="single" w:sz="8" w:space="0" w:color="E9E9E9"/>
              <w:right w:val="nil"/>
            </w:tcBorders>
            <w:tcMar>
              <w:top w:w="0" w:type="dxa"/>
              <w:left w:w="53" w:type="dxa"/>
              <w:bottom w:w="0" w:type="dxa"/>
              <w:right w:w="0" w:type="dxa"/>
            </w:tcMar>
            <w:vAlign w:val="bottom"/>
          </w:tcPr>
          <w:p w14:paraId="4E98F559" w14:textId="77777777" w:rsidR="001614AC" w:rsidRDefault="004468F9">
            <w:pPr>
              <w:spacing w:before="55" w:after="30" w:line="288" w:lineRule="auto"/>
              <w:jc w:val="right"/>
            </w:pPr>
            <w:r>
              <w:rPr>
                <w:rFonts w:ascii="Arial" w:eastAsia="Arial" w:hAnsi="Arial" w:cs="Arial"/>
                <w:color w:val="000000"/>
                <w:sz w:val="18"/>
              </w:rPr>
              <w:t>28.8 </w:t>
            </w:r>
          </w:p>
        </w:tc>
        <w:tc>
          <w:tcPr>
            <w:tcW w:w="100" w:type="dxa"/>
            <w:tcBorders>
              <w:top w:val="double" w:sz="8" w:space="0" w:color="C7C9C7"/>
              <w:left w:val="nil"/>
              <w:bottom w:val="single" w:sz="8" w:space="0" w:color="E9E9E9"/>
              <w:right w:val="nil"/>
            </w:tcBorders>
            <w:tcMar>
              <w:top w:w="0" w:type="dxa"/>
              <w:left w:w="0" w:type="dxa"/>
              <w:bottom w:w="0" w:type="dxa"/>
              <w:right w:w="15" w:type="dxa"/>
            </w:tcMar>
            <w:vAlign w:val="bottom"/>
          </w:tcPr>
          <w:p w14:paraId="5D09410E" w14:textId="77777777" w:rsidR="001614AC" w:rsidRDefault="004468F9">
            <w:pPr>
              <w:spacing w:before="55" w:after="30" w:line="288" w:lineRule="auto"/>
              <w:jc w:val="right"/>
            </w:pPr>
            <w:r>
              <w:rPr>
                <w:rFonts w:ascii="Arial" w:eastAsia="Arial" w:hAnsi="Arial" w:cs="Arial"/>
                <w:color w:val="000000"/>
                <w:sz w:val="18"/>
              </w:rPr>
              <w:t>%</w:t>
            </w:r>
          </w:p>
        </w:tc>
        <w:tc>
          <w:tcPr>
            <w:tcW w:w="105" w:type="dxa"/>
            <w:tcBorders>
              <w:top w:val="nil"/>
              <w:left w:val="nil"/>
              <w:bottom w:val="nil"/>
              <w:right w:val="nil"/>
            </w:tcBorders>
            <w:tcMar>
              <w:top w:w="0" w:type="dxa"/>
              <w:left w:w="0" w:type="dxa"/>
              <w:bottom w:w="0" w:type="dxa"/>
              <w:right w:w="0" w:type="dxa"/>
            </w:tcMar>
            <w:vAlign w:val="bottom"/>
          </w:tcPr>
          <w:p w14:paraId="47119B3D" w14:textId="77777777" w:rsidR="001614AC" w:rsidRDefault="001614AC"/>
        </w:tc>
        <w:tc>
          <w:tcPr>
            <w:tcW w:w="1460" w:type="dxa"/>
            <w:gridSpan w:val="2"/>
            <w:tcBorders>
              <w:top w:val="double" w:sz="8" w:space="0" w:color="C7C9C7"/>
              <w:left w:val="nil"/>
              <w:bottom w:val="single" w:sz="8" w:space="0" w:color="E9E9E9"/>
              <w:right w:val="nil"/>
            </w:tcBorders>
            <w:tcMar>
              <w:top w:w="0" w:type="dxa"/>
              <w:left w:w="53" w:type="dxa"/>
              <w:bottom w:w="0" w:type="dxa"/>
              <w:right w:w="0" w:type="dxa"/>
            </w:tcMar>
            <w:vAlign w:val="bottom"/>
          </w:tcPr>
          <w:p w14:paraId="097D553F" w14:textId="77777777" w:rsidR="001614AC" w:rsidRDefault="004468F9">
            <w:pPr>
              <w:spacing w:before="55" w:after="30" w:line="288" w:lineRule="auto"/>
              <w:jc w:val="right"/>
            </w:pPr>
            <w:r>
              <w:rPr>
                <w:rFonts w:ascii="Arial" w:eastAsia="Arial" w:hAnsi="Arial" w:cs="Arial"/>
                <w:color w:val="000000"/>
                <w:sz w:val="18"/>
              </w:rPr>
              <w:t>32.0 </w:t>
            </w:r>
          </w:p>
        </w:tc>
        <w:tc>
          <w:tcPr>
            <w:tcW w:w="100" w:type="dxa"/>
            <w:tcBorders>
              <w:top w:val="double" w:sz="8" w:space="0" w:color="C7C9C7"/>
              <w:left w:val="nil"/>
              <w:bottom w:val="single" w:sz="8" w:space="0" w:color="E9E9E9"/>
              <w:right w:val="nil"/>
            </w:tcBorders>
            <w:tcMar>
              <w:top w:w="0" w:type="dxa"/>
              <w:left w:w="0" w:type="dxa"/>
              <w:bottom w:w="0" w:type="dxa"/>
              <w:right w:w="15" w:type="dxa"/>
            </w:tcMar>
            <w:vAlign w:val="bottom"/>
          </w:tcPr>
          <w:p w14:paraId="283BFC73" w14:textId="77777777" w:rsidR="001614AC" w:rsidRDefault="004468F9">
            <w:pPr>
              <w:spacing w:before="55" w:after="30" w:line="288" w:lineRule="auto"/>
              <w:jc w:val="right"/>
            </w:pPr>
            <w:r>
              <w:rPr>
                <w:rFonts w:ascii="Arial" w:eastAsia="Arial" w:hAnsi="Arial" w:cs="Arial"/>
                <w:color w:val="000000"/>
                <w:sz w:val="18"/>
              </w:rPr>
              <w:t>%</w:t>
            </w:r>
          </w:p>
        </w:tc>
      </w:tr>
    </w:tbl>
    <w:p w14:paraId="4B9232E7" w14:textId="77777777" w:rsidR="001614AC" w:rsidRDefault="001614AC">
      <w:pPr>
        <w:spacing w:line="288" w:lineRule="auto"/>
        <w:ind w:left="360" w:hanging="360"/>
        <w:rPr>
          <w:rFonts w:ascii="Arial" w:eastAsia="Arial" w:hAnsi="Arial" w:cs="Arial"/>
          <w:b/>
          <w:color w:val="64615D"/>
          <w:sz w:val="16"/>
          <w:shd w:val="clear" w:color="auto" w:fill="DBDBDB"/>
        </w:rPr>
      </w:pPr>
    </w:p>
    <w:p w14:paraId="42B7B64A" w14:textId="77777777" w:rsidR="001614AC" w:rsidRDefault="001614AC">
      <w:pPr>
        <w:spacing w:line="288" w:lineRule="auto"/>
        <w:ind w:left="360" w:hanging="360"/>
        <w:rPr>
          <w:rFonts w:ascii="Arial" w:eastAsia="Arial" w:hAnsi="Arial" w:cs="Arial"/>
          <w:b/>
          <w:color w:val="64615D"/>
          <w:sz w:val="16"/>
          <w:shd w:val="clear" w:color="auto" w:fill="DBDBDB"/>
        </w:rPr>
        <w:sectPr w:rsidR="001614AC">
          <w:headerReference w:type="default" r:id="rId46"/>
          <w:type w:val="continuous"/>
          <w:pgSz w:w="12240" w:h="15840"/>
          <w:pgMar w:top="1260" w:right="1080" w:bottom="1080" w:left="1080" w:header="270" w:footer="270" w:gutter="0"/>
          <w:cols w:space="708"/>
        </w:sectPr>
      </w:pPr>
    </w:p>
    <w:p w14:paraId="1CD8FDB7" w14:textId="77777777" w:rsidR="001614AC" w:rsidRDefault="004468F9">
      <w:pPr>
        <w:keepNext/>
        <w:spacing w:before="200" w:after="160" w:line="288" w:lineRule="auto"/>
        <w:ind w:left="360" w:hanging="360"/>
        <w:rPr>
          <w:rFonts w:ascii="Arial" w:eastAsia="Arial" w:hAnsi="Arial" w:cs="Arial"/>
          <w:b/>
          <w:color w:val="4D6B80"/>
          <w:sz w:val="30"/>
        </w:rPr>
      </w:pPr>
      <w:bookmarkStart w:id="32" w:name="Section33"/>
      <w:bookmarkEnd w:id="32"/>
      <w:r>
        <w:rPr>
          <w:rFonts w:ascii="Arial" w:eastAsia="Arial" w:hAnsi="Arial" w:cs="Arial"/>
          <w:b/>
          <w:color w:val="4D6B80"/>
          <w:sz w:val="30"/>
        </w:rPr>
        <w:t>Results of Operations—Consolidated</w:t>
      </w:r>
    </w:p>
    <w:p w14:paraId="4B8A1E3C" w14:textId="77777777" w:rsidR="001614AC" w:rsidRDefault="004468F9">
      <w:pPr>
        <w:keepNext/>
        <w:spacing w:before="180" w:after="140" w:line="288" w:lineRule="auto"/>
        <w:rPr>
          <w:rFonts w:ascii="Arial" w:eastAsia="Arial" w:hAnsi="Arial" w:cs="Arial"/>
          <w:b/>
          <w:color w:val="002B49"/>
          <w:sz w:val="26"/>
        </w:rPr>
      </w:pPr>
      <w:r>
        <w:rPr>
          <w:rFonts w:ascii="Arial" w:eastAsia="Arial" w:hAnsi="Arial" w:cs="Arial"/>
          <w:b/>
          <w:color w:val="002B49"/>
          <w:sz w:val="26"/>
        </w:rPr>
        <w:t>Three and Six Months Ended June 30, 2021 Compared to Three and Six Months Ended June 30, 2020</w:t>
      </w:r>
    </w:p>
    <w:p w14:paraId="0CB6CBF3" w14:textId="77777777" w:rsidR="001614AC" w:rsidRDefault="004468F9">
      <w:pPr>
        <w:spacing w:before="100" w:after="100" w:line="288" w:lineRule="auto"/>
        <w:ind w:firstLine="450"/>
        <w:rPr>
          <w:rFonts w:ascii="Arial" w:eastAsia="Arial" w:hAnsi="Arial" w:cs="Arial"/>
          <w:b/>
          <w:i/>
          <w:color w:val="4D6B80"/>
          <w:sz w:val="18"/>
        </w:rPr>
      </w:pPr>
      <w:r>
        <w:rPr>
          <w:rFonts w:ascii="Arial" w:eastAsia="Arial" w:hAnsi="Arial" w:cs="Arial"/>
          <w:sz w:val="18"/>
        </w:rPr>
        <w:t>Radian Group serves as the holding company for our operating subsidiaries and does not have any operations of its own. Our consolidated operating results for the three and six months ended June 30, 2021 and June 30, 2020 primarily reflect the financial res</w:t>
      </w:r>
      <w:r>
        <w:rPr>
          <w:rFonts w:ascii="Arial" w:eastAsia="Arial" w:hAnsi="Arial" w:cs="Arial"/>
          <w:sz w:val="18"/>
        </w:rPr>
        <w:t>ults and performance of our two reportable business segments—Mortgage and homegenius. See Note 4 of Notes to Unaudited Condensed Consolidated Financial Statements for information regarding modifications to our segment reporting in 2020, including for the w</w:t>
      </w:r>
      <w:r>
        <w:rPr>
          <w:rFonts w:ascii="Arial" w:eastAsia="Arial" w:hAnsi="Arial" w:cs="Arial"/>
          <w:sz w:val="18"/>
        </w:rPr>
        <w:t>ind down of our traditional appraisal business announced in the fourth quarter of 2020. All changes in 2020 to the composition of our reportable segments have been reflected in our segment operating results for all periods presented. See “Results of Operat</w:t>
      </w:r>
      <w:r>
        <w:rPr>
          <w:rFonts w:ascii="Arial" w:eastAsia="Arial" w:hAnsi="Arial" w:cs="Arial"/>
          <w:sz w:val="18"/>
        </w:rPr>
        <w:t>ions—Mortgage” and “Results of Operations—homegenius” for the operating results of these business segments for the three and six months ended June 30, 2021, compared to the same periods in 2020.</w:t>
      </w:r>
    </w:p>
    <w:p w14:paraId="5BBAEF2F" w14:textId="77777777" w:rsidR="001614AC" w:rsidRDefault="004468F9">
      <w:pPr>
        <w:spacing w:before="100" w:after="100" w:line="288" w:lineRule="auto"/>
        <w:ind w:firstLine="450"/>
        <w:rPr>
          <w:rFonts w:ascii="Arial" w:eastAsia="Arial" w:hAnsi="Arial" w:cs="Arial"/>
          <w:b/>
          <w:i/>
          <w:color w:val="4D6B80"/>
          <w:sz w:val="18"/>
        </w:rPr>
      </w:pPr>
      <w:r>
        <w:rPr>
          <w:rFonts w:ascii="Arial" w:eastAsia="Arial" w:hAnsi="Arial" w:cs="Arial"/>
          <w:sz w:val="18"/>
        </w:rPr>
        <w:t>In addition to the results of our operating segments, pretax income (loss) is also affected by those factors described in “Item 7. Management’s Discussion and Analysis of Financial Condition and Results of Operations—Key Factors Affecting Our Results” in o</w:t>
      </w:r>
      <w:r>
        <w:rPr>
          <w:rFonts w:ascii="Arial" w:eastAsia="Arial" w:hAnsi="Arial" w:cs="Arial"/>
          <w:sz w:val="18"/>
        </w:rPr>
        <w:t xml:space="preserve">ur 2020 Form 10-K. </w:t>
      </w:r>
    </w:p>
    <w:p w14:paraId="2D76C9F9" w14:textId="77777777" w:rsidR="001614AC" w:rsidRDefault="004468F9">
      <w:pPr>
        <w:keepNext/>
        <w:spacing w:before="100" w:after="100" w:line="288" w:lineRule="auto"/>
        <w:ind w:firstLine="450"/>
        <w:rPr>
          <w:rFonts w:ascii="Arial" w:eastAsia="Arial" w:hAnsi="Arial" w:cs="Arial"/>
          <w:b/>
          <w:i/>
          <w:color w:val="4D6B80"/>
          <w:sz w:val="18"/>
        </w:rPr>
      </w:pPr>
      <w:r>
        <w:rPr>
          <w:rFonts w:ascii="Arial" w:eastAsia="Arial" w:hAnsi="Arial" w:cs="Arial"/>
          <w:sz w:val="18"/>
        </w:rPr>
        <w:lastRenderedPageBreak/>
        <w:t>The following table highlights selected information related to our consolidated results of operations for the three and six months ended June 30, 2021 and 2020.</w:t>
      </w:r>
    </w:p>
    <w:tbl>
      <w:tblPr>
        <w:tblW w:w="102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2"/>
        <w:gridCol w:w="98"/>
        <w:gridCol w:w="160"/>
        <w:gridCol w:w="729"/>
        <w:gridCol w:w="176"/>
        <w:gridCol w:w="98"/>
        <w:gridCol w:w="160"/>
        <w:gridCol w:w="727"/>
        <w:gridCol w:w="176"/>
        <w:gridCol w:w="98"/>
        <w:gridCol w:w="160"/>
        <w:gridCol w:w="1001"/>
        <w:gridCol w:w="176"/>
        <w:gridCol w:w="98"/>
        <w:gridCol w:w="160"/>
        <w:gridCol w:w="729"/>
        <w:gridCol w:w="176"/>
        <w:gridCol w:w="98"/>
        <w:gridCol w:w="160"/>
        <w:gridCol w:w="729"/>
        <w:gridCol w:w="176"/>
        <w:gridCol w:w="98"/>
        <w:gridCol w:w="160"/>
        <w:gridCol w:w="1001"/>
        <w:gridCol w:w="176"/>
      </w:tblGrid>
      <w:tr w:rsidR="001614AC" w14:paraId="47B26540" w14:textId="77777777">
        <w:trPr>
          <w:cantSplit/>
        </w:trPr>
        <w:tc>
          <w:tcPr>
            <w:tcW w:w="10080" w:type="dxa"/>
            <w:gridSpan w:val="25"/>
            <w:tcBorders>
              <w:top w:val="nil"/>
              <w:left w:val="nil"/>
              <w:bottom w:val="single" w:sz="12" w:space="0" w:color="99AAB6"/>
              <w:right w:val="nil"/>
            </w:tcBorders>
            <w:tcMar>
              <w:top w:w="0" w:type="dxa"/>
              <w:left w:w="53" w:type="dxa"/>
              <w:bottom w:w="0" w:type="dxa"/>
              <w:right w:w="53" w:type="dxa"/>
            </w:tcMar>
            <w:vAlign w:val="bottom"/>
          </w:tcPr>
          <w:p w14:paraId="412F1E83" w14:textId="77777777" w:rsidR="001614AC" w:rsidRDefault="004468F9">
            <w:pPr>
              <w:keepNext/>
              <w:spacing w:before="75" w:after="30" w:line="288" w:lineRule="auto"/>
              <w:rPr>
                <w:rFonts w:ascii="Arial" w:eastAsia="Arial" w:hAnsi="Arial" w:cs="Arial"/>
                <w:b/>
                <w:i/>
                <w:sz w:val="20"/>
              </w:rPr>
            </w:pPr>
            <w:r>
              <w:rPr>
                <w:rFonts w:ascii="Arial" w:eastAsia="Arial" w:hAnsi="Arial" w:cs="Arial"/>
                <w:b/>
                <w:sz w:val="20"/>
              </w:rPr>
              <w:t>Summary results of operations - Consolidated</w:t>
            </w:r>
          </w:p>
        </w:tc>
      </w:tr>
      <w:tr w:rsidR="001614AC" w14:paraId="40A566A0" w14:textId="77777777">
        <w:trPr>
          <w:cantSplit/>
          <w:trHeight w:hRule="exact" w:val="135"/>
        </w:trPr>
        <w:tc>
          <w:tcPr>
            <w:tcW w:w="2880" w:type="dxa"/>
            <w:tcBorders>
              <w:top w:val="nil"/>
              <w:left w:val="nil"/>
              <w:bottom w:val="single" w:sz="8" w:space="0" w:color="FFFFFF"/>
              <w:right w:val="nil"/>
            </w:tcBorders>
            <w:tcMar>
              <w:top w:w="0" w:type="dxa"/>
              <w:left w:w="0" w:type="dxa"/>
              <w:bottom w:w="0" w:type="dxa"/>
              <w:right w:w="0" w:type="dxa"/>
            </w:tcMar>
            <w:vAlign w:val="bottom"/>
          </w:tcPr>
          <w:p w14:paraId="21E3240A" w14:textId="77777777" w:rsidR="001614AC" w:rsidRDefault="001614AC">
            <w:pPr>
              <w:keepNext/>
            </w:pPr>
          </w:p>
        </w:tc>
        <w:tc>
          <w:tcPr>
            <w:tcW w:w="105" w:type="dxa"/>
            <w:tcBorders>
              <w:top w:val="single" w:sz="12" w:space="0" w:color="99AAB6"/>
              <w:left w:val="nil"/>
              <w:bottom w:val="nil"/>
              <w:right w:val="nil"/>
            </w:tcBorders>
            <w:tcMar>
              <w:top w:w="0" w:type="dxa"/>
              <w:left w:w="0" w:type="dxa"/>
              <w:bottom w:w="0" w:type="dxa"/>
              <w:right w:w="0" w:type="dxa"/>
            </w:tcMar>
            <w:vAlign w:val="bottom"/>
          </w:tcPr>
          <w:p w14:paraId="21EA5AAB" w14:textId="77777777" w:rsidR="001614AC" w:rsidRDefault="001614AC">
            <w:pPr>
              <w:keepNext/>
            </w:pPr>
          </w:p>
        </w:tc>
        <w:tc>
          <w:tcPr>
            <w:tcW w:w="1005" w:type="dxa"/>
            <w:gridSpan w:val="3"/>
            <w:tcBorders>
              <w:top w:val="single" w:sz="12" w:space="0" w:color="99AAB6"/>
              <w:left w:val="nil"/>
              <w:bottom w:val="single" w:sz="8" w:space="0" w:color="FFFFFF"/>
              <w:right w:val="nil"/>
            </w:tcBorders>
            <w:tcMar>
              <w:top w:w="0" w:type="dxa"/>
              <w:left w:w="0" w:type="dxa"/>
              <w:bottom w:w="0" w:type="dxa"/>
              <w:right w:w="0" w:type="dxa"/>
            </w:tcMar>
            <w:vAlign w:val="bottom"/>
          </w:tcPr>
          <w:p w14:paraId="36A50D17" w14:textId="77777777" w:rsidR="001614AC" w:rsidRDefault="001614AC">
            <w:pPr>
              <w:keepNext/>
            </w:pPr>
          </w:p>
        </w:tc>
        <w:tc>
          <w:tcPr>
            <w:tcW w:w="105" w:type="dxa"/>
            <w:tcBorders>
              <w:top w:val="single" w:sz="12" w:space="0" w:color="99AAB6"/>
              <w:left w:val="nil"/>
              <w:bottom w:val="single" w:sz="8" w:space="0" w:color="FFFFFF"/>
              <w:right w:val="nil"/>
            </w:tcBorders>
            <w:tcMar>
              <w:top w:w="0" w:type="dxa"/>
              <w:left w:w="0" w:type="dxa"/>
              <w:bottom w:w="0" w:type="dxa"/>
              <w:right w:w="0" w:type="dxa"/>
            </w:tcMar>
            <w:vAlign w:val="bottom"/>
          </w:tcPr>
          <w:p w14:paraId="74F40352" w14:textId="77777777" w:rsidR="001614AC" w:rsidRDefault="001614AC">
            <w:pPr>
              <w:keepNext/>
            </w:pPr>
          </w:p>
        </w:tc>
        <w:tc>
          <w:tcPr>
            <w:tcW w:w="1005" w:type="dxa"/>
            <w:gridSpan w:val="3"/>
            <w:tcBorders>
              <w:top w:val="single" w:sz="12" w:space="0" w:color="99AAB6"/>
              <w:left w:val="nil"/>
              <w:bottom w:val="single" w:sz="8" w:space="0" w:color="FFFFFF"/>
              <w:right w:val="nil"/>
            </w:tcBorders>
            <w:tcMar>
              <w:top w:w="0" w:type="dxa"/>
              <w:left w:w="0" w:type="dxa"/>
              <w:bottom w:w="0" w:type="dxa"/>
              <w:right w:w="0" w:type="dxa"/>
            </w:tcMar>
            <w:vAlign w:val="bottom"/>
          </w:tcPr>
          <w:p w14:paraId="50304412" w14:textId="77777777" w:rsidR="001614AC" w:rsidRDefault="001614AC">
            <w:pPr>
              <w:keepNext/>
            </w:pPr>
          </w:p>
        </w:tc>
        <w:tc>
          <w:tcPr>
            <w:tcW w:w="105" w:type="dxa"/>
            <w:tcBorders>
              <w:top w:val="single" w:sz="12" w:space="0" w:color="99AAB6"/>
              <w:left w:val="nil"/>
              <w:bottom w:val="single" w:sz="8" w:space="0" w:color="FFFFFF"/>
              <w:right w:val="nil"/>
            </w:tcBorders>
            <w:tcMar>
              <w:top w:w="0" w:type="dxa"/>
              <w:left w:w="0" w:type="dxa"/>
              <w:bottom w:w="0" w:type="dxa"/>
              <w:right w:w="0" w:type="dxa"/>
            </w:tcMar>
            <w:vAlign w:val="bottom"/>
          </w:tcPr>
          <w:p w14:paraId="66B033F0" w14:textId="77777777" w:rsidR="001614AC" w:rsidRDefault="001614AC">
            <w:pPr>
              <w:keepNext/>
            </w:pPr>
          </w:p>
        </w:tc>
        <w:tc>
          <w:tcPr>
            <w:tcW w:w="1275" w:type="dxa"/>
            <w:gridSpan w:val="3"/>
            <w:tcBorders>
              <w:top w:val="single" w:sz="12" w:space="0" w:color="99AAB6"/>
              <w:left w:val="nil"/>
              <w:bottom w:val="single" w:sz="8" w:space="0" w:color="F4F4F4"/>
              <w:right w:val="nil"/>
            </w:tcBorders>
            <w:tcMar>
              <w:top w:w="0" w:type="dxa"/>
              <w:left w:w="0" w:type="dxa"/>
              <w:bottom w:w="0" w:type="dxa"/>
              <w:right w:w="0" w:type="dxa"/>
            </w:tcMar>
            <w:vAlign w:val="bottom"/>
          </w:tcPr>
          <w:p w14:paraId="10C57062" w14:textId="77777777" w:rsidR="001614AC" w:rsidRDefault="001614AC">
            <w:pPr>
              <w:keepNext/>
            </w:pPr>
          </w:p>
        </w:tc>
        <w:tc>
          <w:tcPr>
            <w:tcW w:w="105" w:type="dxa"/>
            <w:tcBorders>
              <w:top w:val="single" w:sz="12" w:space="0" w:color="99AAB6"/>
              <w:left w:val="nil"/>
              <w:bottom w:val="single" w:sz="8" w:space="0" w:color="FFFFFF"/>
              <w:right w:val="nil"/>
            </w:tcBorders>
            <w:tcMar>
              <w:top w:w="0" w:type="dxa"/>
              <w:left w:w="0" w:type="dxa"/>
              <w:bottom w:w="0" w:type="dxa"/>
              <w:right w:w="0" w:type="dxa"/>
            </w:tcMar>
            <w:vAlign w:val="bottom"/>
          </w:tcPr>
          <w:p w14:paraId="01750C30" w14:textId="77777777" w:rsidR="001614AC" w:rsidRDefault="001614AC">
            <w:pPr>
              <w:keepNext/>
            </w:pPr>
          </w:p>
        </w:tc>
        <w:tc>
          <w:tcPr>
            <w:tcW w:w="1005" w:type="dxa"/>
            <w:gridSpan w:val="3"/>
            <w:tcBorders>
              <w:top w:val="single" w:sz="12" w:space="0" w:color="99AAB6"/>
              <w:left w:val="nil"/>
              <w:bottom w:val="single" w:sz="8" w:space="0" w:color="FFFFFF"/>
              <w:right w:val="nil"/>
            </w:tcBorders>
            <w:tcMar>
              <w:top w:w="0" w:type="dxa"/>
              <w:left w:w="0" w:type="dxa"/>
              <w:bottom w:w="0" w:type="dxa"/>
              <w:right w:w="0" w:type="dxa"/>
            </w:tcMar>
            <w:vAlign w:val="bottom"/>
          </w:tcPr>
          <w:p w14:paraId="026143D7" w14:textId="77777777" w:rsidR="001614AC" w:rsidRDefault="001614AC">
            <w:pPr>
              <w:keepNext/>
            </w:pPr>
          </w:p>
        </w:tc>
        <w:tc>
          <w:tcPr>
            <w:tcW w:w="105" w:type="dxa"/>
            <w:tcBorders>
              <w:top w:val="single" w:sz="12" w:space="0" w:color="99AAB6"/>
              <w:left w:val="nil"/>
              <w:bottom w:val="single" w:sz="8" w:space="0" w:color="FFFFFF"/>
              <w:right w:val="nil"/>
            </w:tcBorders>
            <w:tcMar>
              <w:top w:w="0" w:type="dxa"/>
              <w:left w:w="0" w:type="dxa"/>
              <w:bottom w:w="0" w:type="dxa"/>
              <w:right w:w="0" w:type="dxa"/>
            </w:tcMar>
            <w:vAlign w:val="bottom"/>
          </w:tcPr>
          <w:p w14:paraId="68743DA3" w14:textId="77777777" w:rsidR="001614AC" w:rsidRDefault="001614AC">
            <w:pPr>
              <w:keepNext/>
            </w:pPr>
          </w:p>
        </w:tc>
        <w:tc>
          <w:tcPr>
            <w:tcW w:w="1005" w:type="dxa"/>
            <w:gridSpan w:val="3"/>
            <w:tcBorders>
              <w:top w:val="single" w:sz="12" w:space="0" w:color="99AAB6"/>
              <w:left w:val="nil"/>
              <w:bottom w:val="single" w:sz="8" w:space="0" w:color="FFFFFF"/>
              <w:right w:val="nil"/>
            </w:tcBorders>
            <w:tcMar>
              <w:top w:w="0" w:type="dxa"/>
              <w:left w:w="0" w:type="dxa"/>
              <w:bottom w:w="0" w:type="dxa"/>
              <w:right w:w="0" w:type="dxa"/>
            </w:tcMar>
            <w:vAlign w:val="bottom"/>
          </w:tcPr>
          <w:p w14:paraId="4E6D73D6" w14:textId="77777777" w:rsidR="001614AC" w:rsidRDefault="001614AC">
            <w:pPr>
              <w:keepNext/>
            </w:pPr>
          </w:p>
        </w:tc>
        <w:tc>
          <w:tcPr>
            <w:tcW w:w="105" w:type="dxa"/>
            <w:tcBorders>
              <w:top w:val="single" w:sz="12" w:space="0" w:color="99AAB6"/>
              <w:left w:val="nil"/>
              <w:bottom w:val="single" w:sz="8" w:space="0" w:color="FFFFFF"/>
              <w:right w:val="nil"/>
            </w:tcBorders>
            <w:tcMar>
              <w:top w:w="0" w:type="dxa"/>
              <w:left w:w="0" w:type="dxa"/>
              <w:bottom w:w="0" w:type="dxa"/>
              <w:right w:w="0" w:type="dxa"/>
            </w:tcMar>
            <w:vAlign w:val="bottom"/>
          </w:tcPr>
          <w:p w14:paraId="5801AD43" w14:textId="77777777" w:rsidR="001614AC" w:rsidRDefault="001614AC">
            <w:pPr>
              <w:keepNext/>
            </w:pPr>
          </w:p>
        </w:tc>
        <w:tc>
          <w:tcPr>
            <w:tcW w:w="1275" w:type="dxa"/>
            <w:gridSpan w:val="3"/>
            <w:tcBorders>
              <w:top w:val="single" w:sz="12" w:space="0" w:color="99AAB6"/>
              <w:left w:val="nil"/>
              <w:bottom w:val="single" w:sz="8" w:space="0" w:color="F4F4F4"/>
              <w:right w:val="nil"/>
            </w:tcBorders>
            <w:tcMar>
              <w:top w:w="0" w:type="dxa"/>
              <w:left w:w="0" w:type="dxa"/>
              <w:bottom w:w="0" w:type="dxa"/>
              <w:right w:w="0" w:type="dxa"/>
            </w:tcMar>
            <w:vAlign w:val="bottom"/>
          </w:tcPr>
          <w:p w14:paraId="5360B8FB" w14:textId="77777777" w:rsidR="001614AC" w:rsidRDefault="001614AC">
            <w:pPr>
              <w:keepNext/>
            </w:pPr>
          </w:p>
        </w:tc>
      </w:tr>
      <w:tr w:rsidR="001614AC" w14:paraId="02EC2ECE" w14:textId="77777777">
        <w:trPr>
          <w:cantSplit/>
        </w:trPr>
        <w:tc>
          <w:tcPr>
            <w:tcW w:w="2880" w:type="dxa"/>
            <w:tcBorders>
              <w:top w:val="single" w:sz="8" w:space="0" w:color="FFFFFF"/>
              <w:left w:val="nil"/>
              <w:bottom w:val="single" w:sz="8" w:space="0" w:color="FFFFFF"/>
              <w:right w:val="nil"/>
            </w:tcBorders>
            <w:tcMar>
              <w:top w:w="0" w:type="dxa"/>
              <w:left w:w="53" w:type="dxa"/>
              <w:bottom w:w="0" w:type="dxa"/>
              <w:right w:w="53" w:type="dxa"/>
            </w:tcMar>
            <w:vAlign w:val="bottom"/>
          </w:tcPr>
          <w:p w14:paraId="245EE21E" w14:textId="77777777" w:rsidR="001614AC" w:rsidRDefault="004468F9">
            <w:pPr>
              <w:keepNext/>
              <w:spacing w:before="55" w:after="30" w:line="288" w:lineRule="auto"/>
            </w:pPr>
            <w:r>
              <w:rPr>
                <w:rFonts w:ascii="Arial" w:eastAsia="Arial" w:hAnsi="Arial" w:cs="Arial"/>
                <w:color w:val="000000"/>
                <w:sz w:val="18"/>
              </w:rPr>
              <w:t> </w:t>
            </w:r>
          </w:p>
        </w:tc>
        <w:tc>
          <w:tcPr>
            <w:tcW w:w="105" w:type="dxa"/>
            <w:tcBorders>
              <w:top w:val="nil"/>
              <w:left w:val="nil"/>
              <w:bottom w:val="nil"/>
              <w:right w:val="nil"/>
            </w:tcBorders>
            <w:tcMar>
              <w:top w:w="0" w:type="dxa"/>
              <w:left w:w="0" w:type="dxa"/>
              <w:bottom w:w="0" w:type="dxa"/>
              <w:right w:w="0" w:type="dxa"/>
            </w:tcMar>
            <w:vAlign w:val="bottom"/>
          </w:tcPr>
          <w:p w14:paraId="67155224" w14:textId="77777777" w:rsidR="001614AC" w:rsidRDefault="001614AC">
            <w:pPr>
              <w:keepNext/>
            </w:pPr>
          </w:p>
        </w:tc>
        <w:tc>
          <w:tcPr>
            <w:tcW w:w="2115" w:type="dxa"/>
            <w:gridSpan w:val="7"/>
            <w:tcBorders>
              <w:top w:val="nil"/>
              <w:left w:val="nil"/>
              <w:bottom w:val="nil"/>
              <w:right w:val="nil"/>
            </w:tcBorders>
            <w:tcMar>
              <w:top w:w="0" w:type="dxa"/>
              <w:left w:w="53" w:type="dxa"/>
              <w:bottom w:w="0" w:type="dxa"/>
              <w:right w:w="53" w:type="dxa"/>
            </w:tcMar>
            <w:vAlign w:val="bottom"/>
          </w:tcPr>
          <w:p w14:paraId="37FD2697" w14:textId="77777777" w:rsidR="001614AC" w:rsidRDefault="004468F9">
            <w:pPr>
              <w:keepNext/>
              <w:spacing w:before="55" w:line="288" w:lineRule="auto"/>
              <w:jc w:val="center"/>
            </w:pPr>
            <w:r>
              <w:rPr>
                <w:rFonts w:ascii="Arial" w:eastAsia="Arial" w:hAnsi="Arial" w:cs="Arial"/>
                <w:b/>
                <w:color w:val="00BAB3"/>
                <w:sz w:val="18"/>
              </w:rPr>
              <w:t xml:space="preserve">Three </w:t>
            </w:r>
            <w:r>
              <w:rPr>
                <w:rFonts w:ascii="Arial" w:eastAsia="Arial" w:hAnsi="Arial" w:cs="Arial"/>
                <w:b/>
                <w:color w:val="00BAB3"/>
                <w:sz w:val="18"/>
              </w:rPr>
              <w:t>Months Ended</w:t>
            </w:r>
          </w:p>
          <w:p w14:paraId="05BE3DD5" w14:textId="77777777" w:rsidR="001614AC" w:rsidRDefault="004468F9">
            <w:pPr>
              <w:spacing w:after="30" w:line="288" w:lineRule="auto"/>
              <w:jc w:val="center"/>
            </w:pPr>
            <w:r>
              <w:rPr>
                <w:rFonts w:ascii="Arial" w:eastAsia="Arial" w:hAnsi="Arial" w:cs="Arial"/>
                <w:b/>
                <w:color w:val="00BAB3"/>
                <w:sz w:val="18"/>
              </w:rPr>
              <w:t>June 30,</w:t>
            </w:r>
          </w:p>
        </w:tc>
        <w:tc>
          <w:tcPr>
            <w:tcW w:w="105" w:type="dxa"/>
            <w:tcBorders>
              <w:top w:val="single" w:sz="8" w:space="0" w:color="FFFFFF"/>
              <w:left w:val="nil"/>
              <w:bottom w:val="single" w:sz="8" w:space="0" w:color="FFFFFF"/>
              <w:right w:val="nil"/>
            </w:tcBorders>
            <w:tcMar>
              <w:top w:w="0" w:type="dxa"/>
              <w:left w:w="0" w:type="dxa"/>
              <w:bottom w:w="0" w:type="dxa"/>
              <w:right w:w="0" w:type="dxa"/>
            </w:tcMar>
            <w:vAlign w:val="bottom"/>
          </w:tcPr>
          <w:p w14:paraId="6E56D916" w14:textId="77777777" w:rsidR="001614AC" w:rsidRDefault="001614AC">
            <w:pPr>
              <w:keepNext/>
            </w:pPr>
          </w:p>
        </w:tc>
        <w:tc>
          <w:tcPr>
            <w:tcW w:w="1275" w:type="dxa"/>
            <w:gridSpan w:val="3"/>
            <w:tcBorders>
              <w:top w:val="single" w:sz="8" w:space="0" w:color="F4F4F4"/>
              <w:left w:val="nil"/>
              <w:bottom w:val="single" w:sz="8" w:space="0" w:color="FFFFFF"/>
              <w:right w:val="nil"/>
            </w:tcBorders>
            <w:shd w:val="clear" w:color="auto" w:fill="F4F4F4"/>
            <w:tcMar>
              <w:top w:w="0" w:type="dxa"/>
              <w:left w:w="53" w:type="dxa"/>
              <w:bottom w:w="0" w:type="dxa"/>
              <w:right w:w="53" w:type="dxa"/>
            </w:tcMar>
          </w:tcPr>
          <w:p w14:paraId="14D3107D" w14:textId="77777777" w:rsidR="001614AC" w:rsidRDefault="004468F9">
            <w:pPr>
              <w:keepNext/>
              <w:spacing w:before="55" w:line="288" w:lineRule="auto"/>
              <w:jc w:val="center"/>
              <w:rPr>
                <w:rFonts w:ascii="Arial" w:eastAsia="Arial" w:hAnsi="Arial" w:cs="Arial"/>
                <w:b/>
                <w:sz w:val="18"/>
              </w:rPr>
            </w:pPr>
            <w:r>
              <w:rPr>
                <w:rFonts w:ascii="Arial" w:eastAsia="Arial" w:hAnsi="Arial" w:cs="Arial"/>
                <w:b/>
                <w:sz w:val="18"/>
              </w:rPr>
              <w:t>Change</w:t>
            </w:r>
          </w:p>
          <w:p w14:paraId="002C49AE" w14:textId="77777777" w:rsidR="001614AC" w:rsidRDefault="004468F9">
            <w:pPr>
              <w:spacing w:after="30" w:line="288" w:lineRule="auto"/>
              <w:jc w:val="center"/>
              <w:rPr>
                <w:rFonts w:ascii="Arial" w:eastAsia="Arial" w:hAnsi="Arial" w:cs="Arial"/>
                <w:b/>
                <w:sz w:val="16"/>
              </w:rPr>
            </w:pPr>
            <w:r>
              <w:rPr>
                <w:rFonts w:ascii="Arial" w:eastAsia="Arial" w:hAnsi="Arial" w:cs="Arial"/>
                <w:b/>
                <w:sz w:val="16"/>
              </w:rPr>
              <w:t>Favorable (Unfavorable)</w:t>
            </w:r>
          </w:p>
        </w:tc>
        <w:tc>
          <w:tcPr>
            <w:tcW w:w="105" w:type="dxa"/>
            <w:tcBorders>
              <w:top w:val="single" w:sz="8" w:space="0" w:color="FFFFFF"/>
              <w:left w:val="nil"/>
              <w:bottom w:val="single" w:sz="8" w:space="0" w:color="FFFFFF"/>
              <w:right w:val="nil"/>
            </w:tcBorders>
            <w:tcMar>
              <w:top w:w="0" w:type="dxa"/>
              <w:left w:w="0" w:type="dxa"/>
              <w:bottom w:w="0" w:type="dxa"/>
              <w:right w:w="0" w:type="dxa"/>
            </w:tcMar>
            <w:vAlign w:val="bottom"/>
          </w:tcPr>
          <w:p w14:paraId="3E134984" w14:textId="77777777" w:rsidR="001614AC" w:rsidRDefault="001614AC">
            <w:pPr>
              <w:keepNext/>
            </w:pPr>
          </w:p>
        </w:tc>
        <w:tc>
          <w:tcPr>
            <w:tcW w:w="2115" w:type="dxa"/>
            <w:gridSpan w:val="7"/>
            <w:tcBorders>
              <w:top w:val="nil"/>
              <w:left w:val="nil"/>
              <w:bottom w:val="nil"/>
              <w:right w:val="nil"/>
            </w:tcBorders>
            <w:tcMar>
              <w:top w:w="0" w:type="dxa"/>
              <w:left w:w="53" w:type="dxa"/>
              <w:bottom w:w="0" w:type="dxa"/>
              <w:right w:w="53" w:type="dxa"/>
            </w:tcMar>
            <w:vAlign w:val="bottom"/>
          </w:tcPr>
          <w:p w14:paraId="04F8145D" w14:textId="77777777" w:rsidR="001614AC" w:rsidRDefault="004468F9">
            <w:pPr>
              <w:keepNext/>
              <w:spacing w:before="55" w:line="288" w:lineRule="auto"/>
              <w:jc w:val="center"/>
            </w:pPr>
            <w:r>
              <w:rPr>
                <w:rFonts w:ascii="Arial" w:eastAsia="Arial" w:hAnsi="Arial" w:cs="Arial"/>
                <w:b/>
                <w:color w:val="00BAB3"/>
                <w:sz w:val="18"/>
              </w:rPr>
              <w:t>Six Months Ended</w:t>
            </w:r>
          </w:p>
          <w:p w14:paraId="3C31F99E" w14:textId="77777777" w:rsidR="001614AC" w:rsidRDefault="004468F9">
            <w:pPr>
              <w:spacing w:after="30" w:line="288" w:lineRule="auto"/>
              <w:jc w:val="center"/>
            </w:pPr>
            <w:r>
              <w:rPr>
                <w:rFonts w:ascii="Arial" w:eastAsia="Arial" w:hAnsi="Arial" w:cs="Arial"/>
                <w:b/>
                <w:color w:val="00BAB3"/>
                <w:sz w:val="18"/>
              </w:rPr>
              <w:t>June 30,</w:t>
            </w:r>
          </w:p>
        </w:tc>
        <w:tc>
          <w:tcPr>
            <w:tcW w:w="105" w:type="dxa"/>
            <w:tcBorders>
              <w:top w:val="single" w:sz="8" w:space="0" w:color="FFFFFF"/>
              <w:left w:val="nil"/>
              <w:bottom w:val="single" w:sz="8" w:space="0" w:color="FFFFFF"/>
              <w:right w:val="nil"/>
            </w:tcBorders>
            <w:tcMar>
              <w:top w:w="0" w:type="dxa"/>
              <w:left w:w="0" w:type="dxa"/>
              <w:bottom w:w="0" w:type="dxa"/>
              <w:right w:w="0" w:type="dxa"/>
            </w:tcMar>
            <w:vAlign w:val="bottom"/>
          </w:tcPr>
          <w:p w14:paraId="64420753" w14:textId="77777777" w:rsidR="001614AC" w:rsidRDefault="001614AC">
            <w:pPr>
              <w:keepNext/>
            </w:pPr>
          </w:p>
        </w:tc>
        <w:tc>
          <w:tcPr>
            <w:tcW w:w="1275" w:type="dxa"/>
            <w:gridSpan w:val="3"/>
            <w:tcBorders>
              <w:top w:val="single" w:sz="8" w:space="0" w:color="F4F4F4"/>
              <w:left w:val="nil"/>
              <w:bottom w:val="single" w:sz="8" w:space="0" w:color="FFFFFF"/>
              <w:right w:val="nil"/>
            </w:tcBorders>
            <w:shd w:val="clear" w:color="auto" w:fill="F4F4F4"/>
            <w:tcMar>
              <w:top w:w="0" w:type="dxa"/>
              <w:left w:w="53" w:type="dxa"/>
              <w:bottom w:w="0" w:type="dxa"/>
              <w:right w:w="53" w:type="dxa"/>
            </w:tcMar>
          </w:tcPr>
          <w:p w14:paraId="541FEEB1" w14:textId="77777777" w:rsidR="001614AC" w:rsidRDefault="004468F9">
            <w:pPr>
              <w:keepNext/>
              <w:spacing w:before="55" w:line="288" w:lineRule="auto"/>
              <w:jc w:val="center"/>
              <w:rPr>
                <w:rFonts w:ascii="Arial" w:eastAsia="Arial" w:hAnsi="Arial" w:cs="Arial"/>
                <w:b/>
                <w:sz w:val="18"/>
              </w:rPr>
            </w:pPr>
            <w:r>
              <w:rPr>
                <w:rFonts w:ascii="Arial" w:eastAsia="Arial" w:hAnsi="Arial" w:cs="Arial"/>
                <w:b/>
                <w:sz w:val="18"/>
              </w:rPr>
              <w:t>Change</w:t>
            </w:r>
          </w:p>
          <w:p w14:paraId="6814D996" w14:textId="77777777" w:rsidR="001614AC" w:rsidRDefault="004468F9">
            <w:pPr>
              <w:spacing w:after="30" w:line="288" w:lineRule="auto"/>
              <w:jc w:val="center"/>
              <w:rPr>
                <w:rFonts w:ascii="Arial" w:eastAsia="Arial" w:hAnsi="Arial" w:cs="Arial"/>
                <w:b/>
                <w:sz w:val="16"/>
              </w:rPr>
            </w:pPr>
            <w:r>
              <w:rPr>
                <w:rFonts w:ascii="Arial" w:eastAsia="Arial" w:hAnsi="Arial" w:cs="Arial"/>
                <w:b/>
                <w:sz w:val="16"/>
              </w:rPr>
              <w:t>Favorable (Unfavorable)</w:t>
            </w:r>
          </w:p>
        </w:tc>
      </w:tr>
      <w:tr w:rsidR="001614AC" w14:paraId="7AA94833" w14:textId="77777777">
        <w:trPr>
          <w:cantSplit/>
        </w:trPr>
        <w:tc>
          <w:tcPr>
            <w:tcW w:w="2880" w:type="dxa"/>
            <w:tcBorders>
              <w:top w:val="single" w:sz="8" w:space="0" w:color="FFFFFF"/>
              <w:left w:val="nil"/>
              <w:bottom w:val="single" w:sz="8" w:space="0" w:color="C7C9C7"/>
              <w:right w:val="nil"/>
            </w:tcBorders>
            <w:tcMar>
              <w:top w:w="0" w:type="dxa"/>
              <w:left w:w="53" w:type="dxa"/>
              <w:bottom w:w="0" w:type="dxa"/>
              <w:right w:w="53" w:type="dxa"/>
            </w:tcMar>
            <w:vAlign w:val="bottom"/>
          </w:tcPr>
          <w:p w14:paraId="39CC4A1C" w14:textId="77777777" w:rsidR="001614AC" w:rsidRDefault="004468F9">
            <w:pPr>
              <w:keepNext/>
              <w:spacing w:before="55" w:after="30" w:line="288" w:lineRule="auto"/>
            </w:pPr>
            <w:r>
              <w:rPr>
                <w:rFonts w:ascii="Arial" w:eastAsia="Arial" w:hAnsi="Arial" w:cs="Arial"/>
                <w:color w:val="8B8886"/>
                <w:sz w:val="16"/>
              </w:rPr>
              <w:t>(In millions, except per-share amounts)</w:t>
            </w:r>
          </w:p>
        </w:tc>
        <w:tc>
          <w:tcPr>
            <w:tcW w:w="105" w:type="dxa"/>
            <w:tcBorders>
              <w:top w:val="nil"/>
              <w:left w:val="nil"/>
              <w:bottom w:val="single" w:sz="8" w:space="0" w:color="C7C9C7"/>
              <w:right w:val="nil"/>
            </w:tcBorders>
            <w:tcMar>
              <w:top w:w="0" w:type="dxa"/>
              <w:left w:w="0" w:type="dxa"/>
              <w:bottom w:w="0" w:type="dxa"/>
              <w:right w:w="0" w:type="dxa"/>
            </w:tcMar>
            <w:vAlign w:val="bottom"/>
          </w:tcPr>
          <w:p w14:paraId="6D43F3A1" w14:textId="77777777" w:rsidR="001614AC" w:rsidRDefault="001614AC">
            <w:pPr>
              <w:keepNext/>
            </w:pPr>
          </w:p>
        </w:tc>
        <w:tc>
          <w:tcPr>
            <w:tcW w:w="1005" w:type="dxa"/>
            <w:gridSpan w:val="3"/>
            <w:tcBorders>
              <w:top w:val="single" w:sz="8" w:space="0" w:color="FFFFFF"/>
              <w:left w:val="nil"/>
              <w:bottom w:val="single" w:sz="8" w:space="0" w:color="C7C9C7"/>
              <w:right w:val="nil"/>
            </w:tcBorders>
            <w:shd w:val="clear" w:color="auto" w:fill="E6F8F8"/>
            <w:tcMar>
              <w:top w:w="0" w:type="dxa"/>
              <w:left w:w="53" w:type="dxa"/>
              <w:bottom w:w="0" w:type="dxa"/>
              <w:right w:w="53" w:type="dxa"/>
            </w:tcMar>
            <w:vAlign w:val="bottom"/>
          </w:tcPr>
          <w:p w14:paraId="62E66810" w14:textId="77777777" w:rsidR="001614AC" w:rsidRDefault="004468F9">
            <w:pPr>
              <w:keepNext/>
              <w:spacing w:before="55" w:after="30" w:line="288" w:lineRule="auto"/>
              <w:jc w:val="center"/>
            </w:pPr>
            <w:r>
              <w:rPr>
                <w:rFonts w:ascii="Arial" w:eastAsia="Arial" w:hAnsi="Arial" w:cs="Arial"/>
                <w:b/>
                <w:color w:val="00BAB3"/>
                <w:sz w:val="18"/>
              </w:rPr>
              <w:t>2021</w:t>
            </w:r>
          </w:p>
        </w:tc>
        <w:tc>
          <w:tcPr>
            <w:tcW w:w="105" w:type="dxa"/>
            <w:tcBorders>
              <w:top w:val="single" w:sz="8" w:space="0" w:color="FFFFFF"/>
              <w:left w:val="nil"/>
              <w:bottom w:val="single" w:sz="8" w:space="0" w:color="C7C9C7"/>
              <w:right w:val="nil"/>
            </w:tcBorders>
            <w:tcMar>
              <w:top w:w="0" w:type="dxa"/>
              <w:left w:w="0" w:type="dxa"/>
              <w:bottom w:w="0" w:type="dxa"/>
              <w:right w:w="0" w:type="dxa"/>
            </w:tcMar>
            <w:vAlign w:val="bottom"/>
          </w:tcPr>
          <w:p w14:paraId="3C332254" w14:textId="77777777" w:rsidR="001614AC" w:rsidRDefault="001614AC">
            <w:pPr>
              <w:keepNext/>
            </w:pPr>
          </w:p>
        </w:tc>
        <w:tc>
          <w:tcPr>
            <w:tcW w:w="1005" w:type="dxa"/>
            <w:gridSpan w:val="3"/>
            <w:tcBorders>
              <w:top w:val="single" w:sz="8" w:space="0" w:color="FFFFFF"/>
              <w:left w:val="nil"/>
              <w:bottom w:val="single" w:sz="8" w:space="0" w:color="C7C9C7"/>
              <w:right w:val="nil"/>
            </w:tcBorders>
            <w:shd w:val="clear" w:color="auto" w:fill="F4F4F4"/>
            <w:tcMar>
              <w:top w:w="0" w:type="dxa"/>
              <w:left w:w="53" w:type="dxa"/>
              <w:bottom w:w="0" w:type="dxa"/>
              <w:right w:w="53" w:type="dxa"/>
            </w:tcMar>
            <w:vAlign w:val="bottom"/>
          </w:tcPr>
          <w:p w14:paraId="10B8B54E" w14:textId="77777777" w:rsidR="001614AC" w:rsidRDefault="004468F9">
            <w:pPr>
              <w:keepNext/>
              <w:spacing w:before="55" w:after="30" w:line="288" w:lineRule="auto"/>
              <w:jc w:val="center"/>
            </w:pPr>
            <w:r>
              <w:rPr>
                <w:rFonts w:ascii="Arial" w:eastAsia="Arial" w:hAnsi="Arial" w:cs="Arial"/>
                <w:b/>
                <w:color w:val="00BAB3"/>
                <w:sz w:val="18"/>
              </w:rPr>
              <w:t>2020</w:t>
            </w:r>
          </w:p>
        </w:tc>
        <w:tc>
          <w:tcPr>
            <w:tcW w:w="105" w:type="dxa"/>
            <w:tcBorders>
              <w:top w:val="single" w:sz="8" w:space="0" w:color="FFFFFF"/>
              <w:left w:val="nil"/>
              <w:bottom w:val="single" w:sz="8" w:space="0" w:color="C7C9C7"/>
              <w:right w:val="nil"/>
            </w:tcBorders>
            <w:tcMar>
              <w:top w:w="0" w:type="dxa"/>
              <w:left w:w="0" w:type="dxa"/>
              <w:bottom w:w="0" w:type="dxa"/>
              <w:right w:w="0" w:type="dxa"/>
            </w:tcMar>
            <w:vAlign w:val="bottom"/>
          </w:tcPr>
          <w:p w14:paraId="19101B13" w14:textId="77777777" w:rsidR="001614AC" w:rsidRDefault="001614AC">
            <w:pPr>
              <w:keepNext/>
            </w:pPr>
          </w:p>
        </w:tc>
        <w:tc>
          <w:tcPr>
            <w:tcW w:w="1275" w:type="dxa"/>
            <w:gridSpan w:val="3"/>
            <w:tcBorders>
              <w:top w:val="single" w:sz="8" w:space="0" w:color="FFFFFF"/>
              <w:left w:val="nil"/>
              <w:bottom w:val="single" w:sz="8" w:space="0" w:color="C7C9C7"/>
              <w:right w:val="nil"/>
            </w:tcBorders>
            <w:tcMar>
              <w:top w:w="0" w:type="dxa"/>
              <w:left w:w="53" w:type="dxa"/>
              <w:bottom w:w="0" w:type="dxa"/>
              <w:right w:w="53" w:type="dxa"/>
            </w:tcMar>
            <w:vAlign w:val="bottom"/>
          </w:tcPr>
          <w:p w14:paraId="19EB620D" w14:textId="77777777" w:rsidR="001614AC" w:rsidRDefault="004468F9">
            <w:pPr>
              <w:keepNext/>
              <w:spacing w:before="55" w:after="30" w:line="288" w:lineRule="auto"/>
              <w:jc w:val="center"/>
            </w:pPr>
            <w:r>
              <w:rPr>
                <w:rFonts w:ascii="Arial" w:eastAsia="Arial" w:hAnsi="Arial" w:cs="Arial"/>
                <w:b/>
                <w:color w:val="00BAB3"/>
                <w:sz w:val="18"/>
              </w:rPr>
              <w:t xml:space="preserve">2021 </w:t>
            </w:r>
            <w:r>
              <w:rPr>
                <w:rFonts w:ascii="Arial" w:eastAsia="Arial" w:hAnsi="Arial" w:cs="Arial"/>
                <w:b/>
                <w:color w:val="00BAB3"/>
                <w:sz w:val="18"/>
              </w:rPr>
              <w:t>vs. 2020</w:t>
            </w:r>
          </w:p>
        </w:tc>
        <w:tc>
          <w:tcPr>
            <w:tcW w:w="105" w:type="dxa"/>
            <w:tcBorders>
              <w:top w:val="single" w:sz="8" w:space="0" w:color="FFFFFF"/>
              <w:left w:val="nil"/>
              <w:bottom w:val="single" w:sz="8" w:space="0" w:color="C7C9C7"/>
              <w:right w:val="nil"/>
            </w:tcBorders>
            <w:tcMar>
              <w:top w:w="0" w:type="dxa"/>
              <w:left w:w="0" w:type="dxa"/>
              <w:bottom w:w="0" w:type="dxa"/>
              <w:right w:w="0" w:type="dxa"/>
            </w:tcMar>
            <w:vAlign w:val="bottom"/>
          </w:tcPr>
          <w:p w14:paraId="761D3E66" w14:textId="77777777" w:rsidR="001614AC" w:rsidRDefault="001614AC">
            <w:pPr>
              <w:keepNext/>
            </w:pPr>
          </w:p>
        </w:tc>
        <w:tc>
          <w:tcPr>
            <w:tcW w:w="1005" w:type="dxa"/>
            <w:gridSpan w:val="3"/>
            <w:tcBorders>
              <w:top w:val="single" w:sz="8" w:space="0" w:color="FFFFFF"/>
              <w:left w:val="nil"/>
              <w:bottom w:val="single" w:sz="8" w:space="0" w:color="C7C9C7"/>
              <w:right w:val="nil"/>
            </w:tcBorders>
            <w:shd w:val="clear" w:color="auto" w:fill="E6F8F8"/>
            <w:tcMar>
              <w:top w:w="0" w:type="dxa"/>
              <w:left w:w="53" w:type="dxa"/>
              <w:bottom w:w="0" w:type="dxa"/>
              <w:right w:w="53" w:type="dxa"/>
            </w:tcMar>
            <w:vAlign w:val="bottom"/>
          </w:tcPr>
          <w:p w14:paraId="5AEFB94D" w14:textId="77777777" w:rsidR="001614AC" w:rsidRDefault="004468F9">
            <w:pPr>
              <w:keepNext/>
              <w:spacing w:before="55" w:after="30" w:line="288" w:lineRule="auto"/>
              <w:jc w:val="center"/>
            </w:pPr>
            <w:r>
              <w:rPr>
                <w:rFonts w:ascii="Arial" w:eastAsia="Arial" w:hAnsi="Arial" w:cs="Arial"/>
                <w:b/>
                <w:color w:val="00BAB3"/>
                <w:sz w:val="18"/>
              </w:rPr>
              <w:t>2021</w:t>
            </w:r>
          </w:p>
        </w:tc>
        <w:tc>
          <w:tcPr>
            <w:tcW w:w="105" w:type="dxa"/>
            <w:tcBorders>
              <w:top w:val="single" w:sz="8" w:space="0" w:color="FFFFFF"/>
              <w:left w:val="nil"/>
              <w:bottom w:val="single" w:sz="8" w:space="0" w:color="C7C9C7"/>
              <w:right w:val="nil"/>
            </w:tcBorders>
            <w:tcMar>
              <w:top w:w="0" w:type="dxa"/>
              <w:left w:w="0" w:type="dxa"/>
              <w:bottom w:w="0" w:type="dxa"/>
              <w:right w:w="0" w:type="dxa"/>
            </w:tcMar>
            <w:vAlign w:val="bottom"/>
          </w:tcPr>
          <w:p w14:paraId="39A4AEB1" w14:textId="77777777" w:rsidR="001614AC" w:rsidRDefault="001614AC">
            <w:pPr>
              <w:keepNext/>
            </w:pPr>
          </w:p>
        </w:tc>
        <w:tc>
          <w:tcPr>
            <w:tcW w:w="1005" w:type="dxa"/>
            <w:gridSpan w:val="3"/>
            <w:tcBorders>
              <w:top w:val="single" w:sz="8" w:space="0" w:color="FFFFFF"/>
              <w:left w:val="nil"/>
              <w:bottom w:val="single" w:sz="8" w:space="0" w:color="C7C9C7"/>
              <w:right w:val="nil"/>
            </w:tcBorders>
            <w:shd w:val="clear" w:color="auto" w:fill="F4F4F4"/>
            <w:tcMar>
              <w:top w:w="0" w:type="dxa"/>
              <w:left w:w="53" w:type="dxa"/>
              <w:bottom w:w="0" w:type="dxa"/>
              <w:right w:w="53" w:type="dxa"/>
            </w:tcMar>
            <w:vAlign w:val="bottom"/>
          </w:tcPr>
          <w:p w14:paraId="7DCE8F78" w14:textId="77777777" w:rsidR="001614AC" w:rsidRDefault="004468F9">
            <w:pPr>
              <w:keepNext/>
              <w:spacing w:before="55" w:after="30" w:line="288" w:lineRule="auto"/>
              <w:jc w:val="center"/>
            </w:pPr>
            <w:r>
              <w:rPr>
                <w:rFonts w:ascii="Arial" w:eastAsia="Arial" w:hAnsi="Arial" w:cs="Arial"/>
                <w:b/>
                <w:color w:val="00BAB3"/>
                <w:sz w:val="18"/>
              </w:rPr>
              <w:t>2020</w:t>
            </w:r>
          </w:p>
        </w:tc>
        <w:tc>
          <w:tcPr>
            <w:tcW w:w="105" w:type="dxa"/>
            <w:tcBorders>
              <w:top w:val="single" w:sz="8" w:space="0" w:color="FFFFFF"/>
              <w:left w:val="nil"/>
              <w:bottom w:val="single" w:sz="8" w:space="0" w:color="C7C9C7"/>
              <w:right w:val="nil"/>
            </w:tcBorders>
            <w:tcMar>
              <w:top w:w="0" w:type="dxa"/>
              <w:left w:w="0" w:type="dxa"/>
              <w:bottom w:w="0" w:type="dxa"/>
              <w:right w:w="0" w:type="dxa"/>
            </w:tcMar>
            <w:vAlign w:val="bottom"/>
          </w:tcPr>
          <w:p w14:paraId="7862E042" w14:textId="77777777" w:rsidR="001614AC" w:rsidRDefault="001614AC">
            <w:pPr>
              <w:keepNext/>
            </w:pPr>
          </w:p>
        </w:tc>
        <w:tc>
          <w:tcPr>
            <w:tcW w:w="1275" w:type="dxa"/>
            <w:gridSpan w:val="3"/>
            <w:tcBorders>
              <w:top w:val="single" w:sz="8" w:space="0" w:color="FFFFFF"/>
              <w:left w:val="nil"/>
              <w:bottom w:val="single" w:sz="8" w:space="0" w:color="C7C9C7"/>
              <w:right w:val="nil"/>
            </w:tcBorders>
            <w:tcMar>
              <w:top w:w="0" w:type="dxa"/>
              <w:left w:w="53" w:type="dxa"/>
              <w:bottom w:w="0" w:type="dxa"/>
              <w:right w:w="53" w:type="dxa"/>
            </w:tcMar>
            <w:vAlign w:val="bottom"/>
          </w:tcPr>
          <w:p w14:paraId="044232F3" w14:textId="77777777" w:rsidR="001614AC" w:rsidRDefault="004468F9">
            <w:pPr>
              <w:keepNext/>
              <w:spacing w:before="55" w:after="30" w:line="288" w:lineRule="auto"/>
              <w:jc w:val="center"/>
            </w:pPr>
            <w:r>
              <w:rPr>
                <w:rFonts w:ascii="Arial" w:eastAsia="Arial" w:hAnsi="Arial" w:cs="Arial"/>
                <w:b/>
                <w:color w:val="00BAB3"/>
                <w:sz w:val="18"/>
              </w:rPr>
              <w:t>2021 vs. 2020</w:t>
            </w:r>
          </w:p>
        </w:tc>
      </w:tr>
      <w:tr w:rsidR="001614AC" w14:paraId="3559179E" w14:textId="77777777">
        <w:trPr>
          <w:cantSplit/>
        </w:trPr>
        <w:tc>
          <w:tcPr>
            <w:tcW w:w="2880" w:type="dxa"/>
            <w:tcBorders>
              <w:top w:val="single" w:sz="8" w:space="0" w:color="C7C9C7"/>
              <w:left w:val="nil"/>
              <w:bottom w:val="single" w:sz="8" w:space="0" w:color="E9E9E9"/>
              <w:right w:val="nil"/>
            </w:tcBorders>
            <w:tcMar>
              <w:top w:w="0" w:type="dxa"/>
              <w:left w:w="53" w:type="dxa"/>
              <w:bottom w:w="0" w:type="dxa"/>
              <w:right w:w="53" w:type="dxa"/>
            </w:tcMar>
            <w:vAlign w:val="bottom"/>
          </w:tcPr>
          <w:p w14:paraId="4B43C802" w14:textId="77777777" w:rsidR="001614AC" w:rsidRDefault="004468F9">
            <w:pPr>
              <w:keepNext/>
              <w:spacing w:before="55" w:after="30" w:line="288" w:lineRule="auto"/>
            </w:pPr>
            <w:r>
              <w:rPr>
                <w:rFonts w:ascii="Arial" w:eastAsia="Arial" w:hAnsi="Arial" w:cs="Arial"/>
                <w:color w:val="000000"/>
                <w:sz w:val="18"/>
              </w:rPr>
              <w:t>Pretax income (loss)</w:t>
            </w:r>
          </w:p>
        </w:tc>
        <w:tc>
          <w:tcPr>
            <w:tcW w:w="105" w:type="dxa"/>
            <w:tcBorders>
              <w:top w:val="single" w:sz="8" w:space="0" w:color="C7C9C7"/>
              <w:left w:val="nil"/>
              <w:bottom w:val="nil"/>
              <w:right w:val="nil"/>
            </w:tcBorders>
            <w:tcMar>
              <w:top w:w="0" w:type="dxa"/>
              <w:left w:w="0" w:type="dxa"/>
              <w:bottom w:w="0" w:type="dxa"/>
              <w:right w:w="0" w:type="dxa"/>
            </w:tcMar>
            <w:vAlign w:val="bottom"/>
          </w:tcPr>
          <w:p w14:paraId="025CDBC2" w14:textId="77777777" w:rsidR="001614AC" w:rsidRDefault="001614AC">
            <w:pPr>
              <w:keepNext/>
            </w:pPr>
          </w:p>
        </w:tc>
        <w:tc>
          <w:tcPr>
            <w:tcW w:w="160" w:type="dxa"/>
            <w:tcBorders>
              <w:top w:val="single" w:sz="8" w:space="0" w:color="C7C9C7"/>
              <w:left w:val="nil"/>
              <w:bottom w:val="single" w:sz="8" w:space="0" w:color="E9E9E9"/>
              <w:right w:val="nil"/>
            </w:tcBorders>
            <w:tcMar>
              <w:top w:w="0" w:type="dxa"/>
              <w:left w:w="53" w:type="dxa"/>
              <w:bottom w:w="0" w:type="dxa"/>
              <w:right w:w="0" w:type="dxa"/>
            </w:tcMar>
            <w:vAlign w:val="bottom"/>
          </w:tcPr>
          <w:p w14:paraId="3F674B96" w14:textId="77777777" w:rsidR="001614AC" w:rsidRDefault="004468F9">
            <w:pPr>
              <w:keepNext/>
              <w:spacing w:before="55" w:after="30" w:line="288" w:lineRule="auto"/>
            </w:pPr>
            <w:r>
              <w:rPr>
                <w:rFonts w:ascii="Arial" w:eastAsia="Arial" w:hAnsi="Arial" w:cs="Arial"/>
                <w:color w:val="000000"/>
                <w:sz w:val="18"/>
              </w:rPr>
              <w:t>$</w:t>
            </w:r>
          </w:p>
        </w:tc>
        <w:tc>
          <w:tcPr>
            <w:tcW w:w="745" w:type="dxa"/>
            <w:tcBorders>
              <w:top w:val="single" w:sz="8" w:space="0" w:color="C7C9C7"/>
              <w:left w:val="nil"/>
              <w:bottom w:val="single" w:sz="8" w:space="0" w:color="E9E9E9"/>
              <w:right w:val="nil"/>
            </w:tcBorders>
            <w:tcMar>
              <w:top w:w="0" w:type="dxa"/>
              <w:left w:w="0" w:type="dxa"/>
              <w:bottom w:w="0" w:type="dxa"/>
              <w:right w:w="0" w:type="dxa"/>
            </w:tcMar>
            <w:vAlign w:val="bottom"/>
          </w:tcPr>
          <w:p w14:paraId="78CB967A" w14:textId="77777777" w:rsidR="001614AC" w:rsidRDefault="004468F9">
            <w:pPr>
              <w:keepNext/>
              <w:spacing w:before="55" w:after="30" w:line="288" w:lineRule="auto"/>
              <w:jc w:val="right"/>
            </w:pPr>
            <w:r>
              <w:rPr>
                <w:rFonts w:ascii="Arial" w:eastAsia="Arial" w:hAnsi="Arial" w:cs="Arial"/>
                <w:color w:val="000000"/>
                <w:sz w:val="18"/>
              </w:rPr>
              <w:t>195.5 </w:t>
            </w:r>
          </w:p>
        </w:tc>
        <w:tc>
          <w:tcPr>
            <w:tcW w:w="100" w:type="dxa"/>
            <w:tcBorders>
              <w:top w:val="single" w:sz="8" w:space="0" w:color="C7C9C7"/>
              <w:left w:val="nil"/>
              <w:bottom w:val="single" w:sz="8" w:space="0" w:color="E9E9E9"/>
              <w:right w:val="nil"/>
            </w:tcBorders>
            <w:tcMar>
              <w:top w:w="0" w:type="dxa"/>
              <w:left w:w="0" w:type="dxa"/>
              <w:bottom w:w="0" w:type="dxa"/>
              <w:right w:w="15" w:type="dxa"/>
            </w:tcMar>
            <w:vAlign w:val="bottom"/>
          </w:tcPr>
          <w:p w14:paraId="3558C71F" w14:textId="77777777" w:rsidR="001614AC" w:rsidRDefault="001614AC">
            <w:pPr>
              <w:keepNext/>
              <w:spacing w:before="55" w:after="30" w:line="288" w:lineRule="auto"/>
              <w:jc w:val="right"/>
            </w:pPr>
          </w:p>
        </w:tc>
        <w:tc>
          <w:tcPr>
            <w:tcW w:w="105" w:type="dxa"/>
            <w:tcBorders>
              <w:top w:val="single" w:sz="8" w:space="0" w:color="C7C9C7"/>
              <w:left w:val="nil"/>
              <w:bottom w:val="nil"/>
              <w:right w:val="nil"/>
            </w:tcBorders>
            <w:tcMar>
              <w:top w:w="0" w:type="dxa"/>
              <w:left w:w="0" w:type="dxa"/>
              <w:bottom w:w="0" w:type="dxa"/>
              <w:right w:w="0" w:type="dxa"/>
            </w:tcMar>
            <w:vAlign w:val="bottom"/>
          </w:tcPr>
          <w:p w14:paraId="29DBD365" w14:textId="77777777" w:rsidR="001614AC" w:rsidRDefault="001614AC">
            <w:pPr>
              <w:keepNext/>
            </w:pPr>
          </w:p>
        </w:tc>
        <w:tc>
          <w:tcPr>
            <w:tcW w:w="160" w:type="dxa"/>
            <w:tcBorders>
              <w:top w:val="single" w:sz="8" w:space="0" w:color="C7C9C7"/>
              <w:left w:val="nil"/>
              <w:bottom w:val="single" w:sz="8" w:space="0" w:color="E9E9E9"/>
              <w:right w:val="nil"/>
            </w:tcBorders>
            <w:tcMar>
              <w:top w:w="0" w:type="dxa"/>
              <w:left w:w="53" w:type="dxa"/>
              <w:bottom w:w="0" w:type="dxa"/>
              <w:right w:w="0" w:type="dxa"/>
            </w:tcMar>
            <w:vAlign w:val="bottom"/>
          </w:tcPr>
          <w:p w14:paraId="71498914" w14:textId="77777777" w:rsidR="001614AC" w:rsidRDefault="004468F9">
            <w:pPr>
              <w:keepNext/>
              <w:spacing w:before="55" w:after="30" w:line="288" w:lineRule="auto"/>
            </w:pPr>
            <w:r>
              <w:rPr>
                <w:rFonts w:ascii="Arial" w:eastAsia="Arial" w:hAnsi="Arial" w:cs="Arial"/>
                <w:color w:val="000000"/>
                <w:sz w:val="18"/>
              </w:rPr>
              <w:t>$</w:t>
            </w:r>
          </w:p>
        </w:tc>
        <w:tc>
          <w:tcPr>
            <w:tcW w:w="745" w:type="dxa"/>
            <w:tcBorders>
              <w:top w:val="single" w:sz="8" w:space="0" w:color="C7C9C7"/>
              <w:left w:val="nil"/>
              <w:bottom w:val="single" w:sz="8" w:space="0" w:color="E9E9E9"/>
              <w:right w:val="nil"/>
            </w:tcBorders>
            <w:tcMar>
              <w:top w:w="0" w:type="dxa"/>
              <w:left w:w="0" w:type="dxa"/>
              <w:bottom w:w="0" w:type="dxa"/>
              <w:right w:w="0" w:type="dxa"/>
            </w:tcMar>
            <w:vAlign w:val="bottom"/>
          </w:tcPr>
          <w:p w14:paraId="2D1CB7BB" w14:textId="77777777" w:rsidR="001614AC" w:rsidRDefault="004468F9">
            <w:pPr>
              <w:keepNext/>
              <w:spacing w:before="55" w:after="30" w:line="288" w:lineRule="auto"/>
              <w:jc w:val="right"/>
            </w:pPr>
            <w:r>
              <w:rPr>
                <w:rFonts w:ascii="Arial" w:eastAsia="Arial" w:hAnsi="Arial" w:cs="Arial"/>
                <w:color w:val="000000"/>
                <w:sz w:val="18"/>
              </w:rPr>
              <w:t>(42.2)</w:t>
            </w:r>
          </w:p>
        </w:tc>
        <w:tc>
          <w:tcPr>
            <w:tcW w:w="100" w:type="dxa"/>
            <w:tcBorders>
              <w:top w:val="single" w:sz="8" w:space="0" w:color="C7C9C7"/>
              <w:left w:val="nil"/>
              <w:bottom w:val="single" w:sz="8" w:space="0" w:color="E9E9E9"/>
              <w:right w:val="nil"/>
            </w:tcBorders>
            <w:tcMar>
              <w:top w:w="0" w:type="dxa"/>
              <w:left w:w="0" w:type="dxa"/>
              <w:bottom w:w="0" w:type="dxa"/>
              <w:right w:w="15" w:type="dxa"/>
            </w:tcMar>
            <w:vAlign w:val="bottom"/>
          </w:tcPr>
          <w:p w14:paraId="41C15753" w14:textId="77777777" w:rsidR="001614AC" w:rsidRDefault="001614AC">
            <w:pPr>
              <w:keepNext/>
              <w:spacing w:before="55" w:after="30" w:line="288" w:lineRule="auto"/>
              <w:jc w:val="right"/>
            </w:pPr>
          </w:p>
        </w:tc>
        <w:tc>
          <w:tcPr>
            <w:tcW w:w="105" w:type="dxa"/>
            <w:tcBorders>
              <w:top w:val="single" w:sz="8" w:space="0" w:color="C7C9C7"/>
              <w:left w:val="nil"/>
              <w:bottom w:val="nil"/>
              <w:right w:val="nil"/>
            </w:tcBorders>
            <w:tcMar>
              <w:top w:w="0" w:type="dxa"/>
              <w:left w:w="0" w:type="dxa"/>
              <w:bottom w:w="0" w:type="dxa"/>
              <w:right w:w="0" w:type="dxa"/>
            </w:tcMar>
            <w:vAlign w:val="bottom"/>
          </w:tcPr>
          <w:p w14:paraId="313FF58D" w14:textId="77777777" w:rsidR="001614AC" w:rsidRDefault="001614AC">
            <w:pPr>
              <w:keepNext/>
            </w:pPr>
          </w:p>
        </w:tc>
        <w:tc>
          <w:tcPr>
            <w:tcW w:w="160" w:type="dxa"/>
            <w:tcBorders>
              <w:top w:val="single" w:sz="8" w:space="0" w:color="C7C9C7"/>
              <w:left w:val="nil"/>
              <w:bottom w:val="single" w:sz="8" w:space="0" w:color="E9E9E9"/>
              <w:right w:val="nil"/>
            </w:tcBorders>
            <w:tcMar>
              <w:top w:w="0" w:type="dxa"/>
              <w:left w:w="53" w:type="dxa"/>
              <w:bottom w:w="0" w:type="dxa"/>
              <w:right w:w="0" w:type="dxa"/>
            </w:tcMar>
            <w:vAlign w:val="bottom"/>
          </w:tcPr>
          <w:p w14:paraId="7DBBF95C" w14:textId="77777777" w:rsidR="001614AC" w:rsidRDefault="004468F9">
            <w:pPr>
              <w:keepNext/>
              <w:spacing w:before="55" w:after="30" w:line="288" w:lineRule="auto"/>
            </w:pPr>
            <w:r>
              <w:rPr>
                <w:rFonts w:ascii="Arial" w:eastAsia="Arial" w:hAnsi="Arial" w:cs="Arial"/>
                <w:color w:val="000000"/>
                <w:sz w:val="18"/>
              </w:rPr>
              <w:t>$</w:t>
            </w:r>
          </w:p>
        </w:tc>
        <w:tc>
          <w:tcPr>
            <w:tcW w:w="1015" w:type="dxa"/>
            <w:tcBorders>
              <w:top w:val="single" w:sz="8" w:space="0" w:color="C7C9C7"/>
              <w:left w:val="nil"/>
              <w:bottom w:val="single" w:sz="8" w:space="0" w:color="E9E9E9"/>
              <w:right w:val="nil"/>
            </w:tcBorders>
            <w:tcMar>
              <w:top w:w="0" w:type="dxa"/>
              <w:left w:w="0" w:type="dxa"/>
              <w:bottom w:w="0" w:type="dxa"/>
              <w:right w:w="0" w:type="dxa"/>
            </w:tcMar>
            <w:vAlign w:val="bottom"/>
          </w:tcPr>
          <w:p w14:paraId="2F5A4824" w14:textId="77777777" w:rsidR="001614AC" w:rsidRDefault="004468F9">
            <w:pPr>
              <w:keepNext/>
              <w:spacing w:before="55" w:after="30" w:line="288" w:lineRule="auto"/>
              <w:jc w:val="right"/>
            </w:pPr>
            <w:r>
              <w:rPr>
                <w:rFonts w:ascii="Arial" w:eastAsia="Arial" w:hAnsi="Arial" w:cs="Arial"/>
                <w:color w:val="000000"/>
                <w:sz w:val="18"/>
              </w:rPr>
              <w:t>237.7 </w:t>
            </w:r>
          </w:p>
        </w:tc>
        <w:tc>
          <w:tcPr>
            <w:tcW w:w="100" w:type="dxa"/>
            <w:tcBorders>
              <w:top w:val="single" w:sz="8" w:space="0" w:color="C7C9C7"/>
              <w:left w:val="nil"/>
              <w:bottom w:val="single" w:sz="8" w:space="0" w:color="E9E9E9"/>
              <w:right w:val="nil"/>
            </w:tcBorders>
            <w:tcMar>
              <w:top w:w="0" w:type="dxa"/>
              <w:left w:w="0" w:type="dxa"/>
              <w:bottom w:w="0" w:type="dxa"/>
              <w:right w:w="15" w:type="dxa"/>
            </w:tcMar>
            <w:vAlign w:val="bottom"/>
          </w:tcPr>
          <w:p w14:paraId="358E6186" w14:textId="77777777" w:rsidR="001614AC" w:rsidRDefault="001614AC">
            <w:pPr>
              <w:keepNext/>
              <w:spacing w:before="55" w:after="30" w:line="288" w:lineRule="auto"/>
              <w:jc w:val="right"/>
            </w:pPr>
          </w:p>
        </w:tc>
        <w:tc>
          <w:tcPr>
            <w:tcW w:w="105" w:type="dxa"/>
            <w:tcBorders>
              <w:top w:val="single" w:sz="8" w:space="0" w:color="C7C9C7"/>
              <w:left w:val="nil"/>
              <w:bottom w:val="nil"/>
              <w:right w:val="nil"/>
            </w:tcBorders>
            <w:tcMar>
              <w:top w:w="0" w:type="dxa"/>
              <w:left w:w="0" w:type="dxa"/>
              <w:bottom w:w="0" w:type="dxa"/>
              <w:right w:w="0" w:type="dxa"/>
            </w:tcMar>
            <w:vAlign w:val="bottom"/>
          </w:tcPr>
          <w:p w14:paraId="3240205B" w14:textId="77777777" w:rsidR="001614AC" w:rsidRDefault="001614AC">
            <w:pPr>
              <w:keepNext/>
            </w:pPr>
          </w:p>
        </w:tc>
        <w:tc>
          <w:tcPr>
            <w:tcW w:w="160" w:type="dxa"/>
            <w:tcBorders>
              <w:top w:val="single" w:sz="8" w:space="0" w:color="C7C9C7"/>
              <w:left w:val="nil"/>
              <w:bottom w:val="single" w:sz="8" w:space="0" w:color="E9E9E9"/>
              <w:right w:val="nil"/>
            </w:tcBorders>
            <w:tcMar>
              <w:top w:w="0" w:type="dxa"/>
              <w:left w:w="53" w:type="dxa"/>
              <w:bottom w:w="0" w:type="dxa"/>
              <w:right w:w="0" w:type="dxa"/>
            </w:tcMar>
            <w:vAlign w:val="bottom"/>
          </w:tcPr>
          <w:p w14:paraId="61261242" w14:textId="77777777" w:rsidR="001614AC" w:rsidRDefault="004468F9">
            <w:pPr>
              <w:keepNext/>
              <w:spacing w:before="55" w:after="30" w:line="288" w:lineRule="auto"/>
            </w:pPr>
            <w:r>
              <w:rPr>
                <w:rFonts w:ascii="Arial" w:eastAsia="Arial" w:hAnsi="Arial" w:cs="Arial"/>
                <w:color w:val="000000"/>
                <w:sz w:val="18"/>
              </w:rPr>
              <w:t>$</w:t>
            </w:r>
          </w:p>
        </w:tc>
        <w:tc>
          <w:tcPr>
            <w:tcW w:w="745" w:type="dxa"/>
            <w:tcBorders>
              <w:top w:val="single" w:sz="8" w:space="0" w:color="C7C9C7"/>
              <w:left w:val="nil"/>
              <w:bottom w:val="single" w:sz="8" w:space="0" w:color="E9E9E9"/>
              <w:right w:val="nil"/>
            </w:tcBorders>
            <w:tcMar>
              <w:top w:w="0" w:type="dxa"/>
              <w:left w:w="0" w:type="dxa"/>
              <w:bottom w:w="0" w:type="dxa"/>
              <w:right w:w="0" w:type="dxa"/>
            </w:tcMar>
            <w:vAlign w:val="bottom"/>
          </w:tcPr>
          <w:p w14:paraId="0C974798" w14:textId="77777777" w:rsidR="001614AC" w:rsidRDefault="004468F9">
            <w:pPr>
              <w:keepNext/>
              <w:spacing w:before="55" w:after="30" w:line="288" w:lineRule="auto"/>
              <w:jc w:val="right"/>
            </w:pPr>
            <w:r>
              <w:rPr>
                <w:rFonts w:ascii="Arial" w:eastAsia="Arial" w:hAnsi="Arial" w:cs="Arial"/>
                <w:color w:val="000000"/>
                <w:sz w:val="18"/>
              </w:rPr>
              <w:t>356.7 </w:t>
            </w:r>
          </w:p>
        </w:tc>
        <w:tc>
          <w:tcPr>
            <w:tcW w:w="100" w:type="dxa"/>
            <w:tcBorders>
              <w:top w:val="single" w:sz="8" w:space="0" w:color="C7C9C7"/>
              <w:left w:val="nil"/>
              <w:bottom w:val="single" w:sz="8" w:space="0" w:color="E9E9E9"/>
              <w:right w:val="nil"/>
            </w:tcBorders>
            <w:tcMar>
              <w:top w:w="0" w:type="dxa"/>
              <w:left w:w="0" w:type="dxa"/>
              <w:bottom w:w="0" w:type="dxa"/>
              <w:right w:w="15" w:type="dxa"/>
            </w:tcMar>
            <w:vAlign w:val="bottom"/>
          </w:tcPr>
          <w:p w14:paraId="22A24EFD" w14:textId="77777777" w:rsidR="001614AC" w:rsidRDefault="001614AC">
            <w:pPr>
              <w:keepNext/>
              <w:spacing w:before="55" w:after="30" w:line="288" w:lineRule="auto"/>
              <w:jc w:val="right"/>
            </w:pPr>
          </w:p>
        </w:tc>
        <w:tc>
          <w:tcPr>
            <w:tcW w:w="105" w:type="dxa"/>
            <w:tcBorders>
              <w:top w:val="single" w:sz="8" w:space="0" w:color="C7C9C7"/>
              <w:left w:val="nil"/>
              <w:bottom w:val="nil"/>
              <w:right w:val="nil"/>
            </w:tcBorders>
            <w:tcMar>
              <w:top w:w="0" w:type="dxa"/>
              <w:left w:w="0" w:type="dxa"/>
              <w:bottom w:w="0" w:type="dxa"/>
              <w:right w:w="0" w:type="dxa"/>
            </w:tcMar>
            <w:vAlign w:val="bottom"/>
          </w:tcPr>
          <w:p w14:paraId="47BCFF4D" w14:textId="77777777" w:rsidR="001614AC" w:rsidRDefault="001614AC">
            <w:pPr>
              <w:keepNext/>
            </w:pPr>
          </w:p>
        </w:tc>
        <w:tc>
          <w:tcPr>
            <w:tcW w:w="160" w:type="dxa"/>
            <w:tcBorders>
              <w:top w:val="single" w:sz="8" w:space="0" w:color="C7C9C7"/>
              <w:left w:val="nil"/>
              <w:bottom w:val="single" w:sz="8" w:space="0" w:color="E9E9E9"/>
              <w:right w:val="nil"/>
            </w:tcBorders>
            <w:tcMar>
              <w:top w:w="0" w:type="dxa"/>
              <w:left w:w="53" w:type="dxa"/>
              <w:bottom w:w="0" w:type="dxa"/>
              <w:right w:w="0" w:type="dxa"/>
            </w:tcMar>
            <w:vAlign w:val="bottom"/>
          </w:tcPr>
          <w:p w14:paraId="389AFA13" w14:textId="77777777" w:rsidR="001614AC" w:rsidRDefault="004468F9">
            <w:pPr>
              <w:keepNext/>
              <w:spacing w:before="55" w:after="30" w:line="288" w:lineRule="auto"/>
            </w:pPr>
            <w:r>
              <w:rPr>
                <w:rFonts w:ascii="Arial" w:eastAsia="Arial" w:hAnsi="Arial" w:cs="Arial"/>
                <w:color w:val="000000"/>
                <w:sz w:val="18"/>
              </w:rPr>
              <w:t>$</w:t>
            </w:r>
          </w:p>
        </w:tc>
        <w:tc>
          <w:tcPr>
            <w:tcW w:w="745" w:type="dxa"/>
            <w:tcBorders>
              <w:top w:val="single" w:sz="8" w:space="0" w:color="C7C9C7"/>
              <w:left w:val="nil"/>
              <w:bottom w:val="single" w:sz="8" w:space="0" w:color="E9E9E9"/>
              <w:right w:val="nil"/>
            </w:tcBorders>
            <w:tcMar>
              <w:top w:w="0" w:type="dxa"/>
              <w:left w:w="0" w:type="dxa"/>
              <w:bottom w:w="0" w:type="dxa"/>
              <w:right w:w="0" w:type="dxa"/>
            </w:tcMar>
            <w:vAlign w:val="bottom"/>
          </w:tcPr>
          <w:p w14:paraId="2C788139" w14:textId="77777777" w:rsidR="001614AC" w:rsidRDefault="004468F9">
            <w:pPr>
              <w:keepNext/>
              <w:spacing w:before="55" w:after="30" w:line="288" w:lineRule="auto"/>
              <w:jc w:val="right"/>
            </w:pPr>
            <w:r>
              <w:rPr>
                <w:rFonts w:ascii="Arial" w:eastAsia="Arial" w:hAnsi="Arial" w:cs="Arial"/>
                <w:color w:val="000000"/>
                <w:sz w:val="18"/>
              </w:rPr>
              <w:t>139.1 </w:t>
            </w:r>
          </w:p>
        </w:tc>
        <w:tc>
          <w:tcPr>
            <w:tcW w:w="100" w:type="dxa"/>
            <w:tcBorders>
              <w:top w:val="single" w:sz="8" w:space="0" w:color="C7C9C7"/>
              <w:left w:val="nil"/>
              <w:bottom w:val="single" w:sz="8" w:space="0" w:color="E9E9E9"/>
              <w:right w:val="nil"/>
            </w:tcBorders>
            <w:tcMar>
              <w:top w:w="0" w:type="dxa"/>
              <w:left w:w="0" w:type="dxa"/>
              <w:bottom w:w="0" w:type="dxa"/>
              <w:right w:w="15" w:type="dxa"/>
            </w:tcMar>
            <w:vAlign w:val="bottom"/>
          </w:tcPr>
          <w:p w14:paraId="260224C7" w14:textId="77777777" w:rsidR="001614AC" w:rsidRDefault="001614AC">
            <w:pPr>
              <w:keepNext/>
              <w:spacing w:before="55" w:after="30" w:line="288" w:lineRule="auto"/>
              <w:jc w:val="right"/>
            </w:pPr>
          </w:p>
        </w:tc>
        <w:tc>
          <w:tcPr>
            <w:tcW w:w="105" w:type="dxa"/>
            <w:tcBorders>
              <w:top w:val="single" w:sz="8" w:space="0" w:color="C7C9C7"/>
              <w:left w:val="nil"/>
              <w:bottom w:val="nil"/>
              <w:right w:val="nil"/>
            </w:tcBorders>
            <w:tcMar>
              <w:top w:w="0" w:type="dxa"/>
              <w:left w:w="0" w:type="dxa"/>
              <w:bottom w:w="0" w:type="dxa"/>
              <w:right w:w="0" w:type="dxa"/>
            </w:tcMar>
            <w:vAlign w:val="bottom"/>
          </w:tcPr>
          <w:p w14:paraId="3B499B31" w14:textId="77777777" w:rsidR="001614AC" w:rsidRDefault="001614AC">
            <w:pPr>
              <w:keepNext/>
            </w:pPr>
          </w:p>
        </w:tc>
        <w:tc>
          <w:tcPr>
            <w:tcW w:w="160" w:type="dxa"/>
            <w:tcBorders>
              <w:top w:val="single" w:sz="8" w:space="0" w:color="C7C9C7"/>
              <w:left w:val="nil"/>
              <w:bottom w:val="single" w:sz="8" w:space="0" w:color="E9E9E9"/>
              <w:right w:val="nil"/>
            </w:tcBorders>
            <w:tcMar>
              <w:top w:w="0" w:type="dxa"/>
              <w:left w:w="53" w:type="dxa"/>
              <w:bottom w:w="0" w:type="dxa"/>
              <w:right w:w="0" w:type="dxa"/>
            </w:tcMar>
            <w:vAlign w:val="bottom"/>
          </w:tcPr>
          <w:p w14:paraId="11D389C9" w14:textId="77777777" w:rsidR="001614AC" w:rsidRDefault="004468F9">
            <w:pPr>
              <w:keepNext/>
              <w:spacing w:before="55" w:after="30" w:line="288" w:lineRule="auto"/>
            </w:pPr>
            <w:r>
              <w:rPr>
                <w:rFonts w:ascii="Arial" w:eastAsia="Arial" w:hAnsi="Arial" w:cs="Arial"/>
                <w:color w:val="000000"/>
                <w:sz w:val="18"/>
              </w:rPr>
              <w:t>$</w:t>
            </w:r>
          </w:p>
        </w:tc>
        <w:tc>
          <w:tcPr>
            <w:tcW w:w="1015" w:type="dxa"/>
            <w:tcBorders>
              <w:top w:val="single" w:sz="8" w:space="0" w:color="C7C9C7"/>
              <w:left w:val="nil"/>
              <w:bottom w:val="single" w:sz="8" w:space="0" w:color="E9E9E9"/>
              <w:right w:val="nil"/>
            </w:tcBorders>
            <w:tcMar>
              <w:top w:w="0" w:type="dxa"/>
              <w:left w:w="0" w:type="dxa"/>
              <w:bottom w:w="0" w:type="dxa"/>
              <w:right w:w="0" w:type="dxa"/>
            </w:tcMar>
            <w:vAlign w:val="bottom"/>
          </w:tcPr>
          <w:p w14:paraId="7B599578" w14:textId="77777777" w:rsidR="001614AC" w:rsidRDefault="004468F9">
            <w:pPr>
              <w:keepNext/>
              <w:spacing w:before="55" w:after="30" w:line="288" w:lineRule="auto"/>
              <w:jc w:val="right"/>
            </w:pPr>
            <w:r>
              <w:rPr>
                <w:rFonts w:ascii="Arial" w:eastAsia="Arial" w:hAnsi="Arial" w:cs="Arial"/>
                <w:color w:val="000000"/>
                <w:sz w:val="18"/>
              </w:rPr>
              <w:t>217.6 </w:t>
            </w:r>
          </w:p>
        </w:tc>
        <w:tc>
          <w:tcPr>
            <w:tcW w:w="100" w:type="dxa"/>
            <w:tcBorders>
              <w:top w:val="single" w:sz="8" w:space="0" w:color="C7C9C7"/>
              <w:left w:val="nil"/>
              <w:bottom w:val="single" w:sz="8" w:space="0" w:color="E9E9E9"/>
              <w:right w:val="nil"/>
            </w:tcBorders>
            <w:tcMar>
              <w:top w:w="0" w:type="dxa"/>
              <w:left w:w="0" w:type="dxa"/>
              <w:bottom w:w="0" w:type="dxa"/>
              <w:right w:w="15" w:type="dxa"/>
            </w:tcMar>
            <w:vAlign w:val="bottom"/>
          </w:tcPr>
          <w:p w14:paraId="36C8184D" w14:textId="77777777" w:rsidR="001614AC" w:rsidRDefault="001614AC">
            <w:pPr>
              <w:keepNext/>
              <w:spacing w:before="55" w:after="30" w:line="288" w:lineRule="auto"/>
              <w:jc w:val="right"/>
            </w:pPr>
          </w:p>
        </w:tc>
      </w:tr>
      <w:tr w:rsidR="001614AC" w14:paraId="252C1716" w14:textId="77777777">
        <w:trPr>
          <w:cantSplit/>
        </w:trPr>
        <w:tc>
          <w:tcPr>
            <w:tcW w:w="2880" w:type="dxa"/>
            <w:tcBorders>
              <w:top w:val="single" w:sz="8" w:space="0" w:color="E9E9E9"/>
              <w:left w:val="nil"/>
              <w:bottom w:val="single" w:sz="8" w:space="0" w:color="E9E9E9"/>
              <w:right w:val="nil"/>
            </w:tcBorders>
            <w:tcMar>
              <w:top w:w="0" w:type="dxa"/>
              <w:left w:w="53" w:type="dxa"/>
              <w:bottom w:w="0" w:type="dxa"/>
              <w:right w:w="53" w:type="dxa"/>
            </w:tcMar>
            <w:vAlign w:val="bottom"/>
          </w:tcPr>
          <w:p w14:paraId="35EBD37A" w14:textId="77777777" w:rsidR="001614AC" w:rsidRDefault="004468F9">
            <w:pPr>
              <w:keepNext/>
              <w:spacing w:before="55" w:after="30" w:line="288" w:lineRule="auto"/>
            </w:pPr>
            <w:r>
              <w:rPr>
                <w:rFonts w:ascii="Arial" w:eastAsia="Arial" w:hAnsi="Arial" w:cs="Arial"/>
                <w:color w:val="000000"/>
                <w:sz w:val="18"/>
              </w:rPr>
              <w:t>Net income (loss)</w:t>
            </w:r>
          </w:p>
        </w:tc>
        <w:tc>
          <w:tcPr>
            <w:tcW w:w="105" w:type="dxa"/>
            <w:tcBorders>
              <w:top w:val="nil"/>
              <w:left w:val="nil"/>
              <w:bottom w:val="nil"/>
              <w:right w:val="nil"/>
            </w:tcBorders>
            <w:tcMar>
              <w:top w:w="0" w:type="dxa"/>
              <w:left w:w="0" w:type="dxa"/>
              <w:bottom w:w="0" w:type="dxa"/>
              <w:right w:w="0" w:type="dxa"/>
            </w:tcMar>
            <w:vAlign w:val="bottom"/>
          </w:tcPr>
          <w:p w14:paraId="331CC94F" w14:textId="77777777" w:rsidR="001614AC" w:rsidRDefault="001614AC">
            <w:pPr>
              <w:keepNext/>
            </w:pPr>
          </w:p>
        </w:tc>
        <w:tc>
          <w:tcPr>
            <w:tcW w:w="90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7263BB4E" w14:textId="77777777" w:rsidR="001614AC" w:rsidRDefault="004468F9">
            <w:pPr>
              <w:keepNext/>
              <w:spacing w:before="55" w:after="30" w:line="288" w:lineRule="auto"/>
              <w:jc w:val="right"/>
            </w:pPr>
            <w:r>
              <w:rPr>
                <w:rFonts w:ascii="Arial" w:eastAsia="Arial" w:hAnsi="Arial" w:cs="Arial"/>
                <w:color w:val="000000"/>
                <w:sz w:val="18"/>
              </w:rPr>
              <w:t>155.2 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771596D8" w14:textId="77777777" w:rsidR="001614AC" w:rsidRDefault="001614AC">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1248D1E2" w14:textId="77777777" w:rsidR="001614AC" w:rsidRDefault="001614AC">
            <w:pPr>
              <w:keepNext/>
            </w:pPr>
          </w:p>
        </w:tc>
        <w:tc>
          <w:tcPr>
            <w:tcW w:w="90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0EA896DB" w14:textId="77777777" w:rsidR="001614AC" w:rsidRDefault="004468F9">
            <w:pPr>
              <w:keepNext/>
              <w:spacing w:before="55" w:after="30" w:line="288" w:lineRule="auto"/>
              <w:jc w:val="right"/>
            </w:pPr>
            <w:r>
              <w:rPr>
                <w:rFonts w:ascii="Arial" w:eastAsia="Arial" w:hAnsi="Arial" w:cs="Arial"/>
                <w:color w:val="000000"/>
                <w:sz w:val="18"/>
              </w:rPr>
              <w:t>(30.0)</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74B01B88" w14:textId="77777777" w:rsidR="001614AC" w:rsidRDefault="001614AC">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231D37A7" w14:textId="77777777" w:rsidR="001614AC" w:rsidRDefault="001614AC">
            <w:pPr>
              <w:keepNext/>
            </w:pPr>
          </w:p>
        </w:tc>
        <w:tc>
          <w:tcPr>
            <w:tcW w:w="117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32ECD643" w14:textId="77777777" w:rsidR="001614AC" w:rsidRDefault="004468F9">
            <w:pPr>
              <w:keepNext/>
              <w:spacing w:before="55" w:after="30" w:line="288" w:lineRule="auto"/>
              <w:jc w:val="right"/>
            </w:pPr>
            <w:r>
              <w:rPr>
                <w:rFonts w:ascii="Arial" w:eastAsia="Arial" w:hAnsi="Arial" w:cs="Arial"/>
                <w:color w:val="000000"/>
                <w:sz w:val="18"/>
              </w:rPr>
              <w:t>185.2 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42E4A4F4" w14:textId="77777777" w:rsidR="001614AC" w:rsidRDefault="001614AC">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5898EB99" w14:textId="77777777" w:rsidR="001614AC" w:rsidRDefault="001614AC">
            <w:pPr>
              <w:keepNext/>
            </w:pPr>
          </w:p>
        </w:tc>
        <w:tc>
          <w:tcPr>
            <w:tcW w:w="90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7D9326F1" w14:textId="77777777" w:rsidR="001614AC" w:rsidRDefault="004468F9">
            <w:pPr>
              <w:keepNext/>
              <w:spacing w:before="55" w:after="30" w:line="288" w:lineRule="auto"/>
              <w:jc w:val="right"/>
            </w:pPr>
            <w:r>
              <w:rPr>
                <w:rFonts w:ascii="Arial" w:eastAsia="Arial" w:hAnsi="Arial" w:cs="Arial"/>
                <w:color w:val="000000"/>
                <w:sz w:val="18"/>
              </w:rPr>
              <w:t>280.8 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1149EE01" w14:textId="77777777" w:rsidR="001614AC" w:rsidRDefault="001614AC">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5C3C58FB" w14:textId="77777777" w:rsidR="001614AC" w:rsidRDefault="001614AC">
            <w:pPr>
              <w:keepNext/>
            </w:pPr>
          </w:p>
        </w:tc>
        <w:tc>
          <w:tcPr>
            <w:tcW w:w="90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122E6D01" w14:textId="77777777" w:rsidR="001614AC" w:rsidRDefault="004468F9">
            <w:pPr>
              <w:keepNext/>
              <w:spacing w:before="55" w:after="30" w:line="288" w:lineRule="auto"/>
              <w:jc w:val="right"/>
            </w:pPr>
            <w:r>
              <w:rPr>
                <w:rFonts w:ascii="Arial" w:eastAsia="Arial" w:hAnsi="Arial" w:cs="Arial"/>
                <w:color w:val="000000"/>
                <w:sz w:val="18"/>
              </w:rPr>
              <w:t>110.5 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1A186E59" w14:textId="77777777" w:rsidR="001614AC" w:rsidRDefault="001614AC">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364DFB8A" w14:textId="77777777" w:rsidR="001614AC" w:rsidRDefault="001614AC">
            <w:pPr>
              <w:keepNext/>
            </w:pPr>
          </w:p>
        </w:tc>
        <w:tc>
          <w:tcPr>
            <w:tcW w:w="117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68B7A13E" w14:textId="77777777" w:rsidR="001614AC" w:rsidRDefault="004468F9">
            <w:pPr>
              <w:keepNext/>
              <w:spacing w:before="55" w:after="30" w:line="288" w:lineRule="auto"/>
              <w:jc w:val="right"/>
            </w:pPr>
            <w:r>
              <w:rPr>
                <w:rFonts w:ascii="Arial" w:eastAsia="Arial" w:hAnsi="Arial" w:cs="Arial"/>
                <w:color w:val="000000"/>
                <w:sz w:val="18"/>
              </w:rPr>
              <w:t>170.3 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67B1A5A2" w14:textId="77777777" w:rsidR="001614AC" w:rsidRDefault="001614AC">
            <w:pPr>
              <w:keepNext/>
              <w:spacing w:before="55" w:after="30" w:line="288" w:lineRule="auto"/>
              <w:jc w:val="right"/>
            </w:pPr>
          </w:p>
        </w:tc>
      </w:tr>
      <w:tr w:rsidR="001614AC" w14:paraId="4E5F19BB" w14:textId="77777777">
        <w:trPr>
          <w:cantSplit/>
        </w:trPr>
        <w:tc>
          <w:tcPr>
            <w:tcW w:w="2880" w:type="dxa"/>
            <w:tcBorders>
              <w:top w:val="single" w:sz="8" w:space="0" w:color="E9E9E9"/>
              <w:left w:val="nil"/>
              <w:bottom w:val="single" w:sz="8" w:space="0" w:color="E9E9E9"/>
              <w:right w:val="nil"/>
            </w:tcBorders>
            <w:tcMar>
              <w:top w:w="0" w:type="dxa"/>
              <w:left w:w="53" w:type="dxa"/>
              <w:bottom w:w="0" w:type="dxa"/>
              <w:right w:w="53" w:type="dxa"/>
            </w:tcMar>
            <w:vAlign w:val="bottom"/>
          </w:tcPr>
          <w:p w14:paraId="277E7BAA" w14:textId="77777777" w:rsidR="001614AC" w:rsidRDefault="004468F9">
            <w:pPr>
              <w:keepNext/>
              <w:spacing w:before="55" w:after="30" w:line="288" w:lineRule="auto"/>
            </w:pPr>
            <w:r>
              <w:rPr>
                <w:rFonts w:ascii="Arial" w:eastAsia="Arial" w:hAnsi="Arial" w:cs="Arial"/>
                <w:color w:val="000000"/>
                <w:sz w:val="18"/>
              </w:rPr>
              <w:t>Diluted net income (loss) per share</w:t>
            </w:r>
          </w:p>
        </w:tc>
        <w:tc>
          <w:tcPr>
            <w:tcW w:w="105" w:type="dxa"/>
            <w:tcBorders>
              <w:top w:val="nil"/>
              <w:left w:val="nil"/>
              <w:bottom w:val="nil"/>
              <w:right w:val="nil"/>
            </w:tcBorders>
            <w:tcMar>
              <w:top w:w="0" w:type="dxa"/>
              <w:left w:w="0" w:type="dxa"/>
              <w:bottom w:w="0" w:type="dxa"/>
              <w:right w:w="0" w:type="dxa"/>
            </w:tcMar>
            <w:vAlign w:val="bottom"/>
          </w:tcPr>
          <w:p w14:paraId="3A5AE5FA" w14:textId="77777777" w:rsidR="001614AC" w:rsidRDefault="001614AC">
            <w:pPr>
              <w:keepNext/>
            </w:pPr>
          </w:p>
        </w:tc>
        <w:tc>
          <w:tcPr>
            <w:tcW w:w="90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4C356AA8" w14:textId="77777777" w:rsidR="001614AC" w:rsidRDefault="004468F9">
            <w:pPr>
              <w:keepNext/>
              <w:spacing w:before="55" w:after="30" w:line="288" w:lineRule="auto"/>
              <w:jc w:val="right"/>
            </w:pPr>
            <w:r>
              <w:rPr>
                <w:rFonts w:ascii="Arial" w:eastAsia="Arial" w:hAnsi="Arial" w:cs="Arial"/>
                <w:color w:val="000000"/>
                <w:sz w:val="18"/>
              </w:rPr>
              <w:t>0.80 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384989C5" w14:textId="77777777" w:rsidR="001614AC" w:rsidRDefault="001614AC">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78372321" w14:textId="77777777" w:rsidR="001614AC" w:rsidRDefault="001614AC">
            <w:pPr>
              <w:keepNext/>
            </w:pPr>
          </w:p>
        </w:tc>
        <w:tc>
          <w:tcPr>
            <w:tcW w:w="90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764B9DA6" w14:textId="77777777" w:rsidR="001614AC" w:rsidRDefault="004468F9">
            <w:pPr>
              <w:keepNext/>
              <w:spacing w:before="55" w:after="30" w:line="288" w:lineRule="auto"/>
              <w:jc w:val="right"/>
            </w:pPr>
            <w:r>
              <w:rPr>
                <w:rFonts w:ascii="Arial" w:eastAsia="Arial" w:hAnsi="Arial" w:cs="Arial"/>
                <w:color w:val="000000"/>
                <w:sz w:val="18"/>
              </w:rPr>
              <w:t>(0.15)</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4DEBE277" w14:textId="77777777" w:rsidR="001614AC" w:rsidRDefault="001614AC">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6D5BBE21" w14:textId="77777777" w:rsidR="001614AC" w:rsidRDefault="001614AC">
            <w:pPr>
              <w:keepNext/>
            </w:pPr>
          </w:p>
        </w:tc>
        <w:tc>
          <w:tcPr>
            <w:tcW w:w="117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7399DC17" w14:textId="77777777" w:rsidR="001614AC" w:rsidRDefault="004468F9">
            <w:pPr>
              <w:keepNext/>
              <w:spacing w:before="55" w:after="30" w:line="288" w:lineRule="auto"/>
              <w:jc w:val="right"/>
            </w:pPr>
            <w:r>
              <w:rPr>
                <w:rFonts w:ascii="Arial" w:eastAsia="Arial" w:hAnsi="Arial" w:cs="Arial"/>
                <w:color w:val="000000"/>
                <w:sz w:val="18"/>
              </w:rPr>
              <w:t>0.95 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709D51F8" w14:textId="77777777" w:rsidR="001614AC" w:rsidRDefault="001614AC">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5E5E7B6C" w14:textId="77777777" w:rsidR="001614AC" w:rsidRDefault="001614AC">
            <w:pPr>
              <w:keepNext/>
            </w:pPr>
          </w:p>
        </w:tc>
        <w:tc>
          <w:tcPr>
            <w:tcW w:w="90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69B1C077" w14:textId="77777777" w:rsidR="001614AC" w:rsidRDefault="004468F9">
            <w:pPr>
              <w:keepNext/>
              <w:spacing w:before="55" w:after="30" w:line="288" w:lineRule="auto"/>
              <w:jc w:val="right"/>
            </w:pPr>
            <w:r>
              <w:rPr>
                <w:rFonts w:ascii="Arial" w:eastAsia="Arial" w:hAnsi="Arial" w:cs="Arial"/>
                <w:color w:val="000000"/>
                <w:sz w:val="18"/>
              </w:rPr>
              <w:t>1.44 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63317416" w14:textId="77777777" w:rsidR="001614AC" w:rsidRDefault="001614AC">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7B3F6E8B" w14:textId="77777777" w:rsidR="001614AC" w:rsidRDefault="001614AC">
            <w:pPr>
              <w:keepNext/>
            </w:pPr>
          </w:p>
        </w:tc>
        <w:tc>
          <w:tcPr>
            <w:tcW w:w="90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4B80C2AE" w14:textId="77777777" w:rsidR="001614AC" w:rsidRDefault="004468F9">
            <w:pPr>
              <w:keepNext/>
              <w:spacing w:before="55" w:after="30" w:line="288" w:lineRule="auto"/>
              <w:jc w:val="right"/>
            </w:pPr>
            <w:r>
              <w:rPr>
                <w:rFonts w:ascii="Arial" w:eastAsia="Arial" w:hAnsi="Arial" w:cs="Arial"/>
                <w:color w:val="000000"/>
                <w:sz w:val="18"/>
              </w:rPr>
              <w:t>0.56 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25B9748A" w14:textId="77777777" w:rsidR="001614AC" w:rsidRDefault="001614AC">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56B8981D" w14:textId="77777777" w:rsidR="001614AC" w:rsidRDefault="001614AC">
            <w:pPr>
              <w:keepNext/>
            </w:pPr>
          </w:p>
        </w:tc>
        <w:tc>
          <w:tcPr>
            <w:tcW w:w="117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02B08367" w14:textId="77777777" w:rsidR="001614AC" w:rsidRDefault="004468F9">
            <w:pPr>
              <w:keepNext/>
              <w:spacing w:before="55" w:after="30" w:line="288" w:lineRule="auto"/>
              <w:jc w:val="right"/>
            </w:pPr>
            <w:r>
              <w:rPr>
                <w:rFonts w:ascii="Arial" w:eastAsia="Arial" w:hAnsi="Arial" w:cs="Arial"/>
                <w:color w:val="000000"/>
                <w:sz w:val="18"/>
              </w:rPr>
              <w:t>0.88 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48ADCB5A" w14:textId="77777777" w:rsidR="001614AC" w:rsidRDefault="001614AC">
            <w:pPr>
              <w:keepNext/>
              <w:spacing w:before="55" w:after="30" w:line="288" w:lineRule="auto"/>
              <w:jc w:val="right"/>
            </w:pPr>
          </w:p>
        </w:tc>
      </w:tr>
      <w:tr w:rsidR="001614AC" w14:paraId="40E47EB2" w14:textId="77777777">
        <w:trPr>
          <w:cantSplit/>
        </w:trPr>
        <w:tc>
          <w:tcPr>
            <w:tcW w:w="2880" w:type="dxa"/>
            <w:tcBorders>
              <w:top w:val="single" w:sz="8" w:space="0" w:color="E9E9E9"/>
              <w:left w:val="nil"/>
              <w:bottom w:val="single" w:sz="8" w:space="0" w:color="E9E9E9"/>
              <w:right w:val="nil"/>
            </w:tcBorders>
            <w:tcMar>
              <w:top w:w="0" w:type="dxa"/>
              <w:left w:w="53" w:type="dxa"/>
              <w:bottom w:w="0" w:type="dxa"/>
              <w:right w:w="53" w:type="dxa"/>
            </w:tcMar>
            <w:vAlign w:val="bottom"/>
          </w:tcPr>
          <w:p w14:paraId="316B0A34" w14:textId="77777777" w:rsidR="001614AC" w:rsidRDefault="004468F9">
            <w:pPr>
              <w:keepNext/>
              <w:spacing w:before="55" w:after="30" w:line="288" w:lineRule="auto"/>
            </w:pPr>
            <w:r>
              <w:rPr>
                <w:rFonts w:ascii="Arial" w:eastAsia="Arial" w:hAnsi="Arial" w:cs="Arial"/>
                <w:color w:val="000000"/>
                <w:sz w:val="18"/>
              </w:rPr>
              <w:t>Book value per share at June 30</w:t>
            </w:r>
          </w:p>
        </w:tc>
        <w:tc>
          <w:tcPr>
            <w:tcW w:w="105" w:type="dxa"/>
            <w:tcBorders>
              <w:top w:val="nil"/>
              <w:left w:val="nil"/>
              <w:bottom w:val="nil"/>
              <w:right w:val="nil"/>
            </w:tcBorders>
            <w:tcMar>
              <w:top w:w="0" w:type="dxa"/>
              <w:left w:w="0" w:type="dxa"/>
              <w:bottom w:w="0" w:type="dxa"/>
              <w:right w:w="0" w:type="dxa"/>
            </w:tcMar>
            <w:vAlign w:val="bottom"/>
          </w:tcPr>
          <w:p w14:paraId="72733C9D" w14:textId="77777777" w:rsidR="001614AC" w:rsidRDefault="001614AC">
            <w:pPr>
              <w:keepNext/>
            </w:pPr>
          </w:p>
        </w:tc>
        <w:tc>
          <w:tcPr>
            <w:tcW w:w="90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49E93710" w14:textId="77777777" w:rsidR="001614AC" w:rsidRDefault="004468F9">
            <w:pPr>
              <w:keepNext/>
              <w:spacing w:before="55" w:after="30" w:line="288" w:lineRule="auto"/>
              <w:jc w:val="right"/>
            </w:pPr>
            <w:r>
              <w:rPr>
                <w:rFonts w:ascii="Arial" w:eastAsia="Arial" w:hAnsi="Arial" w:cs="Arial"/>
                <w:color w:val="000000"/>
                <w:sz w:val="18"/>
              </w:rPr>
              <w:t>23.02 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12F24D89" w14:textId="77777777" w:rsidR="001614AC" w:rsidRDefault="001614AC">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749549BF" w14:textId="77777777" w:rsidR="001614AC" w:rsidRDefault="001614AC">
            <w:pPr>
              <w:keepNext/>
            </w:pPr>
          </w:p>
        </w:tc>
        <w:tc>
          <w:tcPr>
            <w:tcW w:w="90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1E3B2172" w14:textId="77777777" w:rsidR="001614AC" w:rsidRDefault="004468F9">
            <w:pPr>
              <w:keepNext/>
              <w:spacing w:before="55" w:after="30" w:line="288" w:lineRule="auto"/>
              <w:jc w:val="right"/>
            </w:pPr>
            <w:r>
              <w:rPr>
                <w:rFonts w:ascii="Arial" w:eastAsia="Arial" w:hAnsi="Arial" w:cs="Arial"/>
                <w:color w:val="000000"/>
                <w:sz w:val="18"/>
              </w:rPr>
              <w:t>20.82 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5D7ECC08" w14:textId="77777777" w:rsidR="001614AC" w:rsidRDefault="001614AC">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646642E5" w14:textId="77777777" w:rsidR="001614AC" w:rsidRDefault="001614AC">
            <w:pPr>
              <w:keepNext/>
            </w:pPr>
          </w:p>
        </w:tc>
        <w:tc>
          <w:tcPr>
            <w:tcW w:w="117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42212BED" w14:textId="77777777" w:rsidR="001614AC" w:rsidRDefault="004468F9">
            <w:pPr>
              <w:keepNext/>
              <w:spacing w:before="55" w:after="30" w:line="288" w:lineRule="auto"/>
              <w:jc w:val="right"/>
            </w:pPr>
            <w:r>
              <w:rPr>
                <w:rFonts w:ascii="Arial" w:eastAsia="Arial" w:hAnsi="Arial" w:cs="Arial"/>
                <w:color w:val="000000"/>
                <w:sz w:val="18"/>
              </w:rPr>
              <w:t>2.20 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0D9EE9AF" w14:textId="77777777" w:rsidR="001614AC" w:rsidRDefault="001614AC">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24779619" w14:textId="77777777" w:rsidR="001614AC" w:rsidRDefault="001614AC">
            <w:pPr>
              <w:keepNext/>
            </w:pPr>
          </w:p>
        </w:tc>
        <w:tc>
          <w:tcPr>
            <w:tcW w:w="90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1AC6076A" w14:textId="77777777" w:rsidR="001614AC" w:rsidRDefault="004468F9">
            <w:pPr>
              <w:keepNext/>
              <w:spacing w:before="55" w:after="30" w:line="288" w:lineRule="auto"/>
              <w:jc w:val="right"/>
            </w:pPr>
            <w:r>
              <w:rPr>
                <w:rFonts w:ascii="Arial" w:eastAsia="Arial" w:hAnsi="Arial" w:cs="Arial"/>
                <w:color w:val="000000"/>
                <w:sz w:val="18"/>
              </w:rPr>
              <w:t>23.02 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3A17282D" w14:textId="77777777" w:rsidR="001614AC" w:rsidRDefault="001614AC">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256D28CE" w14:textId="77777777" w:rsidR="001614AC" w:rsidRDefault="001614AC">
            <w:pPr>
              <w:keepNext/>
            </w:pPr>
          </w:p>
        </w:tc>
        <w:tc>
          <w:tcPr>
            <w:tcW w:w="90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67C3343C" w14:textId="77777777" w:rsidR="001614AC" w:rsidRDefault="004468F9">
            <w:pPr>
              <w:keepNext/>
              <w:spacing w:before="55" w:after="30" w:line="288" w:lineRule="auto"/>
              <w:jc w:val="right"/>
            </w:pPr>
            <w:r>
              <w:rPr>
                <w:rFonts w:ascii="Arial" w:eastAsia="Arial" w:hAnsi="Arial" w:cs="Arial"/>
                <w:color w:val="000000"/>
                <w:sz w:val="18"/>
              </w:rPr>
              <w:t>20.82 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46B7D3FD" w14:textId="77777777" w:rsidR="001614AC" w:rsidRDefault="001614AC">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154C63DC" w14:textId="77777777" w:rsidR="001614AC" w:rsidRDefault="001614AC">
            <w:pPr>
              <w:keepNext/>
            </w:pPr>
          </w:p>
        </w:tc>
        <w:tc>
          <w:tcPr>
            <w:tcW w:w="117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2E9FA552" w14:textId="77777777" w:rsidR="001614AC" w:rsidRDefault="004468F9">
            <w:pPr>
              <w:keepNext/>
              <w:spacing w:before="55" w:after="30" w:line="288" w:lineRule="auto"/>
              <w:jc w:val="right"/>
            </w:pPr>
            <w:r>
              <w:rPr>
                <w:rFonts w:ascii="Arial" w:eastAsia="Arial" w:hAnsi="Arial" w:cs="Arial"/>
                <w:color w:val="000000"/>
                <w:sz w:val="18"/>
              </w:rPr>
              <w:t>2.20 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3D960FAF" w14:textId="77777777" w:rsidR="001614AC" w:rsidRDefault="001614AC">
            <w:pPr>
              <w:keepNext/>
              <w:spacing w:before="55" w:after="30" w:line="288" w:lineRule="auto"/>
              <w:jc w:val="right"/>
            </w:pPr>
          </w:p>
        </w:tc>
      </w:tr>
      <w:tr w:rsidR="001614AC" w14:paraId="27D7551B" w14:textId="77777777">
        <w:trPr>
          <w:cantSplit/>
        </w:trPr>
        <w:tc>
          <w:tcPr>
            <w:tcW w:w="2880" w:type="dxa"/>
            <w:tcBorders>
              <w:top w:val="single" w:sz="8" w:space="0" w:color="E9E9E9"/>
              <w:left w:val="nil"/>
              <w:bottom w:val="single" w:sz="8" w:space="0" w:color="E9E9E9"/>
              <w:right w:val="nil"/>
            </w:tcBorders>
            <w:tcMar>
              <w:top w:w="0" w:type="dxa"/>
              <w:left w:w="53" w:type="dxa"/>
              <w:bottom w:w="0" w:type="dxa"/>
              <w:right w:w="53" w:type="dxa"/>
            </w:tcMar>
            <w:vAlign w:val="bottom"/>
          </w:tcPr>
          <w:p w14:paraId="18DD4F81" w14:textId="77777777" w:rsidR="001614AC" w:rsidRDefault="004468F9">
            <w:pPr>
              <w:keepNext/>
              <w:spacing w:before="55" w:after="30" w:line="288" w:lineRule="auto"/>
              <w:rPr>
                <w:rFonts w:ascii="Arial" w:eastAsia="Arial" w:hAnsi="Arial" w:cs="Arial"/>
                <w:sz w:val="18"/>
              </w:rPr>
            </w:pPr>
            <w:r>
              <w:rPr>
                <w:rFonts w:ascii="Arial" w:eastAsia="Arial" w:hAnsi="Arial" w:cs="Arial"/>
                <w:sz w:val="18"/>
              </w:rPr>
              <w:t xml:space="preserve">Net premiums earned </w:t>
            </w:r>
            <w:r>
              <w:rPr>
                <w:rFonts w:ascii="Arial" w:eastAsia="Arial" w:hAnsi="Arial" w:cs="Arial"/>
                <w:sz w:val="18"/>
                <w:vertAlign w:val="superscript"/>
              </w:rPr>
              <w:t xml:space="preserve">(1) </w:t>
            </w:r>
          </w:p>
        </w:tc>
        <w:tc>
          <w:tcPr>
            <w:tcW w:w="105" w:type="dxa"/>
            <w:tcBorders>
              <w:top w:val="nil"/>
              <w:left w:val="nil"/>
              <w:bottom w:val="nil"/>
              <w:right w:val="nil"/>
            </w:tcBorders>
            <w:tcMar>
              <w:top w:w="0" w:type="dxa"/>
              <w:left w:w="0" w:type="dxa"/>
              <w:bottom w:w="0" w:type="dxa"/>
              <w:right w:w="0" w:type="dxa"/>
            </w:tcMar>
            <w:vAlign w:val="bottom"/>
          </w:tcPr>
          <w:p w14:paraId="7D3FBD5C" w14:textId="77777777" w:rsidR="001614AC" w:rsidRDefault="001614AC">
            <w:pPr>
              <w:keepNext/>
            </w:pPr>
          </w:p>
        </w:tc>
        <w:tc>
          <w:tcPr>
            <w:tcW w:w="90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115066CA" w14:textId="77777777" w:rsidR="001614AC" w:rsidRDefault="004468F9">
            <w:pPr>
              <w:keepNext/>
              <w:spacing w:before="55" w:after="30" w:line="288" w:lineRule="auto"/>
              <w:jc w:val="right"/>
            </w:pPr>
            <w:r>
              <w:rPr>
                <w:rFonts w:ascii="Arial" w:eastAsia="Arial" w:hAnsi="Arial" w:cs="Arial"/>
                <w:color w:val="000000"/>
                <w:sz w:val="18"/>
              </w:rPr>
              <w:t>254.8 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54840A4E" w14:textId="77777777" w:rsidR="001614AC" w:rsidRDefault="001614AC">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688C31A4" w14:textId="77777777" w:rsidR="001614AC" w:rsidRDefault="001614AC">
            <w:pPr>
              <w:keepNext/>
            </w:pPr>
          </w:p>
        </w:tc>
        <w:tc>
          <w:tcPr>
            <w:tcW w:w="90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65596294" w14:textId="77777777" w:rsidR="001614AC" w:rsidRDefault="004468F9">
            <w:pPr>
              <w:keepNext/>
              <w:spacing w:before="55" w:after="30" w:line="288" w:lineRule="auto"/>
              <w:jc w:val="right"/>
            </w:pPr>
            <w:r>
              <w:rPr>
                <w:rFonts w:ascii="Arial" w:eastAsia="Arial" w:hAnsi="Arial" w:cs="Arial"/>
                <w:color w:val="000000"/>
                <w:sz w:val="18"/>
              </w:rPr>
              <w:t>249.3 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3127A73A" w14:textId="77777777" w:rsidR="001614AC" w:rsidRDefault="001614AC">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59471F48" w14:textId="77777777" w:rsidR="001614AC" w:rsidRDefault="001614AC">
            <w:pPr>
              <w:keepNext/>
            </w:pPr>
          </w:p>
        </w:tc>
        <w:tc>
          <w:tcPr>
            <w:tcW w:w="117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1887E460" w14:textId="77777777" w:rsidR="001614AC" w:rsidRDefault="004468F9">
            <w:pPr>
              <w:keepNext/>
              <w:spacing w:before="55" w:after="30" w:line="288" w:lineRule="auto"/>
              <w:jc w:val="right"/>
            </w:pPr>
            <w:r>
              <w:rPr>
                <w:rFonts w:ascii="Arial" w:eastAsia="Arial" w:hAnsi="Arial" w:cs="Arial"/>
                <w:color w:val="000000"/>
                <w:sz w:val="18"/>
              </w:rPr>
              <w:t>5.5 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3050FAD6" w14:textId="77777777" w:rsidR="001614AC" w:rsidRDefault="001614AC">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2DB3B3EB" w14:textId="77777777" w:rsidR="001614AC" w:rsidRDefault="001614AC">
            <w:pPr>
              <w:keepNext/>
            </w:pPr>
          </w:p>
        </w:tc>
        <w:tc>
          <w:tcPr>
            <w:tcW w:w="90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6209FF7B" w14:textId="77777777" w:rsidR="001614AC" w:rsidRDefault="004468F9">
            <w:pPr>
              <w:keepNext/>
              <w:spacing w:before="55" w:after="30" w:line="288" w:lineRule="auto"/>
              <w:jc w:val="right"/>
            </w:pPr>
            <w:r>
              <w:rPr>
                <w:rFonts w:ascii="Arial" w:eastAsia="Arial" w:hAnsi="Arial" w:cs="Arial"/>
                <w:color w:val="000000"/>
                <w:sz w:val="18"/>
              </w:rPr>
              <w:t>526.6 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349B0BF8" w14:textId="77777777" w:rsidR="001614AC" w:rsidRDefault="001614AC">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3B26ED5B" w14:textId="77777777" w:rsidR="001614AC" w:rsidRDefault="001614AC">
            <w:pPr>
              <w:keepNext/>
            </w:pPr>
          </w:p>
        </w:tc>
        <w:tc>
          <w:tcPr>
            <w:tcW w:w="90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5F6C81BE" w14:textId="77777777" w:rsidR="001614AC" w:rsidRDefault="004468F9">
            <w:pPr>
              <w:keepNext/>
              <w:spacing w:before="55" w:after="30" w:line="288" w:lineRule="auto"/>
              <w:jc w:val="right"/>
            </w:pPr>
            <w:r>
              <w:rPr>
                <w:rFonts w:ascii="Arial" w:eastAsia="Arial" w:hAnsi="Arial" w:cs="Arial"/>
                <w:color w:val="000000"/>
                <w:sz w:val="18"/>
              </w:rPr>
              <w:t>526.7 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60BA2D03" w14:textId="77777777" w:rsidR="001614AC" w:rsidRDefault="001614AC">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615DC7DF" w14:textId="77777777" w:rsidR="001614AC" w:rsidRDefault="001614AC">
            <w:pPr>
              <w:keepNext/>
            </w:pPr>
          </w:p>
        </w:tc>
        <w:tc>
          <w:tcPr>
            <w:tcW w:w="117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65C9928C" w14:textId="77777777" w:rsidR="001614AC" w:rsidRDefault="004468F9">
            <w:pPr>
              <w:keepNext/>
              <w:spacing w:before="55" w:after="30" w:line="288" w:lineRule="auto"/>
              <w:jc w:val="right"/>
            </w:pPr>
            <w:r>
              <w:rPr>
                <w:rFonts w:ascii="Arial" w:eastAsia="Arial" w:hAnsi="Arial" w:cs="Arial"/>
                <w:color w:val="000000"/>
                <w:sz w:val="18"/>
              </w:rPr>
              <w:t>(0.1)</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0107EB37" w14:textId="77777777" w:rsidR="001614AC" w:rsidRDefault="001614AC">
            <w:pPr>
              <w:keepNext/>
              <w:spacing w:before="55" w:after="30" w:line="288" w:lineRule="auto"/>
              <w:jc w:val="right"/>
            </w:pPr>
          </w:p>
        </w:tc>
      </w:tr>
      <w:tr w:rsidR="001614AC" w14:paraId="32C22C40" w14:textId="77777777">
        <w:trPr>
          <w:cantSplit/>
        </w:trPr>
        <w:tc>
          <w:tcPr>
            <w:tcW w:w="2880" w:type="dxa"/>
            <w:tcBorders>
              <w:top w:val="single" w:sz="8" w:space="0" w:color="E9E9E9"/>
              <w:left w:val="nil"/>
              <w:bottom w:val="single" w:sz="8" w:space="0" w:color="E9E9E9"/>
              <w:right w:val="nil"/>
            </w:tcBorders>
            <w:tcMar>
              <w:top w:w="0" w:type="dxa"/>
              <w:left w:w="53" w:type="dxa"/>
              <w:bottom w:w="0" w:type="dxa"/>
              <w:right w:w="53" w:type="dxa"/>
            </w:tcMar>
            <w:vAlign w:val="bottom"/>
          </w:tcPr>
          <w:p w14:paraId="0AE8A22A" w14:textId="77777777" w:rsidR="001614AC" w:rsidRDefault="004468F9">
            <w:pPr>
              <w:keepNext/>
              <w:spacing w:before="55" w:after="30" w:line="288" w:lineRule="auto"/>
              <w:rPr>
                <w:rFonts w:ascii="Arial" w:eastAsia="Arial" w:hAnsi="Arial" w:cs="Arial"/>
                <w:sz w:val="18"/>
              </w:rPr>
            </w:pPr>
            <w:r>
              <w:rPr>
                <w:rFonts w:ascii="Arial" w:eastAsia="Arial" w:hAnsi="Arial" w:cs="Arial"/>
                <w:sz w:val="18"/>
              </w:rPr>
              <w:t xml:space="preserve">Services revenue </w:t>
            </w:r>
            <w:r>
              <w:rPr>
                <w:rFonts w:ascii="Arial" w:eastAsia="Arial" w:hAnsi="Arial" w:cs="Arial"/>
                <w:sz w:val="18"/>
                <w:vertAlign w:val="superscript"/>
              </w:rPr>
              <w:t xml:space="preserve">(2) </w:t>
            </w:r>
          </w:p>
        </w:tc>
        <w:tc>
          <w:tcPr>
            <w:tcW w:w="105" w:type="dxa"/>
            <w:tcBorders>
              <w:top w:val="nil"/>
              <w:left w:val="nil"/>
              <w:bottom w:val="nil"/>
              <w:right w:val="nil"/>
            </w:tcBorders>
            <w:tcMar>
              <w:top w:w="0" w:type="dxa"/>
              <w:left w:w="0" w:type="dxa"/>
              <w:bottom w:w="0" w:type="dxa"/>
              <w:right w:w="0" w:type="dxa"/>
            </w:tcMar>
            <w:vAlign w:val="bottom"/>
          </w:tcPr>
          <w:p w14:paraId="19A1CA76" w14:textId="77777777" w:rsidR="001614AC" w:rsidRDefault="001614AC">
            <w:pPr>
              <w:keepNext/>
            </w:pPr>
          </w:p>
        </w:tc>
        <w:tc>
          <w:tcPr>
            <w:tcW w:w="90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6EE0DE9A" w14:textId="77777777" w:rsidR="001614AC" w:rsidRDefault="004468F9">
            <w:pPr>
              <w:keepNext/>
              <w:spacing w:before="55" w:after="30" w:line="288" w:lineRule="auto"/>
              <w:jc w:val="right"/>
            </w:pPr>
            <w:r>
              <w:rPr>
                <w:rFonts w:ascii="Arial" w:eastAsia="Arial" w:hAnsi="Arial" w:cs="Arial"/>
                <w:color w:val="000000"/>
                <w:sz w:val="18"/>
              </w:rPr>
              <w:t>29.5 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43C8B850" w14:textId="77777777" w:rsidR="001614AC" w:rsidRDefault="001614AC">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0653A8C3" w14:textId="77777777" w:rsidR="001614AC" w:rsidRDefault="001614AC">
            <w:pPr>
              <w:keepNext/>
            </w:pPr>
          </w:p>
        </w:tc>
        <w:tc>
          <w:tcPr>
            <w:tcW w:w="90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527DF032" w14:textId="77777777" w:rsidR="001614AC" w:rsidRDefault="004468F9">
            <w:pPr>
              <w:keepNext/>
              <w:spacing w:before="55" w:after="30" w:line="288" w:lineRule="auto"/>
              <w:jc w:val="right"/>
            </w:pPr>
            <w:r>
              <w:rPr>
                <w:rFonts w:ascii="Arial" w:eastAsia="Arial" w:hAnsi="Arial" w:cs="Arial"/>
                <w:color w:val="000000"/>
                <w:sz w:val="18"/>
              </w:rPr>
              <w:t>28.1 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44748036" w14:textId="77777777" w:rsidR="001614AC" w:rsidRDefault="001614AC">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44676D7C" w14:textId="77777777" w:rsidR="001614AC" w:rsidRDefault="001614AC">
            <w:pPr>
              <w:keepNext/>
            </w:pPr>
          </w:p>
        </w:tc>
        <w:tc>
          <w:tcPr>
            <w:tcW w:w="117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4EE00E08" w14:textId="77777777" w:rsidR="001614AC" w:rsidRDefault="004468F9">
            <w:pPr>
              <w:keepNext/>
              <w:spacing w:before="55" w:after="30" w:line="288" w:lineRule="auto"/>
              <w:jc w:val="right"/>
            </w:pPr>
            <w:r>
              <w:rPr>
                <w:rFonts w:ascii="Arial" w:eastAsia="Arial" w:hAnsi="Arial" w:cs="Arial"/>
                <w:color w:val="000000"/>
                <w:sz w:val="18"/>
              </w:rPr>
              <w:t>1.4 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04871689" w14:textId="77777777" w:rsidR="001614AC" w:rsidRDefault="001614AC">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4D784023" w14:textId="77777777" w:rsidR="001614AC" w:rsidRDefault="001614AC">
            <w:pPr>
              <w:keepNext/>
            </w:pPr>
          </w:p>
        </w:tc>
        <w:tc>
          <w:tcPr>
            <w:tcW w:w="90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19416BAA" w14:textId="77777777" w:rsidR="001614AC" w:rsidRDefault="004468F9">
            <w:pPr>
              <w:keepNext/>
              <w:spacing w:before="55" w:after="30" w:line="288" w:lineRule="auto"/>
              <w:jc w:val="right"/>
            </w:pPr>
            <w:r>
              <w:rPr>
                <w:rFonts w:ascii="Arial" w:eastAsia="Arial" w:hAnsi="Arial" w:cs="Arial"/>
                <w:color w:val="000000"/>
                <w:sz w:val="18"/>
              </w:rPr>
              <w:t>52.4 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7DCC1047" w14:textId="77777777" w:rsidR="001614AC" w:rsidRDefault="001614AC">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1899647D" w14:textId="77777777" w:rsidR="001614AC" w:rsidRDefault="001614AC">
            <w:pPr>
              <w:keepNext/>
            </w:pPr>
          </w:p>
        </w:tc>
        <w:tc>
          <w:tcPr>
            <w:tcW w:w="90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4FB0CA14" w14:textId="77777777" w:rsidR="001614AC" w:rsidRDefault="004468F9">
            <w:pPr>
              <w:keepNext/>
              <w:spacing w:before="55" w:after="30" w:line="288" w:lineRule="auto"/>
              <w:jc w:val="right"/>
            </w:pPr>
            <w:r>
              <w:rPr>
                <w:rFonts w:ascii="Arial" w:eastAsia="Arial" w:hAnsi="Arial" w:cs="Arial"/>
                <w:color w:val="000000"/>
                <w:sz w:val="18"/>
              </w:rPr>
              <w:t>60.0 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4C4543B9" w14:textId="77777777" w:rsidR="001614AC" w:rsidRDefault="001614AC">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1843DD9C" w14:textId="77777777" w:rsidR="001614AC" w:rsidRDefault="001614AC">
            <w:pPr>
              <w:keepNext/>
            </w:pPr>
          </w:p>
        </w:tc>
        <w:tc>
          <w:tcPr>
            <w:tcW w:w="117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7E99757F" w14:textId="77777777" w:rsidR="001614AC" w:rsidRDefault="004468F9">
            <w:pPr>
              <w:keepNext/>
              <w:spacing w:before="55" w:after="30" w:line="288" w:lineRule="auto"/>
              <w:jc w:val="right"/>
            </w:pPr>
            <w:r>
              <w:rPr>
                <w:rFonts w:ascii="Arial" w:eastAsia="Arial" w:hAnsi="Arial" w:cs="Arial"/>
                <w:color w:val="000000"/>
                <w:sz w:val="18"/>
              </w:rPr>
              <w:t>(7.6)</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603D8272" w14:textId="77777777" w:rsidR="001614AC" w:rsidRDefault="001614AC">
            <w:pPr>
              <w:keepNext/>
              <w:spacing w:before="55" w:after="30" w:line="288" w:lineRule="auto"/>
              <w:jc w:val="right"/>
            </w:pPr>
          </w:p>
        </w:tc>
      </w:tr>
      <w:tr w:rsidR="001614AC" w14:paraId="5ED68437" w14:textId="77777777">
        <w:trPr>
          <w:cantSplit/>
        </w:trPr>
        <w:tc>
          <w:tcPr>
            <w:tcW w:w="2880" w:type="dxa"/>
            <w:tcBorders>
              <w:top w:val="single" w:sz="8" w:space="0" w:color="E9E9E9"/>
              <w:left w:val="nil"/>
              <w:bottom w:val="single" w:sz="8" w:space="0" w:color="E9E9E9"/>
              <w:right w:val="nil"/>
            </w:tcBorders>
            <w:tcMar>
              <w:top w:w="0" w:type="dxa"/>
              <w:left w:w="53" w:type="dxa"/>
              <w:bottom w:w="0" w:type="dxa"/>
              <w:right w:w="53" w:type="dxa"/>
            </w:tcMar>
            <w:vAlign w:val="bottom"/>
          </w:tcPr>
          <w:p w14:paraId="5E286F1C" w14:textId="77777777" w:rsidR="001614AC" w:rsidRDefault="004468F9">
            <w:pPr>
              <w:keepNext/>
              <w:spacing w:before="55" w:after="30" w:line="288" w:lineRule="auto"/>
              <w:rPr>
                <w:rFonts w:ascii="Arial" w:eastAsia="Arial" w:hAnsi="Arial" w:cs="Arial"/>
                <w:sz w:val="18"/>
              </w:rPr>
            </w:pPr>
            <w:r>
              <w:rPr>
                <w:rFonts w:ascii="Arial" w:eastAsia="Arial" w:hAnsi="Arial" w:cs="Arial"/>
                <w:sz w:val="18"/>
              </w:rPr>
              <w:t xml:space="preserve">Net investment income </w:t>
            </w:r>
            <w:r>
              <w:rPr>
                <w:rFonts w:ascii="Arial" w:eastAsia="Arial" w:hAnsi="Arial" w:cs="Arial"/>
                <w:sz w:val="18"/>
                <w:vertAlign w:val="superscript"/>
              </w:rPr>
              <w:t xml:space="preserve">(1) </w:t>
            </w:r>
          </w:p>
        </w:tc>
        <w:tc>
          <w:tcPr>
            <w:tcW w:w="105" w:type="dxa"/>
            <w:tcBorders>
              <w:top w:val="nil"/>
              <w:left w:val="nil"/>
              <w:bottom w:val="nil"/>
              <w:right w:val="nil"/>
            </w:tcBorders>
            <w:tcMar>
              <w:top w:w="0" w:type="dxa"/>
              <w:left w:w="0" w:type="dxa"/>
              <w:bottom w:w="0" w:type="dxa"/>
              <w:right w:w="0" w:type="dxa"/>
            </w:tcMar>
            <w:vAlign w:val="bottom"/>
          </w:tcPr>
          <w:p w14:paraId="503B7989" w14:textId="77777777" w:rsidR="001614AC" w:rsidRDefault="001614AC">
            <w:pPr>
              <w:keepNext/>
            </w:pPr>
          </w:p>
        </w:tc>
        <w:tc>
          <w:tcPr>
            <w:tcW w:w="90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14B259FC" w14:textId="77777777" w:rsidR="001614AC" w:rsidRDefault="004468F9">
            <w:pPr>
              <w:keepNext/>
              <w:spacing w:before="55" w:after="30" w:line="288" w:lineRule="auto"/>
              <w:jc w:val="right"/>
            </w:pPr>
            <w:r>
              <w:rPr>
                <w:rFonts w:ascii="Arial" w:eastAsia="Arial" w:hAnsi="Arial" w:cs="Arial"/>
                <w:color w:val="000000"/>
                <w:sz w:val="18"/>
              </w:rPr>
              <w:t>36.3 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1932CA87" w14:textId="77777777" w:rsidR="001614AC" w:rsidRDefault="001614AC">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4C905670" w14:textId="77777777" w:rsidR="001614AC" w:rsidRDefault="001614AC">
            <w:pPr>
              <w:keepNext/>
            </w:pPr>
          </w:p>
        </w:tc>
        <w:tc>
          <w:tcPr>
            <w:tcW w:w="90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5850E5C5" w14:textId="77777777" w:rsidR="001614AC" w:rsidRDefault="004468F9">
            <w:pPr>
              <w:keepNext/>
              <w:spacing w:before="55" w:after="30" w:line="288" w:lineRule="auto"/>
              <w:jc w:val="right"/>
            </w:pPr>
            <w:r>
              <w:rPr>
                <w:rFonts w:ascii="Arial" w:eastAsia="Arial" w:hAnsi="Arial" w:cs="Arial"/>
                <w:color w:val="000000"/>
                <w:sz w:val="18"/>
              </w:rPr>
              <w:t>38.7 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328BA3AA" w14:textId="77777777" w:rsidR="001614AC" w:rsidRDefault="001614AC">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32127638" w14:textId="77777777" w:rsidR="001614AC" w:rsidRDefault="001614AC">
            <w:pPr>
              <w:keepNext/>
            </w:pPr>
          </w:p>
        </w:tc>
        <w:tc>
          <w:tcPr>
            <w:tcW w:w="117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094E046F" w14:textId="77777777" w:rsidR="001614AC" w:rsidRDefault="004468F9">
            <w:pPr>
              <w:keepNext/>
              <w:spacing w:before="55" w:after="30" w:line="288" w:lineRule="auto"/>
              <w:jc w:val="right"/>
            </w:pPr>
            <w:r>
              <w:rPr>
                <w:rFonts w:ascii="Arial" w:eastAsia="Arial" w:hAnsi="Arial" w:cs="Arial"/>
                <w:color w:val="000000"/>
                <w:sz w:val="18"/>
              </w:rPr>
              <w:t>(2.4)</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110CD1BF" w14:textId="77777777" w:rsidR="001614AC" w:rsidRDefault="001614AC">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33D74170" w14:textId="77777777" w:rsidR="001614AC" w:rsidRDefault="001614AC">
            <w:pPr>
              <w:keepNext/>
            </w:pPr>
          </w:p>
        </w:tc>
        <w:tc>
          <w:tcPr>
            <w:tcW w:w="90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63F6303D" w14:textId="77777777" w:rsidR="001614AC" w:rsidRDefault="004468F9">
            <w:pPr>
              <w:keepNext/>
              <w:spacing w:before="55" w:after="30" w:line="288" w:lineRule="auto"/>
              <w:jc w:val="right"/>
            </w:pPr>
            <w:r>
              <w:rPr>
                <w:rFonts w:ascii="Arial" w:eastAsia="Arial" w:hAnsi="Arial" w:cs="Arial"/>
                <w:color w:val="000000"/>
                <w:sz w:val="18"/>
              </w:rPr>
              <w:t>74.5 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76A58A18" w14:textId="77777777" w:rsidR="001614AC" w:rsidRDefault="001614AC">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47AFB72D" w14:textId="77777777" w:rsidR="001614AC" w:rsidRDefault="001614AC">
            <w:pPr>
              <w:keepNext/>
            </w:pPr>
          </w:p>
        </w:tc>
        <w:tc>
          <w:tcPr>
            <w:tcW w:w="90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3B1307F3" w14:textId="77777777" w:rsidR="001614AC" w:rsidRDefault="004468F9">
            <w:pPr>
              <w:keepNext/>
              <w:spacing w:before="55" w:after="30" w:line="288" w:lineRule="auto"/>
              <w:jc w:val="right"/>
            </w:pPr>
            <w:r>
              <w:rPr>
                <w:rFonts w:ascii="Arial" w:eastAsia="Arial" w:hAnsi="Arial" w:cs="Arial"/>
                <w:color w:val="000000"/>
                <w:sz w:val="18"/>
              </w:rPr>
              <w:t>79.7 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6424BD82" w14:textId="77777777" w:rsidR="001614AC" w:rsidRDefault="001614AC">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708701F6" w14:textId="77777777" w:rsidR="001614AC" w:rsidRDefault="001614AC">
            <w:pPr>
              <w:keepNext/>
            </w:pPr>
          </w:p>
        </w:tc>
        <w:tc>
          <w:tcPr>
            <w:tcW w:w="117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06631D20" w14:textId="77777777" w:rsidR="001614AC" w:rsidRDefault="004468F9">
            <w:pPr>
              <w:keepNext/>
              <w:spacing w:before="55" w:after="30" w:line="288" w:lineRule="auto"/>
              <w:jc w:val="right"/>
            </w:pPr>
            <w:r>
              <w:rPr>
                <w:rFonts w:ascii="Arial" w:eastAsia="Arial" w:hAnsi="Arial" w:cs="Arial"/>
                <w:color w:val="000000"/>
                <w:sz w:val="18"/>
              </w:rPr>
              <w:t>(5.2)</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236117B0" w14:textId="77777777" w:rsidR="001614AC" w:rsidRDefault="001614AC">
            <w:pPr>
              <w:keepNext/>
              <w:spacing w:before="55" w:after="30" w:line="288" w:lineRule="auto"/>
              <w:jc w:val="right"/>
            </w:pPr>
          </w:p>
        </w:tc>
      </w:tr>
      <w:tr w:rsidR="001614AC" w14:paraId="5EE33296" w14:textId="77777777">
        <w:trPr>
          <w:cantSplit/>
        </w:trPr>
        <w:tc>
          <w:tcPr>
            <w:tcW w:w="2880" w:type="dxa"/>
            <w:tcBorders>
              <w:top w:val="single" w:sz="8" w:space="0" w:color="E9E9E9"/>
              <w:left w:val="nil"/>
              <w:bottom w:val="single" w:sz="8" w:space="0" w:color="E9E9E9"/>
              <w:right w:val="nil"/>
            </w:tcBorders>
            <w:tcMar>
              <w:top w:w="0" w:type="dxa"/>
              <w:left w:w="53" w:type="dxa"/>
              <w:bottom w:w="0" w:type="dxa"/>
              <w:right w:w="53" w:type="dxa"/>
            </w:tcMar>
            <w:vAlign w:val="bottom"/>
          </w:tcPr>
          <w:p w14:paraId="669B248B" w14:textId="77777777" w:rsidR="001614AC" w:rsidRDefault="004468F9">
            <w:pPr>
              <w:keepNext/>
              <w:spacing w:before="55" w:after="30" w:line="288" w:lineRule="auto"/>
            </w:pPr>
            <w:r>
              <w:rPr>
                <w:rFonts w:ascii="Arial" w:eastAsia="Arial" w:hAnsi="Arial" w:cs="Arial"/>
                <w:color w:val="000000"/>
                <w:sz w:val="18"/>
              </w:rPr>
              <w:t>Net gains (losses) on investments and other financial instruments</w:t>
            </w:r>
          </w:p>
        </w:tc>
        <w:tc>
          <w:tcPr>
            <w:tcW w:w="105" w:type="dxa"/>
            <w:tcBorders>
              <w:top w:val="nil"/>
              <w:left w:val="nil"/>
              <w:bottom w:val="nil"/>
              <w:right w:val="nil"/>
            </w:tcBorders>
            <w:tcMar>
              <w:top w:w="0" w:type="dxa"/>
              <w:left w:w="0" w:type="dxa"/>
              <w:bottom w:w="0" w:type="dxa"/>
              <w:right w:w="0" w:type="dxa"/>
            </w:tcMar>
            <w:vAlign w:val="bottom"/>
          </w:tcPr>
          <w:p w14:paraId="68D5DE48" w14:textId="77777777" w:rsidR="001614AC" w:rsidRDefault="001614AC">
            <w:pPr>
              <w:keepNext/>
            </w:pPr>
          </w:p>
        </w:tc>
        <w:tc>
          <w:tcPr>
            <w:tcW w:w="90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6FBD5EAC" w14:textId="77777777" w:rsidR="001614AC" w:rsidRDefault="004468F9">
            <w:pPr>
              <w:keepNext/>
              <w:spacing w:before="55" w:after="30" w:line="288" w:lineRule="auto"/>
              <w:jc w:val="right"/>
            </w:pPr>
            <w:r>
              <w:rPr>
                <w:rFonts w:ascii="Arial" w:eastAsia="Arial" w:hAnsi="Arial" w:cs="Arial"/>
                <w:color w:val="000000"/>
                <w:sz w:val="18"/>
              </w:rPr>
              <w:t>15.7 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4EE5E99D" w14:textId="77777777" w:rsidR="001614AC" w:rsidRDefault="001614AC">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6540130F" w14:textId="77777777" w:rsidR="001614AC" w:rsidRDefault="001614AC">
            <w:pPr>
              <w:keepNext/>
            </w:pPr>
          </w:p>
        </w:tc>
        <w:tc>
          <w:tcPr>
            <w:tcW w:w="90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66281D49" w14:textId="77777777" w:rsidR="001614AC" w:rsidRDefault="004468F9">
            <w:pPr>
              <w:keepNext/>
              <w:spacing w:before="55" w:after="30" w:line="288" w:lineRule="auto"/>
              <w:jc w:val="right"/>
            </w:pPr>
            <w:r>
              <w:rPr>
                <w:rFonts w:ascii="Arial" w:eastAsia="Arial" w:hAnsi="Arial" w:cs="Arial"/>
                <w:color w:val="000000"/>
                <w:sz w:val="18"/>
              </w:rPr>
              <w:t>47.3 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2BF85682" w14:textId="77777777" w:rsidR="001614AC" w:rsidRDefault="001614AC">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711B7CA9" w14:textId="77777777" w:rsidR="001614AC" w:rsidRDefault="001614AC">
            <w:pPr>
              <w:keepNext/>
            </w:pPr>
          </w:p>
        </w:tc>
        <w:tc>
          <w:tcPr>
            <w:tcW w:w="117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468A4B84" w14:textId="77777777" w:rsidR="001614AC" w:rsidRDefault="004468F9">
            <w:pPr>
              <w:keepNext/>
              <w:spacing w:before="55" w:after="30" w:line="288" w:lineRule="auto"/>
              <w:jc w:val="right"/>
            </w:pPr>
            <w:r>
              <w:rPr>
                <w:rFonts w:ascii="Arial" w:eastAsia="Arial" w:hAnsi="Arial" w:cs="Arial"/>
                <w:color w:val="000000"/>
                <w:sz w:val="18"/>
              </w:rPr>
              <w:t>(31.6)</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427FE4FD" w14:textId="77777777" w:rsidR="001614AC" w:rsidRDefault="001614AC">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3F80962D" w14:textId="77777777" w:rsidR="001614AC" w:rsidRDefault="001614AC">
            <w:pPr>
              <w:keepNext/>
            </w:pPr>
          </w:p>
        </w:tc>
        <w:tc>
          <w:tcPr>
            <w:tcW w:w="90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430E1523" w14:textId="77777777" w:rsidR="001614AC" w:rsidRDefault="004468F9">
            <w:pPr>
              <w:keepNext/>
              <w:spacing w:before="55" w:after="30" w:line="288" w:lineRule="auto"/>
              <w:jc w:val="right"/>
            </w:pPr>
            <w:r>
              <w:rPr>
                <w:rFonts w:ascii="Arial" w:eastAsia="Arial" w:hAnsi="Arial" w:cs="Arial"/>
                <w:color w:val="000000"/>
                <w:sz w:val="18"/>
              </w:rPr>
              <w:t>10.5 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0E4DC2EC" w14:textId="77777777" w:rsidR="001614AC" w:rsidRDefault="001614AC">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583B9E17" w14:textId="77777777" w:rsidR="001614AC" w:rsidRDefault="001614AC">
            <w:pPr>
              <w:keepNext/>
            </w:pPr>
          </w:p>
        </w:tc>
        <w:tc>
          <w:tcPr>
            <w:tcW w:w="90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022CC7B4" w14:textId="77777777" w:rsidR="001614AC" w:rsidRDefault="004468F9">
            <w:pPr>
              <w:keepNext/>
              <w:spacing w:before="55" w:after="30" w:line="288" w:lineRule="auto"/>
              <w:jc w:val="right"/>
            </w:pPr>
            <w:r>
              <w:rPr>
                <w:rFonts w:ascii="Arial" w:eastAsia="Arial" w:hAnsi="Arial" w:cs="Arial"/>
                <w:color w:val="000000"/>
                <w:sz w:val="18"/>
              </w:rPr>
              <w:t>25.2 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0AF5F4B9" w14:textId="77777777" w:rsidR="001614AC" w:rsidRDefault="001614AC">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18BA16C2" w14:textId="77777777" w:rsidR="001614AC" w:rsidRDefault="001614AC">
            <w:pPr>
              <w:keepNext/>
            </w:pPr>
          </w:p>
        </w:tc>
        <w:tc>
          <w:tcPr>
            <w:tcW w:w="117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3607C7C4" w14:textId="77777777" w:rsidR="001614AC" w:rsidRDefault="004468F9">
            <w:pPr>
              <w:keepNext/>
              <w:spacing w:before="55" w:after="30" w:line="288" w:lineRule="auto"/>
              <w:jc w:val="right"/>
            </w:pPr>
            <w:r>
              <w:rPr>
                <w:rFonts w:ascii="Arial" w:eastAsia="Arial" w:hAnsi="Arial" w:cs="Arial"/>
                <w:color w:val="000000"/>
                <w:sz w:val="18"/>
              </w:rPr>
              <w:t>(14.7)</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638776BE" w14:textId="77777777" w:rsidR="001614AC" w:rsidRDefault="001614AC">
            <w:pPr>
              <w:keepNext/>
              <w:spacing w:before="55" w:after="30" w:line="288" w:lineRule="auto"/>
              <w:jc w:val="right"/>
            </w:pPr>
          </w:p>
        </w:tc>
      </w:tr>
      <w:tr w:rsidR="001614AC" w14:paraId="62E20163" w14:textId="77777777">
        <w:trPr>
          <w:cantSplit/>
        </w:trPr>
        <w:tc>
          <w:tcPr>
            <w:tcW w:w="2880" w:type="dxa"/>
            <w:tcBorders>
              <w:top w:val="single" w:sz="8" w:space="0" w:color="E9E9E9"/>
              <w:left w:val="nil"/>
              <w:bottom w:val="single" w:sz="8" w:space="0" w:color="E9E9E9"/>
              <w:right w:val="nil"/>
            </w:tcBorders>
            <w:tcMar>
              <w:top w:w="0" w:type="dxa"/>
              <w:left w:w="53" w:type="dxa"/>
              <w:bottom w:w="0" w:type="dxa"/>
              <w:right w:w="53" w:type="dxa"/>
            </w:tcMar>
            <w:vAlign w:val="bottom"/>
          </w:tcPr>
          <w:p w14:paraId="4D187CFB" w14:textId="77777777" w:rsidR="001614AC" w:rsidRDefault="004468F9">
            <w:pPr>
              <w:keepNext/>
              <w:spacing w:before="55" w:after="30" w:line="288" w:lineRule="auto"/>
              <w:rPr>
                <w:rFonts w:ascii="Arial" w:eastAsia="Arial" w:hAnsi="Arial" w:cs="Arial"/>
                <w:sz w:val="18"/>
              </w:rPr>
            </w:pPr>
            <w:r>
              <w:rPr>
                <w:rFonts w:ascii="Arial" w:eastAsia="Arial" w:hAnsi="Arial" w:cs="Arial"/>
                <w:sz w:val="18"/>
              </w:rPr>
              <w:t xml:space="preserve">Provision for losses </w:t>
            </w:r>
            <w:r>
              <w:rPr>
                <w:rFonts w:ascii="Arial" w:eastAsia="Arial" w:hAnsi="Arial" w:cs="Arial"/>
                <w:sz w:val="18"/>
                <w:vertAlign w:val="superscript"/>
              </w:rPr>
              <w:t xml:space="preserve">(1) </w:t>
            </w:r>
          </w:p>
        </w:tc>
        <w:tc>
          <w:tcPr>
            <w:tcW w:w="105" w:type="dxa"/>
            <w:tcBorders>
              <w:top w:val="nil"/>
              <w:left w:val="nil"/>
              <w:bottom w:val="nil"/>
              <w:right w:val="nil"/>
            </w:tcBorders>
            <w:tcMar>
              <w:top w:w="0" w:type="dxa"/>
              <w:left w:w="0" w:type="dxa"/>
              <w:bottom w:w="0" w:type="dxa"/>
              <w:right w:w="0" w:type="dxa"/>
            </w:tcMar>
            <w:vAlign w:val="bottom"/>
          </w:tcPr>
          <w:p w14:paraId="3F7F96E1" w14:textId="77777777" w:rsidR="001614AC" w:rsidRDefault="001614AC">
            <w:pPr>
              <w:keepNext/>
            </w:pPr>
          </w:p>
        </w:tc>
        <w:tc>
          <w:tcPr>
            <w:tcW w:w="90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1CCC0C95" w14:textId="77777777" w:rsidR="001614AC" w:rsidRDefault="004468F9">
            <w:pPr>
              <w:keepNext/>
              <w:spacing w:before="55" w:after="30" w:line="288" w:lineRule="auto"/>
              <w:jc w:val="right"/>
            </w:pPr>
            <w:r>
              <w:rPr>
                <w:rFonts w:ascii="Arial" w:eastAsia="Arial" w:hAnsi="Arial" w:cs="Arial"/>
                <w:color w:val="000000"/>
                <w:sz w:val="18"/>
              </w:rPr>
              <w:t>3.6 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5B0B779C" w14:textId="77777777" w:rsidR="001614AC" w:rsidRDefault="001614AC">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61F88073" w14:textId="77777777" w:rsidR="001614AC" w:rsidRDefault="001614AC">
            <w:pPr>
              <w:keepNext/>
            </w:pPr>
          </w:p>
        </w:tc>
        <w:tc>
          <w:tcPr>
            <w:tcW w:w="90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1564A162" w14:textId="77777777" w:rsidR="001614AC" w:rsidRDefault="004468F9">
            <w:pPr>
              <w:keepNext/>
              <w:spacing w:before="55" w:after="30" w:line="288" w:lineRule="auto"/>
              <w:jc w:val="right"/>
            </w:pPr>
            <w:r>
              <w:rPr>
                <w:rFonts w:ascii="Arial" w:eastAsia="Arial" w:hAnsi="Arial" w:cs="Arial"/>
                <w:color w:val="000000"/>
                <w:sz w:val="18"/>
              </w:rPr>
              <w:t>304.4 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508FEBC4" w14:textId="77777777" w:rsidR="001614AC" w:rsidRDefault="001614AC">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3C549CC3" w14:textId="77777777" w:rsidR="001614AC" w:rsidRDefault="001614AC">
            <w:pPr>
              <w:keepNext/>
            </w:pPr>
          </w:p>
        </w:tc>
        <w:tc>
          <w:tcPr>
            <w:tcW w:w="117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150EC786" w14:textId="77777777" w:rsidR="001614AC" w:rsidRDefault="004468F9">
            <w:pPr>
              <w:keepNext/>
              <w:spacing w:before="55" w:after="30" w:line="288" w:lineRule="auto"/>
              <w:jc w:val="right"/>
            </w:pPr>
            <w:r>
              <w:rPr>
                <w:rFonts w:ascii="Arial" w:eastAsia="Arial" w:hAnsi="Arial" w:cs="Arial"/>
                <w:color w:val="000000"/>
                <w:sz w:val="18"/>
              </w:rPr>
              <w:t>300.8 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73091B9F" w14:textId="77777777" w:rsidR="001614AC" w:rsidRDefault="001614AC">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3F758897" w14:textId="77777777" w:rsidR="001614AC" w:rsidRDefault="001614AC">
            <w:pPr>
              <w:keepNext/>
            </w:pPr>
          </w:p>
        </w:tc>
        <w:tc>
          <w:tcPr>
            <w:tcW w:w="90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1B05DD01" w14:textId="77777777" w:rsidR="001614AC" w:rsidRDefault="004468F9">
            <w:pPr>
              <w:keepNext/>
              <w:spacing w:before="55" w:after="30" w:line="288" w:lineRule="auto"/>
              <w:jc w:val="right"/>
            </w:pPr>
            <w:r>
              <w:rPr>
                <w:rFonts w:ascii="Arial" w:eastAsia="Arial" w:hAnsi="Arial" w:cs="Arial"/>
                <w:color w:val="000000"/>
                <w:sz w:val="18"/>
              </w:rPr>
              <w:t>49.8 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4AFC222A" w14:textId="77777777" w:rsidR="001614AC" w:rsidRDefault="001614AC">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45B784F1" w14:textId="77777777" w:rsidR="001614AC" w:rsidRDefault="001614AC">
            <w:pPr>
              <w:keepNext/>
            </w:pPr>
          </w:p>
        </w:tc>
        <w:tc>
          <w:tcPr>
            <w:tcW w:w="90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2C73E9AB" w14:textId="77777777" w:rsidR="001614AC" w:rsidRDefault="004468F9">
            <w:pPr>
              <w:keepNext/>
              <w:spacing w:before="55" w:after="30" w:line="288" w:lineRule="auto"/>
              <w:jc w:val="right"/>
            </w:pPr>
            <w:r>
              <w:rPr>
                <w:rFonts w:ascii="Arial" w:eastAsia="Arial" w:hAnsi="Arial" w:cs="Arial"/>
                <w:color w:val="000000"/>
                <w:sz w:val="18"/>
              </w:rPr>
              <w:t>340.4 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75D80FF9" w14:textId="77777777" w:rsidR="001614AC" w:rsidRDefault="001614AC">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7CE9AEE7" w14:textId="77777777" w:rsidR="001614AC" w:rsidRDefault="001614AC">
            <w:pPr>
              <w:keepNext/>
            </w:pPr>
          </w:p>
        </w:tc>
        <w:tc>
          <w:tcPr>
            <w:tcW w:w="117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2BE7C00B" w14:textId="77777777" w:rsidR="001614AC" w:rsidRDefault="004468F9">
            <w:pPr>
              <w:keepNext/>
              <w:spacing w:before="55" w:after="30" w:line="288" w:lineRule="auto"/>
              <w:jc w:val="right"/>
            </w:pPr>
            <w:r>
              <w:rPr>
                <w:rFonts w:ascii="Arial" w:eastAsia="Arial" w:hAnsi="Arial" w:cs="Arial"/>
                <w:color w:val="000000"/>
                <w:sz w:val="18"/>
              </w:rPr>
              <w:t>290.6 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74BF1DAA" w14:textId="77777777" w:rsidR="001614AC" w:rsidRDefault="001614AC">
            <w:pPr>
              <w:keepNext/>
              <w:spacing w:before="55" w:after="30" w:line="288" w:lineRule="auto"/>
              <w:jc w:val="right"/>
            </w:pPr>
          </w:p>
        </w:tc>
      </w:tr>
      <w:tr w:rsidR="001614AC" w14:paraId="7EC16E28" w14:textId="77777777">
        <w:trPr>
          <w:cantSplit/>
        </w:trPr>
        <w:tc>
          <w:tcPr>
            <w:tcW w:w="2880" w:type="dxa"/>
            <w:tcBorders>
              <w:top w:val="single" w:sz="8" w:space="0" w:color="E9E9E9"/>
              <w:left w:val="nil"/>
              <w:bottom w:val="single" w:sz="8" w:space="0" w:color="E9E9E9"/>
              <w:right w:val="nil"/>
            </w:tcBorders>
            <w:tcMar>
              <w:top w:w="0" w:type="dxa"/>
              <w:left w:w="53" w:type="dxa"/>
              <w:bottom w:w="0" w:type="dxa"/>
              <w:right w:w="53" w:type="dxa"/>
            </w:tcMar>
            <w:vAlign w:val="bottom"/>
          </w:tcPr>
          <w:p w14:paraId="135C0BE8" w14:textId="77777777" w:rsidR="001614AC" w:rsidRDefault="004468F9">
            <w:pPr>
              <w:keepNext/>
              <w:spacing w:before="55" w:after="30" w:line="288" w:lineRule="auto"/>
              <w:rPr>
                <w:rFonts w:ascii="Arial" w:eastAsia="Arial" w:hAnsi="Arial" w:cs="Arial"/>
                <w:sz w:val="18"/>
              </w:rPr>
            </w:pPr>
            <w:r>
              <w:rPr>
                <w:rFonts w:ascii="Arial" w:eastAsia="Arial" w:hAnsi="Arial" w:cs="Arial"/>
                <w:sz w:val="18"/>
              </w:rPr>
              <w:t xml:space="preserve">Policy acquisition costs </w:t>
            </w:r>
            <w:r>
              <w:rPr>
                <w:rFonts w:ascii="Arial" w:eastAsia="Arial" w:hAnsi="Arial" w:cs="Arial"/>
                <w:sz w:val="18"/>
                <w:vertAlign w:val="superscript"/>
              </w:rPr>
              <w:t xml:space="preserve">(1) </w:t>
            </w:r>
          </w:p>
        </w:tc>
        <w:tc>
          <w:tcPr>
            <w:tcW w:w="105" w:type="dxa"/>
            <w:tcBorders>
              <w:top w:val="nil"/>
              <w:left w:val="nil"/>
              <w:bottom w:val="nil"/>
              <w:right w:val="nil"/>
            </w:tcBorders>
            <w:tcMar>
              <w:top w:w="0" w:type="dxa"/>
              <w:left w:w="0" w:type="dxa"/>
              <w:bottom w:w="0" w:type="dxa"/>
              <w:right w:w="0" w:type="dxa"/>
            </w:tcMar>
            <w:vAlign w:val="bottom"/>
          </w:tcPr>
          <w:p w14:paraId="4D418E0F" w14:textId="77777777" w:rsidR="001614AC" w:rsidRDefault="001614AC">
            <w:pPr>
              <w:keepNext/>
            </w:pPr>
          </w:p>
        </w:tc>
        <w:tc>
          <w:tcPr>
            <w:tcW w:w="90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66F3B9ED" w14:textId="77777777" w:rsidR="001614AC" w:rsidRDefault="004468F9">
            <w:pPr>
              <w:keepNext/>
              <w:spacing w:before="55" w:after="30" w:line="288" w:lineRule="auto"/>
              <w:jc w:val="right"/>
            </w:pPr>
            <w:r>
              <w:rPr>
                <w:rFonts w:ascii="Arial" w:eastAsia="Arial" w:hAnsi="Arial" w:cs="Arial"/>
                <w:color w:val="000000"/>
                <w:sz w:val="18"/>
              </w:rPr>
              <w:t>4.8 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2F30A931" w14:textId="77777777" w:rsidR="001614AC" w:rsidRDefault="001614AC">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78D78C72" w14:textId="77777777" w:rsidR="001614AC" w:rsidRDefault="001614AC">
            <w:pPr>
              <w:keepNext/>
            </w:pPr>
          </w:p>
        </w:tc>
        <w:tc>
          <w:tcPr>
            <w:tcW w:w="90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0033F4D8" w14:textId="77777777" w:rsidR="001614AC" w:rsidRDefault="004468F9">
            <w:pPr>
              <w:keepNext/>
              <w:spacing w:before="55" w:after="30" w:line="288" w:lineRule="auto"/>
              <w:jc w:val="right"/>
            </w:pPr>
            <w:r>
              <w:rPr>
                <w:rFonts w:ascii="Arial" w:eastAsia="Arial" w:hAnsi="Arial" w:cs="Arial"/>
                <w:color w:val="000000"/>
                <w:sz w:val="18"/>
              </w:rPr>
              <w:t>6.0 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6444A6A8" w14:textId="77777777" w:rsidR="001614AC" w:rsidRDefault="001614AC">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38BA70F8" w14:textId="77777777" w:rsidR="001614AC" w:rsidRDefault="001614AC">
            <w:pPr>
              <w:keepNext/>
            </w:pPr>
          </w:p>
        </w:tc>
        <w:tc>
          <w:tcPr>
            <w:tcW w:w="117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638CBE92" w14:textId="77777777" w:rsidR="001614AC" w:rsidRDefault="004468F9">
            <w:pPr>
              <w:keepNext/>
              <w:spacing w:before="55" w:after="30" w:line="288" w:lineRule="auto"/>
              <w:jc w:val="right"/>
            </w:pPr>
            <w:r>
              <w:rPr>
                <w:rFonts w:ascii="Arial" w:eastAsia="Arial" w:hAnsi="Arial" w:cs="Arial"/>
                <w:color w:val="000000"/>
                <w:sz w:val="18"/>
              </w:rPr>
              <w:t>1.2 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2977D722" w14:textId="77777777" w:rsidR="001614AC" w:rsidRDefault="001614AC">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758502FF" w14:textId="77777777" w:rsidR="001614AC" w:rsidRDefault="001614AC">
            <w:pPr>
              <w:keepNext/>
            </w:pPr>
          </w:p>
        </w:tc>
        <w:tc>
          <w:tcPr>
            <w:tcW w:w="90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0AD0F411" w14:textId="77777777" w:rsidR="001614AC" w:rsidRDefault="004468F9">
            <w:pPr>
              <w:keepNext/>
              <w:spacing w:before="55" w:after="30" w:line="288" w:lineRule="auto"/>
              <w:jc w:val="right"/>
            </w:pPr>
            <w:r>
              <w:rPr>
                <w:rFonts w:ascii="Arial" w:eastAsia="Arial" w:hAnsi="Arial" w:cs="Arial"/>
                <w:color w:val="000000"/>
                <w:sz w:val="18"/>
              </w:rPr>
              <w:t>13.8 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0D2FD45F" w14:textId="77777777" w:rsidR="001614AC" w:rsidRDefault="001614AC">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7EF2E9B8" w14:textId="77777777" w:rsidR="001614AC" w:rsidRDefault="001614AC">
            <w:pPr>
              <w:keepNext/>
            </w:pPr>
          </w:p>
        </w:tc>
        <w:tc>
          <w:tcPr>
            <w:tcW w:w="90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47FD344D" w14:textId="77777777" w:rsidR="001614AC" w:rsidRDefault="004468F9">
            <w:pPr>
              <w:keepNext/>
              <w:spacing w:before="55" w:after="30" w:line="288" w:lineRule="auto"/>
              <w:jc w:val="right"/>
            </w:pPr>
            <w:r>
              <w:rPr>
                <w:rFonts w:ascii="Arial" w:eastAsia="Arial" w:hAnsi="Arial" w:cs="Arial"/>
                <w:color w:val="000000"/>
                <w:sz w:val="18"/>
              </w:rPr>
              <w:t>13.4 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57CC3C92" w14:textId="77777777" w:rsidR="001614AC" w:rsidRDefault="001614AC">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513C9BA2" w14:textId="77777777" w:rsidR="001614AC" w:rsidRDefault="001614AC">
            <w:pPr>
              <w:keepNext/>
            </w:pPr>
          </w:p>
        </w:tc>
        <w:tc>
          <w:tcPr>
            <w:tcW w:w="117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1D2B7397" w14:textId="77777777" w:rsidR="001614AC" w:rsidRDefault="004468F9">
            <w:pPr>
              <w:keepNext/>
              <w:spacing w:before="55" w:after="30" w:line="288" w:lineRule="auto"/>
              <w:jc w:val="right"/>
            </w:pPr>
            <w:r>
              <w:rPr>
                <w:rFonts w:ascii="Arial" w:eastAsia="Arial" w:hAnsi="Arial" w:cs="Arial"/>
                <w:color w:val="000000"/>
                <w:sz w:val="18"/>
              </w:rPr>
              <w:t>(0.4)</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26FE2440" w14:textId="77777777" w:rsidR="001614AC" w:rsidRDefault="001614AC">
            <w:pPr>
              <w:keepNext/>
              <w:spacing w:before="55" w:after="30" w:line="288" w:lineRule="auto"/>
              <w:jc w:val="right"/>
            </w:pPr>
          </w:p>
        </w:tc>
      </w:tr>
      <w:tr w:rsidR="001614AC" w14:paraId="2154D006" w14:textId="77777777">
        <w:trPr>
          <w:cantSplit/>
        </w:trPr>
        <w:tc>
          <w:tcPr>
            <w:tcW w:w="2880" w:type="dxa"/>
            <w:tcBorders>
              <w:top w:val="single" w:sz="8" w:space="0" w:color="E9E9E9"/>
              <w:left w:val="nil"/>
              <w:bottom w:val="single" w:sz="8" w:space="0" w:color="E9E9E9"/>
              <w:right w:val="nil"/>
            </w:tcBorders>
            <w:tcMar>
              <w:top w:w="0" w:type="dxa"/>
              <w:left w:w="53" w:type="dxa"/>
              <w:bottom w:w="0" w:type="dxa"/>
              <w:right w:w="53" w:type="dxa"/>
            </w:tcMar>
            <w:vAlign w:val="bottom"/>
          </w:tcPr>
          <w:p w14:paraId="5DABFC99" w14:textId="77777777" w:rsidR="001614AC" w:rsidRDefault="004468F9">
            <w:pPr>
              <w:keepNext/>
              <w:spacing w:before="55" w:after="30" w:line="288" w:lineRule="auto"/>
              <w:rPr>
                <w:rFonts w:ascii="Arial" w:eastAsia="Arial" w:hAnsi="Arial" w:cs="Arial"/>
                <w:sz w:val="18"/>
              </w:rPr>
            </w:pPr>
            <w:r>
              <w:rPr>
                <w:rFonts w:ascii="Arial" w:eastAsia="Arial" w:hAnsi="Arial" w:cs="Arial"/>
                <w:sz w:val="18"/>
              </w:rPr>
              <w:t>Cost of services</w:t>
            </w:r>
            <w:r>
              <w:rPr>
                <w:rFonts w:ascii="Arial" w:eastAsia="Arial" w:hAnsi="Arial" w:cs="Arial"/>
                <w:sz w:val="18"/>
                <w:vertAlign w:val="superscript"/>
              </w:rPr>
              <w:t xml:space="preserve"> (2) </w:t>
            </w:r>
          </w:p>
        </w:tc>
        <w:tc>
          <w:tcPr>
            <w:tcW w:w="105" w:type="dxa"/>
            <w:tcBorders>
              <w:top w:val="nil"/>
              <w:left w:val="nil"/>
              <w:bottom w:val="nil"/>
              <w:right w:val="nil"/>
            </w:tcBorders>
            <w:tcMar>
              <w:top w:w="0" w:type="dxa"/>
              <w:left w:w="0" w:type="dxa"/>
              <w:bottom w:w="0" w:type="dxa"/>
              <w:right w:w="0" w:type="dxa"/>
            </w:tcMar>
            <w:vAlign w:val="bottom"/>
          </w:tcPr>
          <w:p w14:paraId="2A067464" w14:textId="77777777" w:rsidR="001614AC" w:rsidRDefault="001614AC">
            <w:pPr>
              <w:keepNext/>
            </w:pPr>
          </w:p>
        </w:tc>
        <w:tc>
          <w:tcPr>
            <w:tcW w:w="90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54ABEF00" w14:textId="77777777" w:rsidR="001614AC" w:rsidRDefault="004468F9">
            <w:pPr>
              <w:keepNext/>
              <w:spacing w:before="55" w:after="30" w:line="288" w:lineRule="auto"/>
              <w:jc w:val="right"/>
            </w:pPr>
            <w:r>
              <w:rPr>
                <w:rFonts w:ascii="Arial" w:eastAsia="Arial" w:hAnsi="Arial" w:cs="Arial"/>
                <w:color w:val="000000"/>
                <w:sz w:val="18"/>
              </w:rPr>
              <w:t>24.6 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62FCC890" w14:textId="77777777" w:rsidR="001614AC" w:rsidRDefault="001614AC">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16A715EE" w14:textId="77777777" w:rsidR="001614AC" w:rsidRDefault="001614AC">
            <w:pPr>
              <w:keepNext/>
            </w:pPr>
          </w:p>
        </w:tc>
        <w:tc>
          <w:tcPr>
            <w:tcW w:w="90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2301083B" w14:textId="77777777" w:rsidR="001614AC" w:rsidRDefault="004468F9">
            <w:pPr>
              <w:keepNext/>
              <w:spacing w:before="55" w:after="30" w:line="288" w:lineRule="auto"/>
              <w:jc w:val="right"/>
            </w:pPr>
            <w:r>
              <w:rPr>
                <w:rFonts w:ascii="Arial" w:eastAsia="Arial" w:hAnsi="Arial" w:cs="Arial"/>
                <w:color w:val="000000"/>
                <w:sz w:val="18"/>
              </w:rPr>
              <w:t>18.0 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79A57ED2" w14:textId="77777777" w:rsidR="001614AC" w:rsidRDefault="001614AC">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5CFF31C1" w14:textId="77777777" w:rsidR="001614AC" w:rsidRDefault="001614AC">
            <w:pPr>
              <w:keepNext/>
            </w:pPr>
          </w:p>
        </w:tc>
        <w:tc>
          <w:tcPr>
            <w:tcW w:w="117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45248F81" w14:textId="77777777" w:rsidR="001614AC" w:rsidRDefault="004468F9">
            <w:pPr>
              <w:keepNext/>
              <w:spacing w:before="55" w:after="30" w:line="288" w:lineRule="auto"/>
              <w:jc w:val="right"/>
            </w:pPr>
            <w:r>
              <w:rPr>
                <w:rFonts w:ascii="Arial" w:eastAsia="Arial" w:hAnsi="Arial" w:cs="Arial"/>
                <w:color w:val="000000"/>
                <w:sz w:val="18"/>
              </w:rPr>
              <w:t>(6.6)</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26A23243" w14:textId="77777777" w:rsidR="001614AC" w:rsidRDefault="001614AC">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376F0B7B" w14:textId="77777777" w:rsidR="001614AC" w:rsidRDefault="001614AC">
            <w:pPr>
              <w:keepNext/>
            </w:pPr>
          </w:p>
        </w:tc>
        <w:tc>
          <w:tcPr>
            <w:tcW w:w="90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3A18510A" w14:textId="77777777" w:rsidR="001614AC" w:rsidRDefault="004468F9">
            <w:pPr>
              <w:keepNext/>
              <w:spacing w:before="55" w:after="30" w:line="288" w:lineRule="auto"/>
              <w:jc w:val="right"/>
            </w:pPr>
            <w:r>
              <w:rPr>
                <w:rFonts w:ascii="Arial" w:eastAsia="Arial" w:hAnsi="Arial" w:cs="Arial"/>
                <w:color w:val="000000"/>
                <w:sz w:val="18"/>
              </w:rPr>
              <w:t>44.9 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51E9C0ED" w14:textId="77777777" w:rsidR="001614AC" w:rsidRDefault="001614AC">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0F9B2B34" w14:textId="77777777" w:rsidR="001614AC" w:rsidRDefault="001614AC">
            <w:pPr>
              <w:keepNext/>
            </w:pPr>
          </w:p>
        </w:tc>
        <w:tc>
          <w:tcPr>
            <w:tcW w:w="90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4ED51AF8" w14:textId="77777777" w:rsidR="001614AC" w:rsidRDefault="004468F9">
            <w:pPr>
              <w:keepNext/>
              <w:spacing w:before="55" w:after="30" w:line="288" w:lineRule="auto"/>
              <w:jc w:val="right"/>
            </w:pPr>
            <w:r>
              <w:rPr>
                <w:rFonts w:ascii="Arial" w:eastAsia="Arial" w:hAnsi="Arial" w:cs="Arial"/>
                <w:color w:val="000000"/>
                <w:sz w:val="18"/>
              </w:rPr>
              <w:t>40.1 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607874F5" w14:textId="77777777" w:rsidR="001614AC" w:rsidRDefault="001614AC">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082BC52E" w14:textId="77777777" w:rsidR="001614AC" w:rsidRDefault="001614AC">
            <w:pPr>
              <w:keepNext/>
            </w:pPr>
          </w:p>
        </w:tc>
        <w:tc>
          <w:tcPr>
            <w:tcW w:w="117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123837F3" w14:textId="77777777" w:rsidR="001614AC" w:rsidRDefault="004468F9">
            <w:pPr>
              <w:keepNext/>
              <w:spacing w:before="55" w:after="30" w:line="288" w:lineRule="auto"/>
              <w:jc w:val="right"/>
            </w:pPr>
            <w:r>
              <w:rPr>
                <w:rFonts w:ascii="Arial" w:eastAsia="Arial" w:hAnsi="Arial" w:cs="Arial"/>
                <w:color w:val="000000"/>
                <w:sz w:val="18"/>
              </w:rPr>
              <w:t>(4.8)</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11C72EA3" w14:textId="77777777" w:rsidR="001614AC" w:rsidRDefault="001614AC">
            <w:pPr>
              <w:keepNext/>
              <w:spacing w:before="55" w:after="30" w:line="288" w:lineRule="auto"/>
              <w:jc w:val="right"/>
            </w:pPr>
          </w:p>
        </w:tc>
      </w:tr>
      <w:tr w:rsidR="001614AC" w14:paraId="4B4B658A" w14:textId="77777777">
        <w:trPr>
          <w:cantSplit/>
        </w:trPr>
        <w:tc>
          <w:tcPr>
            <w:tcW w:w="2880" w:type="dxa"/>
            <w:tcBorders>
              <w:top w:val="single" w:sz="8" w:space="0" w:color="E9E9E9"/>
              <w:left w:val="nil"/>
              <w:bottom w:val="single" w:sz="8" w:space="0" w:color="E9E9E9"/>
              <w:right w:val="nil"/>
            </w:tcBorders>
            <w:tcMar>
              <w:top w:w="0" w:type="dxa"/>
              <w:left w:w="53" w:type="dxa"/>
              <w:bottom w:w="0" w:type="dxa"/>
              <w:right w:w="53" w:type="dxa"/>
            </w:tcMar>
            <w:vAlign w:val="bottom"/>
          </w:tcPr>
          <w:p w14:paraId="4DBD417B" w14:textId="77777777" w:rsidR="001614AC" w:rsidRDefault="004468F9">
            <w:pPr>
              <w:keepNext/>
              <w:spacing w:before="55" w:after="30" w:line="288" w:lineRule="auto"/>
              <w:rPr>
                <w:rFonts w:ascii="Arial" w:eastAsia="Arial" w:hAnsi="Arial" w:cs="Arial"/>
                <w:sz w:val="18"/>
              </w:rPr>
            </w:pPr>
            <w:r>
              <w:rPr>
                <w:rFonts w:ascii="Arial" w:eastAsia="Arial" w:hAnsi="Arial" w:cs="Arial"/>
                <w:sz w:val="18"/>
              </w:rPr>
              <w:t>Other operating expenses</w:t>
            </w:r>
            <w:r>
              <w:rPr>
                <w:rFonts w:ascii="Arial" w:eastAsia="Arial" w:hAnsi="Arial" w:cs="Arial"/>
                <w:sz w:val="18"/>
                <w:vertAlign w:val="superscript"/>
              </w:rPr>
              <w:t xml:space="preserve"> (3) </w:t>
            </w:r>
          </w:p>
        </w:tc>
        <w:tc>
          <w:tcPr>
            <w:tcW w:w="105" w:type="dxa"/>
            <w:tcBorders>
              <w:top w:val="nil"/>
              <w:left w:val="nil"/>
              <w:bottom w:val="nil"/>
              <w:right w:val="nil"/>
            </w:tcBorders>
            <w:tcMar>
              <w:top w:w="0" w:type="dxa"/>
              <w:left w:w="0" w:type="dxa"/>
              <w:bottom w:w="0" w:type="dxa"/>
              <w:right w:w="0" w:type="dxa"/>
            </w:tcMar>
            <w:vAlign w:val="bottom"/>
          </w:tcPr>
          <w:p w14:paraId="7085FA93" w14:textId="77777777" w:rsidR="001614AC" w:rsidRDefault="001614AC">
            <w:pPr>
              <w:keepNext/>
            </w:pPr>
          </w:p>
        </w:tc>
        <w:tc>
          <w:tcPr>
            <w:tcW w:w="90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5EEAD302" w14:textId="77777777" w:rsidR="001614AC" w:rsidRDefault="004468F9">
            <w:pPr>
              <w:keepNext/>
              <w:spacing w:before="55" w:after="30" w:line="288" w:lineRule="auto"/>
              <w:jc w:val="right"/>
            </w:pPr>
            <w:r>
              <w:rPr>
                <w:rFonts w:ascii="Arial" w:eastAsia="Arial" w:hAnsi="Arial" w:cs="Arial"/>
                <w:color w:val="000000"/>
                <w:sz w:val="18"/>
              </w:rPr>
              <w:t>86.5 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71ADEC6F" w14:textId="77777777" w:rsidR="001614AC" w:rsidRDefault="001614AC">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38545011" w14:textId="77777777" w:rsidR="001614AC" w:rsidRDefault="001614AC">
            <w:pPr>
              <w:keepNext/>
            </w:pPr>
          </w:p>
        </w:tc>
        <w:tc>
          <w:tcPr>
            <w:tcW w:w="90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15906BD4" w14:textId="77777777" w:rsidR="001614AC" w:rsidRDefault="004468F9">
            <w:pPr>
              <w:keepNext/>
              <w:spacing w:before="55" w:after="30" w:line="288" w:lineRule="auto"/>
              <w:jc w:val="right"/>
            </w:pPr>
            <w:r>
              <w:rPr>
                <w:rFonts w:ascii="Arial" w:eastAsia="Arial" w:hAnsi="Arial" w:cs="Arial"/>
                <w:color w:val="000000"/>
                <w:sz w:val="18"/>
              </w:rPr>
              <w:t>60.6 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60855AB6" w14:textId="77777777" w:rsidR="001614AC" w:rsidRDefault="001614AC">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76F5E8E2" w14:textId="77777777" w:rsidR="001614AC" w:rsidRDefault="001614AC">
            <w:pPr>
              <w:keepNext/>
            </w:pPr>
          </w:p>
        </w:tc>
        <w:tc>
          <w:tcPr>
            <w:tcW w:w="117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52F40E1A" w14:textId="77777777" w:rsidR="001614AC" w:rsidRDefault="004468F9">
            <w:pPr>
              <w:keepNext/>
              <w:spacing w:before="55" w:after="30" w:line="288" w:lineRule="auto"/>
              <w:jc w:val="right"/>
            </w:pPr>
            <w:r>
              <w:rPr>
                <w:rFonts w:ascii="Arial" w:eastAsia="Arial" w:hAnsi="Arial" w:cs="Arial"/>
                <w:color w:val="000000"/>
                <w:sz w:val="18"/>
              </w:rPr>
              <w:t>(25.9)</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77CDD9C7" w14:textId="77777777" w:rsidR="001614AC" w:rsidRDefault="001614AC">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2F289B6F" w14:textId="77777777" w:rsidR="001614AC" w:rsidRDefault="001614AC">
            <w:pPr>
              <w:keepNext/>
            </w:pPr>
          </w:p>
        </w:tc>
        <w:tc>
          <w:tcPr>
            <w:tcW w:w="90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43DFB9C8" w14:textId="77777777" w:rsidR="001614AC" w:rsidRDefault="004468F9">
            <w:pPr>
              <w:keepNext/>
              <w:spacing w:before="55" w:after="30" w:line="288" w:lineRule="auto"/>
              <w:jc w:val="right"/>
            </w:pPr>
            <w:r>
              <w:rPr>
                <w:rFonts w:ascii="Arial" w:eastAsia="Arial" w:hAnsi="Arial" w:cs="Arial"/>
                <w:color w:val="000000"/>
                <w:sz w:val="18"/>
              </w:rPr>
              <w:t>156.7 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78E6F9EE" w14:textId="77777777" w:rsidR="001614AC" w:rsidRDefault="001614AC">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500F1C37" w14:textId="77777777" w:rsidR="001614AC" w:rsidRDefault="001614AC">
            <w:pPr>
              <w:keepNext/>
            </w:pPr>
          </w:p>
        </w:tc>
        <w:tc>
          <w:tcPr>
            <w:tcW w:w="90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6EBA5473" w14:textId="77777777" w:rsidR="001614AC" w:rsidRDefault="004468F9">
            <w:pPr>
              <w:keepNext/>
              <w:spacing w:before="55" w:after="30" w:line="288" w:lineRule="auto"/>
              <w:jc w:val="right"/>
            </w:pPr>
            <w:r>
              <w:rPr>
                <w:rFonts w:ascii="Arial" w:eastAsia="Arial" w:hAnsi="Arial" w:cs="Arial"/>
                <w:color w:val="000000"/>
                <w:sz w:val="18"/>
              </w:rPr>
              <w:t>129.7 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7D46C43F" w14:textId="77777777" w:rsidR="001614AC" w:rsidRDefault="001614AC">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1EE3AA7C" w14:textId="77777777" w:rsidR="001614AC" w:rsidRDefault="001614AC">
            <w:pPr>
              <w:keepNext/>
            </w:pPr>
          </w:p>
        </w:tc>
        <w:tc>
          <w:tcPr>
            <w:tcW w:w="117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1F102BCB" w14:textId="77777777" w:rsidR="001614AC" w:rsidRDefault="004468F9">
            <w:pPr>
              <w:keepNext/>
              <w:spacing w:before="55" w:after="30" w:line="288" w:lineRule="auto"/>
              <w:jc w:val="right"/>
            </w:pPr>
            <w:r>
              <w:rPr>
                <w:rFonts w:ascii="Arial" w:eastAsia="Arial" w:hAnsi="Arial" w:cs="Arial"/>
                <w:color w:val="000000"/>
                <w:sz w:val="18"/>
              </w:rPr>
              <w:t>(27.0)</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4A6CCEEE" w14:textId="77777777" w:rsidR="001614AC" w:rsidRDefault="001614AC">
            <w:pPr>
              <w:keepNext/>
              <w:spacing w:before="55" w:after="30" w:line="288" w:lineRule="auto"/>
              <w:jc w:val="right"/>
            </w:pPr>
          </w:p>
        </w:tc>
      </w:tr>
      <w:tr w:rsidR="001614AC" w14:paraId="3E26C370" w14:textId="77777777">
        <w:trPr>
          <w:cantSplit/>
        </w:trPr>
        <w:tc>
          <w:tcPr>
            <w:tcW w:w="2880" w:type="dxa"/>
            <w:tcBorders>
              <w:top w:val="single" w:sz="8" w:space="0" w:color="E9E9E9"/>
              <w:left w:val="nil"/>
              <w:bottom w:val="single" w:sz="8" w:space="0" w:color="E9E9E9"/>
              <w:right w:val="nil"/>
            </w:tcBorders>
            <w:tcMar>
              <w:top w:w="0" w:type="dxa"/>
              <w:left w:w="53" w:type="dxa"/>
              <w:bottom w:w="0" w:type="dxa"/>
              <w:right w:w="53" w:type="dxa"/>
            </w:tcMar>
            <w:vAlign w:val="bottom"/>
          </w:tcPr>
          <w:p w14:paraId="26833A3F" w14:textId="77777777" w:rsidR="001614AC" w:rsidRDefault="004468F9">
            <w:pPr>
              <w:keepNext/>
              <w:spacing w:before="55" w:after="30" w:line="288" w:lineRule="auto"/>
              <w:rPr>
                <w:rFonts w:ascii="Arial" w:eastAsia="Arial" w:hAnsi="Arial" w:cs="Arial"/>
                <w:sz w:val="18"/>
              </w:rPr>
            </w:pPr>
            <w:r>
              <w:rPr>
                <w:rFonts w:ascii="Arial" w:eastAsia="Arial" w:hAnsi="Arial" w:cs="Arial"/>
                <w:sz w:val="18"/>
              </w:rPr>
              <w:t xml:space="preserve">Interest expense </w:t>
            </w:r>
            <w:r>
              <w:rPr>
                <w:rFonts w:ascii="Arial" w:eastAsia="Arial" w:hAnsi="Arial" w:cs="Arial"/>
                <w:sz w:val="18"/>
                <w:vertAlign w:val="superscript"/>
              </w:rPr>
              <w:t>(1)</w:t>
            </w:r>
          </w:p>
        </w:tc>
        <w:tc>
          <w:tcPr>
            <w:tcW w:w="105" w:type="dxa"/>
            <w:tcBorders>
              <w:top w:val="nil"/>
              <w:left w:val="nil"/>
              <w:bottom w:val="nil"/>
              <w:right w:val="nil"/>
            </w:tcBorders>
            <w:tcMar>
              <w:top w:w="0" w:type="dxa"/>
              <w:left w:w="0" w:type="dxa"/>
              <w:bottom w:w="0" w:type="dxa"/>
              <w:right w:w="0" w:type="dxa"/>
            </w:tcMar>
            <w:vAlign w:val="bottom"/>
          </w:tcPr>
          <w:p w14:paraId="135E57EF" w14:textId="77777777" w:rsidR="001614AC" w:rsidRDefault="001614AC">
            <w:pPr>
              <w:keepNext/>
            </w:pPr>
          </w:p>
        </w:tc>
        <w:tc>
          <w:tcPr>
            <w:tcW w:w="90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25602585" w14:textId="77777777" w:rsidR="001614AC" w:rsidRDefault="004468F9">
            <w:pPr>
              <w:keepNext/>
              <w:spacing w:before="55" w:after="30" w:line="288" w:lineRule="auto"/>
              <w:jc w:val="right"/>
            </w:pPr>
            <w:r>
              <w:rPr>
                <w:rFonts w:ascii="Arial" w:eastAsia="Arial" w:hAnsi="Arial" w:cs="Arial"/>
                <w:color w:val="000000"/>
                <w:sz w:val="18"/>
              </w:rPr>
              <w:t>21.1 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748C33E8" w14:textId="77777777" w:rsidR="001614AC" w:rsidRDefault="001614AC">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41B04E42" w14:textId="77777777" w:rsidR="001614AC" w:rsidRDefault="001614AC">
            <w:pPr>
              <w:keepNext/>
            </w:pPr>
          </w:p>
        </w:tc>
        <w:tc>
          <w:tcPr>
            <w:tcW w:w="90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23B700F0" w14:textId="77777777" w:rsidR="001614AC" w:rsidRDefault="004468F9">
            <w:pPr>
              <w:keepNext/>
              <w:spacing w:before="55" w:after="30" w:line="288" w:lineRule="auto"/>
              <w:jc w:val="right"/>
            </w:pPr>
            <w:r>
              <w:rPr>
                <w:rFonts w:ascii="Arial" w:eastAsia="Arial" w:hAnsi="Arial" w:cs="Arial"/>
                <w:color w:val="000000"/>
                <w:sz w:val="18"/>
              </w:rPr>
              <w:t>16.7 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3EABAB30" w14:textId="77777777" w:rsidR="001614AC" w:rsidRDefault="001614AC">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5AD32C86" w14:textId="77777777" w:rsidR="001614AC" w:rsidRDefault="001614AC">
            <w:pPr>
              <w:keepNext/>
            </w:pPr>
          </w:p>
        </w:tc>
        <w:tc>
          <w:tcPr>
            <w:tcW w:w="117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725FF395" w14:textId="77777777" w:rsidR="001614AC" w:rsidRDefault="004468F9">
            <w:pPr>
              <w:keepNext/>
              <w:spacing w:before="55" w:after="30" w:line="288" w:lineRule="auto"/>
              <w:jc w:val="right"/>
            </w:pPr>
            <w:r>
              <w:rPr>
                <w:rFonts w:ascii="Arial" w:eastAsia="Arial" w:hAnsi="Arial" w:cs="Arial"/>
                <w:color w:val="000000"/>
                <w:sz w:val="18"/>
              </w:rPr>
              <w:t>(4.4)</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66109256" w14:textId="77777777" w:rsidR="001614AC" w:rsidRDefault="001614AC">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24CAED26" w14:textId="77777777" w:rsidR="001614AC" w:rsidRDefault="001614AC">
            <w:pPr>
              <w:keepNext/>
            </w:pPr>
          </w:p>
        </w:tc>
        <w:tc>
          <w:tcPr>
            <w:tcW w:w="90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17F8809B" w14:textId="77777777" w:rsidR="001614AC" w:rsidRDefault="004468F9">
            <w:pPr>
              <w:keepNext/>
              <w:spacing w:before="55" w:after="30" w:line="288" w:lineRule="auto"/>
              <w:jc w:val="right"/>
            </w:pPr>
            <w:r>
              <w:rPr>
                <w:rFonts w:ascii="Arial" w:eastAsia="Arial" w:hAnsi="Arial" w:cs="Arial"/>
                <w:color w:val="000000"/>
                <w:sz w:val="18"/>
              </w:rPr>
              <w:t>42.2 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336A7DD2" w14:textId="77777777" w:rsidR="001614AC" w:rsidRDefault="001614AC">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1769AE05" w14:textId="77777777" w:rsidR="001614AC" w:rsidRDefault="001614AC">
            <w:pPr>
              <w:keepNext/>
            </w:pPr>
          </w:p>
        </w:tc>
        <w:tc>
          <w:tcPr>
            <w:tcW w:w="90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4C45A94B" w14:textId="77777777" w:rsidR="001614AC" w:rsidRDefault="004468F9">
            <w:pPr>
              <w:keepNext/>
              <w:spacing w:before="55" w:after="30" w:line="288" w:lineRule="auto"/>
              <w:jc w:val="right"/>
            </w:pPr>
            <w:r>
              <w:rPr>
                <w:rFonts w:ascii="Arial" w:eastAsia="Arial" w:hAnsi="Arial" w:cs="Arial"/>
                <w:color w:val="000000"/>
                <w:sz w:val="18"/>
              </w:rPr>
              <w:t>28.9 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277C73EB" w14:textId="77777777" w:rsidR="001614AC" w:rsidRDefault="001614AC">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6C77D7C2" w14:textId="77777777" w:rsidR="001614AC" w:rsidRDefault="001614AC">
            <w:pPr>
              <w:keepNext/>
            </w:pPr>
          </w:p>
        </w:tc>
        <w:tc>
          <w:tcPr>
            <w:tcW w:w="117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4C9D2211" w14:textId="77777777" w:rsidR="001614AC" w:rsidRDefault="004468F9">
            <w:pPr>
              <w:keepNext/>
              <w:spacing w:before="55" w:after="30" w:line="288" w:lineRule="auto"/>
              <w:jc w:val="right"/>
            </w:pPr>
            <w:r>
              <w:rPr>
                <w:rFonts w:ascii="Arial" w:eastAsia="Arial" w:hAnsi="Arial" w:cs="Arial"/>
                <w:color w:val="000000"/>
                <w:sz w:val="18"/>
              </w:rPr>
              <w:t>(13.3)</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4330B1EE" w14:textId="77777777" w:rsidR="001614AC" w:rsidRDefault="001614AC">
            <w:pPr>
              <w:keepNext/>
              <w:spacing w:before="55" w:after="30" w:line="288" w:lineRule="auto"/>
              <w:jc w:val="right"/>
            </w:pPr>
          </w:p>
        </w:tc>
      </w:tr>
      <w:tr w:rsidR="001614AC" w14:paraId="3D43A979" w14:textId="77777777">
        <w:trPr>
          <w:cantSplit/>
        </w:trPr>
        <w:tc>
          <w:tcPr>
            <w:tcW w:w="2880" w:type="dxa"/>
            <w:tcBorders>
              <w:top w:val="single" w:sz="8" w:space="0" w:color="E9E9E9"/>
              <w:left w:val="nil"/>
              <w:bottom w:val="single" w:sz="8" w:space="0" w:color="E9E9E9"/>
              <w:right w:val="nil"/>
            </w:tcBorders>
            <w:tcMar>
              <w:top w:w="0" w:type="dxa"/>
              <w:left w:w="53" w:type="dxa"/>
              <w:bottom w:w="0" w:type="dxa"/>
              <w:right w:w="53" w:type="dxa"/>
            </w:tcMar>
            <w:vAlign w:val="bottom"/>
          </w:tcPr>
          <w:p w14:paraId="70248091" w14:textId="77777777" w:rsidR="001614AC" w:rsidRDefault="004468F9">
            <w:pPr>
              <w:keepNext/>
              <w:spacing w:before="55" w:after="30" w:line="288" w:lineRule="auto"/>
            </w:pPr>
            <w:r>
              <w:rPr>
                <w:rFonts w:ascii="Arial" w:eastAsia="Arial" w:hAnsi="Arial" w:cs="Arial"/>
                <w:color w:val="000000"/>
                <w:sz w:val="18"/>
              </w:rPr>
              <w:t>Income tax provision (benefit)</w:t>
            </w:r>
          </w:p>
        </w:tc>
        <w:tc>
          <w:tcPr>
            <w:tcW w:w="105" w:type="dxa"/>
            <w:tcBorders>
              <w:top w:val="nil"/>
              <w:left w:val="nil"/>
              <w:bottom w:val="nil"/>
              <w:right w:val="nil"/>
            </w:tcBorders>
            <w:tcMar>
              <w:top w:w="0" w:type="dxa"/>
              <w:left w:w="0" w:type="dxa"/>
              <w:bottom w:w="0" w:type="dxa"/>
              <w:right w:w="0" w:type="dxa"/>
            </w:tcMar>
            <w:vAlign w:val="bottom"/>
          </w:tcPr>
          <w:p w14:paraId="4365358F" w14:textId="77777777" w:rsidR="001614AC" w:rsidRDefault="001614AC">
            <w:pPr>
              <w:keepNext/>
            </w:pPr>
          </w:p>
        </w:tc>
        <w:tc>
          <w:tcPr>
            <w:tcW w:w="90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1CC48498" w14:textId="77777777" w:rsidR="001614AC" w:rsidRDefault="004468F9">
            <w:pPr>
              <w:keepNext/>
              <w:spacing w:before="55" w:after="30" w:line="288" w:lineRule="auto"/>
              <w:jc w:val="right"/>
            </w:pPr>
            <w:r>
              <w:rPr>
                <w:rFonts w:ascii="Arial" w:eastAsia="Arial" w:hAnsi="Arial" w:cs="Arial"/>
                <w:color w:val="000000"/>
                <w:sz w:val="18"/>
              </w:rPr>
              <w:t>40.3 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3A1F864C" w14:textId="77777777" w:rsidR="001614AC" w:rsidRDefault="001614AC">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666FEB99" w14:textId="77777777" w:rsidR="001614AC" w:rsidRDefault="001614AC">
            <w:pPr>
              <w:keepNext/>
            </w:pPr>
          </w:p>
        </w:tc>
        <w:tc>
          <w:tcPr>
            <w:tcW w:w="90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6EAE2C30" w14:textId="77777777" w:rsidR="001614AC" w:rsidRDefault="004468F9">
            <w:pPr>
              <w:keepNext/>
              <w:spacing w:before="55" w:after="30" w:line="288" w:lineRule="auto"/>
              <w:jc w:val="right"/>
            </w:pPr>
            <w:r>
              <w:rPr>
                <w:rFonts w:ascii="Arial" w:eastAsia="Arial" w:hAnsi="Arial" w:cs="Arial"/>
                <w:color w:val="000000"/>
                <w:sz w:val="18"/>
              </w:rPr>
              <w:t>(12.3)</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2AE224F3" w14:textId="77777777" w:rsidR="001614AC" w:rsidRDefault="001614AC">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40B04D54" w14:textId="77777777" w:rsidR="001614AC" w:rsidRDefault="001614AC">
            <w:pPr>
              <w:keepNext/>
            </w:pPr>
          </w:p>
        </w:tc>
        <w:tc>
          <w:tcPr>
            <w:tcW w:w="117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46935B31" w14:textId="77777777" w:rsidR="001614AC" w:rsidRDefault="004468F9">
            <w:pPr>
              <w:keepNext/>
              <w:spacing w:before="55" w:after="30" w:line="288" w:lineRule="auto"/>
              <w:jc w:val="right"/>
            </w:pPr>
            <w:r>
              <w:rPr>
                <w:rFonts w:ascii="Arial" w:eastAsia="Arial" w:hAnsi="Arial" w:cs="Arial"/>
                <w:color w:val="000000"/>
                <w:sz w:val="18"/>
              </w:rPr>
              <w:t>(52.6)</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1E1E522D" w14:textId="77777777" w:rsidR="001614AC" w:rsidRDefault="001614AC">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0C4346FE" w14:textId="77777777" w:rsidR="001614AC" w:rsidRDefault="001614AC">
            <w:pPr>
              <w:keepNext/>
            </w:pPr>
          </w:p>
        </w:tc>
        <w:tc>
          <w:tcPr>
            <w:tcW w:w="90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0C072C0F" w14:textId="77777777" w:rsidR="001614AC" w:rsidRDefault="004468F9">
            <w:pPr>
              <w:keepNext/>
              <w:spacing w:before="55" w:after="30" w:line="288" w:lineRule="auto"/>
              <w:jc w:val="right"/>
            </w:pPr>
            <w:r>
              <w:rPr>
                <w:rFonts w:ascii="Arial" w:eastAsia="Arial" w:hAnsi="Arial" w:cs="Arial"/>
                <w:color w:val="000000"/>
                <w:sz w:val="18"/>
              </w:rPr>
              <w:t>75.9 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0A31EE41" w14:textId="77777777" w:rsidR="001614AC" w:rsidRDefault="001614AC">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388DECEF" w14:textId="77777777" w:rsidR="001614AC" w:rsidRDefault="001614AC">
            <w:pPr>
              <w:keepNext/>
            </w:pPr>
          </w:p>
        </w:tc>
        <w:tc>
          <w:tcPr>
            <w:tcW w:w="90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37C764F1" w14:textId="77777777" w:rsidR="001614AC" w:rsidRDefault="004468F9">
            <w:pPr>
              <w:keepNext/>
              <w:spacing w:before="55" w:after="30" w:line="288" w:lineRule="auto"/>
              <w:jc w:val="right"/>
            </w:pPr>
            <w:r>
              <w:rPr>
                <w:rFonts w:ascii="Arial" w:eastAsia="Arial" w:hAnsi="Arial" w:cs="Arial"/>
                <w:color w:val="000000"/>
                <w:sz w:val="18"/>
              </w:rPr>
              <w:t>28.6 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77783C67" w14:textId="77777777" w:rsidR="001614AC" w:rsidRDefault="001614AC">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5AB226DD" w14:textId="77777777" w:rsidR="001614AC" w:rsidRDefault="001614AC">
            <w:pPr>
              <w:keepNext/>
            </w:pPr>
          </w:p>
        </w:tc>
        <w:tc>
          <w:tcPr>
            <w:tcW w:w="117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7F89D867" w14:textId="77777777" w:rsidR="001614AC" w:rsidRDefault="004468F9">
            <w:pPr>
              <w:keepNext/>
              <w:spacing w:before="55" w:after="30" w:line="288" w:lineRule="auto"/>
              <w:jc w:val="right"/>
            </w:pPr>
            <w:r>
              <w:rPr>
                <w:rFonts w:ascii="Arial" w:eastAsia="Arial" w:hAnsi="Arial" w:cs="Arial"/>
                <w:color w:val="000000"/>
                <w:sz w:val="18"/>
              </w:rPr>
              <w:t>(47.3)</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663FEBBD" w14:textId="77777777" w:rsidR="001614AC" w:rsidRDefault="001614AC">
            <w:pPr>
              <w:keepNext/>
              <w:spacing w:before="55" w:after="30" w:line="288" w:lineRule="auto"/>
              <w:jc w:val="right"/>
            </w:pPr>
          </w:p>
        </w:tc>
      </w:tr>
      <w:tr w:rsidR="001614AC" w14:paraId="153C236B" w14:textId="77777777">
        <w:trPr>
          <w:cantSplit/>
        </w:trPr>
        <w:tc>
          <w:tcPr>
            <w:tcW w:w="2880" w:type="dxa"/>
            <w:tcBorders>
              <w:top w:val="single" w:sz="8" w:space="0" w:color="E9E9E9"/>
              <w:left w:val="nil"/>
              <w:bottom w:val="single" w:sz="8" w:space="0" w:color="E9E9E9"/>
              <w:right w:val="nil"/>
            </w:tcBorders>
            <w:tcMar>
              <w:top w:w="0" w:type="dxa"/>
              <w:left w:w="53" w:type="dxa"/>
              <w:bottom w:w="0" w:type="dxa"/>
              <w:right w:w="53" w:type="dxa"/>
            </w:tcMar>
            <w:vAlign w:val="bottom"/>
          </w:tcPr>
          <w:p w14:paraId="67C94B70" w14:textId="77777777" w:rsidR="001614AC" w:rsidRDefault="004468F9">
            <w:pPr>
              <w:keepNext/>
              <w:spacing w:before="55" w:after="30" w:line="288" w:lineRule="auto"/>
              <w:rPr>
                <w:rFonts w:ascii="Arial" w:eastAsia="Arial" w:hAnsi="Arial" w:cs="Arial"/>
                <w:sz w:val="18"/>
              </w:rPr>
            </w:pPr>
            <w:r>
              <w:rPr>
                <w:rFonts w:ascii="Arial" w:eastAsia="Arial" w:hAnsi="Arial" w:cs="Arial"/>
                <w:sz w:val="18"/>
              </w:rPr>
              <w:t xml:space="preserve">Adjusted pretax operating income (loss) </w:t>
            </w:r>
            <w:r>
              <w:rPr>
                <w:rFonts w:ascii="Arial" w:eastAsia="Arial" w:hAnsi="Arial" w:cs="Arial"/>
                <w:sz w:val="18"/>
                <w:vertAlign w:val="superscript"/>
              </w:rPr>
              <w:t xml:space="preserve">(4) </w:t>
            </w:r>
          </w:p>
        </w:tc>
        <w:tc>
          <w:tcPr>
            <w:tcW w:w="105" w:type="dxa"/>
            <w:tcBorders>
              <w:top w:val="nil"/>
              <w:left w:val="nil"/>
              <w:bottom w:val="nil"/>
              <w:right w:val="nil"/>
            </w:tcBorders>
            <w:tcMar>
              <w:top w:w="0" w:type="dxa"/>
              <w:left w:w="0" w:type="dxa"/>
              <w:bottom w:w="0" w:type="dxa"/>
              <w:right w:w="0" w:type="dxa"/>
            </w:tcMar>
            <w:vAlign w:val="bottom"/>
          </w:tcPr>
          <w:p w14:paraId="306008A4" w14:textId="77777777" w:rsidR="001614AC" w:rsidRDefault="001614AC">
            <w:pPr>
              <w:keepNext/>
            </w:pPr>
          </w:p>
        </w:tc>
        <w:tc>
          <w:tcPr>
            <w:tcW w:w="90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6F384634" w14:textId="77777777" w:rsidR="001614AC" w:rsidRDefault="004468F9">
            <w:pPr>
              <w:keepNext/>
              <w:spacing w:before="55" w:after="30" w:line="288" w:lineRule="auto"/>
              <w:jc w:val="right"/>
            </w:pPr>
            <w:r>
              <w:rPr>
                <w:rFonts w:ascii="Arial" w:eastAsia="Arial" w:hAnsi="Arial" w:cs="Arial"/>
                <w:color w:val="000000"/>
                <w:sz w:val="18"/>
              </w:rPr>
              <w:t>184.7 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5CEA35CB" w14:textId="77777777" w:rsidR="001614AC" w:rsidRDefault="001614AC">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201EA528" w14:textId="77777777" w:rsidR="001614AC" w:rsidRDefault="001614AC">
            <w:pPr>
              <w:keepNext/>
            </w:pPr>
          </w:p>
        </w:tc>
        <w:tc>
          <w:tcPr>
            <w:tcW w:w="90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52B2C566" w14:textId="77777777" w:rsidR="001614AC" w:rsidRDefault="004468F9">
            <w:pPr>
              <w:keepNext/>
              <w:spacing w:before="55" w:after="30" w:line="288" w:lineRule="auto"/>
              <w:jc w:val="right"/>
            </w:pPr>
            <w:r>
              <w:rPr>
                <w:rFonts w:ascii="Arial" w:eastAsia="Arial" w:hAnsi="Arial" w:cs="Arial"/>
                <w:color w:val="000000"/>
                <w:sz w:val="18"/>
              </w:rPr>
              <w:t>(88.5)</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2F4BBA0A" w14:textId="77777777" w:rsidR="001614AC" w:rsidRDefault="001614AC">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072CDF43" w14:textId="77777777" w:rsidR="001614AC" w:rsidRDefault="001614AC">
            <w:pPr>
              <w:keepNext/>
            </w:pPr>
          </w:p>
        </w:tc>
        <w:tc>
          <w:tcPr>
            <w:tcW w:w="117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5F7DC7B5" w14:textId="77777777" w:rsidR="001614AC" w:rsidRDefault="004468F9">
            <w:pPr>
              <w:keepNext/>
              <w:spacing w:before="55" w:after="30" w:line="288" w:lineRule="auto"/>
              <w:jc w:val="right"/>
            </w:pPr>
            <w:r>
              <w:rPr>
                <w:rFonts w:ascii="Arial" w:eastAsia="Arial" w:hAnsi="Arial" w:cs="Arial"/>
                <w:color w:val="000000"/>
                <w:sz w:val="18"/>
              </w:rPr>
              <w:t>273.2 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776357B2" w14:textId="77777777" w:rsidR="001614AC" w:rsidRDefault="001614AC">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39284BEA" w14:textId="77777777" w:rsidR="001614AC" w:rsidRDefault="001614AC">
            <w:pPr>
              <w:keepNext/>
            </w:pPr>
          </w:p>
        </w:tc>
        <w:tc>
          <w:tcPr>
            <w:tcW w:w="90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59F51A69" w14:textId="77777777" w:rsidR="001614AC" w:rsidRDefault="004468F9">
            <w:pPr>
              <w:keepNext/>
              <w:spacing w:before="55" w:after="30" w:line="288" w:lineRule="auto"/>
              <w:jc w:val="right"/>
            </w:pPr>
            <w:r>
              <w:rPr>
                <w:rFonts w:ascii="Arial" w:eastAsia="Arial" w:hAnsi="Arial" w:cs="Arial"/>
                <w:color w:val="000000"/>
                <w:sz w:val="18"/>
              </w:rPr>
              <w:t>352.0 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2B031626" w14:textId="77777777" w:rsidR="001614AC" w:rsidRDefault="001614AC">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307567C7" w14:textId="77777777" w:rsidR="001614AC" w:rsidRDefault="001614AC">
            <w:pPr>
              <w:keepNext/>
            </w:pPr>
          </w:p>
        </w:tc>
        <w:tc>
          <w:tcPr>
            <w:tcW w:w="90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231B0B12" w14:textId="77777777" w:rsidR="001614AC" w:rsidRDefault="004468F9">
            <w:pPr>
              <w:keepNext/>
              <w:spacing w:before="55" w:after="30" w:line="288" w:lineRule="auto"/>
              <w:jc w:val="right"/>
            </w:pPr>
            <w:r>
              <w:rPr>
                <w:rFonts w:ascii="Arial" w:eastAsia="Arial" w:hAnsi="Arial" w:cs="Arial"/>
                <w:color w:val="000000"/>
                <w:sz w:val="18"/>
              </w:rPr>
              <w:t>116.1 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5F8479D8" w14:textId="77777777" w:rsidR="001614AC" w:rsidRDefault="001614AC">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7843382B" w14:textId="77777777" w:rsidR="001614AC" w:rsidRDefault="001614AC">
            <w:pPr>
              <w:keepNext/>
            </w:pPr>
          </w:p>
        </w:tc>
        <w:tc>
          <w:tcPr>
            <w:tcW w:w="117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45CECE9E" w14:textId="77777777" w:rsidR="001614AC" w:rsidRDefault="004468F9">
            <w:pPr>
              <w:keepNext/>
              <w:spacing w:before="55" w:after="30" w:line="288" w:lineRule="auto"/>
              <w:jc w:val="right"/>
            </w:pPr>
            <w:r>
              <w:rPr>
                <w:rFonts w:ascii="Arial" w:eastAsia="Arial" w:hAnsi="Arial" w:cs="Arial"/>
                <w:color w:val="000000"/>
                <w:sz w:val="18"/>
              </w:rPr>
              <w:t>235.9 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29D96D20" w14:textId="77777777" w:rsidR="001614AC" w:rsidRDefault="001614AC">
            <w:pPr>
              <w:keepNext/>
              <w:spacing w:before="55" w:after="30" w:line="288" w:lineRule="auto"/>
              <w:jc w:val="right"/>
            </w:pPr>
          </w:p>
        </w:tc>
      </w:tr>
      <w:tr w:rsidR="001614AC" w14:paraId="62405A5B" w14:textId="77777777">
        <w:trPr>
          <w:cantSplit/>
        </w:trPr>
        <w:tc>
          <w:tcPr>
            <w:tcW w:w="2880" w:type="dxa"/>
            <w:tcBorders>
              <w:top w:val="single" w:sz="8" w:space="0" w:color="E9E9E9"/>
              <w:left w:val="nil"/>
              <w:bottom w:val="single" w:sz="8" w:space="0" w:color="E9E9E9"/>
              <w:right w:val="nil"/>
            </w:tcBorders>
            <w:tcMar>
              <w:top w:w="0" w:type="dxa"/>
              <w:left w:w="53" w:type="dxa"/>
              <w:bottom w:w="0" w:type="dxa"/>
              <w:right w:w="53" w:type="dxa"/>
            </w:tcMar>
            <w:vAlign w:val="bottom"/>
          </w:tcPr>
          <w:p w14:paraId="3F277B97" w14:textId="77777777" w:rsidR="001614AC" w:rsidRDefault="004468F9">
            <w:pPr>
              <w:keepNext/>
              <w:spacing w:before="55" w:after="30" w:line="288" w:lineRule="auto"/>
              <w:rPr>
                <w:rFonts w:ascii="Arial" w:eastAsia="Arial" w:hAnsi="Arial" w:cs="Arial"/>
                <w:sz w:val="18"/>
              </w:rPr>
            </w:pPr>
            <w:r>
              <w:rPr>
                <w:rFonts w:ascii="Arial" w:eastAsia="Arial" w:hAnsi="Arial" w:cs="Arial"/>
                <w:sz w:val="18"/>
              </w:rPr>
              <w:t xml:space="preserve">Adjusted diluted net operating income (loss) per share </w:t>
            </w:r>
            <w:r>
              <w:rPr>
                <w:rFonts w:ascii="Arial" w:eastAsia="Arial" w:hAnsi="Arial" w:cs="Arial"/>
                <w:sz w:val="18"/>
                <w:vertAlign w:val="superscript"/>
              </w:rPr>
              <w:t xml:space="preserve">(4) </w:t>
            </w:r>
          </w:p>
        </w:tc>
        <w:tc>
          <w:tcPr>
            <w:tcW w:w="105" w:type="dxa"/>
            <w:tcBorders>
              <w:top w:val="nil"/>
              <w:left w:val="nil"/>
              <w:bottom w:val="nil"/>
              <w:right w:val="nil"/>
            </w:tcBorders>
            <w:tcMar>
              <w:top w:w="0" w:type="dxa"/>
              <w:left w:w="0" w:type="dxa"/>
              <w:bottom w:w="0" w:type="dxa"/>
              <w:right w:w="0" w:type="dxa"/>
            </w:tcMar>
            <w:vAlign w:val="bottom"/>
          </w:tcPr>
          <w:p w14:paraId="68BD20C7" w14:textId="77777777" w:rsidR="001614AC" w:rsidRDefault="001614AC">
            <w:pPr>
              <w:keepNext/>
            </w:pPr>
          </w:p>
        </w:tc>
        <w:tc>
          <w:tcPr>
            <w:tcW w:w="90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3A9F52BA" w14:textId="77777777" w:rsidR="001614AC" w:rsidRDefault="004468F9">
            <w:pPr>
              <w:keepNext/>
              <w:spacing w:before="55" w:after="30" w:line="288" w:lineRule="auto"/>
              <w:jc w:val="right"/>
            </w:pPr>
            <w:r>
              <w:rPr>
                <w:rFonts w:ascii="Arial" w:eastAsia="Arial" w:hAnsi="Arial" w:cs="Arial"/>
                <w:color w:val="000000"/>
                <w:sz w:val="18"/>
              </w:rPr>
              <w:t>0.75 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0D357AA5" w14:textId="77777777" w:rsidR="001614AC" w:rsidRDefault="001614AC">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57AED3F2" w14:textId="77777777" w:rsidR="001614AC" w:rsidRDefault="001614AC">
            <w:pPr>
              <w:keepNext/>
            </w:pPr>
          </w:p>
        </w:tc>
        <w:tc>
          <w:tcPr>
            <w:tcW w:w="90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6905DA1B" w14:textId="77777777" w:rsidR="001614AC" w:rsidRDefault="004468F9">
            <w:pPr>
              <w:keepNext/>
              <w:spacing w:before="55" w:after="30" w:line="288" w:lineRule="auto"/>
              <w:jc w:val="right"/>
            </w:pPr>
            <w:r>
              <w:rPr>
                <w:rFonts w:ascii="Arial" w:eastAsia="Arial" w:hAnsi="Arial" w:cs="Arial"/>
                <w:color w:val="000000"/>
                <w:sz w:val="18"/>
              </w:rPr>
              <w:t>(0.36)</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208D2CEE" w14:textId="77777777" w:rsidR="001614AC" w:rsidRDefault="001614AC">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6301683F" w14:textId="77777777" w:rsidR="001614AC" w:rsidRDefault="001614AC">
            <w:pPr>
              <w:keepNext/>
            </w:pPr>
          </w:p>
        </w:tc>
        <w:tc>
          <w:tcPr>
            <w:tcW w:w="117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48092528" w14:textId="77777777" w:rsidR="001614AC" w:rsidRDefault="004468F9">
            <w:pPr>
              <w:keepNext/>
              <w:spacing w:before="55" w:after="30" w:line="288" w:lineRule="auto"/>
              <w:jc w:val="right"/>
            </w:pPr>
            <w:r>
              <w:rPr>
                <w:rFonts w:ascii="Arial" w:eastAsia="Arial" w:hAnsi="Arial" w:cs="Arial"/>
                <w:color w:val="000000"/>
                <w:sz w:val="18"/>
              </w:rPr>
              <w:t>1.11 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21E35B6E" w14:textId="77777777" w:rsidR="001614AC" w:rsidRDefault="001614AC">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2A375405" w14:textId="77777777" w:rsidR="001614AC" w:rsidRDefault="001614AC">
            <w:pPr>
              <w:keepNext/>
            </w:pPr>
          </w:p>
        </w:tc>
        <w:tc>
          <w:tcPr>
            <w:tcW w:w="90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279EFB1E" w14:textId="77777777" w:rsidR="001614AC" w:rsidRDefault="004468F9">
            <w:pPr>
              <w:keepNext/>
              <w:spacing w:before="55" w:after="30" w:line="288" w:lineRule="auto"/>
              <w:jc w:val="right"/>
            </w:pPr>
            <w:r>
              <w:rPr>
                <w:rFonts w:ascii="Arial" w:eastAsia="Arial" w:hAnsi="Arial" w:cs="Arial"/>
                <w:color w:val="000000"/>
                <w:sz w:val="18"/>
              </w:rPr>
              <w:t>1.43 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19146353" w14:textId="77777777" w:rsidR="001614AC" w:rsidRDefault="001614AC">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3E332E2F" w14:textId="77777777" w:rsidR="001614AC" w:rsidRDefault="001614AC">
            <w:pPr>
              <w:keepNext/>
            </w:pPr>
          </w:p>
        </w:tc>
        <w:tc>
          <w:tcPr>
            <w:tcW w:w="90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4C7FA268" w14:textId="77777777" w:rsidR="001614AC" w:rsidRDefault="004468F9">
            <w:pPr>
              <w:keepNext/>
              <w:spacing w:before="55" w:after="30" w:line="288" w:lineRule="auto"/>
              <w:jc w:val="right"/>
            </w:pPr>
            <w:r>
              <w:rPr>
                <w:rFonts w:ascii="Arial" w:eastAsia="Arial" w:hAnsi="Arial" w:cs="Arial"/>
                <w:color w:val="000000"/>
                <w:sz w:val="18"/>
              </w:rPr>
              <w:t>0.46 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578647BF" w14:textId="77777777" w:rsidR="001614AC" w:rsidRDefault="001614AC">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557B4DAA" w14:textId="77777777" w:rsidR="001614AC" w:rsidRDefault="001614AC">
            <w:pPr>
              <w:keepNext/>
            </w:pPr>
          </w:p>
        </w:tc>
        <w:tc>
          <w:tcPr>
            <w:tcW w:w="117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765F6672" w14:textId="77777777" w:rsidR="001614AC" w:rsidRDefault="004468F9">
            <w:pPr>
              <w:keepNext/>
              <w:spacing w:before="55" w:after="30" w:line="288" w:lineRule="auto"/>
              <w:jc w:val="right"/>
            </w:pPr>
            <w:r>
              <w:rPr>
                <w:rFonts w:ascii="Arial" w:eastAsia="Arial" w:hAnsi="Arial" w:cs="Arial"/>
                <w:color w:val="000000"/>
                <w:sz w:val="18"/>
              </w:rPr>
              <w:t>0.97 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44EA0EA3" w14:textId="77777777" w:rsidR="001614AC" w:rsidRDefault="001614AC">
            <w:pPr>
              <w:keepNext/>
              <w:spacing w:before="55" w:after="30" w:line="288" w:lineRule="auto"/>
              <w:jc w:val="right"/>
            </w:pPr>
          </w:p>
        </w:tc>
      </w:tr>
      <w:tr w:rsidR="001614AC" w14:paraId="1C3FDDDB" w14:textId="77777777">
        <w:trPr>
          <w:cantSplit/>
        </w:trPr>
        <w:tc>
          <w:tcPr>
            <w:tcW w:w="2880" w:type="dxa"/>
            <w:tcBorders>
              <w:top w:val="single" w:sz="8" w:space="0" w:color="E9E9E9"/>
              <w:left w:val="nil"/>
              <w:bottom w:val="single" w:sz="8" w:space="0" w:color="E9E9E9"/>
              <w:right w:val="nil"/>
            </w:tcBorders>
            <w:tcMar>
              <w:top w:w="0" w:type="dxa"/>
              <w:left w:w="53" w:type="dxa"/>
              <w:bottom w:w="0" w:type="dxa"/>
              <w:right w:w="53" w:type="dxa"/>
            </w:tcMar>
            <w:vAlign w:val="bottom"/>
          </w:tcPr>
          <w:p w14:paraId="59D7386A" w14:textId="77777777" w:rsidR="001614AC" w:rsidRDefault="004468F9">
            <w:pPr>
              <w:keepNext/>
              <w:spacing w:before="55" w:after="30" w:line="288" w:lineRule="auto"/>
            </w:pPr>
            <w:r>
              <w:rPr>
                <w:rFonts w:ascii="Arial" w:eastAsia="Arial" w:hAnsi="Arial" w:cs="Arial"/>
                <w:color w:val="000000"/>
                <w:sz w:val="18"/>
              </w:rPr>
              <w:t>Return on equity</w:t>
            </w:r>
          </w:p>
        </w:tc>
        <w:tc>
          <w:tcPr>
            <w:tcW w:w="105" w:type="dxa"/>
            <w:tcBorders>
              <w:top w:val="nil"/>
              <w:left w:val="nil"/>
              <w:bottom w:val="nil"/>
              <w:right w:val="nil"/>
            </w:tcBorders>
            <w:tcMar>
              <w:top w:w="0" w:type="dxa"/>
              <w:left w:w="0" w:type="dxa"/>
              <w:bottom w:w="0" w:type="dxa"/>
              <w:right w:w="0" w:type="dxa"/>
            </w:tcMar>
            <w:vAlign w:val="bottom"/>
          </w:tcPr>
          <w:p w14:paraId="309C0ECE" w14:textId="77777777" w:rsidR="001614AC" w:rsidRDefault="001614AC">
            <w:pPr>
              <w:keepNext/>
            </w:pPr>
          </w:p>
        </w:tc>
        <w:tc>
          <w:tcPr>
            <w:tcW w:w="90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6DF0B592" w14:textId="77777777" w:rsidR="001614AC" w:rsidRDefault="004468F9">
            <w:pPr>
              <w:keepNext/>
              <w:spacing w:before="55" w:after="30" w:line="288" w:lineRule="auto"/>
              <w:jc w:val="right"/>
            </w:pPr>
            <w:r>
              <w:rPr>
                <w:rFonts w:ascii="Arial" w:eastAsia="Arial" w:hAnsi="Arial" w:cs="Arial"/>
                <w:color w:val="000000"/>
                <w:sz w:val="18"/>
              </w:rPr>
              <w:t>14.5 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46729FD8" w14:textId="77777777" w:rsidR="001614AC" w:rsidRDefault="004468F9">
            <w:pPr>
              <w:keepNext/>
              <w:spacing w:before="55" w:after="30" w:line="288" w:lineRule="auto"/>
              <w:jc w:val="right"/>
            </w:pPr>
            <w:r>
              <w:rPr>
                <w:rFonts w:ascii="Arial" w:eastAsia="Arial" w:hAnsi="Arial" w:cs="Arial"/>
                <w:color w:val="000000"/>
                <w:sz w:val="18"/>
              </w:rPr>
              <w:t>%</w:t>
            </w:r>
          </w:p>
        </w:tc>
        <w:tc>
          <w:tcPr>
            <w:tcW w:w="105" w:type="dxa"/>
            <w:tcBorders>
              <w:top w:val="nil"/>
              <w:left w:val="nil"/>
              <w:bottom w:val="nil"/>
              <w:right w:val="nil"/>
            </w:tcBorders>
            <w:tcMar>
              <w:top w:w="0" w:type="dxa"/>
              <w:left w:w="0" w:type="dxa"/>
              <w:bottom w:w="0" w:type="dxa"/>
              <w:right w:w="0" w:type="dxa"/>
            </w:tcMar>
            <w:vAlign w:val="bottom"/>
          </w:tcPr>
          <w:p w14:paraId="366AFA69" w14:textId="77777777" w:rsidR="001614AC" w:rsidRDefault="001614AC">
            <w:pPr>
              <w:keepNext/>
            </w:pPr>
          </w:p>
        </w:tc>
        <w:tc>
          <w:tcPr>
            <w:tcW w:w="90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411558EC" w14:textId="77777777" w:rsidR="001614AC" w:rsidRDefault="004468F9">
            <w:pPr>
              <w:keepNext/>
              <w:spacing w:before="55" w:after="30" w:line="288" w:lineRule="auto"/>
              <w:jc w:val="right"/>
            </w:pPr>
            <w:r>
              <w:rPr>
                <w:rFonts w:ascii="Arial" w:eastAsia="Arial" w:hAnsi="Arial" w:cs="Arial"/>
                <w:color w:val="000000"/>
                <w:sz w:val="18"/>
              </w:rPr>
              <w:t>(3.1)</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6B013A36" w14:textId="77777777" w:rsidR="001614AC" w:rsidRDefault="004468F9">
            <w:pPr>
              <w:keepNext/>
              <w:spacing w:before="55" w:after="30" w:line="288" w:lineRule="auto"/>
              <w:jc w:val="right"/>
            </w:pPr>
            <w:r>
              <w:rPr>
                <w:rFonts w:ascii="Arial" w:eastAsia="Arial" w:hAnsi="Arial" w:cs="Arial"/>
                <w:color w:val="000000"/>
                <w:sz w:val="18"/>
              </w:rPr>
              <w:t>%</w:t>
            </w:r>
          </w:p>
        </w:tc>
        <w:tc>
          <w:tcPr>
            <w:tcW w:w="105" w:type="dxa"/>
            <w:tcBorders>
              <w:top w:val="nil"/>
              <w:left w:val="nil"/>
              <w:bottom w:val="nil"/>
              <w:right w:val="nil"/>
            </w:tcBorders>
            <w:tcMar>
              <w:top w:w="0" w:type="dxa"/>
              <w:left w:w="0" w:type="dxa"/>
              <w:bottom w:w="0" w:type="dxa"/>
              <w:right w:w="0" w:type="dxa"/>
            </w:tcMar>
            <w:vAlign w:val="bottom"/>
          </w:tcPr>
          <w:p w14:paraId="292319B6" w14:textId="77777777" w:rsidR="001614AC" w:rsidRDefault="001614AC">
            <w:pPr>
              <w:keepNext/>
            </w:pPr>
          </w:p>
        </w:tc>
        <w:tc>
          <w:tcPr>
            <w:tcW w:w="117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429E2AC4" w14:textId="77777777" w:rsidR="001614AC" w:rsidRDefault="004468F9">
            <w:pPr>
              <w:keepNext/>
              <w:spacing w:before="55" w:after="30" w:line="288" w:lineRule="auto"/>
              <w:jc w:val="right"/>
            </w:pPr>
            <w:r>
              <w:rPr>
                <w:rFonts w:ascii="Arial" w:eastAsia="Arial" w:hAnsi="Arial" w:cs="Arial"/>
                <w:color w:val="000000"/>
                <w:sz w:val="18"/>
              </w:rPr>
              <w:t>17.6 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48DB7E44" w14:textId="77777777" w:rsidR="001614AC" w:rsidRDefault="004468F9">
            <w:pPr>
              <w:keepNext/>
              <w:spacing w:before="55" w:after="30" w:line="288" w:lineRule="auto"/>
              <w:jc w:val="right"/>
            </w:pPr>
            <w:r>
              <w:rPr>
                <w:rFonts w:ascii="Arial" w:eastAsia="Arial" w:hAnsi="Arial" w:cs="Arial"/>
                <w:color w:val="000000"/>
                <w:sz w:val="18"/>
              </w:rPr>
              <w:t>%</w:t>
            </w:r>
          </w:p>
        </w:tc>
        <w:tc>
          <w:tcPr>
            <w:tcW w:w="105" w:type="dxa"/>
            <w:tcBorders>
              <w:top w:val="nil"/>
              <w:left w:val="nil"/>
              <w:bottom w:val="nil"/>
              <w:right w:val="nil"/>
            </w:tcBorders>
            <w:tcMar>
              <w:top w:w="0" w:type="dxa"/>
              <w:left w:w="0" w:type="dxa"/>
              <w:bottom w:w="0" w:type="dxa"/>
              <w:right w:w="0" w:type="dxa"/>
            </w:tcMar>
            <w:vAlign w:val="bottom"/>
          </w:tcPr>
          <w:p w14:paraId="2787C11C" w14:textId="77777777" w:rsidR="001614AC" w:rsidRDefault="001614AC">
            <w:pPr>
              <w:keepNext/>
            </w:pPr>
          </w:p>
        </w:tc>
        <w:tc>
          <w:tcPr>
            <w:tcW w:w="90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1E0810D0" w14:textId="77777777" w:rsidR="001614AC" w:rsidRDefault="004468F9">
            <w:pPr>
              <w:keepNext/>
              <w:spacing w:before="55" w:after="30" w:line="288" w:lineRule="auto"/>
              <w:jc w:val="right"/>
            </w:pPr>
            <w:r>
              <w:rPr>
                <w:rFonts w:ascii="Arial" w:eastAsia="Arial" w:hAnsi="Arial" w:cs="Arial"/>
                <w:color w:val="000000"/>
                <w:sz w:val="18"/>
              </w:rPr>
              <w:t>13.0 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3679B389" w14:textId="77777777" w:rsidR="001614AC" w:rsidRDefault="004468F9">
            <w:pPr>
              <w:keepNext/>
              <w:spacing w:before="55" w:after="30" w:line="288" w:lineRule="auto"/>
              <w:jc w:val="right"/>
            </w:pPr>
            <w:r>
              <w:rPr>
                <w:rFonts w:ascii="Arial" w:eastAsia="Arial" w:hAnsi="Arial" w:cs="Arial"/>
                <w:color w:val="000000"/>
                <w:sz w:val="18"/>
              </w:rPr>
              <w:t>%</w:t>
            </w:r>
          </w:p>
        </w:tc>
        <w:tc>
          <w:tcPr>
            <w:tcW w:w="105" w:type="dxa"/>
            <w:tcBorders>
              <w:top w:val="nil"/>
              <w:left w:val="nil"/>
              <w:bottom w:val="nil"/>
              <w:right w:val="nil"/>
            </w:tcBorders>
            <w:tcMar>
              <w:top w:w="0" w:type="dxa"/>
              <w:left w:w="0" w:type="dxa"/>
              <w:bottom w:w="0" w:type="dxa"/>
              <w:right w:w="0" w:type="dxa"/>
            </w:tcMar>
            <w:vAlign w:val="bottom"/>
          </w:tcPr>
          <w:p w14:paraId="75E95C8B" w14:textId="77777777" w:rsidR="001614AC" w:rsidRDefault="001614AC">
            <w:pPr>
              <w:keepNext/>
            </w:pPr>
          </w:p>
        </w:tc>
        <w:tc>
          <w:tcPr>
            <w:tcW w:w="90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14902F2B" w14:textId="77777777" w:rsidR="001614AC" w:rsidRDefault="004468F9">
            <w:pPr>
              <w:keepNext/>
              <w:spacing w:before="55" w:after="30" w:line="288" w:lineRule="auto"/>
              <w:jc w:val="right"/>
            </w:pPr>
            <w:r>
              <w:rPr>
                <w:rFonts w:ascii="Arial" w:eastAsia="Arial" w:hAnsi="Arial" w:cs="Arial"/>
                <w:color w:val="000000"/>
                <w:sz w:val="18"/>
              </w:rPr>
              <w:t>5.5 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7A6E4308" w14:textId="77777777" w:rsidR="001614AC" w:rsidRDefault="004468F9">
            <w:pPr>
              <w:keepNext/>
              <w:spacing w:before="55" w:after="30" w:line="288" w:lineRule="auto"/>
              <w:jc w:val="right"/>
            </w:pPr>
            <w:r>
              <w:rPr>
                <w:rFonts w:ascii="Arial" w:eastAsia="Arial" w:hAnsi="Arial" w:cs="Arial"/>
                <w:color w:val="000000"/>
                <w:sz w:val="18"/>
              </w:rPr>
              <w:t>%</w:t>
            </w:r>
          </w:p>
        </w:tc>
        <w:tc>
          <w:tcPr>
            <w:tcW w:w="105" w:type="dxa"/>
            <w:tcBorders>
              <w:top w:val="nil"/>
              <w:left w:val="nil"/>
              <w:bottom w:val="nil"/>
              <w:right w:val="nil"/>
            </w:tcBorders>
            <w:tcMar>
              <w:top w:w="0" w:type="dxa"/>
              <w:left w:w="0" w:type="dxa"/>
              <w:bottom w:w="0" w:type="dxa"/>
              <w:right w:w="0" w:type="dxa"/>
            </w:tcMar>
            <w:vAlign w:val="bottom"/>
          </w:tcPr>
          <w:p w14:paraId="730E95DF" w14:textId="77777777" w:rsidR="001614AC" w:rsidRDefault="001614AC">
            <w:pPr>
              <w:keepNext/>
            </w:pPr>
          </w:p>
        </w:tc>
        <w:tc>
          <w:tcPr>
            <w:tcW w:w="117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1198718B" w14:textId="77777777" w:rsidR="001614AC" w:rsidRDefault="004468F9">
            <w:pPr>
              <w:keepNext/>
              <w:spacing w:before="55" w:after="30" w:line="288" w:lineRule="auto"/>
              <w:jc w:val="right"/>
            </w:pPr>
            <w:r>
              <w:rPr>
                <w:rFonts w:ascii="Arial" w:eastAsia="Arial" w:hAnsi="Arial" w:cs="Arial"/>
                <w:color w:val="000000"/>
                <w:sz w:val="18"/>
              </w:rPr>
              <w:t>7.5 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204899C5" w14:textId="77777777" w:rsidR="001614AC" w:rsidRDefault="004468F9">
            <w:pPr>
              <w:keepNext/>
              <w:spacing w:before="55" w:after="30" w:line="288" w:lineRule="auto"/>
              <w:jc w:val="right"/>
            </w:pPr>
            <w:r>
              <w:rPr>
                <w:rFonts w:ascii="Arial" w:eastAsia="Arial" w:hAnsi="Arial" w:cs="Arial"/>
                <w:color w:val="000000"/>
                <w:sz w:val="18"/>
              </w:rPr>
              <w:t>%</w:t>
            </w:r>
          </w:p>
        </w:tc>
      </w:tr>
      <w:tr w:rsidR="001614AC" w14:paraId="06A9D259" w14:textId="77777777">
        <w:trPr>
          <w:cantSplit/>
        </w:trPr>
        <w:tc>
          <w:tcPr>
            <w:tcW w:w="2880" w:type="dxa"/>
            <w:tcBorders>
              <w:top w:val="single" w:sz="8" w:space="0" w:color="E9E9E9"/>
              <w:left w:val="nil"/>
              <w:bottom w:val="single" w:sz="8" w:space="0" w:color="E9E9E9"/>
              <w:right w:val="nil"/>
            </w:tcBorders>
            <w:tcMar>
              <w:top w:w="0" w:type="dxa"/>
              <w:left w:w="53" w:type="dxa"/>
              <w:bottom w:w="0" w:type="dxa"/>
              <w:right w:w="53" w:type="dxa"/>
            </w:tcMar>
            <w:vAlign w:val="bottom"/>
          </w:tcPr>
          <w:p w14:paraId="592ED261" w14:textId="77777777" w:rsidR="001614AC" w:rsidRDefault="004468F9">
            <w:pPr>
              <w:spacing w:before="55" w:after="30" w:line="288" w:lineRule="auto"/>
              <w:rPr>
                <w:rFonts w:ascii="Arial" w:eastAsia="Arial" w:hAnsi="Arial" w:cs="Arial"/>
                <w:sz w:val="18"/>
              </w:rPr>
            </w:pPr>
            <w:r>
              <w:rPr>
                <w:rFonts w:ascii="Arial" w:eastAsia="Arial" w:hAnsi="Arial" w:cs="Arial"/>
                <w:sz w:val="18"/>
              </w:rPr>
              <w:t xml:space="preserve">Adjusted net operating return on equity </w:t>
            </w:r>
            <w:r>
              <w:rPr>
                <w:rFonts w:ascii="Arial" w:eastAsia="Arial" w:hAnsi="Arial" w:cs="Arial"/>
                <w:sz w:val="18"/>
                <w:vertAlign w:val="superscript"/>
              </w:rPr>
              <w:t xml:space="preserve">(4) </w:t>
            </w:r>
          </w:p>
        </w:tc>
        <w:tc>
          <w:tcPr>
            <w:tcW w:w="105" w:type="dxa"/>
            <w:tcBorders>
              <w:top w:val="nil"/>
              <w:left w:val="nil"/>
              <w:bottom w:val="nil"/>
              <w:right w:val="nil"/>
            </w:tcBorders>
            <w:tcMar>
              <w:top w:w="0" w:type="dxa"/>
              <w:left w:w="0" w:type="dxa"/>
              <w:bottom w:w="0" w:type="dxa"/>
              <w:right w:w="0" w:type="dxa"/>
            </w:tcMar>
            <w:vAlign w:val="bottom"/>
          </w:tcPr>
          <w:p w14:paraId="7449B970" w14:textId="77777777" w:rsidR="001614AC" w:rsidRDefault="001614AC"/>
        </w:tc>
        <w:tc>
          <w:tcPr>
            <w:tcW w:w="90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4B5BF499" w14:textId="77777777" w:rsidR="001614AC" w:rsidRDefault="004468F9">
            <w:pPr>
              <w:spacing w:before="55" w:after="30" w:line="288" w:lineRule="auto"/>
              <w:jc w:val="right"/>
            </w:pPr>
            <w:r>
              <w:rPr>
                <w:rFonts w:ascii="Arial" w:eastAsia="Arial" w:hAnsi="Arial" w:cs="Arial"/>
                <w:color w:val="000000"/>
                <w:sz w:val="18"/>
              </w:rPr>
              <w:t>13.6 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21C3759D" w14:textId="77777777" w:rsidR="001614AC" w:rsidRDefault="004468F9">
            <w:pPr>
              <w:spacing w:before="55" w:after="30" w:line="288" w:lineRule="auto"/>
              <w:jc w:val="right"/>
            </w:pPr>
            <w:r>
              <w:rPr>
                <w:rFonts w:ascii="Arial" w:eastAsia="Arial" w:hAnsi="Arial" w:cs="Arial"/>
                <w:color w:val="000000"/>
                <w:sz w:val="18"/>
              </w:rPr>
              <w:t>%</w:t>
            </w:r>
          </w:p>
        </w:tc>
        <w:tc>
          <w:tcPr>
            <w:tcW w:w="105" w:type="dxa"/>
            <w:tcBorders>
              <w:top w:val="nil"/>
              <w:left w:val="nil"/>
              <w:bottom w:val="nil"/>
              <w:right w:val="nil"/>
            </w:tcBorders>
            <w:tcMar>
              <w:top w:w="0" w:type="dxa"/>
              <w:left w:w="0" w:type="dxa"/>
              <w:bottom w:w="0" w:type="dxa"/>
              <w:right w:w="0" w:type="dxa"/>
            </w:tcMar>
            <w:vAlign w:val="bottom"/>
          </w:tcPr>
          <w:p w14:paraId="6283CE51" w14:textId="77777777" w:rsidR="001614AC" w:rsidRDefault="001614AC"/>
        </w:tc>
        <w:tc>
          <w:tcPr>
            <w:tcW w:w="90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758EE1CC" w14:textId="77777777" w:rsidR="001614AC" w:rsidRDefault="004468F9">
            <w:pPr>
              <w:spacing w:before="55" w:after="30" w:line="288" w:lineRule="auto"/>
              <w:jc w:val="right"/>
            </w:pPr>
            <w:r>
              <w:rPr>
                <w:rFonts w:ascii="Arial" w:eastAsia="Arial" w:hAnsi="Arial" w:cs="Arial"/>
                <w:color w:val="000000"/>
                <w:sz w:val="18"/>
              </w:rPr>
              <w:t>(7.1)</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0579504A" w14:textId="77777777" w:rsidR="001614AC" w:rsidRDefault="004468F9">
            <w:pPr>
              <w:spacing w:before="55" w:after="30" w:line="288" w:lineRule="auto"/>
              <w:jc w:val="right"/>
            </w:pPr>
            <w:r>
              <w:rPr>
                <w:rFonts w:ascii="Arial" w:eastAsia="Arial" w:hAnsi="Arial" w:cs="Arial"/>
                <w:color w:val="000000"/>
                <w:sz w:val="18"/>
              </w:rPr>
              <w:t>%</w:t>
            </w:r>
          </w:p>
        </w:tc>
        <w:tc>
          <w:tcPr>
            <w:tcW w:w="105" w:type="dxa"/>
            <w:tcBorders>
              <w:top w:val="nil"/>
              <w:left w:val="nil"/>
              <w:bottom w:val="nil"/>
              <w:right w:val="nil"/>
            </w:tcBorders>
            <w:tcMar>
              <w:top w:w="0" w:type="dxa"/>
              <w:left w:w="0" w:type="dxa"/>
              <w:bottom w:w="0" w:type="dxa"/>
              <w:right w:w="0" w:type="dxa"/>
            </w:tcMar>
            <w:vAlign w:val="bottom"/>
          </w:tcPr>
          <w:p w14:paraId="1A09E00E" w14:textId="77777777" w:rsidR="001614AC" w:rsidRDefault="001614AC"/>
        </w:tc>
        <w:tc>
          <w:tcPr>
            <w:tcW w:w="117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07E54345" w14:textId="77777777" w:rsidR="001614AC" w:rsidRDefault="004468F9">
            <w:pPr>
              <w:spacing w:before="55" w:after="30" w:line="288" w:lineRule="auto"/>
              <w:jc w:val="right"/>
            </w:pPr>
            <w:r>
              <w:rPr>
                <w:rFonts w:ascii="Arial" w:eastAsia="Arial" w:hAnsi="Arial" w:cs="Arial"/>
                <w:color w:val="000000"/>
                <w:sz w:val="18"/>
              </w:rPr>
              <w:t>20.7 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01525ACE" w14:textId="77777777" w:rsidR="001614AC" w:rsidRDefault="004468F9">
            <w:pPr>
              <w:spacing w:before="55" w:after="30" w:line="288" w:lineRule="auto"/>
              <w:jc w:val="right"/>
            </w:pPr>
            <w:r>
              <w:rPr>
                <w:rFonts w:ascii="Arial" w:eastAsia="Arial" w:hAnsi="Arial" w:cs="Arial"/>
                <w:color w:val="000000"/>
                <w:sz w:val="18"/>
              </w:rPr>
              <w:t>%</w:t>
            </w:r>
          </w:p>
        </w:tc>
        <w:tc>
          <w:tcPr>
            <w:tcW w:w="105" w:type="dxa"/>
            <w:tcBorders>
              <w:top w:val="nil"/>
              <w:left w:val="nil"/>
              <w:bottom w:val="nil"/>
              <w:right w:val="nil"/>
            </w:tcBorders>
            <w:tcMar>
              <w:top w:w="0" w:type="dxa"/>
              <w:left w:w="0" w:type="dxa"/>
              <w:bottom w:w="0" w:type="dxa"/>
              <w:right w:w="0" w:type="dxa"/>
            </w:tcMar>
            <w:vAlign w:val="bottom"/>
          </w:tcPr>
          <w:p w14:paraId="4F722ECF" w14:textId="77777777" w:rsidR="001614AC" w:rsidRDefault="001614AC"/>
        </w:tc>
        <w:tc>
          <w:tcPr>
            <w:tcW w:w="90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6A7A87DA" w14:textId="77777777" w:rsidR="001614AC" w:rsidRDefault="004468F9">
            <w:pPr>
              <w:spacing w:before="55" w:after="30" w:line="288" w:lineRule="auto"/>
              <w:jc w:val="right"/>
            </w:pPr>
            <w:r>
              <w:rPr>
                <w:rFonts w:ascii="Arial" w:eastAsia="Arial" w:hAnsi="Arial" w:cs="Arial"/>
                <w:color w:val="000000"/>
                <w:sz w:val="18"/>
              </w:rPr>
              <w:t>12.9 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79BA9487" w14:textId="77777777" w:rsidR="001614AC" w:rsidRDefault="004468F9">
            <w:pPr>
              <w:spacing w:before="55" w:after="30" w:line="288" w:lineRule="auto"/>
              <w:jc w:val="right"/>
            </w:pPr>
            <w:r>
              <w:rPr>
                <w:rFonts w:ascii="Arial" w:eastAsia="Arial" w:hAnsi="Arial" w:cs="Arial"/>
                <w:color w:val="000000"/>
                <w:sz w:val="18"/>
              </w:rPr>
              <w:t>%</w:t>
            </w:r>
          </w:p>
        </w:tc>
        <w:tc>
          <w:tcPr>
            <w:tcW w:w="105" w:type="dxa"/>
            <w:tcBorders>
              <w:top w:val="nil"/>
              <w:left w:val="nil"/>
              <w:bottom w:val="nil"/>
              <w:right w:val="nil"/>
            </w:tcBorders>
            <w:tcMar>
              <w:top w:w="0" w:type="dxa"/>
              <w:left w:w="0" w:type="dxa"/>
              <w:bottom w:w="0" w:type="dxa"/>
              <w:right w:w="0" w:type="dxa"/>
            </w:tcMar>
            <w:vAlign w:val="bottom"/>
          </w:tcPr>
          <w:p w14:paraId="05E0F330" w14:textId="77777777" w:rsidR="001614AC" w:rsidRDefault="001614AC"/>
        </w:tc>
        <w:tc>
          <w:tcPr>
            <w:tcW w:w="90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21DE1A88" w14:textId="77777777" w:rsidR="001614AC" w:rsidRDefault="004468F9">
            <w:pPr>
              <w:spacing w:before="55" w:after="30" w:line="288" w:lineRule="auto"/>
              <w:jc w:val="right"/>
            </w:pPr>
            <w:r>
              <w:rPr>
                <w:rFonts w:ascii="Arial" w:eastAsia="Arial" w:hAnsi="Arial" w:cs="Arial"/>
                <w:color w:val="000000"/>
                <w:sz w:val="18"/>
              </w:rPr>
              <w:t>4.6 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60AC9FAE" w14:textId="77777777" w:rsidR="001614AC" w:rsidRDefault="004468F9">
            <w:pPr>
              <w:spacing w:before="55" w:after="30" w:line="288" w:lineRule="auto"/>
              <w:jc w:val="right"/>
            </w:pPr>
            <w:r>
              <w:rPr>
                <w:rFonts w:ascii="Arial" w:eastAsia="Arial" w:hAnsi="Arial" w:cs="Arial"/>
                <w:color w:val="000000"/>
                <w:sz w:val="18"/>
              </w:rPr>
              <w:t>%</w:t>
            </w:r>
          </w:p>
        </w:tc>
        <w:tc>
          <w:tcPr>
            <w:tcW w:w="105" w:type="dxa"/>
            <w:tcBorders>
              <w:top w:val="nil"/>
              <w:left w:val="nil"/>
              <w:bottom w:val="nil"/>
              <w:right w:val="nil"/>
            </w:tcBorders>
            <w:tcMar>
              <w:top w:w="0" w:type="dxa"/>
              <w:left w:w="0" w:type="dxa"/>
              <w:bottom w:w="0" w:type="dxa"/>
              <w:right w:w="0" w:type="dxa"/>
            </w:tcMar>
            <w:vAlign w:val="bottom"/>
          </w:tcPr>
          <w:p w14:paraId="5976D2F7" w14:textId="77777777" w:rsidR="001614AC" w:rsidRDefault="001614AC"/>
        </w:tc>
        <w:tc>
          <w:tcPr>
            <w:tcW w:w="117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3E883821" w14:textId="77777777" w:rsidR="001614AC" w:rsidRDefault="004468F9">
            <w:pPr>
              <w:spacing w:before="55" w:after="30" w:line="288" w:lineRule="auto"/>
              <w:jc w:val="right"/>
            </w:pPr>
            <w:r>
              <w:rPr>
                <w:rFonts w:ascii="Arial" w:eastAsia="Arial" w:hAnsi="Arial" w:cs="Arial"/>
                <w:color w:val="000000"/>
                <w:sz w:val="18"/>
              </w:rPr>
              <w:t>8.3 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0ADE2122" w14:textId="77777777" w:rsidR="001614AC" w:rsidRDefault="004468F9">
            <w:pPr>
              <w:spacing w:before="55" w:after="30" w:line="288" w:lineRule="auto"/>
              <w:jc w:val="right"/>
            </w:pPr>
            <w:r>
              <w:rPr>
                <w:rFonts w:ascii="Arial" w:eastAsia="Arial" w:hAnsi="Arial" w:cs="Arial"/>
                <w:color w:val="000000"/>
                <w:sz w:val="18"/>
              </w:rPr>
              <w:t>%</w:t>
            </w:r>
          </w:p>
        </w:tc>
      </w:tr>
    </w:tbl>
    <w:p w14:paraId="3BF74E43" w14:textId="77777777" w:rsidR="001614AC" w:rsidRDefault="004468F9" w:rsidP="004468F9">
      <w:pPr>
        <w:numPr>
          <w:ilvl w:val="0"/>
          <w:numId w:val="30"/>
        </w:numPr>
        <w:spacing w:line="288" w:lineRule="auto"/>
        <w:ind w:left="360"/>
        <w:rPr>
          <w:rFonts w:ascii="Arial" w:eastAsia="Arial" w:hAnsi="Arial" w:cs="Arial"/>
          <w:b/>
          <w:color w:val="64615D"/>
          <w:sz w:val="16"/>
        </w:rPr>
      </w:pPr>
      <w:r>
        <w:rPr>
          <w:rFonts w:ascii="Arial" w:eastAsia="Arial" w:hAnsi="Arial" w:cs="Arial"/>
          <w:color w:val="64615D"/>
          <w:sz w:val="16"/>
        </w:rPr>
        <w:t>Relates primarily to the Mortgage segment. See “Results of Operations—Mortgage” for more information.</w:t>
      </w:r>
    </w:p>
    <w:p w14:paraId="19824772" w14:textId="77777777" w:rsidR="001614AC" w:rsidRDefault="004468F9" w:rsidP="004468F9">
      <w:pPr>
        <w:numPr>
          <w:ilvl w:val="0"/>
          <w:numId w:val="30"/>
        </w:numPr>
        <w:spacing w:line="288" w:lineRule="auto"/>
        <w:ind w:left="360"/>
        <w:rPr>
          <w:rFonts w:ascii="Arial" w:eastAsia="Arial" w:hAnsi="Arial" w:cs="Arial"/>
          <w:b/>
          <w:color w:val="64615D"/>
          <w:sz w:val="16"/>
        </w:rPr>
      </w:pPr>
      <w:r>
        <w:rPr>
          <w:rFonts w:ascii="Arial" w:eastAsia="Arial" w:hAnsi="Arial" w:cs="Arial"/>
          <w:color w:val="64615D"/>
          <w:sz w:val="16"/>
        </w:rPr>
        <w:t>Relates primarily to our homegenius segment. See “Results of Operations—homegenius” for more information.</w:t>
      </w:r>
    </w:p>
    <w:p w14:paraId="35FB917E" w14:textId="77777777" w:rsidR="001614AC" w:rsidRDefault="004468F9" w:rsidP="004468F9">
      <w:pPr>
        <w:numPr>
          <w:ilvl w:val="0"/>
          <w:numId w:val="30"/>
        </w:numPr>
        <w:spacing w:line="288" w:lineRule="auto"/>
        <w:ind w:left="360"/>
        <w:rPr>
          <w:rFonts w:ascii="Arial" w:eastAsia="Arial" w:hAnsi="Arial" w:cs="Arial"/>
          <w:b/>
          <w:color w:val="64615D"/>
          <w:sz w:val="16"/>
        </w:rPr>
      </w:pPr>
      <w:r>
        <w:rPr>
          <w:rFonts w:ascii="Arial" w:eastAsia="Arial" w:hAnsi="Arial" w:cs="Arial"/>
          <w:color w:val="64615D"/>
          <w:sz w:val="16"/>
        </w:rPr>
        <w:t>See “Results of Operations—Mortgage,” “Result</w:t>
      </w:r>
      <w:r>
        <w:rPr>
          <w:rFonts w:ascii="Arial" w:eastAsia="Arial" w:hAnsi="Arial" w:cs="Arial"/>
          <w:color w:val="64615D"/>
          <w:sz w:val="16"/>
        </w:rPr>
        <w:t>s of Operations—homegenius” and “Results of Operations—All Other” for more information on both direct and allocated operating expenses.</w:t>
      </w:r>
    </w:p>
    <w:p w14:paraId="0F0967A4" w14:textId="77777777" w:rsidR="001614AC" w:rsidRDefault="004468F9" w:rsidP="004468F9">
      <w:pPr>
        <w:numPr>
          <w:ilvl w:val="0"/>
          <w:numId w:val="30"/>
        </w:numPr>
        <w:spacing w:line="288" w:lineRule="auto"/>
        <w:ind w:left="360"/>
        <w:rPr>
          <w:rFonts w:ascii="Arial" w:eastAsia="Arial" w:hAnsi="Arial" w:cs="Arial"/>
          <w:b/>
          <w:color w:val="64615D"/>
          <w:sz w:val="16"/>
        </w:rPr>
      </w:pPr>
      <w:r>
        <w:rPr>
          <w:rFonts w:ascii="Arial" w:eastAsia="Arial" w:hAnsi="Arial" w:cs="Arial"/>
          <w:color w:val="64615D"/>
          <w:sz w:val="16"/>
        </w:rPr>
        <w:t>See “—</w:t>
      </w:r>
      <w:r>
        <w:rPr>
          <w:rFonts w:ascii="Arial" w:eastAsia="Arial" w:hAnsi="Arial" w:cs="Arial"/>
          <w:i/>
          <w:color w:val="64615D"/>
          <w:sz w:val="16"/>
        </w:rPr>
        <w:t>Use of Non-GAAP Financial Measures</w:t>
      </w:r>
      <w:r>
        <w:rPr>
          <w:rFonts w:ascii="Arial" w:eastAsia="Arial" w:hAnsi="Arial" w:cs="Arial"/>
          <w:color w:val="64615D"/>
          <w:sz w:val="16"/>
        </w:rPr>
        <w:t xml:space="preserve">” below. </w:t>
      </w:r>
    </w:p>
    <w:p w14:paraId="76D9C263" w14:textId="77777777" w:rsidR="001614AC" w:rsidRDefault="004468F9">
      <w:pPr>
        <w:spacing w:before="200" w:after="100" w:line="288" w:lineRule="auto"/>
        <w:ind w:firstLine="450"/>
        <w:rPr>
          <w:rFonts w:ascii="Arial" w:eastAsia="Arial" w:hAnsi="Arial" w:cs="Arial"/>
          <w:b/>
          <w:i/>
          <w:color w:val="64615D"/>
          <w:sz w:val="18"/>
        </w:rPr>
      </w:pPr>
      <w:r>
        <w:rPr>
          <w:rFonts w:ascii="Arial" w:eastAsia="Arial" w:hAnsi="Arial" w:cs="Arial"/>
          <w:b/>
          <w:i/>
          <w:sz w:val="18"/>
        </w:rPr>
        <w:t xml:space="preserve">Net Income (Loss). </w:t>
      </w:r>
      <w:r>
        <w:rPr>
          <w:rFonts w:ascii="Arial" w:eastAsia="Arial" w:hAnsi="Arial" w:cs="Arial"/>
          <w:sz w:val="18"/>
        </w:rPr>
        <w:t>As discussed in more detail below, our net income f</w:t>
      </w:r>
      <w:r>
        <w:rPr>
          <w:rFonts w:ascii="Arial" w:eastAsia="Arial" w:hAnsi="Arial" w:cs="Arial"/>
          <w:sz w:val="18"/>
        </w:rPr>
        <w:t xml:space="preserve">or the three and six months ended June 30, 2021, increased as compared to the same periods in 2020, primarily reflecting a decrease in provision for losses related to our Mortgage segment. Partially offsetting this item was: (i) a decrease in net gains on </w:t>
      </w:r>
      <w:r>
        <w:rPr>
          <w:rFonts w:ascii="Arial" w:eastAsia="Arial" w:hAnsi="Arial" w:cs="Arial"/>
          <w:sz w:val="18"/>
        </w:rPr>
        <w:t xml:space="preserve">investments and other financial instruments; (ii) an increase in other operating expenses; and (iii) an increase in interest expense. </w:t>
      </w:r>
    </w:p>
    <w:p w14:paraId="1B033891" w14:textId="77777777" w:rsidR="001614AC" w:rsidRDefault="004468F9">
      <w:pPr>
        <w:spacing w:before="100" w:after="100" w:line="288" w:lineRule="auto"/>
        <w:ind w:firstLine="450"/>
        <w:rPr>
          <w:rFonts w:ascii="Arial" w:eastAsia="Arial" w:hAnsi="Arial" w:cs="Arial"/>
          <w:b/>
          <w:i/>
          <w:color w:val="64615D"/>
          <w:sz w:val="18"/>
        </w:rPr>
      </w:pPr>
      <w:r>
        <w:rPr>
          <w:rFonts w:ascii="Arial" w:eastAsia="Arial" w:hAnsi="Arial" w:cs="Arial"/>
          <w:b/>
          <w:i/>
          <w:sz w:val="18"/>
        </w:rPr>
        <w:t xml:space="preserve">Diluted Net Income (Loss) Per Share. </w:t>
      </w:r>
      <w:r>
        <w:rPr>
          <w:rFonts w:ascii="Arial" w:eastAsia="Arial" w:hAnsi="Arial" w:cs="Arial"/>
          <w:sz w:val="18"/>
        </w:rPr>
        <w:t>The increase in diluted net income per share for the three and six months ended June</w:t>
      </w:r>
      <w:r>
        <w:rPr>
          <w:rFonts w:ascii="Arial" w:eastAsia="Arial" w:hAnsi="Arial" w:cs="Arial"/>
          <w:sz w:val="18"/>
        </w:rPr>
        <w:t xml:space="preserve"> 30, 2021, compared to the same periods in 2020, is primarily due to the increase in net income, as discussed above. </w:t>
      </w:r>
    </w:p>
    <w:p w14:paraId="659DDC07" w14:textId="77777777" w:rsidR="001614AC" w:rsidRDefault="004468F9">
      <w:pPr>
        <w:spacing w:before="100" w:after="100" w:line="288" w:lineRule="auto"/>
        <w:ind w:firstLine="450"/>
        <w:rPr>
          <w:rFonts w:ascii="Arial" w:eastAsia="Arial" w:hAnsi="Arial" w:cs="Arial"/>
          <w:b/>
          <w:i/>
          <w:color w:val="64615D"/>
          <w:sz w:val="22"/>
        </w:rPr>
      </w:pPr>
      <w:r>
        <w:rPr>
          <w:rFonts w:ascii="Arial" w:eastAsia="Arial" w:hAnsi="Arial" w:cs="Arial"/>
          <w:b/>
          <w:i/>
          <w:sz w:val="18"/>
        </w:rPr>
        <w:t xml:space="preserve">Book Value Per Share. </w:t>
      </w:r>
      <w:r>
        <w:rPr>
          <w:rFonts w:ascii="Arial" w:eastAsia="Arial" w:hAnsi="Arial" w:cs="Arial"/>
          <w:sz w:val="18"/>
        </w:rPr>
        <w:t xml:space="preserve">The increase in book value per share from $22.36 at December 31, 2020, to $23.02 at June 30, 2021, is primarily due </w:t>
      </w:r>
      <w:r>
        <w:rPr>
          <w:rFonts w:ascii="Arial" w:eastAsia="Arial" w:hAnsi="Arial" w:cs="Arial"/>
          <w:sz w:val="18"/>
        </w:rPr>
        <w:t xml:space="preserve">to our net income for the six months ended June 30, 2021. Partially offsetting this item is: (i) a decrease </w:t>
      </w:r>
      <w:r>
        <w:rPr>
          <w:rFonts w:ascii="Arial" w:eastAsia="Arial" w:hAnsi="Arial" w:cs="Arial"/>
          <w:sz w:val="18"/>
        </w:rPr>
        <w:lastRenderedPageBreak/>
        <w:t>of $0.44 per share due to unrealized losses in our available for sale securities, recorded in accumulated other comprehensive income and (ii) a $0.2</w:t>
      </w:r>
      <w:r>
        <w:rPr>
          <w:rFonts w:ascii="Arial" w:eastAsia="Arial" w:hAnsi="Arial" w:cs="Arial"/>
          <w:sz w:val="18"/>
        </w:rPr>
        <w:t xml:space="preserve">7 per share impact of dividends. </w:t>
      </w:r>
    </w:p>
    <w:p w14:paraId="740EF213" w14:textId="77777777" w:rsidR="001614AC" w:rsidRDefault="004468F9">
      <w:pPr>
        <w:spacing w:before="100" w:after="100" w:line="288" w:lineRule="auto"/>
        <w:ind w:firstLine="450"/>
        <w:rPr>
          <w:rFonts w:ascii="Arial" w:eastAsia="Arial" w:hAnsi="Arial" w:cs="Arial"/>
          <w:b/>
          <w:i/>
          <w:color w:val="64615D"/>
          <w:sz w:val="18"/>
          <w:shd w:val="clear" w:color="auto" w:fill="FFFF00"/>
        </w:rPr>
      </w:pPr>
      <w:r>
        <w:rPr>
          <w:rFonts w:ascii="Arial" w:eastAsia="Arial" w:hAnsi="Arial" w:cs="Arial"/>
          <w:b/>
          <w:i/>
          <w:sz w:val="18"/>
        </w:rPr>
        <w:t>Net Gains (Losses) on Investments and Other Financial Instruments.</w:t>
      </w:r>
      <w:r>
        <w:rPr>
          <w:rFonts w:ascii="Arial" w:eastAsia="Arial" w:hAnsi="Arial" w:cs="Arial"/>
          <w:i/>
          <w:sz w:val="18"/>
        </w:rPr>
        <w:t xml:space="preserve"> </w:t>
      </w:r>
      <w:r>
        <w:rPr>
          <w:rFonts w:ascii="Arial" w:eastAsia="Arial" w:hAnsi="Arial" w:cs="Arial"/>
          <w:sz w:val="18"/>
        </w:rPr>
        <w:t>The decrease in net gains on investments and other financial instruments for the three months ended June 30, 2021 as compared to the same period in 2020, i</w:t>
      </w:r>
      <w:r>
        <w:rPr>
          <w:rFonts w:ascii="Arial" w:eastAsia="Arial" w:hAnsi="Arial" w:cs="Arial"/>
          <w:sz w:val="18"/>
        </w:rPr>
        <w:t xml:space="preserve">s primarily due to: (i) a decrease in net unrealized gains on our trading securities; (ii) a decrease in net realized gains on our fixed-maturities available for sale; and (iii) a decrease in the fair value of our embedded derivatives. The decrease in net </w:t>
      </w:r>
      <w:r>
        <w:rPr>
          <w:rFonts w:ascii="Arial" w:eastAsia="Arial" w:hAnsi="Arial" w:cs="Arial"/>
          <w:sz w:val="18"/>
        </w:rPr>
        <w:t>gains on investments and other financial instruments for the six months ended June 30, 2021, as compared to the same period in 2020, is primarily due to: (i) a decrease in net realized gains on our fixed-maturities available for sale; (ii) a decrease in th</w:t>
      </w:r>
      <w:r>
        <w:rPr>
          <w:rFonts w:ascii="Arial" w:eastAsia="Arial" w:hAnsi="Arial" w:cs="Arial"/>
          <w:sz w:val="18"/>
        </w:rPr>
        <w:t>e fair value of our embedded derivatives; and (iii) a decrease in gains on other financial instruments. These decreases were partially offset by an increase in net unrealized gains on our trading securities. See Notes 5 and 6 of Notes to Unaudited Condense</w:t>
      </w:r>
      <w:r>
        <w:rPr>
          <w:rFonts w:ascii="Arial" w:eastAsia="Arial" w:hAnsi="Arial" w:cs="Arial"/>
          <w:sz w:val="18"/>
        </w:rPr>
        <w:t xml:space="preserve">d Consolidated Financial Statements for additional information about the embedded derivatives associated with our reinsurance obtained through mortgage linked-notes transactions and net gains (losses) on investments, respectively. </w:t>
      </w:r>
    </w:p>
    <w:p w14:paraId="7C69B491" w14:textId="77777777" w:rsidR="001614AC" w:rsidRDefault="004468F9">
      <w:pPr>
        <w:spacing w:before="100" w:after="100" w:line="288" w:lineRule="auto"/>
        <w:ind w:firstLine="450"/>
        <w:rPr>
          <w:rFonts w:ascii="Arial" w:eastAsia="Arial" w:hAnsi="Arial" w:cs="Arial"/>
          <w:b/>
          <w:i/>
          <w:color w:val="64615D"/>
          <w:sz w:val="18"/>
        </w:rPr>
      </w:pPr>
      <w:r>
        <w:rPr>
          <w:rFonts w:ascii="Arial" w:eastAsia="Arial" w:hAnsi="Arial" w:cs="Arial"/>
          <w:b/>
          <w:i/>
          <w:sz w:val="18"/>
        </w:rPr>
        <w:t xml:space="preserve">Income Tax Provision. </w:t>
      </w:r>
      <w:r>
        <w:rPr>
          <w:rFonts w:ascii="Arial" w:eastAsia="Arial" w:hAnsi="Arial" w:cs="Arial"/>
          <w:sz w:val="18"/>
        </w:rPr>
        <w:t>Our income tax provision increased in 2021 primarily due to higher pretax income. Our effective tax rate was 20.6% and 21.3% for the three and six months ended June 30, 2021, respectively, as compared to 29.1% and 20.5% for the same respective periods in 2</w:t>
      </w:r>
      <w:r>
        <w:rPr>
          <w:rFonts w:ascii="Arial" w:eastAsia="Arial" w:hAnsi="Arial" w:cs="Arial"/>
          <w:sz w:val="18"/>
        </w:rPr>
        <w:t>020. Our effective tax rate for the three and six months ended June 30, 2021 approximated the federal statutory rate of 21%. The increase in our effective tax rate for the three months ended June 30, 2020 was primarily due to the proportional effects of pe</w:t>
      </w:r>
      <w:r>
        <w:rPr>
          <w:rFonts w:ascii="Arial" w:eastAsia="Arial" w:hAnsi="Arial" w:cs="Arial"/>
          <w:sz w:val="18"/>
        </w:rPr>
        <w:t>rmanent book-to-tax adjustments to our pretax loss for that three-month period.</w:t>
      </w:r>
    </w:p>
    <w:p w14:paraId="7E410DA4" w14:textId="77777777" w:rsidR="001614AC" w:rsidRDefault="004468F9">
      <w:pPr>
        <w:spacing w:before="100" w:after="100" w:line="288" w:lineRule="auto"/>
        <w:ind w:firstLine="450"/>
        <w:rPr>
          <w:rFonts w:ascii="Arial" w:eastAsia="Arial" w:hAnsi="Arial" w:cs="Arial"/>
          <w:b/>
          <w:i/>
          <w:color w:val="64615D"/>
          <w:sz w:val="18"/>
          <w:shd w:val="clear" w:color="auto" w:fill="FFFF00"/>
        </w:rPr>
      </w:pPr>
      <w:r>
        <w:rPr>
          <w:rFonts w:ascii="Arial" w:eastAsia="Arial" w:hAnsi="Arial" w:cs="Arial"/>
          <w:b/>
          <w:i/>
          <w:sz w:val="18"/>
        </w:rPr>
        <w:t xml:space="preserve">Return on Equity. </w:t>
      </w:r>
      <w:r>
        <w:rPr>
          <w:rFonts w:ascii="Arial" w:eastAsia="Arial" w:hAnsi="Arial" w:cs="Arial"/>
          <w:sz w:val="18"/>
        </w:rPr>
        <w:t>The change in return on equity is primarily due to the increase in net income for the three and six months ended June 30, 2021, as described above.</w:t>
      </w:r>
    </w:p>
    <w:p w14:paraId="20B54D3B" w14:textId="77777777" w:rsidR="001614AC" w:rsidRDefault="004468F9">
      <w:pPr>
        <w:spacing w:before="100" w:after="100" w:line="288" w:lineRule="auto"/>
        <w:ind w:firstLine="450"/>
        <w:rPr>
          <w:rFonts w:ascii="Arial" w:eastAsia="Arial" w:hAnsi="Arial" w:cs="Arial"/>
          <w:b/>
          <w:i/>
          <w:color w:val="64615D"/>
          <w:sz w:val="18"/>
        </w:rPr>
      </w:pPr>
      <w:r>
        <w:rPr>
          <w:rFonts w:ascii="Arial" w:eastAsia="Arial" w:hAnsi="Arial" w:cs="Arial"/>
          <w:b/>
          <w:i/>
          <w:sz w:val="18"/>
        </w:rPr>
        <w:t>Use of Non</w:t>
      </w:r>
      <w:r>
        <w:rPr>
          <w:rFonts w:ascii="Arial" w:eastAsia="Arial" w:hAnsi="Arial" w:cs="Arial"/>
          <w:b/>
          <w:i/>
          <w:sz w:val="18"/>
        </w:rPr>
        <w:t>-GAAP Financial Measures.</w:t>
      </w:r>
      <w:r>
        <w:rPr>
          <w:rFonts w:ascii="Arial" w:eastAsia="Arial" w:hAnsi="Arial" w:cs="Arial"/>
          <w:i/>
          <w:sz w:val="18"/>
        </w:rPr>
        <w:t xml:space="preserve"> </w:t>
      </w:r>
      <w:r>
        <w:rPr>
          <w:rFonts w:ascii="Arial" w:eastAsia="Arial" w:hAnsi="Arial" w:cs="Arial"/>
          <w:sz w:val="18"/>
        </w:rPr>
        <w:t>In addition to the traditional GAAP financial measures, we have presented “adjusted pretax operating income (loss),” “adjusted diluted net operating income (loss) per share” and “adjusted net operating return on equity,” which are</w:t>
      </w:r>
      <w:r>
        <w:rPr>
          <w:rFonts w:ascii="Arial" w:eastAsia="Arial" w:hAnsi="Arial" w:cs="Arial"/>
          <w:sz w:val="18"/>
        </w:rPr>
        <w:t xml:space="preserve"> non-GAAP financial measures for the consolidated company, among our key performance indicators to evaluate our fundamental financial performance. These non-GAAP financial measures align with the way our business performance is evaluated by both management</w:t>
      </w:r>
      <w:r>
        <w:rPr>
          <w:rFonts w:ascii="Arial" w:eastAsia="Arial" w:hAnsi="Arial" w:cs="Arial"/>
          <w:sz w:val="18"/>
        </w:rPr>
        <w:t xml:space="preserve"> and by our board of directors. These measures have been established in order to increase transparency for the purposes of evaluating our operating trends and enabling more meaningful comparisons with our peers. Although on a consolidated basis “adjusted p</w:t>
      </w:r>
      <w:r>
        <w:rPr>
          <w:rFonts w:ascii="Arial" w:eastAsia="Arial" w:hAnsi="Arial" w:cs="Arial"/>
          <w:sz w:val="18"/>
        </w:rPr>
        <w:t>retax operating income (loss),” “adjusted diluted net operating income (loss) per share” and “adjusted net operating return on equity” are non-GAAP financial measures, for the reasons discussed above we believe these measures aid in understanding the under</w:t>
      </w:r>
      <w:r>
        <w:rPr>
          <w:rFonts w:ascii="Arial" w:eastAsia="Arial" w:hAnsi="Arial" w:cs="Arial"/>
          <w:sz w:val="18"/>
        </w:rPr>
        <w:t>lying performance of our operations.</w:t>
      </w:r>
    </w:p>
    <w:p w14:paraId="6660A5A0" w14:textId="77777777" w:rsidR="001614AC" w:rsidRDefault="004468F9">
      <w:pPr>
        <w:spacing w:before="100" w:after="100" w:line="288" w:lineRule="auto"/>
        <w:ind w:firstLine="450"/>
        <w:rPr>
          <w:rFonts w:ascii="Arial" w:eastAsia="Arial" w:hAnsi="Arial" w:cs="Arial"/>
          <w:b/>
          <w:color w:val="64615D"/>
          <w:sz w:val="18"/>
        </w:rPr>
      </w:pPr>
      <w:r>
        <w:rPr>
          <w:rFonts w:ascii="Arial" w:eastAsia="Arial" w:hAnsi="Arial" w:cs="Arial"/>
          <w:sz w:val="18"/>
        </w:rPr>
        <w:t>Total adjusted pretax operating income (loss), adjusted diluted net operating income (loss) per share and adjusted net operating return on equity are not measures of overall profitability, and therefore should not be co</w:t>
      </w:r>
      <w:r>
        <w:rPr>
          <w:rFonts w:ascii="Arial" w:eastAsia="Arial" w:hAnsi="Arial" w:cs="Arial"/>
          <w:sz w:val="18"/>
        </w:rPr>
        <w:t>nsidered in isolation or viewed as substitutes for GAAP pretax income (loss), diluted net income (loss) per share or return on equity. Our definitions of adjusted pretax operating income (loss), adjusted diluted net operating income (loss) per share and ad</w:t>
      </w:r>
      <w:r>
        <w:rPr>
          <w:rFonts w:ascii="Arial" w:eastAsia="Arial" w:hAnsi="Arial" w:cs="Arial"/>
          <w:sz w:val="18"/>
        </w:rPr>
        <w:t xml:space="preserve">justed net operating return on equity, as discussed and reconciled below to the most comparable respective GAAP measures, may not be comparable to similarly-named measures reported by other companies. </w:t>
      </w:r>
    </w:p>
    <w:p w14:paraId="24BED91F" w14:textId="77777777" w:rsidR="001614AC" w:rsidRDefault="004468F9">
      <w:pPr>
        <w:spacing w:before="100" w:after="100" w:line="288" w:lineRule="auto"/>
        <w:ind w:firstLine="450"/>
        <w:rPr>
          <w:rFonts w:ascii="Arial" w:eastAsia="Arial" w:hAnsi="Arial" w:cs="Arial"/>
          <w:b/>
          <w:color w:val="64615D"/>
          <w:sz w:val="18"/>
        </w:rPr>
      </w:pPr>
      <w:r>
        <w:rPr>
          <w:rFonts w:ascii="Arial" w:eastAsia="Arial" w:hAnsi="Arial" w:cs="Arial"/>
          <w:sz w:val="18"/>
        </w:rPr>
        <w:t xml:space="preserve">Our senior management, including our Chief </w:t>
      </w:r>
      <w:r>
        <w:rPr>
          <w:rFonts w:ascii="Arial" w:eastAsia="Arial" w:hAnsi="Arial" w:cs="Arial"/>
          <w:sz w:val="18"/>
        </w:rPr>
        <w:t>Executive Officer (Radian’s chief operating decision maker), uses adjusted pretax operating income (loss) as our primary measure to evaluate the fundamental financial performance of the Company’s business segments and to allocate resources to the segments.</w:t>
      </w:r>
      <w:r>
        <w:rPr>
          <w:rFonts w:ascii="Arial" w:eastAsia="Arial" w:hAnsi="Arial" w:cs="Arial"/>
          <w:sz w:val="18"/>
        </w:rPr>
        <w:t xml:space="preserve"> See Note 4 of Notes to Consolidated Financial Statements and “Item 7. Management’s Discussion and Analysis of Financial Condition and Results of Operations—Results of Operations—Consolidated—</w:t>
      </w:r>
      <w:r>
        <w:rPr>
          <w:rFonts w:ascii="Arial" w:eastAsia="Arial" w:hAnsi="Arial" w:cs="Arial"/>
          <w:i/>
          <w:sz w:val="18"/>
        </w:rPr>
        <w:t>Use of Non-GAAP Financial Measures</w:t>
      </w:r>
      <w:r>
        <w:rPr>
          <w:rFonts w:ascii="Arial" w:eastAsia="Arial" w:hAnsi="Arial" w:cs="Arial"/>
          <w:sz w:val="18"/>
        </w:rPr>
        <w:t>” each in our 2020 Form 10-K f</w:t>
      </w:r>
      <w:r>
        <w:rPr>
          <w:rFonts w:ascii="Arial" w:eastAsia="Arial" w:hAnsi="Arial" w:cs="Arial"/>
          <w:sz w:val="18"/>
        </w:rPr>
        <w:t>or detailed information regarding items excluded from adjusted pretax operating income and the reasons for their treatment.</w:t>
      </w:r>
    </w:p>
    <w:p w14:paraId="489C469D" w14:textId="77777777" w:rsidR="001614AC" w:rsidRDefault="004468F9">
      <w:pPr>
        <w:spacing w:before="100" w:after="100" w:line="288" w:lineRule="auto"/>
        <w:ind w:firstLine="450"/>
        <w:rPr>
          <w:rFonts w:ascii="Arial" w:eastAsia="Arial" w:hAnsi="Arial" w:cs="Arial"/>
          <w:b/>
          <w:color w:val="64615D"/>
          <w:sz w:val="18"/>
        </w:rPr>
      </w:pPr>
      <w:r>
        <w:rPr>
          <w:rFonts w:ascii="Arial" w:eastAsia="Arial" w:hAnsi="Arial" w:cs="Arial"/>
          <w:sz w:val="18"/>
        </w:rPr>
        <w:t>Adjusted pretax operating income (loss) is defined as GAAP consolidated pretax income (loss) excluding the effects of: (i) net gains</w:t>
      </w:r>
      <w:r>
        <w:rPr>
          <w:rFonts w:ascii="Arial" w:eastAsia="Arial" w:hAnsi="Arial" w:cs="Arial"/>
          <w:sz w:val="18"/>
        </w:rPr>
        <w:t xml:space="preserve"> (losses) on investments and other financial instruments; (ii) loss on extinguishment of debt; (iii) amortization and impairment of goodwill and other acquired intangible assets; and (iv) impairment of other long-lived assets and other non-operating items,</w:t>
      </w:r>
      <w:r>
        <w:rPr>
          <w:rFonts w:ascii="Arial" w:eastAsia="Arial" w:hAnsi="Arial" w:cs="Arial"/>
          <w:sz w:val="18"/>
        </w:rPr>
        <w:t xml:space="preserve"> such as impairment of internal-use software, gains (losses) from the sale of lines of business and acquisition-related income and expenses. </w:t>
      </w:r>
    </w:p>
    <w:p w14:paraId="2E4DD266" w14:textId="77777777" w:rsidR="001614AC" w:rsidRDefault="004468F9">
      <w:pPr>
        <w:keepNext/>
        <w:spacing w:before="100" w:after="100" w:line="288" w:lineRule="auto"/>
        <w:ind w:firstLine="450"/>
        <w:rPr>
          <w:rFonts w:ascii="Arial" w:eastAsia="Arial" w:hAnsi="Arial" w:cs="Arial"/>
          <w:b/>
          <w:i/>
          <w:color w:val="64615D"/>
          <w:sz w:val="18"/>
        </w:rPr>
      </w:pPr>
      <w:r>
        <w:rPr>
          <w:rFonts w:ascii="Arial" w:eastAsia="Arial" w:hAnsi="Arial" w:cs="Arial"/>
          <w:sz w:val="18"/>
        </w:rPr>
        <w:lastRenderedPageBreak/>
        <w:t>The following table provides a reconciliation of consolidated pretax income (loss) to our non-GAAP financial measu</w:t>
      </w:r>
      <w:r>
        <w:rPr>
          <w:rFonts w:ascii="Arial" w:eastAsia="Arial" w:hAnsi="Arial" w:cs="Arial"/>
          <w:sz w:val="18"/>
        </w:rPr>
        <w:t>re for the consolidated company of adjusted pretax operating income (loss).</w:t>
      </w:r>
    </w:p>
    <w:tbl>
      <w:tblPr>
        <w:tblW w:w="102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54"/>
        <w:gridCol w:w="107"/>
        <w:gridCol w:w="163"/>
        <w:gridCol w:w="760"/>
        <w:gridCol w:w="102"/>
        <w:gridCol w:w="107"/>
        <w:gridCol w:w="163"/>
        <w:gridCol w:w="760"/>
        <w:gridCol w:w="102"/>
        <w:gridCol w:w="107"/>
        <w:gridCol w:w="163"/>
        <w:gridCol w:w="760"/>
        <w:gridCol w:w="102"/>
        <w:gridCol w:w="107"/>
        <w:gridCol w:w="163"/>
        <w:gridCol w:w="760"/>
        <w:gridCol w:w="102"/>
      </w:tblGrid>
      <w:tr w:rsidR="001614AC" w14:paraId="1AB4CB9D" w14:textId="77777777">
        <w:trPr>
          <w:cantSplit/>
          <w:tblHeader/>
        </w:trPr>
        <w:tc>
          <w:tcPr>
            <w:tcW w:w="10080" w:type="dxa"/>
            <w:gridSpan w:val="17"/>
            <w:tcBorders>
              <w:top w:val="nil"/>
              <w:left w:val="nil"/>
              <w:bottom w:val="single" w:sz="12" w:space="0" w:color="99AAB6"/>
              <w:right w:val="nil"/>
            </w:tcBorders>
            <w:tcMar>
              <w:top w:w="0" w:type="dxa"/>
              <w:left w:w="53" w:type="dxa"/>
              <w:bottom w:w="0" w:type="dxa"/>
              <w:right w:w="53" w:type="dxa"/>
            </w:tcMar>
            <w:vAlign w:val="bottom"/>
          </w:tcPr>
          <w:p w14:paraId="7A8D52F7" w14:textId="77777777" w:rsidR="001614AC" w:rsidRDefault="004468F9">
            <w:pPr>
              <w:keepNext/>
              <w:spacing w:before="75" w:after="30" w:line="288" w:lineRule="auto"/>
              <w:rPr>
                <w:rFonts w:ascii="Arial" w:eastAsia="Arial" w:hAnsi="Arial" w:cs="Arial"/>
                <w:b/>
                <w:i/>
                <w:sz w:val="20"/>
              </w:rPr>
            </w:pPr>
            <w:r>
              <w:rPr>
                <w:rFonts w:ascii="Arial" w:eastAsia="Arial" w:hAnsi="Arial" w:cs="Arial"/>
                <w:b/>
                <w:sz w:val="20"/>
              </w:rPr>
              <w:t>Reconciliation of consolidated pretax income (loss) to consolidated adjusted pretax operating income (loss)</w:t>
            </w:r>
          </w:p>
        </w:tc>
      </w:tr>
      <w:tr w:rsidR="001614AC" w14:paraId="56998EE9" w14:textId="77777777">
        <w:trPr>
          <w:cantSplit/>
        </w:trPr>
        <w:tc>
          <w:tcPr>
            <w:tcW w:w="5640" w:type="dxa"/>
            <w:tcBorders>
              <w:top w:val="nil"/>
              <w:left w:val="nil"/>
              <w:bottom w:val="nil"/>
              <w:right w:val="nil"/>
            </w:tcBorders>
            <w:tcMar>
              <w:top w:w="0" w:type="dxa"/>
              <w:left w:w="0" w:type="dxa"/>
              <w:bottom w:w="0" w:type="dxa"/>
              <w:right w:w="0" w:type="dxa"/>
            </w:tcMar>
            <w:vAlign w:val="bottom"/>
          </w:tcPr>
          <w:p w14:paraId="24F3FF82" w14:textId="77777777" w:rsidR="001614AC" w:rsidRDefault="001614AC">
            <w:pPr>
              <w:keepNext/>
            </w:pPr>
          </w:p>
        </w:tc>
        <w:tc>
          <w:tcPr>
            <w:tcW w:w="105" w:type="dxa"/>
            <w:tcBorders>
              <w:top w:val="single" w:sz="12" w:space="0" w:color="99AAB6"/>
              <w:left w:val="nil"/>
              <w:bottom w:val="nil"/>
              <w:right w:val="nil"/>
            </w:tcBorders>
            <w:tcMar>
              <w:top w:w="0" w:type="dxa"/>
              <w:left w:w="0" w:type="dxa"/>
              <w:bottom w:w="0" w:type="dxa"/>
              <w:right w:w="0" w:type="dxa"/>
            </w:tcMar>
            <w:vAlign w:val="bottom"/>
          </w:tcPr>
          <w:p w14:paraId="3F9DDDEA" w14:textId="77777777" w:rsidR="001614AC" w:rsidRDefault="001614AC">
            <w:pPr>
              <w:keepNext/>
            </w:pPr>
          </w:p>
        </w:tc>
        <w:tc>
          <w:tcPr>
            <w:tcW w:w="1005" w:type="dxa"/>
            <w:gridSpan w:val="3"/>
            <w:tcBorders>
              <w:top w:val="single" w:sz="12" w:space="0" w:color="99AAB6"/>
              <w:left w:val="nil"/>
              <w:bottom w:val="nil"/>
              <w:right w:val="nil"/>
            </w:tcBorders>
            <w:tcMar>
              <w:top w:w="0" w:type="dxa"/>
              <w:left w:w="0" w:type="dxa"/>
              <w:bottom w:w="0" w:type="dxa"/>
              <w:right w:w="0" w:type="dxa"/>
            </w:tcMar>
            <w:vAlign w:val="bottom"/>
          </w:tcPr>
          <w:p w14:paraId="265742FC" w14:textId="77777777" w:rsidR="001614AC" w:rsidRDefault="001614AC">
            <w:pPr>
              <w:keepNext/>
            </w:pPr>
          </w:p>
        </w:tc>
        <w:tc>
          <w:tcPr>
            <w:tcW w:w="105" w:type="dxa"/>
            <w:tcBorders>
              <w:top w:val="single" w:sz="12" w:space="0" w:color="99AAB6"/>
              <w:left w:val="nil"/>
              <w:bottom w:val="nil"/>
              <w:right w:val="nil"/>
            </w:tcBorders>
            <w:tcMar>
              <w:top w:w="0" w:type="dxa"/>
              <w:left w:w="0" w:type="dxa"/>
              <w:bottom w:w="0" w:type="dxa"/>
              <w:right w:w="0" w:type="dxa"/>
            </w:tcMar>
            <w:vAlign w:val="bottom"/>
          </w:tcPr>
          <w:p w14:paraId="7CB18360" w14:textId="77777777" w:rsidR="001614AC" w:rsidRDefault="001614AC">
            <w:pPr>
              <w:keepNext/>
            </w:pPr>
          </w:p>
        </w:tc>
        <w:tc>
          <w:tcPr>
            <w:tcW w:w="1005" w:type="dxa"/>
            <w:gridSpan w:val="3"/>
            <w:tcBorders>
              <w:top w:val="single" w:sz="12" w:space="0" w:color="99AAB6"/>
              <w:left w:val="nil"/>
              <w:bottom w:val="nil"/>
              <w:right w:val="nil"/>
            </w:tcBorders>
            <w:tcMar>
              <w:top w:w="0" w:type="dxa"/>
              <w:left w:w="0" w:type="dxa"/>
              <w:bottom w:w="0" w:type="dxa"/>
              <w:right w:w="0" w:type="dxa"/>
            </w:tcMar>
            <w:vAlign w:val="bottom"/>
          </w:tcPr>
          <w:p w14:paraId="410A052B" w14:textId="77777777" w:rsidR="001614AC" w:rsidRDefault="001614AC">
            <w:pPr>
              <w:keepNext/>
            </w:pPr>
          </w:p>
        </w:tc>
        <w:tc>
          <w:tcPr>
            <w:tcW w:w="105" w:type="dxa"/>
            <w:tcBorders>
              <w:top w:val="single" w:sz="12" w:space="0" w:color="99AAB6"/>
              <w:left w:val="nil"/>
              <w:bottom w:val="nil"/>
              <w:right w:val="nil"/>
            </w:tcBorders>
            <w:tcMar>
              <w:top w:w="0" w:type="dxa"/>
              <w:left w:w="0" w:type="dxa"/>
              <w:bottom w:w="0" w:type="dxa"/>
              <w:right w:w="0" w:type="dxa"/>
            </w:tcMar>
            <w:vAlign w:val="bottom"/>
          </w:tcPr>
          <w:p w14:paraId="38750FDF" w14:textId="77777777" w:rsidR="001614AC" w:rsidRDefault="001614AC">
            <w:pPr>
              <w:keepNext/>
            </w:pPr>
          </w:p>
        </w:tc>
        <w:tc>
          <w:tcPr>
            <w:tcW w:w="1005" w:type="dxa"/>
            <w:gridSpan w:val="3"/>
            <w:tcBorders>
              <w:top w:val="single" w:sz="12" w:space="0" w:color="99AAB6"/>
              <w:left w:val="nil"/>
              <w:bottom w:val="nil"/>
              <w:right w:val="nil"/>
            </w:tcBorders>
            <w:tcMar>
              <w:top w:w="0" w:type="dxa"/>
              <w:left w:w="0" w:type="dxa"/>
              <w:bottom w:w="0" w:type="dxa"/>
              <w:right w:w="0" w:type="dxa"/>
            </w:tcMar>
            <w:vAlign w:val="bottom"/>
          </w:tcPr>
          <w:p w14:paraId="7DEEC243" w14:textId="77777777" w:rsidR="001614AC" w:rsidRDefault="001614AC">
            <w:pPr>
              <w:keepNext/>
            </w:pPr>
          </w:p>
        </w:tc>
        <w:tc>
          <w:tcPr>
            <w:tcW w:w="105" w:type="dxa"/>
            <w:tcBorders>
              <w:top w:val="single" w:sz="12" w:space="0" w:color="99AAB6"/>
              <w:left w:val="nil"/>
              <w:bottom w:val="nil"/>
              <w:right w:val="nil"/>
            </w:tcBorders>
            <w:tcMar>
              <w:top w:w="0" w:type="dxa"/>
              <w:left w:w="0" w:type="dxa"/>
              <w:bottom w:w="0" w:type="dxa"/>
              <w:right w:w="0" w:type="dxa"/>
            </w:tcMar>
            <w:vAlign w:val="bottom"/>
          </w:tcPr>
          <w:p w14:paraId="4B9F85E4" w14:textId="77777777" w:rsidR="001614AC" w:rsidRDefault="001614AC">
            <w:pPr>
              <w:keepNext/>
            </w:pPr>
          </w:p>
        </w:tc>
        <w:tc>
          <w:tcPr>
            <w:tcW w:w="1005" w:type="dxa"/>
            <w:gridSpan w:val="3"/>
            <w:tcBorders>
              <w:top w:val="single" w:sz="12" w:space="0" w:color="99AAB6"/>
              <w:left w:val="nil"/>
              <w:bottom w:val="nil"/>
              <w:right w:val="nil"/>
            </w:tcBorders>
            <w:tcMar>
              <w:top w:w="0" w:type="dxa"/>
              <w:left w:w="0" w:type="dxa"/>
              <w:bottom w:w="0" w:type="dxa"/>
              <w:right w:w="0" w:type="dxa"/>
            </w:tcMar>
            <w:vAlign w:val="bottom"/>
          </w:tcPr>
          <w:p w14:paraId="41E057EA" w14:textId="77777777" w:rsidR="001614AC" w:rsidRDefault="001614AC">
            <w:pPr>
              <w:keepNext/>
            </w:pPr>
          </w:p>
        </w:tc>
      </w:tr>
      <w:tr w:rsidR="001614AC" w14:paraId="40E0A770" w14:textId="77777777">
        <w:trPr>
          <w:cantSplit/>
          <w:trHeight w:hRule="exact" w:val="495"/>
        </w:trPr>
        <w:tc>
          <w:tcPr>
            <w:tcW w:w="5640" w:type="dxa"/>
            <w:tcBorders>
              <w:top w:val="nil"/>
              <w:left w:val="nil"/>
              <w:bottom w:val="single" w:sz="8" w:space="0" w:color="FFFFFF"/>
              <w:right w:val="nil"/>
            </w:tcBorders>
            <w:tcMar>
              <w:top w:w="0" w:type="dxa"/>
              <w:left w:w="0" w:type="dxa"/>
              <w:bottom w:w="0" w:type="dxa"/>
              <w:right w:w="0" w:type="dxa"/>
            </w:tcMar>
            <w:vAlign w:val="bottom"/>
          </w:tcPr>
          <w:p w14:paraId="5C0C77DB" w14:textId="77777777" w:rsidR="001614AC" w:rsidRDefault="001614AC">
            <w:pPr>
              <w:keepNext/>
            </w:pPr>
          </w:p>
        </w:tc>
        <w:tc>
          <w:tcPr>
            <w:tcW w:w="105" w:type="dxa"/>
            <w:tcBorders>
              <w:top w:val="nil"/>
              <w:left w:val="nil"/>
              <w:bottom w:val="nil"/>
              <w:right w:val="nil"/>
            </w:tcBorders>
            <w:tcMar>
              <w:top w:w="0" w:type="dxa"/>
              <w:left w:w="0" w:type="dxa"/>
              <w:bottom w:w="0" w:type="dxa"/>
              <w:right w:w="0" w:type="dxa"/>
            </w:tcMar>
            <w:vAlign w:val="bottom"/>
          </w:tcPr>
          <w:p w14:paraId="655EE605" w14:textId="77777777" w:rsidR="001614AC" w:rsidRDefault="001614AC">
            <w:pPr>
              <w:keepNext/>
            </w:pPr>
          </w:p>
        </w:tc>
        <w:tc>
          <w:tcPr>
            <w:tcW w:w="2115" w:type="dxa"/>
            <w:gridSpan w:val="7"/>
            <w:tcBorders>
              <w:top w:val="nil"/>
              <w:left w:val="nil"/>
              <w:bottom w:val="single" w:sz="8" w:space="0" w:color="FFFFFF"/>
              <w:right w:val="nil"/>
            </w:tcBorders>
            <w:tcMar>
              <w:top w:w="0" w:type="dxa"/>
              <w:left w:w="53" w:type="dxa"/>
              <w:bottom w:w="0" w:type="dxa"/>
              <w:right w:w="53" w:type="dxa"/>
            </w:tcMar>
            <w:vAlign w:val="bottom"/>
          </w:tcPr>
          <w:p w14:paraId="04AB4961" w14:textId="77777777" w:rsidR="001614AC" w:rsidRDefault="004468F9">
            <w:pPr>
              <w:keepNext/>
              <w:spacing w:before="75" w:line="288" w:lineRule="auto"/>
              <w:jc w:val="center"/>
            </w:pPr>
            <w:r>
              <w:rPr>
                <w:rFonts w:ascii="Arial" w:eastAsia="Arial" w:hAnsi="Arial" w:cs="Arial"/>
                <w:b/>
                <w:color w:val="00BAB3"/>
                <w:sz w:val="18"/>
              </w:rPr>
              <w:t>Three Months Ended</w:t>
            </w:r>
          </w:p>
          <w:p w14:paraId="3A2AAF82" w14:textId="77777777" w:rsidR="001614AC" w:rsidRDefault="004468F9">
            <w:pPr>
              <w:spacing w:after="30" w:line="288" w:lineRule="auto"/>
              <w:jc w:val="center"/>
            </w:pPr>
            <w:r>
              <w:rPr>
                <w:rFonts w:ascii="Arial" w:eastAsia="Arial" w:hAnsi="Arial" w:cs="Arial"/>
                <w:b/>
                <w:color w:val="00BAB3"/>
                <w:sz w:val="18"/>
              </w:rPr>
              <w:t>June 30,</w:t>
            </w:r>
          </w:p>
        </w:tc>
        <w:tc>
          <w:tcPr>
            <w:tcW w:w="105" w:type="dxa"/>
            <w:tcBorders>
              <w:top w:val="nil"/>
              <w:left w:val="nil"/>
              <w:bottom w:val="single" w:sz="8" w:space="0" w:color="FFFFFF"/>
              <w:right w:val="nil"/>
            </w:tcBorders>
            <w:tcMar>
              <w:top w:w="0" w:type="dxa"/>
              <w:left w:w="0" w:type="dxa"/>
              <w:bottom w:w="0" w:type="dxa"/>
              <w:right w:w="0" w:type="dxa"/>
            </w:tcMar>
            <w:vAlign w:val="bottom"/>
          </w:tcPr>
          <w:p w14:paraId="129BDA95" w14:textId="77777777" w:rsidR="001614AC" w:rsidRDefault="001614AC">
            <w:pPr>
              <w:keepNext/>
            </w:pPr>
          </w:p>
        </w:tc>
        <w:tc>
          <w:tcPr>
            <w:tcW w:w="2115" w:type="dxa"/>
            <w:gridSpan w:val="7"/>
            <w:tcBorders>
              <w:top w:val="nil"/>
              <w:left w:val="nil"/>
              <w:bottom w:val="nil"/>
              <w:right w:val="nil"/>
            </w:tcBorders>
            <w:tcMar>
              <w:top w:w="0" w:type="dxa"/>
              <w:left w:w="53" w:type="dxa"/>
              <w:bottom w:w="0" w:type="dxa"/>
              <w:right w:w="53" w:type="dxa"/>
            </w:tcMar>
            <w:vAlign w:val="bottom"/>
          </w:tcPr>
          <w:p w14:paraId="001D3D21" w14:textId="77777777" w:rsidR="001614AC" w:rsidRDefault="004468F9">
            <w:pPr>
              <w:keepNext/>
              <w:spacing w:before="75" w:line="288" w:lineRule="auto"/>
              <w:jc w:val="center"/>
            </w:pPr>
            <w:r>
              <w:rPr>
                <w:rFonts w:ascii="Arial" w:eastAsia="Arial" w:hAnsi="Arial" w:cs="Arial"/>
                <w:b/>
                <w:color w:val="00BAB3"/>
                <w:sz w:val="18"/>
              </w:rPr>
              <w:t>Six Months Ended</w:t>
            </w:r>
          </w:p>
          <w:p w14:paraId="7CBEDAE6" w14:textId="77777777" w:rsidR="001614AC" w:rsidRDefault="004468F9">
            <w:pPr>
              <w:spacing w:after="30" w:line="288" w:lineRule="auto"/>
              <w:jc w:val="center"/>
            </w:pPr>
            <w:r>
              <w:rPr>
                <w:rFonts w:ascii="Arial" w:eastAsia="Arial" w:hAnsi="Arial" w:cs="Arial"/>
                <w:b/>
                <w:color w:val="00BAB3"/>
                <w:sz w:val="18"/>
              </w:rPr>
              <w:t>June 30,</w:t>
            </w:r>
          </w:p>
        </w:tc>
      </w:tr>
      <w:tr w:rsidR="001614AC" w14:paraId="5F5E7CDD" w14:textId="77777777">
        <w:trPr>
          <w:cantSplit/>
        </w:trPr>
        <w:tc>
          <w:tcPr>
            <w:tcW w:w="5640" w:type="dxa"/>
            <w:tcBorders>
              <w:top w:val="single" w:sz="8" w:space="0" w:color="FFFFFF"/>
              <w:left w:val="nil"/>
              <w:bottom w:val="single" w:sz="8" w:space="0" w:color="C7C9C7"/>
              <w:right w:val="nil"/>
            </w:tcBorders>
            <w:tcMar>
              <w:top w:w="0" w:type="dxa"/>
              <w:left w:w="53" w:type="dxa"/>
              <w:bottom w:w="0" w:type="dxa"/>
              <w:right w:w="53" w:type="dxa"/>
            </w:tcMar>
            <w:vAlign w:val="bottom"/>
          </w:tcPr>
          <w:p w14:paraId="05843B8C" w14:textId="77777777" w:rsidR="001614AC" w:rsidRDefault="004468F9">
            <w:pPr>
              <w:keepNext/>
              <w:spacing w:before="55" w:after="30" w:line="288" w:lineRule="auto"/>
            </w:pPr>
            <w:r>
              <w:rPr>
                <w:rFonts w:ascii="Arial" w:eastAsia="Arial" w:hAnsi="Arial" w:cs="Arial"/>
                <w:color w:val="8B8886"/>
                <w:sz w:val="16"/>
              </w:rPr>
              <w:t>(In thousands)</w:t>
            </w:r>
          </w:p>
        </w:tc>
        <w:tc>
          <w:tcPr>
            <w:tcW w:w="105" w:type="dxa"/>
            <w:tcBorders>
              <w:top w:val="nil"/>
              <w:left w:val="nil"/>
              <w:bottom w:val="single" w:sz="8" w:space="0" w:color="C7C9C7"/>
              <w:right w:val="nil"/>
            </w:tcBorders>
            <w:tcMar>
              <w:top w:w="0" w:type="dxa"/>
              <w:left w:w="0" w:type="dxa"/>
              <w:bottom w:w="0" w:type="dxa"/>
              <w:right w:w="0" w:type="dxa"/>
            </w:tcMar>
            <w:vAlign w:val="bottom"/>
          </w:tcPr>
          <w:p w14:paraId="3CED24C1" w14:textId="77777777" w:rsidR="001614AC" w:rsidRDefault="001614AC">
            <w:pPr>
              <w:keepNext/>
            </w:pPr>
          </w:p>
        </w:tc>
        <w:tc>
          <w:tcPr>
            <w:tcW w:w="1005" w:type="dxa"/>
            <w:gridSpan w:val="3"/>
            <w:tcBorders>
              <w:top w:val="nil"/>
              <w:left w:val="nil"/>
              <w:bottom w:val="single" w:sz="8" w:space="0" w:color="C7C9C7"/>
              <w:right w:val="nil"/>
            </w:tcBorders>
            <w:shd w:val="clear" w:color="auto" w:fill="E6F8F8"/>
            <w:tcMar>
              <w:top w:w="0" w:type="dxa"/>
              <w:left w:w="53" w:type="dxa"/>
              <w:bottom w:w="0" w:type="dxa"/>
              <w:right w:w="53" w:type="dxa"/>
            </w:tcMar>
            <w:vAlign w:val="bottom"/>
          </w:tcPr>
          <w:p w14:paraId="70A7D11C" w14:textId="77777777" w:rsidR="001614AC" w:rsidRDefault="004468F9">
            <w:pPr>
              <w:keepNext/>
              <w:spacing w:before="55" w:after="30" w:line="288" w:lineRule="auto"/>
              <w:jc w:val="center"/>
            </w:pPr>
            <w:r>
              <w:rPr>
                <w:rFonts w:ascii="Arial" w:eastAsia="Arial" w:hAnsi="Arial" w:cs="Arial"/>
                <w:b/>
                <w:color w:val="00BAB3"/>
                <w:sz w:val="18"/>
              </w:rPr>
              <w:t>2021</w:t>
            </w:r>
          </w:p>
        </w:tc>
        <w:tc>
          <w:tcPr>
            <w:tcW w:w="105" w:type="dxa"/>
            <w:tcBorders>
              <w:top w:val="single" w:sz="8" w:space="0" w:color="FFFFFF"/>
              <w:left w:val="nil"/>
              <w:bottom w:val="single" w:sz="8" w:space="0" w:color="C7C9C7"/>
              <w:right w:val="nil"/>
            </w:tcBorders>
            <w:tcMar>
              <w:top w:w="0" w:type="dxa"/>
              <w:left w:w="0" w:type="dxa"/>
              <w:bottom w:w="0" w:type="dxa"/>
              <w:right w:w="0" w:type="dxa"/>
            </w:tcMar>
            <w:vAlign w:val="bottom"/>
          </w:tcPr>
          <w:p w14:paraId="710E0692" w14:textId="77777777" w:rsidR="001614AC" w:rsidRDefault="001614AC">
            <w:pPr>
              <w:keepNext/>
            </w:pPr>
          </w:p>
        </w:tc>
        <w:tc>
          <w:tcPr>
            <w:tcW w:w="1005" w:type="dxa"/>
            <w:gridSpan w:val="3"/>
            <w:tcBorders>
              <w:top w:val="single" w:sz="8" w:space="0" w:color="FFFFFF"/>
              <w:left w:val="nil"/>
              <w:bottom w:val="single" w:sz="8" w:space="0" w:color="C7C9C7"/>
              <w:right w:val="nil"/>
            </w:tcBorders>
            <w:shd w:val="clear" w:color="auto" w:fill="F4F4F4"/>
            <w:tcMar>
              <w:top w:w="0" w:type="dxa"/>
              <w:left w:w="53" w:type="dxa"/>
              <w:bottom w:w="0" w:type="dxa"/>
              <w:right w:w="53" w:type="dxa"/>
            </w:tcMar>
            <w:vAlign w:val="bottom"/>
          </w:tcPr>
          <w:p w14:paraId="421F025B" w14:textId="77777777" w:rsidR="001614AC" w:rsidRDefault="004468F9">
            <w:pPr>
              <w:keepNext/>
              <w:spacing w:before="55" w:after="30" w:line="288" w:lineRule="auto"/>
              <w:jc w:val="center"/>
            </w:pPr>
            <w:r>
              <w:rPr>
                <w:rFonts w:ascii="Arial" w:eastAsia="Arial" w:hAnsi="Arial" w:cs="Arial"/>
                <w:b/>
                <w:color w:val="00BAB3"/>
                <w:sz w:val="18"/>
              </w:rPr>
              <w:t>2020</w:t>
            </w:r>
          </w:p>
        </w:tc>
        <w:tc>
          <w:tcPr>
            <w:tcW w:w="105" w:type="dxa"/>
            <w:tcBorders>
              <w:top w:val="single" w:sz="8" w:space="0" w:color="FFFFFF"/>
              <w:left w:val="nil"/>
              <w:bottom w:val="single" w:sz="8" w:space="0" w:color="C7C9C7"/>
              <w:right w:val="nil"/>
            </w:tcBorders>
            <w:tcMar>
              <w:top w:w="0" w:type="dxa"/>
              <w:left w:w="0" w:type="dxa"/>
              <w:bottom w:w="0" w:type="dxa"/>
              <w:right w:w="0" w:type="dxa"/>
            </w:tcMar>
            <w:vAlign w:val="bottom"/>
          </w:tcPr>
          <w:p w14:paraId="3AAA2584" w14:textId="77777777" w:rsidR="001614AC" w:rsidRDefault="001614AC">
            <w:pPr>
              <w:keepNext/>
            </w:pPr>
          </w:p>
        </w:tc>
        <w:tc>
          <w:tcPr>
            <w:tcW w:w="1005" w:type="dxa"/>
            <w:gridSpan w:val="3"/>
            <w:tcBorders>
              <w:top w:val="single" w:sz="8" w:space="0" w:color="FFFFFF"/>
              <w:left w:val="nil"/>
              <w:bottom w:val="single" w:sz="8" w:space="0" w:color="C7C9C7"/>
              <w:right w:val="nil"/>
            </w:tcBorders>
            <w:shd w:val="clear" w:color="auto" w:fill="E6F8F8"/>
            <w:tcMar>
              <w:top w:w="0" w:type="dxa"/>
              <w:left w:w="53" w:type="dxa"/>
              <w:bottom w:w="0" w:type="dxa"/>
              <w:right w:w="53" w:type="dxa"/>
            </w:tcMar>
            <w:vAlign w:val="bottom"/>
          </w:tcPr>
          <w:p w14:paraId="2C6E053B" w14:textId="77777777" w:rsidR="001614AC" w:rsidRDefault="004468F9">
            <w:pPr>
              <w:keepNext/>
              <w:spacing w:before="55" w:after="30" w:line="288" w:lineRule="auto"/>
              <w:jc w:val="center"/>
            </w:pPr>
            <w:r>
              <w:rPr>
                <w:rFonts w:ascii="Arial" w:eastAsia="Arial" w:hAnsi="Arial" w:cs="Arial"/>
                <w:b/>
                <w:color w:val="00BAB3"/>
                <w:sz w:val="18"/>
              </w:rPr>
              <w:t>2021</w:t>
            </w:r>
          </w:p>
        </w:tc>
        <w:tc>
          <w:tcPr>
            <w:tcW w:w="105" w:type="dxa"/>
            <w:tcBorders>
              <w:top w:val="single" w:sz="8" w:space="0" w:color="FFFFFF"/>
              <w:left w:val="nil"/>
              <w:bottom w:val="single" w:sz="8" w:space="0" w:color="C7C9C7"/>
              <w:right w:val="nil"/>
            </w:tcBorders>
            <w:tcMar>
              <w:top w:w="0" w:type="dxa"/>
              <w:left w:w="0" w:type="dxa"/>
              <w:bottom w:w="0" w:type="dxa"/>
              <w:right w:w="0" w:type="dxa"/>
            </w:tcMar>
            <w:vAlign w:val="bottom"/>
          </w:tcPr>
          <w:p w14:paraId="13CB7ED4" w14:textId="77777777" w:rsidR="001614AC" w:rsidRDefault="001614AC">
            <w:pPr>
              <w:keepNext/>
            </w:pPr>
          </w:p>
        </w:tc>
        <w:tc>
          <w:tcPr>
            <w:tcW w:w="1005" w:type="dxa"/>
            <w:gridSpan w:val="3"/>
            <w:tcBorders>
              <w:top w:val="single" w:sz="8" w:space="0" w:color="FFFFFF"/>
              <w:left w:val="nil"/>
              <w:bottom w:val="single" w:sz="8" w:space="0" w:color="C7C9C7"/>
              <w:right w:val="nil"/>
            </w:tcBorders>
            <w:shd w:val="clear" w:color="auto" w:fill="F4F4F4"/>
            <w:tcMar>
              <w:top w:w="0" w:type="dxa"/>
              <w:left w:w="53" w:type="dxa"/>
              <w:bottom w:w="0" w:type="dxa"/>
              <w:right w:w="53" w:type="dxa"/>
            </w:tcMar>
            <w:vAlign w:val="bottom"/>
          </w:tcPr>
          <w:p w14:paraId="00CD4F0E" w14:textId="77777777" w:rsidR="001614AC" w:rsidRDefault="004468F9">
            <w:pPr>
              <w:keepNext/>
              <w:spacing w:before="55" w:after="30" w:line="288" w:lineRule="auto"/>
              <w:jc w:val="center"/>
            </w:pPr>
            <w:r>
              <w:rPr>
                <w:rFonts w:ascii="Arial" w:eastAsia="Arial" w:hAnsi="Arial" w:cs="Arial"/>
                <w:b/>
                <w:color w:val="00BAB3"/>
                <w:sz w:val="18"/>
              </w:rPr>
              <w:t>2020</w:t>
            </w:r>
          </w:p>
        </w:tc>
      </w:tr>
      <w:tr w:rsidR="001614AC" w14:paraId="66C778CA" w14:textId="77777777">
        <w:trPr>
          <w:cantSplit/>
        </w:trPr>
        <w:tc>
          <w:tcPr>
            <w:tcW w:w="5640" w:type="dxa"/>
            <w:tcBorders>
              <w:top w:val="single" w:sz="8" w:space="0" w:color="C7C9C7"/>
              <w:left w:val="nil"/>
              <w:bottom w:val="single" w:sz="8" w:space="0" w:color="E9E9E9"/>
              <w:right w:val="nil"/>
            </w:tcBorders>
            <w:tcMar>
              <w:top w:w="0" w:type="dxa"/>
              <w:left w:w="53" w:type="dxa"/>
              <w:bottom w:w="0" w:type="dxa"/>
              <w:right w:w="53" w:type="dxa"/>
            </w:tcMar>
            <w:vAlign w:val="bottom"/>
          </w:tcPr>
          <w:p w14:paraId="46E90DA4" w14:textId="77777777" w:rsidR="001614AC" w:rsidRDefault="004468F9">
            <w:pPr>
              <w:keepNext/>
              <w:spacing w:before="55" w:after="30" w:line="288" w:lineRule="auto"/>
            </w:pPr>
            <w:r>
              <w:rPr>
                <w:rFonts w:ascii="Arial" w:eastAsia="Arial" w:hAnsi="Arial" w:cs="Arial"/>
                <w:color w:val="000000"/>
                <w:sz w:val="18"/>
              </w:rPr>
              <w:t>Consolidated pretax income (loss)</w:t>
            </w:r>
          </w:p>
        </w:tc>
        <w:tc>
          <w:tcPr>
            <w:tcW w:w="105" w:type="dxa"/>
            <w:tcBorders>
              <w:top w:val="single" w:sz="8" w:space="0" w:color="C7C9C7"/>
              <w:left w:val="nil"/>
              <w:bottom w:val="nil"/>
              <w:right w:val="nil"/>
            </w:tcBorders>
            <w:tcMar>
              <w:top w:w="0" w:type="dxa"/>
              <w:left w:w="0" w:type="dxa"/>
              <w:bottom w:w="0" w:type="dxa"/>
              <w:right w:w="0" w:type="dxa"/>
            </w:tcMar>
            <w:vAlign w:val="bottom"/>
          </w:tcPr>
          <w:p w14:paraId="75BD2C55" w14:textId="77777777" w:rsidR="001614AC" w:rsidRDefault="001614AC">
            <w:pPr>
              <w:keepNext/>
            </w:pPr>
          </w:p>
        </w:tc>
        <w:tc>
          <w:tcPr>
            <w:tcW w:w="160" w:type="dxa"/>
            <w:tcBorders>
              <w:top w:val="single" w:sz="8" w:space="0" w:color="C7C9C7"/>
              <w:left w:val="nil"/>
              <w:bottom w:val="single" w:sz="8" w:space="0" w:color="E9E9E9"/>
              <w:right w:val="nil"/>
            </w:tcBorders>
            <w:tcMar>
              <w:top w:w="0" w:type="dxa"/>
              <w:left w:w="53" w:type="dxa"/>
              <w:bottom w:w="0" w:type="dxa"/>
              <w:right w:w="0" w:type="dxa"/>
            </w:tcMar>
            <w:vAlign w:val="bottom"/>
          </w:tcPr>
          <w:p w14:paraId="755ABE53" w14:textId="77777777" w:rsidR="001614AC" w:rsidRDefault="004468F9">
            <w:pPr>
              <w:keepNext/>
              <w:spacing w:before="55" w:after="30" w:line="288" w:lineRule="auto"/>
            </w:pPr>
            <w:r>
              <w:rPr>
                <w:rFonts w:ascii="Arial" w:eastAsia="Arial" w:hAnsi="Arial" w:cs="Arial"/>
                <w:color w:val="000000"/>
                <w:sz w:val="18"/>
              </w:rPr>
              <w:t>$</w:t>
            </w:r>
          </w:p>
        </w:tc>
        <w:tc>
          <w:tcPr>
            <w:tcW w:w="745" w:type="dxa"/>
            <w:tcBorders>
              <w:top w:val="single" w:sz="8" w:space="0" w:color="C7C9C7"/>
              <w:left w:val="nil"/>
              <w:bottom w:val="single" w:sz="8" w:space="0" w:color="E9E9E9"/>
              <w:right w:val="nil"/>
            </w:tcBorders>
            <w:tcMar>
              <w:top w:w="0" w:type="dxa"/>
              <w:left w:w="0" w:type="dxa"/>
              <w:bottom w:w="0" w:type="dxa"/>
              <w:right w:w="0" w:type="dxa"/>
            </w:tcMar>
            <w:vAlign w:val="bottom"/>
          </w:tcPr>
          <w:p w14:paraId="35446353" w14:textId="77777777" w:rsidR="001614AC" w:rsidRDefault="004468F9">
            <w:pPr>
              <w:keepNext/>
              <w:spacing w:before="55" w:after="30" w:line="288" w:lineRule="auto"/>
              <w:jc w:val="right"/>
            </w:pPr>
            <w:r>
              <w:rPr>
                <w:rFonts w:ascii="Arial" w:eastAsia="Arial" w:hAnsi="Arial" w:cs="Arial"/>
                <w:color w:val="000000"/>
                <w:sz w:val="18"/>
              </w:rPr>
              <w:t>195,496 </w:t>
            </w:r>
          </w:p>
        </w:tc>
        <w:tc>
          <w:tcPr>
            <w:tcW w:w="100" w:type="dxa"/>
            <w:tcBorders>
              <w:top w:val="single" w:sz="8" w:space="0" w:color="C7C9C7"/>
              <w:left w:val="nil"/>
              <w:bottom w:val="single" w:sz="8" w:space="0" w:color="E9E9E9"/>
              <w:right w:val="nil"/>
            </w:tcBorders>
            <w:tcMar>
              <w:top w:w="0" w:type="dxa"/>
              <w:left w:w="0" w:type="dxa"/>
              <w:bottom w:w="0" w:type="dxa"/>
              <w:right w:w="15" w:type="dxa"/>
            </w:tcMar>
            <w:vAlign w:val="bottom"/>
          </w:tcPr>
          <w:p w14:paraId="1BA333A8" w14:textId="77777777" w:rsidR="001614AC" w:rsidRDefault="001614AC">
            <w:pPr>
              <w:keepNext/>
              <w:spacing w:before="55" w:after="30" w:line="288" w:lineRule="auto"/>
              <w:jc w:val="right"/>
            </w:pPr>
          </w:p>
        </w:tc>
        <w:tc>
          <w:tcPr>
            <w:tcW w:w="105" w:type="dxa"/>
            <w:tcBorders>
              <w:top w:val="single" w:sz="8" w:space="0" w:color="C7C9C7"/>
              <w:left w:val="nil"/>
              <w:bottom w:val="nil"/>
              <w:right w:val="nil"/>
            </w:tcBorders>
            <w:tcMar>
              <w:top w:w="0" w:type="dxa"/>
              <w:left w:w="0" w:type="dxa"/>
              <w:bottom w:w="0" w:type="dxa"/>
              <w:right w:w="0" w:type="dxa"/>
            </w:tcMar>
            <w:vAlign w:val="bottom"/>
          </w:tcPr>
          <w:p w14:paraId="5F0178F7" w14:textId="77777777" w:rsidR="001614AC" w:rsidRDefault="001614AC">
            <w:pPr>
              <w:keepNext/>
            </w:pPr>
          </w:p>
        </w:tc>
        <w:tc>
          <w:tcPr>
            <w:tcW w:w="160" w:type="dxa"/>
            <w:tcBorders>
              <w:top w:val="single" w:sz="8" w:space="0" w:color="C7C9C7"/>
              <w:left w:val="nil"/>
              <w:bottom w:val="single" w:sz="8" w:space="0" w:color="E9E9E9"/>
              <w:right w:val="nil"/>
            </w:tcBorders>
            <w:tcMar>
              <w:top w:w="0" w:type="dxa"/>
              <w:left w:w="53" w:type="dxa"/>
              <w:bottom w:w="0" w:type="dxa"/>
              <w:right w:w="0" w:type="dxa"/>
            </w:tcMar>
            <w:vAlign w:val="bottom"/>
          </w:tcPr>
          <w:p w14:paraId="568A79C4" w14:textId="77777777" w:rsidR="001614AC" w:rsidRDefault="004468F9">
            <w:pPr>
              <w:keepNext/>
              <w:spacing w:before="55" w:after="30" w:line="288" w:lineRule="auto"/>
            </w:pPr>
            <w:r>
              <w:rPr>
                <w:rFonts w:ascii="Arial" w:eastAsia="Arial" w:hAnsi="Arial" w:cs="Arial"/>
                <w:color w:val="000000"/>
                <w:sz w:val="18"/>
              </w:rPr>
              <w:t>$</w:t>
            </w:r>
          </w:p>
        </w:tc>
        <w:tc>
          <w:tcPr>
            <w:tcW w:w="745" w:type="dxa"/>
            <w:tcBorders>
              <w:top w:val="single" w:sz="8" w:space="0" w:color="C7C9C7"/>
              <w:left w:val="nil"/>
              <w:bottom w:val="single" w:sz="8" w:space="0" w:color="E9E9E9"/>
              <w:right w:val="nil"/>
            </w:tcBorders>
            <w:tcMar>
              <w:top w:w="0" w:type="dxa"/>
              <w:left w:w="0" w:type="dxa"/>
              <w:bottom w:w="0" w:type="dxa"/>
              <w:right w:w="0" w:type="dxa"/>
            </w:tcMar>
            <w:vAlign w:val="bottom"/>
          </w:tcPr>
          <w:p w14:paraId="196E2C79" w14:textId="77777777" w:rsidR="001614AC" w:rsidRDefault="004468F9">
            <w:pPr>
              <w:keepNext/>
              <w:spacing w:before="55" w:after="30" w:line="288" w:lineRule="auto"/>
              <w:jc w:val="right"/>
            </w:pPr>
            <w:r>
              <w:rPr>
                <w:rFonts w:ascii="Arial" w:eastAsia="Arial" w:hAnsi="Arial" w:cs="Arial"/>
                <w:color w:val="000000"/>
                <w:sz w:val="18"/>
              </w:rPr>
              <w:t>(42,224)</w:t>
            </w:r>
          </w:p>
        </w:tc>
        <w:tc>
          <w:tcPr>
            <w:tcW w:w="100" w:type="dxa"/>
            <w:tcBorders>
              <w:top w:val="single" w:sz="8" w:space="0" w:color="C7C9C7"/>
              <w:left w:val="nil"/>
              <w:bottom w:val="single" w:sz="8" w:space="0" w:color="E9E9E9"/>
              <w:right w:val="nil"/>
            </w:tcBorders>
            <w:tcMar>
              <w:top w:w="0" w:type="dxa"/>
              <w:left w:w="0" w:type="dxa"/>
              <w:bottom w:w="0" w:type="dxa"/>
              <w:right w:w="15" w:type="dxa"/>
            </w:tcMar>
            <w:vAlign w:val="bottom"/>
          </w:tcPr>
          <w:p w14:paraId="32ACD063" w14:textId="77777777" w:rsidR="001614AC" w:rsidRDefault="001614AC">
            <w:pPr>
              <w:keepNext/>
              <w:spacing w:before="55" w:after="30" w:line="288" w:lineRule="auto"/>
              <w:jc w:val="right"/>
            </w:pPr>
          </w:p>
        </w:tc>
        <w:tc>
          <w:tcPr>
            <w:tcW w:w="105" w:type="dxa"/>
            <w:tcBorders>
              <w:top w:val="single" w:sz="8" w:space="0" w:color="C7C9C7"/>
              <w:left w:val="nil"/>
              <w:bottom w:val="nil"/>
              <w:right w:val="nil"/>
            </w:tcBorders>
            <w:tcMar>
              <w:top w:w="0" w:type="dxa"/>
              <w:left w:w="0" w:type="dxa"/>
              <w:bottom w:w="0" w:type="dxa"/>
              <w:right w:w="0" w:type="dxa"/>
            </w:tcMar>
            <w:vAlign w:val="bottom"/>
          </w:tcPr>
          <w:p w14:paraId="2AC322CF" w14:textId="77777777" w:rsidR="001614AC" w:rsidRDefault="001614AC">
            <w:pPr>
              <w:keepNext/>
            </w:pPr>
          </w:p>
        </w:tc>
        <w:tc>
          <w:tcPr>
            <w:tcW w:w="160" w:type="dxa"/>
            <w:tcBorders>
              <w:top w:val="single" w:sz="8" w:space="0" w:color="C7C9C7"/>
              <w:left w:val="nil"/>
              <w:bottom w:val="single" w:sz="8" w:space="0" w:color="E9E9E9"/>
              <w:right w:val="nil"/>
            </w:tcBorders>
            <w:tcMar>
              <w:top w:w="0" w:type="dxa"/>
              <w:left w:w="53" w:type="dxa"/>
              <w:bottom w:w="0" w:type="dxa"/>
              <w:right w:w="0" w:type="dxa"/>
            </w:tcMar>
            <w:vAlign w:val="bottom"/>
          </w:tcPr>
          <w:p w14:paraId="1B1B258F" w14:textId="77777777" w:rsidR="001614AC" w:rsidRDefault="004468F9">
            <w:pPr>
              <w:keepNext/>
              <w:spacing w:before="55" w:after="30" w:line="288" w:lineRule="auto"/>
            </w:pPr>
            <w:r>
              <w:rPr>
                <w:rFonts w:ascii="Arial" w:eastAsia="Arial" w:hAnsi="Arial" w:cs="Arial"/>
                <w:color w:val="000000"/>
                <w:sz w:val="18"/>
              </w:rPr>
              <w:t>$</w:t>
            </w:r>
          </w:p>
        </w:tc>
        <w:tc>
          <w:tcPr>
            <w:tcW w:w="745" w:type="dxa"/>
            <w:tcBorders>
              <w:top w:val="single" w:sz="8" w:space="0" w:color="C7C9C7"/>
              <w:left w:val="nil"/>
              <w:bottom w:val="single" w:sz="8" w:space="0" w:color="E9E9E9"/>
              <w:right w:val="nil"/>
            </w:tcBorders>
            <w:tcMar>
              <w:top w:w="0" w:type="dxa"/>
              <w:left w:w="0" w:type="dxa"/>
              <w:bottom w:w="0" w:type="dxa"/>
              <w:right w:w="0" w:type="dxa"/>
            </w:tcMar>
            <w:vAlign w:val="bottom"/>
          </w:tcPr>
          <w:p w14:paraId="7B7CA7ED" w14:textId="77777777" w:rsidR="001614AC" w:rsidRDefault="004468F9">
            <w:pPr>
              <w:keepNext/>
              <w:spacing w:before="55" w:after="30" w:line="288" w:lineRule="auto"/>
              <w:jc w:val="right"/>
            </w:pPr>
            <w:r>
              <w:rPr>
                <w:rFonts w:ascii="Arial" w:eastAsia="Arial" w:hAnsi="Arial" w:cs="Arial"/>
                <w:color w:val="000000"/>
                <w:sz w:val="18"/>
              </w:rPr>
              <w:t>356,685 </w:t>
            </w:r>
          </w:p>
        </w:tc>
        <w:tc>
          <w:tcPr>
            <w:tcW w:w="100" w:type="dxa"/>
            <w:tcBorders>
              <w:top w:val="single" w:sz="8" w:space="0" w:color="C7C9C7"/>
              <w:left w:val="nil"/>
              <w:bottom w:val="single" w:sz="8" w:space="0" w:color="E9E9E9"/>
              <w:right w:val="nil"/>
            </w:tcBorders>
            <w:tcMar>
              <w:top w:w="0" w:type="dxa"/>
              <w:left w:w="0" w:type="dxa"/>
              <w:bottom w:w="0" w:type="dxa"/>
              <w:right w:w="15" w:type="dxa"/>
            </w:tcMar>
            <w:vAlign w:val="bottom"/>
          </w:tcPr>
          <w:p w14:paraId="78432C26" w14:textId="77777777" w:rsidR="001614AC" w:rsidRDefault="001614AC">
            <w:pPr>
              <w:keepNext/>
              <w:spacing w:before="55" w:after="30" w:line="288" w:lineRule="auto"/>
              <w:jc w:val="right"/>
            </w:pPr>
          </w:p>
        </w:tc>
        <w:tc>
          <w:tcPr>
            <w:tcW w:w="105" w:type="dxa"/>
            <w:tcBorders>
              <w:top w:val="single" w:sz="8" w:space="0" w:color="C7C9C7"/>
              <w:left w:val="nil"/>
              <w:bottom w:val="nil"/>
              <w:right w:val="nil"/>
            </w:tcBorders>
            <w:tcMar>
              <w:top w:w="0" w:type="dxa"/>
              <w:left w:w="0" w:type="dxa"/>
              <w:bottom w:w="0" w:type="dxa"/>
              <w:right w:w="0" w:type="dxa"/>
            </w:tcMar>
            <w:vAlign w:val="bottom"/>
          </w:tcPr>
          <w:p w14:paraId="4401B427" w14:textId="77777777" w:rsidR="001614AC" w:rsidRDefault="001614AC">
            <w:pPr>
              <w:keepNext/>
            </w:pPr>
          </w:p>
        </w:tc>
        <w:tc>
          <w:tcPr>
            <w:tcW w:w="160" w:type="dxa"/>
            <w:tcBorders>
              <w:top w:val="single" w:sz="8" w:space="0" w:color="C7C9C7"/>
              <w:left w:val="nil"/>
              <w:bottom w:val="single" w:sz="8" w:space="0" w:color="E9E9E9"/>
              <w:right w:val="nil"/>
            </w:tcBorders>
            <w:tcMar>
              <w:top w:w="0" w:type="dxa"/>
              <w:left w:w="53" w:type="dxa"/>
              <w:bottom w:w="0" w:type="dxa"/>
              <w:right w:w="0" w:type="dxa"/>
            </w:tcMar>
            <w:vAlign w:val="bottom"/>
          </w:tcPr>
          <w:p w14:paraId="106909DF" w14:textId="77777777" w:rsidR="001614AC" w:rsidRDefault="004468F9">
            <w:pPr>
              <w:keepNext/>
              <w:spacing w:before="55" w:after="30" w:line="288" w:lineRule="auto"/>
            </w:pPr>
            <w:r>
              <w:rPr>
                <w:rFonts w:ascii="Arial" w:eastAsia="Arial" w:hAnsi="Arial" w:cs="Arial"/>
                <w:color w:val="000000"/>
                <w:sz w:val="18"/>
              </w:rPr>
              <w:t>$</w:t>
            </w:r>
          </w:p>
        </w:tc>
        <w:tc>
          <w:tcPr>
            <w:tcW w:w="745" w:type="dxa"/>
            <w:tcBorders>
              <w:top w:val="single" w:sz="8" w:space="0" w:color="C7C9C7"/>
              <w:left w:val="nil"/>
              <w:bottom w:val="single" w:sz="8" w:space="0" w:color="E9E9E9"/>
              <w:right w:val="nil"/>
            </w:tcBorders>
            <w:tcMar>
              <w:top w:w="0" w:type="dxa"/>
              <w:left w:w="0" w:type="dxa"/>
              <w:bottom w:w="0" w:type="dxa"/>
              <w:right w:w="0" w:type="dxa"/>
            </w:tcMar>
            <w:vAlign w:val="bottom"/>
          </w:tcPr>
          <w:p w14:paraId="28AC715A" w14:textId="77777777" w:rsidR="001614AC" w:rsidRDefault="004468F9">
            <w:pPr>
              <w:keepNext/>
              <w:spacing w:before="55" w:after="30" w:line="288" w:lineRule="auto"/>
              <w:jc w:val="right"/>
            </w:pPr>
            <w:r>
              <w:rPr>
                <w:rFonts w:ascii="Arial" w:eastAsia="Arial" w:hAnsi="Arial" w:cs="Arial"/>
                <w:color w:val="000000"/>
                <w:sz w:val="18"/>
              </w:rPr>
              <w:t>139,069 </w:t>
            </w:r>
          </w:p>
        </w:tc>
        <w:tc>
          <w:tcPr>
            <w:tcW w:w="100" w:type="dxa"/>
            <w:tcBorders>
              <w:top w:val="single" w:sz="8" w:space="0" w:color="C7C9C7"/>
              <w:left w:val="nil"/>
              <w:bottom w:val="single" w:sz="8" w:space="0" w:color="E9E9E9"/>
              <w:right w:val="nil"/>
            </w:tcBorders>
            <w:tcMar>
              <w:top w:w="0" w:type="dxa"/>
              <w:left w:w="0" w:type="dxa"/>
              <w:bottom w:w="0" w:type="dxa"/>
              <w:right w:w="15" w:type="dxa"/>
            </w:tcMar>
            <w:vAlign w:val="bottom"/>
          </w:tcPr>
          <w:p w14:paraId="7A854C27" w14:textId="77777777" w:rsidR="001614AC" w:rsidRDefault="001614AC">
            <w:pPr>
              <w:keepNext/>
              <w:spacing w:before="55" w:after="30" w:line="288" w:lineRule="auto"/>
              <w:jc w:val="right"/>
            </w:pPr>
          </w:p>
        </w:tc>
      </w:tr>
      <w:tr w:rsidR="001614AC" w14:paraId="33D03681" w14:textId="77777777">
        <w:trPr>
          <w:cantSplit/>
        </w:trPr>
        <w:tc>
          <w:tcPr>
            <w:tcW w:w="5640" w:type="dxa"/>
            <w:tcBorders>
              <w:top w:val="single" w:sz="8" w:space="0" w:color="E9E9E9"/>
              <w:left w:val="nil"/>
              <w:bottom w:val="single" w:sz="8" w:space="0" w:color="E9E9E9"/>
              <w:right w:val="nil"/>
            </w:tcBorders>
            <w:tcMar>
              <w:top w:w="0" w:type="dxa"/>
              <w:left w:w="53" w:type="dxa"/>
              <w:bottom w:w="0" w:type="dxa"/>
              <w:right w:w="53" w:type="dxa"/>
            </w:tcMar>
            <w:vAlign w:val="bottom"/>
          </w:tcPr>
          <w:p w14:paraId="0D71CAB5" w14:textId="77777777" w:rsidR="001614AC" w:rsidRDefault="004468F9">
            <w:pPr>
              <w:keepNext/>
              <w:spacing w:before="55" w:after="30" w:line="288" w:lineRule="auto"/>
            </w:pPr>
            <w:r>
              <w:rPr>
                <w:rFonts w:ascii="Arial" w:eastAsia="Arial" w:hAnsi="Arial" w:cs="Arial"/>
                <w:color w:val="000000"/>
                <w:sz w:val="18"/>
              </w:rPr>
              <w:t>Less reconciling income (expense) items</w:t>
            </w:r>
          </w:p>
        </w:tc>
        <w:tc>
          <w:tcPr>
            <w:tcW w:w="105" w:type="dxa"/>
            <w:tcBorders>
              <w:top w:val="nil"/>
              <w:left w:val="nil"/>
              <w:bottom w:val="nil"/>
              <w:right w:val="nil"/>
            </w:tcBorders>
            <w:tcMar>
              <w:top w:w="0" w:type="dxa"/>
              <w:left w:w="0" w:type="dxa"/>
              <w:bottom w:w="0" w:type="dxa"/>
              <w:right w:w="0" w:type="dxa"/>
            </w:tcMar>
            <w:vAlign w:val="bottom"/>
          </w:tcPr>
          <w:p w14:paraId="617A35C1" w14:textId="77777777" w:rsidR="001614AC" w:rsidRDefault="001614AC">
            <w:pPr>
              <w:keepNext/>
            </w:pPr>
          </w:p>
        </w:tc>
        <w:tc>
          <w:tcPr>
            <w:tcW w:w="1005" w:type="dxa"/>
            <w:gridSpan w:val="3"/>
            <w:tcBorders>
              <w:top w:val="single" w:sz="8" w:space="0" w:color="E9E9E9"/>
              <w:left w:val="nil"/>
              <w:bottom w:val="single" w:sz="8" w:space="0" w:color="E9E9E9"/>
              <w:right w:val="nil"/>
            </w:tcBorders>
            <w:tcMar>
              <w:top w:w="0" w:type="dxa"/>
              <w:left w:w="0" w:type="dxa"/>
              <w:bottom w:w="0" w:type="dxa"/>
              <w:right w:w="0" w:type="dxa"/>
            </w:tcMar>
            <w:vAlign w:val="bottom"/>
          </w:tcPr>
          <w:p w14:paraId="286D0934" w14:textId="77777777" w:rsidR="001614AC" w:rsidRDefault="001614AC">
            <w:pPr>
              <w:keepNext/>
            </w:pPr>
          </w:p>
        </w:tc>
        <w:tc>
          <w:tcPr>
            <w:tcW w:w="105" w:type="dxa"/>
            <w:tcBorders>
              <w:top w:val="nil"/>
              <w:left w:val="nil"/>
              <w:bottom w:val="nil"/>
              <w:right w:val="nil"/>
            </w:tcBorders>
            <w:tcMar>
              <w:top w:w="0" w:type="dxa"/>
              <w:left w:w="0" w:type="dxa"/>
              <w:bottom w:w="0" w:type="dxa"/>
              <w:right w:w="0" w:type="dxa"/>
            </w:tcMar>
            <w:vAlign w:val="bottom"/>
          </w:tcPr>
          <w:p w14:paraId="7A06CC6E" w14:textId="77777777" w:rsidR="001614AC" w:rsidRDefault="001614AC">
            <w:pPr>
              <w:keepNext/>
            </w:pPr>
          </w:p>
        </w:tc>
        <w:tc>
          <w:tcPr>
            <w:tcW w:w="1005" w:type="dxa"/>
            <w:gridSpan w:val="3"/>
            <w:tcBorders>
              <w:top w:val="single" w:sz="8" w:space="0" w:color="E9E9E9"/>
              <w:left w:val="nil"/>
              <w:bottom w:val="single" w:sz="8" w:space="0" w:color="E9E9E9"/>
              <w:right w:val="nil"/>
            </w:tcBorders>
            <w:tcMar>
              <w:top w:w="0" w:type="dxa"/>
              <w:left w:w="0" w:type="dxa"/>
              <w:bottom w:w="0" w:type="dxa"/>
              <w:right w:w="0" w:type="dxa"/>
            </w:tcMar>
            <w:vAlign w:val="bottom"/>
          </w:tcPr>
          <w:p w14:paraId="71DD8F2B" w14:textId="77777777" w:rsidR="001614AC" w:rsidRDefault="001614AC">
            <w:pPr>
              <w:keepNext/>
            </w:pPr>
          </w:p>
        </w:tc>
        <w:tc>
          <w:tcPr>
            <w:tcW w:w="105" w:type="dxa"/>
            <w:tcBorders>
              <w:top w:val="nil"/>
              <w:left w:val="nil"/>
              <w:bottom w:val="nil"/>
              <w:right w:val="nil"/>
            </w:tcBorders>
            <w:tcMar>
              <w:top w:w="0" w:type="dxa"/>
              <w:left w:w="0" w:type="dxa"/>
              <w:bottom w:w="0" w:type="dxa"/>
              <w:right w:w="0" w:type="dxa"/>
            </w:tcMar>
            <w:vAlign w:val="bottom"/>
          </w:tcPr>
          <w:p w14:paraId="5BCA6486" w14:textId="77777777" w:rsidR="001614AC" w:rsidRDefault="001614AC">
            <w:pPr>
              <w:keepNext/>
            </w:pPr>
          </w:p>
        </w:tc>
        <w:tc>
          <w:tcPr>
            <w:tcW w:w="1005" w:type="dxa"/>
            <w:gridSpan w:val="3"/>
            <w:tcBorders>
              <w:top w:val="single" w:sz="8" w:space="0" w:color="E9E9E9"/>
              <w:left w:val="nil"/>
              <w:bottom w:val="single" w:sz="8" w:space="0" w:color="E9E9E9"/>
              <w:right w:val="nil"/>
            </w:tcBorders>
            <w:tcMar>
              <w:top w:w="0" w:type="dxa"/>
              <w:left w:w="0" w:type="dxa"/>
              <w:bottom w:w="0" w:type="dxa"/>
              <w:right w:w="0" w:type="dxa"/>
            </w:tcMar>
            <w:vAlign w:val="bottom"/>
          </w:tcPr>
          <w:p w14:paraId="7E7F44EA" w14:textId="77777777" w:rsidR="001614AC" w:rsidRDefault="001614AC">
            <w:pPr>
              <w:keepNext/>
            </w:pPr>
          </w:p>
        </w:tc>
        <w:tc>
          <w:tcPr>
            <w:tcW w:w="105" w:type="dxa"/>
            <w:tcBorders>
              <w:top w:val="nil"/>
              <w:left w:val="nil"/>
              <w:bottom w:val="nil"/>
              <w:right w:val="nil"/>
            </w:tcBorders>
            <w:tcMar>
              <w:top w:w="0" w:type="dxa"/>
              <w:left w:w="0" w:type="dxa"/>
              <w:bottom w:w="0" w:type="dxa"/>
              <w:right w:w="0" w:type="dxa"/>
            </w:tcMar>
            <w:vAlign w:val="bottom"/>
          </w:tcPr>
          <w:p w14:paraId="7383B5D9" w14:textId="77777777" w:rsidR="001614AC" w:rsidRDefault="001614AC">
            <w:pPr>
              <w:keepNext/>
            </w:pPr>
          </w:p>
        </w:tc>
        <w:tc>
          <w:tcPr>
            <w:tcW w:w="1005" w:type="dxa"/>
            <w:gridSpan w:val="3"/>
            <w:tcBorders>
              <w:top w:val="single" w:sz="8" w:space="0" w:color="E9E9E9"/>
              <w:left w:val="nil"/>
              <w:bottom w:val="single" w:sz="8" w:space="0" w:color="E9E9E9"/>
              <w:right w:val="nil"/>
            </w:tcBorders>
            <w:tcMar>
              <w:top w:w="0" w:type="dxa"/>
              <w:left w:w="0" w:type="dxa"/>
              <w:bottom w:w="0" w:type="dxa"/>
              <w:right w:w="0" w:type="dxa"/>
            </w:tcMar>
            <w:vAlign w:val="bottom"/>
          </w:tcPr>
          <w:p w14:paraId="1EE434F4" w14:textId="77777777" w:rsidR="001614AC" w:rsidRDefault="001614AC">
            <w:pPr>
              <w:keepNext/>
            </w:pPr>
          </w:p>
        </w:tc>
      </w:tr>
      <w:tr w:rsidR="001614AC" w14:paraId="77534CEE" w14:textId="77777777">
        <w:trPr>
          <w:cantSplit/>
        </w:trPr>
        <w:tc>
          <w:tcPr>
            <w:tcW w:w="5640" w:type="dxa"/>
            <w:tcBorders>
              <w:top w:val="single" w:sz="8" w:space="0" w:color="E9E9E9"/>
              <w:left w:val="nil"/>
              <w:bottom w:val="single" w:sz="8" w:space="0" w:color="E9E9E9"/>
              <w:right w:val="nil"/>
            </w:tcBorders>
            <w:tcMar>
              <w:top w:w="0" w:type="dxa"/>
              <w:left w:w="53" w:type="dxa"/>
              <w:bottom w:w="0" w:type="dxa"/>
              <w:right w:w="53" w:type="dxa"/>
            </w:tcMar>
            <w:vAlign w:val="bottom"/>
          </w:tcPr>
          <w:p w14:paraId="55C7BFBD" w14:textId="77777777" w:rsidR="001614AC" w:rsidRDefault="004468F9">
            <w:pPr>
              <w:keepNext/>
              <w:spacing w:before="55" w:after="30" w:line="288" w:lineRule="auto"/>
              <w:ind w:left="240"/>
            </w:pPr>
            <w:r>
              <w:rPr>
                <w:rFonts w:ascii="Arial" w:eastAsia="Arial" w:hAnsi="Arial" w:cs="Arial"/>
                <w:color w:val="000000"/>
                <w:sz w:val="18"/>
              </w:rPr>
              <w:t>Net gains (losses) on investments and</w:t>
            </w:r>
            <w:r>
              <w:rPr>
                <w:rFonts w:ascii="Arial" w:eastAsia="Arial" w:hAnsi="Arial" w:cs="Arial"/>
                <w:color w:val="000000"/>
                <w:sz w:val="18"/>
              </w:rPr>
              <w:t xml:space="preserve"> other financial instruments </w:t>
            </w:r>
          </w:p>
        </w:tc>
        <w:tc>
          <w:tcPr>
            <w:tcW w:w="105" w:type="dxa"/>
            <w:tcBorders>
              <w:top w:val="nil"/>
              <w:left w:val="nil"/>
              <w:bottom w:val="nil"/>
              <w:right w:val="nil"/>
            </w:tcBorders>
            <w:tcMar>
              <w:top w:w="0" w:type="dxa"/>
              <w:left w:w="0" w:type="dxa"/>
              <w:bottom w:w="0" w:type="dxa"/>
              <w:right w:w="0" w:type="dxa"/>
            </w:tcMar>
            <w:vAlign w:val="bottom"/>
          </w:tcPr>
          <w:p w14:paraId="6B139D6F" w14:textId="77777777" w:rsidR="001614AC" w:rsidRDefault="001614AC">
            <w:pPr>
              <w:keepNext/>
            </w:pPr>
          </w:p>
        </w:tc>
        <w:tc>
          <w:tcPr>
            <w:tcW w:w="90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6A8B9B1D" w14:textId="77777777" w:rsidR="001614AC" w:rsidRDefault="004468F9">
            <w:pPr>
              <w:keepNext/>
              <w:spacing w:before="55" w:after="30" w:line="288" w:lineRule="auto"/>
              <w:jc w:val="right"/>
            </w:pPr>
            <w:r>
              <w:rPr>
                <w:rFonts w:ascii="Arial" w:eastAsia="Arial" w:hAnsi="Arial" w:cs="Arial"/>
                <w:color w:val="000000"/>
                <w:sz w:val="18"/>
              </w:rPr>
              <w:t>15,661 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08CAA80A" w14:textId="77777777" w:rsidR="001614AC" w:rsidRDefault="001614AC">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619D4ED0" w14:textId="77777777" w:rsidR="001614AC" w:rsidRDefault="001614AC">
            <w:pPr>
              <w:keepNext/>
            </w:pPr>
          </w:p>
        </w:tc>
        <w:tc>
          <w:tcPr>
            <w:tcW w:w="90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6AE570D4" w14:textId="77777777" w:rsidR="001614AC" w:rsidRDefault="004468F9">
            <w:pPr>
              <w:keepNext/>
              <w:spacing w:before="55" w:after="30" w:line="288" w:lineRule="auto"/>
              <w:jc w:val="right"/>
            </w:pPr>
            <w:r>
              <w:rPr>
                <w:rFonts w:ascii="Arial" w:eastAsia="Arial" w:hAnsi="Arial" w:cs="Arial"/>
                <w:color w:val="000000"/>
                <w:sz w:val="18"/>
              </w:rPr>
              <w:t>47,276 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7F266B19" w14:textId="77777777" w:rsidR="001614AC" w:rsidRDefault="001614AC">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7FE7A879" w14:textId="77777777" w:rsidR="001614AC" w:rsidRDefault="001614AC">
            <w:pPr>
              <w:keepNext/>
            </w:pPr>
          </w:p>
        </w:tc>
        <w:tc>
          <w:tcPr>
            <w:tcW w:w="90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753716AD" w14:textId="77777777" w:rsidR="001614AC" w:rsidRDefault="004468F9">
            <w:pPr>
              <w:keepNext/>
              <w:spacing w:before="55" w:after="30" w:line="288" w:lineRule="auto"/>
              <w:jc w:val="right"/>
            </w:pPr>
            <w:r>
              <w:rPr>
                <w:rFonts w:ascii="Arial" w:eastAsia="Arial" w:hAnsi="Arial" w:cs="Arial"/>
                <w:color w:val="000000"/>
                <w:sz w:val="18"/>
              </w:rPr>
              <w:t>10,480 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5D6DDA44" w14:textId="77777777" w:rsidR="001614AC" w:rsidRDefault="001614AC">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5A5B4070" w14:textId="77777777" w:rsidR="001614AC" w:rsidRDefault="001614AC">
            <w:pPr>
              <w:keepNext/>
            </w:pPr>
          </w:p>
        </w:tc>
        <w:tc>
          <w:tcPr>
            <w:tcW w:w="90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79C3EB71" w14:textId="77777777" w:rsidR="001614AC" w:rsidRDefault="004468F9">
            <w:pPr>
              <w:keepNext/>
              <w:spacing w:before="55" w:after="30" w:line="288" w:lineRule="auto"/>
              <w:jc w:val="right"/>
            </w:pPr>
            <w:r>
              <w:rPr>
                <w:rFonts w:ascii="Arial" w:eastAsia="Arial" w:hAnsi="Arial" w:cs="Arial"/>
                <w:color w:val="000000"/>
                <w:sz w:val="18"/>
              </w:rPr>
              <w:t>25,249 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6C2C3753" w14:textId="77777777" w:rsidR="001614AC" w:rsidRDefault="001614AC">
            <w:pPr>
              <w:keepNext/>
              <w:spacing w:before="55" w:after="30" w:line="288" w:lineRule="auto"/>
              <w:jc w:val="right"/>
            </w:pPr>
          </w:p>
        </w:tc>
      </w:tr>
      <w:tr w:rsidR="001614AC" w14:paraId="14077160" w14:textId="77777777">
        <w:trPr>
          <w:cantSplit/>
        </w:trPr>
        <w:tc>
          <w:tcPr>
            <w:tcW w:w="5640" w:type="dxa"/>
            <w:tcBorders>
              <w:top w:val="single" w:sz="8" w:space="0" w:color="E9E9E9"/>
              <w:left w:val="nil"/>
              <w:bottom w:val="single" w:sz="8" w:space="0" w:color="E9E9E9"/>
              <w:right w:val="nil"/>
            </w:tcBorders>
            <w:tcMar>
              <w:top w:w="0" w:type="dxa"/>
              <w:left w:w="53" w:type="dxa"/>
              <w:bottom w:w="0" w:type="dxa"/>
              <w:right w:w="53" w:type="dxa"/>
            </w:tcMar>
            <w:vAlign w:val="bottom"/>
          </w:tcPr>
          <w:p w14:paraId="51BB4850" w14:textId="77777777" w:rsidR="001614AC" w:rsidRDefault="004468F9">
            <w:pPr>
              <w:keepNext/>
              <w:spacing w:before="55" w:after="30" w:line="288" w:lineRule="auto"/>
              <w:ind w:left="240"/>
            </w:pPr>
            <w:r>
              <w:rPr>
                <w:rFonts w:ascii="Arial" w:eastAsia="Arial" w:hAnsi="Arial" w:cs="Arial"/>
                <w:color w:val="000000"/>
                <w:sz w:val="18"/>
              </w:rPr>
              <w:t>Amortization and impairment of other acquired intangible assets</w:t>
            </w:r>
          </w:p>
        </w:tc>
        <w:tc>
          <w:tcPr>
            <w:tcW w:w="105" w:type="dxa"/>
            <w:tcBorders>
              <w:top w:val="nil"/>
              <w:left w:val="nil"/>
              <w:bottom w:val="nil"/>
              <w:right w:val="nil"/>
            </w:tcBorders>
            <w:tcMar>
              <w:top w:w="0" w:type="dxa"/>
              <w:left w:w="0" w:type="dxa"/>
              <w:bottom w:w="0" w:type="dxa"/>
              <w:right w:w="0" w:type="dxa"/>
            </w:tcMar>
            <w:vAlign w:val="bottom"/>
          </w:tcPr>
          <w:p w14:paraId="18D1F6AA" w14:textId="77777777" w:rsidR="001614AC" w:rsidRDefault="001614AC">
            <w:pPr>
              <w:keepNext/>
            </w:pPr>
          </w:p>
        </w:tc>
        <w:tc>
          <w:tcPr>
            <w:tcW w:w="90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49F083D1" w14:textId="77777777" w:rsidR="001614AC" w:rsidRDefault="004468F9">
            <w:pPr>
              <w:keepNext/>
              <w:spacing w:before="55" w:after="30" w:line="288" w:lineRule="auto"/>
              <w:jc w:val="right"/>
            </w:pPr>
            <w:r>
              <w:rPr>
                <w:rFonts w:ascii="Arial" w:eastAsia="Arial" w:hAnsi="Arial" w:cs="Arial"/>
                <w:color w:val="000000"/>
                <w:sz w:val="18"/>
              </w:rPr>
              <w:t>(863)</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2AFDBB46" w14:textId="77777777" w:rsidR="001614AC" w:rsidRDefault="001614AC">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630637CE" w14:textId="77777777" w:rsidR="001614AC" w:rsidRDefault="001614AC">
            <w:pPr>
              <w:keepNext/>
            </w:pPr>
          </w:p>
        </w:tc>
        <w:tc>
          <w:tcPr>
            <w:tcW w:w="90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0097CFB4" w14:textId="77777777" w:rsidR="001614AC" w:rsidRDefault="004468F9">
            <w:pPr>
              <w:keepNext/>
              <w:spacing w:before="55" w:after="30" w:line="288" w:lineRule="auto"/>
              <w:jc w:val="right"/>
            </w:pPr>
            <w:r>
              <w:rPr>
                <w:rFonts w:ascii="Arial" w:eastAsia="Arial" w:hAnsi="Arial" w:cs="Arial"/>
                <w:color w:val="000000"/>
                <w:sz w:val="18"/>
              </w:rPr>
              <w:t>(979)</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5B07D526" w14:textId="77777777" w:rsidR="001614AC" w:rsidRDefault="001614AC">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56890BD0" w14:textId="77777777" w:rsidR="001614AC" w:rsidRDefault="001614AC">
            <w:pPr>
              <w:keepNext/>
            </w:pPr>
          </w:p>
        </w:tc>
        <w:tc>
          <w:tcPr>
            <w:tcW w:w="90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62971D47" w14:textId="77777777" w:rsidR="001614AC" w:rsidRDefault="004468F9">
            <w:pPr>
              <w:keepNext/>
              <w:spacing w:before="55" w:after="30" w:line="288" w:lineRule="auto"/>
              <w:jc w:val="right"/>
            </w:pPr>
            <w:r>
              <w:rPr>
                <w:rFonts w:ascii="Arial" w:eastAsia="Arial" w:hAnsi="Arial" w:cs="Arial"/>
                <w:color w:val="000000"/>
                <w:sz w:val="18"/>
              </w:rPr>
              <w:t>(1,725)</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5A4B0A27" w14:textId="77777777" w:rsidR="001614AC" w:rsidRDefault="001614AC">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0BD16073" w14:textId="77777777" w:rsidR="001614AC" w:rsidRDefault="001614AC">
            <w:pPr>
              <w:keepNext/>
            </w:pPr>
          </w:p>
        </w:tc>
        <w:tc>
          <w:tcPr>
            <w:tcW w:w="90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7A6DCCED" w14:textId="77777777" w:rsidR="001614AC" w:rsidRDefault="004468F9">
            <w:pPr>
              <w:keepNext/>
              <w:spacing w:before="55" w:after="30" w:line="288" w:lineRule="auto"/>
              <w:jc w:val="right"/>
            </w:pPr>
            <w:r>
              <w:rPr>
                <w:rFonts w:ascii="Arial" w:eastAsia="Arial" w:hAnsi="Arial" w:cs="Arial"/>
                <w:color w:val="000000"/>
                <w:sz w:val="18"/>
              </w:rPr>
              <w:t>(1,958)</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615BA64B" w14:textId="77777777" w:rsidR="001614AC" w:rsidRDefault="001614AC">
            <w:pPr>
              <w:keepNext/>
              <w:spacing w:before="55" w:after="30" w:line="288" w:lineRule="auto"/>
              <w:jc w:val="right"/>
            </w:pPr>
          </w:p>
        </w:tc>
      </w:tr>
      <w:tr w:rsidR="001614AC" w14:paraId="13DCCD19" w14:textId="77777777">
        <w:trPr>
          <w:cantSplit/>
        </w:trPr>
        <w:tc>
          <w:tcPr>
            <w:tcW w:w="5640" w:type="dxa"/>
            <w:tcBorders>
              <w:top w:val="single" w:sz="8" w:space="0" w:color="E9E9E9"/>
              <w:left w:val="nil"/>
              <w:bottom w:val="nil"/>
              <w:right w:val="nil"/>
            </w:tcBorders>
            <w:tcMar>
              <w:top w:w="0" w:type="dxa"/>
              <w:left w:w="53" w:type="dxa"/>
              <w:bottom w:w="0" w:type="dxa"/>
              <w:right w:w="53" w:type="dxa"/>
            </w:tcMar>
            <w:vAlign w:val="bottom"/>
          </w:tcPr>
          <w:p w14:paraId="7C953974" w14:textId="77777777" w:rsidR="001614AC" w:rsidRDefault="004468F9">
            <w:pPr>
              <w:keepNext/>
              <w:spacing w:before="55" w:after="30" w:line="288" w:lineRule="auto"/>
              <w:ind w:left="240"/>
            </w:pPr>
            <w:r>
              <w:rPr>
                <w:rFonts w:ascii="Arial" w:eastAsia="Arial" w:hAnsi="Arial" w:cs="Arial"/>
                <w:color w:val="000000"/>
                <w:sz w:val="18"/>
              </w:rPr>
              <w:t>Impairment of other long-lived assets and other non-operating items</w:t>
            </w:r>
          </w:p>
        </w:tc>
        <w:tc>
          <w:tcPr>
            <w:tcW w:w="105" w:type="dxa"/>
            <w:tcBorders>
              <w:top w:val="nil"/>
              <w:left w:val="nil"/>
              <w:bottom w:val="nil"/>
              <w:right w:val="nil"/>
            </w:tcBorders>
            <w:tcMar>
              <w:top w:w="0" w:type="dxa"/>
              <w:left w:w="0" w:type="dxa"/>
              <w:bottom w:w="0" w:type="dxa"/>
              <w:right w:w="0" w:type="dxa"/>
            </w:tcMar>
            <w:vAlign w:val="bottom"/>
          </w:tcPr>
          <w:p w14:paraId="03C9FF38" w14:textId="77777777" w:rsidR="001614AC" w:rsidRDefault="001614AC">
            <w:pPr>
              <w:keepNext/>
            </w:pPr>
          </w:p>
        </w:tc>
        <w:tc>
          <w:tcPr>
            <w:tcW w:w="905" w:type="dxa"/>
            <w:gridSpan w:val="2"/>
            <w:tcBorders>
              <w:top w:val="single" w:sz="8" w:space="0" w:color="E9E9E9"/>
              <w:left w:val="nil"/>
              <w:bottom w:val="single" w:sz="8" w:space="0" w:color="C7C9C7"/>
              <w:right w:val="nil"/>
            </w:tcBorders>
            <w:tcMar>
              <w:top w:w="0" w:type="dxa"/>
              <w:left w:w="53" w:type="dxa"/>
              <w:bottom w:w="0" w:type="dxa"/>
              <w:right w:w="0" w:type="dxa"/>
            </w:tcMar>
            <w:vAlign w:val="bottom"/>
          </w:tcPr>
          <w:p w14:paraId="7750C65B" w14:textId="77777777" w:rsidR="001614AC" w:rsidRDefault="004468F9">
            <w:pPr>
              <w:keepNext/>
              <w:spacing w:before="55" w:after="30" w:line="288" w:lineRule="auto"/>
              <w:jc w:val="right"/>
            </w:pPr>
            <w:r>
              <w:rPr>
                <w:rFonts w:ascii="Arial" w:eastAsia="Arial" w:hAnsi="Arial" w:cs="Arial"/>
                <w:color w:val="000000"/>
                <w:sz w:val="18"/>
              </w:rPr>
              <w:t>(4,021)</w:t>
            </w:r>
          </w:p>
        </w:tc>
        <w:tc>
          <w:tcPr>
            <w:tcW w:w="100" w:type="dxa"/>
            <w:tcBorders>
              <w:top w:val="single" w:sz="8" w:space="0" w:color="E9E9E9"/>
              <w:left w:val="nil"/>
              <w:bottom w:val="single" w:sz="8" w:space="0" w:color="C7C9C7"/>
              <w:right w:val="nil"/>
            </w:tcBorders>
            <w:tcMar>
              <w:top w:w="0" w:type="dxa"/>
              <w:left w:w="0" w:type="dxa"/>
              <w:bottom w:w="0" w:type="dxa"/>
              <w:right w:w="15" w:type="dxa"/>
            </w:tcMar>
            <w:vAlign w:val="bottom"/>
          </w:tcPr>
          <w:p w14:paraId="70D6880B" w14:textId="77777777" w:rsidR="001614AC" w:rsidRDefault="001614AC">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712DF8EB" w14:textId="77777777" w:rsidR="001614AC" w:rsidRDefault="001614AC">
            <w:pPr>
              <w:keepNext/>
            </w:pPr>
          </w:p>
        </w:tc>
        <w:tc>
          <w:tcPr>
            <w:tcW w:w="905" w:type="dxa"/>
            <w:gridSpan w:val="2"/>
            <w:tcBorders>
              <w:top w:val="single" w:sz="8" w:space="0" w:color="E9E9E9"/>
              <w:left w:val="nil"/>
              <w:bottom w:val="single" w:sz="8" w:space="0" w:color="C7C9C7"/>
              <w:right w:val="nil"/>
            </w:tcBorders>
            <w:tcMar>
              <w:top w:w="0" w:type="dxa"/>
              <w:left w:w="53" w:type="dxa"/>
              <w:bottom w:w="0" w:type="dxa"/>
              <w:right w:w="0" w:type="dxa"/>
            </w:tcMar>
            <w:vAlign w:val="bottom"/>
          </w:tcPr>
          <w:p w14:paraId="0BB33102" w14:textId="77777777" w:rsidR="001614AC" w:rsidRDefault="004468F9">
            <w:pPr>
              <w:keepNext/>
              <w:spacing w:before="55" w:after="30" w:line="288" w:lineRule="auto"/>
              <w:jc w:val="right"/>
            </w:pPr>
            <w:r>
              <w:rPr>
                <w:rFonts w:ascii="Arial" w:eastAsia="Arial" w:hAnsi="Arial" w:cs="Arial"/>
                <w:color w:val="000000"/>
                <w:sz w:val="18"/>
              </w:rPr>
              <w:t>(22)</w:t>
            </w:r>
          </w:p>
        </w:tc>
        <w:tc>
          <w:tcPr>
            <w:tcW w:w="100" w:type="dxa"/>
            <w:tcBorders>
              <w:top w:val="single" w:sz="8" w:space="0" w:color="E9E9E9"/>
              <w:left w:val="nil"/>
              <w:bottom w:val="single" w:sz="8" w:space="0" w:color="C7C9C7"/>
              <w:right w:val="nil"/>
            </w:tcBorders>
            <w:tcMar>
              <w:top w:w="0" w:type="dxa"/>
              <w:left w:w="0" w:type="dxa"/>
              <w:bottom w:w="0" w:type="dxa"/>
              <w:right w:w="15" w:type="dxa"/>
            </w:tcMar>
            <w:vAlign w:val="bottom"/>
          </w:tcPr>
          <w:p w14:paraId="746BC0E9" w14:textId="77777777" w:rsidR="001614AC" w:rsidRDefault="001614AC">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64D4AAC5" w14:textId="77777777" w:rsidR="001614AC" w:rsidRDefault="001614AC">
            <w:pPr>
              <w:keepNext/>
            </w:pPr>
          </w:p>
        </w:tc>
        <w:tc>
          <w:tcPr>
            <w:tcW w:w="905" w:type="dxa"/>
            <w:gridSpan w:val="2"/>
            <w:tcBorders>
              <w:top w:val="single" w:sz="8" w:space="0" w:color="E9E9E9"/>
              <w:left w:val="nil"/>
              <w:bottom w:val="single" w:sz="8" w:space="0" w:color="C7C9C7"/>
              <w:right w:val="nil"/>
            </w:tcBorders>
            <w:tcMar>
              <w:top w:w="0" w:type="dxa"/>
              <w:left w:w="53" w:type="dxa"/>
              <w:bottom w:w="0" w:type="dxa"/>
              <w:right w:w="0" w:type="dxa"/>
            </w:tcMar>
            <w:vAlign w:val="bottom"/>
          </w:tcPr>
          <w:p w14:paraId="4DA838C8" w14:textId="77777777" w:rsidR="001614AC" w:rsidRDefault="004468F9">
            <w:pPr>
              <w:keepNext/>
              <w:spacing w:before="55" w:after="30" w:line="288" w:lineRule="auto"/>
              <w:jc w:val="right"/>
            </w:pPr>
            <w:r>
              <w:rPr>
                <w:rFonts w:ascii="Arial" w:eastAsia="Arial" w:hAnsi="Arial" w:cs="Arial"/>
                <w:color w:val="000000"/>
                <w:sz w:val="18"/>
              </w:rPr>
              <w:t>(4,105)</w:t>
            </w:r>
          </w:p>
        </w:tc>
        <w:tc>
          <w:tcPr>
            <w:tcW w:w="100" w:type="dxa"/>
            <w:tcBorders>
              <w:top w:val="single" w:sz="8" w:space="0" w:color="E9E9E9"/>
              <w:left w:val="nil"/>
              <w:bottom w:val="single" w:sz="8" w:space="0" w:color="C7C9C7"/>
              <w:right w:val="nil"/>
            </w:tcBorders>
            <w:tcMar>
              <w:top w:w="0" w:type="dxa"/>
              <w:left w:w="0" w:type="dxa"/>
              <w:bottom w:w="0" w:type="dxa"/>
              <w:right w:w="15" w:type="dxa"/>
            </w:tcMar>
            <w:vAlign w:val="bottom"/>
          </w:tcPr>
          <w:p w14:paraId="49973C1A" w14:textId="77777777" w:rsidR="001614AC" w:rsidRDefault="001614AC">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49E99D6B" w14:textId="77777777" w:rsidR="001614AC" w:rsidRDefault="001614AC">
            <w:pPr>
              <w:keepNext/>
            </w:pPr>
          </w:p>
        </w:tc>
        <w:tc>
          <w:tcPr>
            <w:tcW w:w="905" w:type="dxa"/>
            <w:gridSpan w:val="2"/>
            <w:tcBorders>
              <w:top w:val="single" w:sz="8" w:space="0" w:color="E9E9E9"/>
              <w:left w:val="nil"/>
              <w:bottom w:val="single" w:sz="8" w:space="0" w:color="C7C9C7"/>
              <w:right w:val="nil"/>
            </w:tcBorders>
            <w:tcMar>
              <w:top w:w="0" w:type="dxa"/>
              <w:left w:w="53" w:type="dxa"/>
              <w:bottom w:w="0" w:type="dxa"/>
              <w:right w:w="0" w:type="dxa"/>
            </w:tcMar>
            <w:vAlign w:val="bottom"/>
          </w:tcPr>
          <w:p w14:paraId="2248E1E6" w14:textId="77777777" w:rsidR="001614AC" w:rsidRDefault="004468F9">
            <w:pPr>
              <w:keepNext/>
              <w:spacing w:before="55" w:after="30" w:line="288" w:lineRule="auto"/>
              <w:jc w:val="right"/>
            </w:pPr>
            <w:r>
              <w:rPr>
                <w:rFonts w:ascii="Arial" w:eastAsia="Arial" w:hAnsi="Arial" w:cs="Arial"/>
                <w:color w:val="000000"/>
                <w:sz w:val="18"/>
              </w:rPr>
              <w:t>(322)</w:t>
            </w:r>
          </w:p>
        </w:tc>
        <w:tc>
          <w:tcPr>
            <w:tcW w:w="100" w:type="dxa"/>
            <w:tcBorders>
              <w:top w:val="single" w:sz="8" w:space="0" w:color="E9E9E9"/>
              <w:left w:val="nil"/>
              <w:bottom w:val="single" w:sz="8" w:space="0" w:color="C7C9C7"/>
              <w:right w:val="nil"/>
            </w:tcBorders>
            <w:tcMar>
              <w:top w:w="0" w:type="dxa"/>
              <w:left w:w="0" w:type="dxa"/>
              <w:bottom w:w="0" w:type="dxa"/>
              <w:right w:w="15" w:type="dxa"/>
            </w:tcMar>
            <w:vAlign w:val="bottom"/>
          </w:tcPr>
          <w:p w14:paraId="610EE7BB" w14:textId="77777777" w:rsidR="001614AC" w:rsidRDefault="001614AC">
            <w:pPr>
              <w:keepNext/>
              <w:spacing w:before="55" w:after="30" w:line="288" w:lineRule="auto"/>
              <w:jc w:val="right"/>
            </w:pPr>
          </w:p>
        </w:tc>
      </w:tr>
      <w:tr w:rsidR="001614AC" w14:paraId="712E47DC" w14:textId="77777777">
        <w:trPr>
          <w:cantSplit/>
        </w:trPr>
        <w:tc>
          <w:tcPr>
            <w:tcW w:w="5640" w:type="dxa"/>
            <w:tcBorders>
              <w:top w:val="nil"/>
              <w:left w:val="nil"/>
              <w:bottom w:val="nil"/>
              <w:right w:val="nil"/>
            </w:tcBorders>
            <w:shd w:val="clear" w:color="auto" w:fill="F4F4F4"/>
            <w:tcMar>
              <w:top w:w="0" w:type="dxa"/>
              <w:left w:w="53" w:type="dxa"/>
              <w:bottom w:w="0" w:type="dxa"/>
              <w:right w:w="53" w:type="dxa"/>
            </w:tcMar>
            <w:vAlign w:val="bottom"/>
          </w:tcPr>
          <w:p w14:paraId="18B4FB98" w14:textId="77777777" w:rsidR="001614AC" w:rsidRDefault="004468F9">
            <w:pPr>
              <w:spacing w:before="75" w:after="30" w:line="288" w:lineRule="auto"/>
              <w:rPr>
                <w:rFonts w:ascii="Arial" w:eastAsia="Arial" w:hAnsi="Arial" w:cs="Arial"/>
                <w:sz w:val="18"/>
              </w:rPr>
            </w:pPr>
            <w:r>
              <w:rPr>
                <w:rFonts w:ascii="Arial" w:eastAsia="Arial" w:hAnsi="Arial" w:cs="Arial"/>
                <w:sz w:val="18"/>
              </w:rPr>
              <w:t xml:space="preserve">Total adjusted pretax operating income (loss) </w:t>
            </w:r>
            <w:r>
              <w:rPr>
                <w:rFonts w:ascii="Arial" w:eastAsia="Arial" w:hAnsi="Arial" w:cs="Arial"/>
                <w:sz w:val="18"/>
                <w:vertAlign w:val="superscript"/>
              </w:rPr>
              <w:t xml:space="preserve">(1) </w:t>
            </w:r>
          </w:p>
        </w:tc>
        <w:tc>
          <w:tcPr>
            <w:tcW w:w="105" w:type="dxa"/>
            <w:tcBorders>
              <w:top w:val="nil"/>
              <w:left w:val="nil"/>
              <w:bottom w:val="nil"/>
              <w:right w:val="nil"/>
            </w:tcBorders>
            <w:shd w:val="clear" w:color="auto" w:fill="F4F4F4"/>
            <w:tcMar>
              <w:top w:w="0" w:type="dxa"/>
              <w:left w:w="0" w:type="dxa"/>
              <w:bottom w:w="0" w:type="dxa"/>
              <w:right w:w="0" w:type="dxa"/>
            </w:tcMar>
            <w:vAlign w:val="bottom"/>
          </w:tcPr>
          <w:p w14:paraId="7224C2F1" w14:textId="77777777" w:rsidR="001614AC" w:rsidRDefault="001614AC"/>
        </w:tc>
        <w:tc>
          <w:tcPr>
            <w:tcW w:w="160" w:type="dxa"/>
            <w:tcBorders>
              <w:top w:val="single" w:sz="8" w:space="0" w:color="C7C9C7"/>
              <w:left w:val="nil"/>
              <w:bottom w:val="double" w:sz="8" w:space="0" w:color="C7C9C7"/>
              <w:right w:val="nil"/>
            </w:tcBorders>
            <w:shd w:val="clear" w:color="auto" w:fill="F4F4F4"/>
            <w:tcMar>
              <w:top w:w="0" w:type="dxa"/>
              <w:left w:w="53" w:type="dxa"/>
              <w:bottom w:w="0" w:type="dxa"/>
              <w:right w:w="0" w:type="dxa"/>
            </w:tcMar>
            <w:vAlign w:val="bottom"/>
          </w:tcPr>
          <w:p w14:paraId="075797C2" w14:textId="77777777" w:rsidR="001614AC" w:rsidRDefault="004468F9">
            <w:pPr>
              <w:spacing w:before="55" w:after="30" w:line="288" w:lineRule="auto"/>
            </w:pPr>
            <w:r>
              <w:rPr>
                <w:rFonts w:ascii="Arial" w:eastAsia="Arial" w:hAnsi="Arial" w:cs="Arial"/>
                <w:color w:val="000000"/>
                <w:sz w:val="18"/>
              </w:rPr>
              <w:t>$</w:t>
            </w:r>
          </w:p>
        </w:tc>
        <w:tc>
          <w:tcPr>
            <w:tcW w:w="745" w:type="dxa"/>
            <w:tcBorders>
              <w:top w:val="single" w:sz="8" w:space="0" w:color="C7C9C7"/>
              <w:left w:val="nil"/>
              <w:bottom w:val="double" w:sz="8" w:space="0" w:color="C7C9C7"/>
              <w:right w:val="nil"/>
            </w:tcBorders>
            <w:shd w:val="clear" w:color="auto" w:fill="F4F4F4"/>
            <w:tcMar>
              <w:top w:w="0" w:type="dxa"/>
              <w:left w:w="0" w:type="dxa"/>
              <w:bottom w:w="0" w:type="dxa"/>
              <w:right w:w="0" w:type="dxa"/>
            </w:tcMar>
            <w:vAlign w:val="bottom"/>
          </w:tcPr>
          <w:p w14:paraId="466598DC" w14:textId="77777777" w:rsidR="001614AC" w:rsidRDefault="004468F9">
            <w:pPr>
              <w:spacing w:before="55" w:after="30" w:line="288" w:lineRule="auto"/>
              <w:jc w:val="right"/>
            </w:pPr>
            <w:r>
              <w:rPr>
                <w:rFonts w:ascii="Arial" w:eastAsia="Arial" w:hAnsi="Arial" w:cs="Arial"/>
                <w:color w:val="000000"/>
                <w:sz w:val="18"/>
              </w:rPr>
              <w:t>184,719 </w:t>
            </w:r>
          </w:p>
        </w:tc>
        <w:tc>
          <w:tcPr>
            <w:tcW w:w="100" w:type="dxa"/>
            <w:tcBorders>
              <w:top w:val="single" w:sz="8" w:space="0" w:color="C7C9C7"/>
              <w:left w:val="nil"/>
              <w:bottom w:val="double" w:sz="8" w:space="0" w:color="C7C9C7"/>
              <w:right w:val="nil"/>
            </w:tcBorders>
            <w:shd w:val="clear" w:color="auto" w:fill="F4F4F4"/>
            <w:tcMar>
              <w:top w:w="0" w:type="dxa"/>
              <w:left w:w="0" w:type="dxa"/>
              <w:bottom w:w="0" w:type="dxa"/>
              <w:right w:w="15" w:type="dxa"/>
            </w:tcMar>
            <w:vAlign w:val="bottom"/>
          </w:tcPr>
          <w:p w14:paraId="42A61048" w14:textId="77777777" w:rsidR="001614AC" w:rsidRDefault="001614AC">
            <w:pPr>
              <w:spacing w:before="55" w:after="30" w:line="288" w:lineRule="auto"/>
              <w:jc w:val="right"/>
            </w:pPr>
          </w:p>
        </w:tc>
        <w:tc>
          <w:tcPr>
            <w:tcW w:w="105" w:type="dxa"/>
            <w:tcBorders>
              <w:top w:val="nil"/>
              <w:left w:val="nil"/>
              <w:bottom w:val="nil"/>
              <w:right w:val="nil"/>
            </w:tcBorders>
            <w:shd w:val="clear" w:color="auto" w:fill="F4F4F4"/>
            <w:tcMar>
              <w:top w:w="0" w:type="dxa"/>
              <w:left w:w="0" w:type="dxa"/>
              <w:bottom w:w="0" w:type="dxa"/>
              <w:right w:w="0" w:type="dxa"/>
            </w:tcMar>
            <w:vAlign w:val="bottom"/>
          </w:tcPr>
          <w:p w14:paraId="77CB6442" w14:textId="77777777" w:rsidR="001614AC" w:rsidRDefault="001614AC"/>
        </w:tc>
        <w:tc>
          <w:tcPr>
            <w:tcW w:w="160" w:type="dxa"/>
            <w:tcBorders>
              <w:top w:val="single" w:sz="8" w:space="0" w:color="C7C9C7"/>
              <w:left w:val="nil"/>
              <w:bottom w:val="double" w:sz="8" w:space="0" w:color="C7C9C7"/>
              <w:right w:val="nil"/>
            </w:tcBorders>
            <w:shd w:val="clear" w:color="auto" w:fill="F4F4F4"/>
            <w:tcMar>
              <w:top w:w="0" w:type="dxa"/>
              <w:left w:w="53" w:type="dxa"/>
              <w:bottom w:w="0" w:type="dxa"/>
              <w:right w:w="0" w:type="dxa"/>
            </w:tcMar>
            <w:vAlign w:val="bottom"/>
          </w:tcPr>
          <w:p w14:paraId="50D22A77" w14:textId="77777777" w:rsidR="001614AC" w:rsidRDefault="004468F9">
            <w:pPr>
              <w:spacing w:before="55" w:after="30" w:line="288" w:lineRule="auto"/>
            </w:pPr>
            <w:r>
              <w:rPr>
                <w:rFonts w:ascii="Arial" w:eastAsia="Arial" w:hAnsi="Arial" w:cs="Arial"/>
                <w:color w:val="000000"/>
                <w:sz w:val="18"/>
              </w:rPr>
              <w:t>$</w:t>
            </w:r>
          </w:p>
        </w:tc>
        <w:tc>
          <w:tcPr>
            <w:tcW w:w="745" w:type="dxa"/>
            <w:tcBorders>
              <w:top w:val="single" w:sz="8" w:space="0" w:color="C7C9C7"/>
              <w:left w:val="nil"/>
              <w:bottom w:val="double" w:sz="8" w:space="0" w:color="C7C9C7"/>
              <w:right w:val="nil"/>
            </w:tcBorders>
            <w:shd w:val="clear" w:color="auto" w:fill="F4F4F4"/>
            <w:tcMar>
              <w:top w:w="0" w:type="dxa"/>
              <w:left w:w="0" w:type="dxa"/>
              <w:bottom w:w="0" w:type="dxa"/>
              <w:right w:w="0" w:type="dxa"/>
            </w:tcMar>
            <w:vAlign w:val="bottom"/>
          </w:tcPr>
          <w:p w14:paraId="29B4060D" w14:textId="77777777" w:rsidR="001614AC" w:rsidRDefault="004468F9">
            <w:pPr>
              <w:spacing w:before="55" w:after="30" w:line="288" w:lineRule="auto"/>
              <w:jc w:val="right"/>
            </w:pPr>
            <w:r>
              <w:rPr>
                <w:rFonts w:ascii="Arial" w:eastAsia="Arial" w:hAnsi="Arial" w:cs="Arial"/>
                <w:color w:val="000000"/>
                <w:sz w:val="18"/>
              </w:rPr>
              <w:t>(88,499)</w:t>
            </w:r>
          </w:p>
        </w:tc>
        <w:tc>
          <w:tcPr>
            <w:tcW w:w="100" w:type="dxa"/>
            <w:tcBorders>
              <w:top w:val="single" w:sz="8" w:space="0" w:color="C7C9C7"/>
              <w:left w:val="nil"/>
              <w:bottom w:val="double" w:sz="8" w:space="0" w:color="C7C9C7"/>
              <w:right w:val="nil"/>
            </w:tcBorders>
            <w:shd w:val="clear" w:color="auto" w:fill="F4F4F4"/>
            <w:tcMar>
              <w:top w:w="0" w:type="dxa"/>
              <w:left w:w="0" w:type="dxa"/>
              <w:bottom w:w="0" w:type="dxa"/>
              <w:right w:w="15" w:type="dxa"/>
            </w:tcMar>
            <w:vAlign w:val="bottom"/>
          </w:tcPr>
          <w:p w14:paraId="7A58ECFF" w14:textId="77777777" w:rsidR="001614AC" w:rsidRDefault="001614AC">
            <w:pPr>
              <w:spacing w:before="55" w:after="30" w:line="288" w:lineRule="auto"/>
              <w:jc w:val="right"/>
            </w:pPr>
          </w:p>
        </w:tc>
        <w:tc>
          <w:tcPr>
            <w:tcW w:w="105" w:type="dxa"/>
            <w:tcBorders>
              <w:top w:val="nil"/>
              <w:left w:val="nil"/>
              <w:bottom w:val="nil"/>
              <w:right w:val="nil"/>
            </w:tcBorders>
            <w:shd w:val="clear" w:color="auto" w:fill="F4F4F4"/>
            <w:tcMar>
              <w:top w:w="0" w:type="dxa"/>
              <w:left w:w="0" w:type="dxa"/>
              <w:bottom w:w="0" w:type="dxa"/>
              <w:right w:w="0" w:type="dxa"/>
            </w:tcMar>
            <w:vAlign w:val="bottom"/>
          </w:tcPr>
          <w:p w14:paraId="4088EF65" w14:textId="77777777" w:rsidR="001614AC" w:rsidRDefault="001614AC"/>
        </w:tc>
        <w:tc>
          <w:tcPr>
            <w:tcW w:w="160" w:type="dxa"/>
            <w:tcBorders>
              <w:top w:val="single" w:sz="8" w:space="0" w:color="C7C9C7"/>
              <w:left w:val="nil"/>
              <w:bottom w:val="double" w:sz="8" w:space="0" w:color="C7C9C7"/>
              <w:right w:val="nil"/>
            </w:tcBorders>
            <w:shd w:val="clear" w:color="auto" w:fill="F4F4F4"/>
            <w:tcMar>
              <w:top w:w="0" w:type="dxa"/>
              <w:left w:w="53" w:type="dxa"/>
              <w:bottom w:w="0" w:type="dxa"/>
              <w:right w:w="0" w:type="dxa"/>
            </w:tcMar>
            <w:vAlign w:val="bottom"/>
          </w:tcPr>
          <w:p w14:paraId="6054B9CD" w14:textId="77777777" w:rsidR="001614AC" w:rsidRDefault="004468F9">
            <w:pPr>
              <w:spacing w:before="55" w:after="30" w:line="288" w:lineRule="auto"/>
            </w:pPr>
            <w:r>
              <w:rPr>
                <w:rFonts w:ascii="Arial" w:eastAsia="Arial" w:hAnsi="Arial" w:cs="Arial"/>
                <w:color w:val="000000"/>
                <w:sz w:val="18"/>
              </w:rPr>
              <w:t>$</w:t>
            </w:r>
          </w:p>
        </w:tc>
        <w:tc>
          <w:tcPr>
            <w:tcW w:w="745" w:type="dxa"/>
            <w:tcBorders>
              <w:top w:val="single" w:sz="8" w:space="0" w:color="C7C9C7"/>
              <w:left w:val="nil"/>
              <w:bottom w:val="double" w:sz="8" w:space="0" w:color="C7C9C7"/>
              <w:right w:val="nil"/>
            </w:tcBorders>
            <w:shd w:val="clear" w:color="auto" w:fill="F4F4F4"/>
            <w:tcMar>
              <w:top w:w="0" w:type="dxa"/>
              <w:left w:w="0" w:type="dxa"/>
              <w:bottom w:w="0" w:type="dxa"/>
              <w:right w:w="0" w:type="dxa"/>
            </w:tcMar>
            <w:vAlign w:val="bottom"/>
          </w:tcPr>
          <w:p w14:paraId="2D68CB96" w14:textId="77777777" w:rsidR="001614AC" w:rsidRDefault="004468F9">
            <w:pPr>
              <w:spacing w:before="55" w:after="30" w:line="288" w:lineRule="auto"/>
              <w:jc w:val="right"/>
            </w:pPr>
            <w:r>
              <w:rPr>
                <w:rFonts w:ascii="Arial" w:eastAsia="Arial" w:hAnsi="Arial" w:cs="Arial"/>
                <w:color w:val="000000"/>
                <w:sz w:val="18"/>
              </w:rPr>
              <w:t>352,035 </w:t>
            </w:r>
          </w:p>
        </w:tc>
        <w:tc>
          <w:tcPr>
            <w:tcW w:w="100" w:type="dxa"/>
            <w:tcBorders>
              <w:top w:val="single" w:sz="8" w:space="0" w:color="C7C9C7"/>
              <w:left w:val="nil"/>
              <w:bottom w:val="double" w:sz="8" w:space="0" w:color="C7C9C7"/>
              <w:right w:val="nil"/>
            </w:tcBorders>
            <w:shd w:val="clear" w:color="auto" w:fill="F4F4F4"/>
            <w:tcMar>
              <w:top w:w="0" w:type="dxa"/>
              <w:left w:w="0" w:type="dxa"/>
              <w:bottom w:w="0" w:type="dxa"/>
              <w:right w:w="15" w:type="dxa"/>
            </w:tcMar>
            <w:vAlign w:val="bottom"/>
          </w:tcPr>
          <w:p w14:paraId="2856F25D" w14:textId="77777777" w:rsidR="001614AC" w:rsidRDefault="001614AC">
            <w:pPr>
              <w:spacing w:before="55" w:after="30" w:line="288" w:lineRule="auto"/>
              <w:jc w:val="right"/>
            </w:pPr>
          </w:p>
        </w:tc>
        <w:tc>
          <w:tcPr>
            <w:tcW w:w="105" w:type="dxa"/>
            <w:tcBorders>
              <w:top w:val="nil"/>
              <w:left w:val="nil"/>
              <w:bottom w:val="nil"/>
              <w:right w:val="nil"/>
            </w:tcBorders>
            <w:shd w:val="clear" w:color="auto" w:fill="F4F4F4"/>
            <w:tcMar>
              <w:top w:w="0" w:type="dxa"/>
              <w:left w:w="0" w:type="dxa"/>
              <w:bottom w:w="0" w:type="dxa"/>
              <w:right w:w="0" w:type="dxa"/>
            </w:tcMar>
            <w:vAlign w:val="bottom"/>
          </w:tcPr>
          <w:p w14:paraId="2A9CAE75" w14:textId="77777777" w:rsidR="001614AC" w:rsidRDefault="001614AC"/>
        </w:tc>
        <w:tc>
          <w:tcPr>
            <w:tcW w:w="160" w:type="dxa"/>
            <w:tcBorders>
              <w:top w:val="single" w:sz="8" w:space="0" w:color="C7C9C7"/>
              <w:left w:val="nil"/>
              <w:bottom w:val="double" w:sz="8" w:space="0" w:color="C7C9C7"/>
              <w:right w:val="nil"/>
            </w:tcBorders>
            <w:shd w:val="clear" w:color="auto" w:fill="F4F4F4"/>
            <w:tcMar>
              <w:top w:w="0" w:type="dxa"/>
              <w:left w:w="53" w:type="dxa"/>
              <w:bottom w:w="0" w:type="dxa"/>
              <w:right w:w="0" w:type="dxa"/>
            </w:tcMar>
            <w:vAlign w:val="bottom"/>
          </w:tcPr>
          <w:p w14:paraId="57DD7BB8" w14:textId="77777777" w:rsidR="001614AC" w:rsidRDefault="004468F9">
            <w:pPr>
              <w:spacing w:before="55" w:after="30" w:line="288" w:lineRule="auto"/>
            </w:pPr>
            <w:r>
              <w:rPr>
                <w:rFonts w:ascii="Arial" w:eastAsia="Arial" w:hAnsi="Arial" w:cs="Arial"/>
                <w:color w:val="000000"/>
                <w:sz w:val="18"/>
              </w:rPr>
              <w:t>$</w:t>
            </w:r>
          </w:p>
        </w:tc>
        <w:tc>
          <w:tcPr>
            <w:tcW w:w="745" w:type="dxa"/>
            <w:tcBorders>
              <w:top w:val="single" w:sz="8" w:space="0" w:color="C7C9C7"/>
              <w:left w:val="nil"/>
              <w:bottom w:val="double" w:sz="8" w:space="0" w:color="C7C9C7"/>
              <w:right w:val="nil"/>
            </w:tcBorders>
            <w:shd w:val="clear" w:color="auto" w:fill="F4F4F4"/>
            <w:tcMar>
              <w:top w:w="0" w:type="dxa"/>
              <w:left w:w="0" w:type="dxa"/>
              <w:bottom w:w="0" w:type="dxa"/>
              <w:right w:w="0" w:type="dxa"/>
            </w:tcMar>
            <w:vAlign w:val="bottom"/>
          </w:tcPr>
          <w:p w14:paraId="66E02B0B" w14:textId="77777777" w:rsidR="001614AC" w:rsidRDefault="004468F9">
            <w:pPr>
              <w:spacing w:before="55" w:after="30" w:line="288" w:lineRule="auto"/>
              <w:jc w:val="right"/>
            </w:pPr>
            <w:r>
              <w:rPr>
                <w:rFonts w:ascii="Arial" w:eastAsia="Arial" w:hAnsi="Arial" w:cs="Arial"/>
                <w:color w:val="000000"/>
                <w:sz w:val="18"/>
              </w:rPr>
              <w:t>116,100 </w:t>
            </w:r>
          </w:p>
        </w:tc>
        <w:tc>
          <w:tcPr>
            <w:tcW w:w="100" w:type="dxa"/>
            <w:tcBorders>
              <w:top w:val="single" w:sz="8" w:space="0" w:color="C7C9C7"/>
              <w:left w:val="nil"/>
              <w:bottom w:val="double" w:sz="8" w:space="0" w:color="C7C9C7"/>
              <w:right w:val="nil"/>
            </w:tcBorders>
            <w:shd w:val="clear" w:color="auto" w:fill="F4F4F4"/>
            <w:tcMar>
              <w:top w:w="0" w:type="dxa"/>
              <w:left w:w="0" w:type="dxa"/>
              <w:bottom w:w="0" w:type="dxa"/>
              <w:right w:w="15" w:type="dxa"/>
            </w:tcMar>
            <w:vAlign w:val="bottom"/>
          </w:tcPr>
          <w:p w14:paraId="40E01FBC" w14:textId="77777777" w:rsidR="001614AC" w:rsidRDefault="001614AC">
            <w:pPr>
              <w:spacing w:before="55" w:after="30" w:line="288" w:lineRule="auto"/>
              <w:jc w:val="right"/>
            </w:pPr>
          </w:p>
        </w:tc>
      </w:tr>
    </w:tbl>
    <w:p w14:paraId="1787B797" w14:textId="77777777" w:rsidR="001614AC" w:rsidRDefault="004468F9" w:rsidP="004468F9">
      <w:pPr>
        <w:numPr>
          <w:ilvl w:val="0"/>
          <w:numId w:val="31"/>
        </w:numPr>
        <w:spacing w:line="288" w:lineRule="auto"/>
        <w:ind w:left="360"/>
        <w:rPr>
          <w:rFonts w:ascii="Arial" w:eastAsia="Arial" w:hAnsi="Arial" w:cs="Arial"/>
          <w:b/>
          <w:color w:val="64615D"/>
          <w:sz w:val="16"/>
        </w:rPr>
      </w:pPr>
      <w:r>
        <w:rPr>
          <w:rFonts w:ascii="Arial" w:eastAsia="Arial" w:hAnsi="Arial" w:cs="Arial"/>
          <w:color w:val="64615D"/>
          <w:sz w:val="16"/>
        </w:rPr>
        <w:t>T</w:t>
      </w:r>
      <w:r>
        <w:rPr>
          <w:rFonts w:ascii="Arial" w:eastAsia="Arial" w:hAnsi="Arial" w:cs="Arial"/>
          <w:color w:val="64615D"/>
          <w:sz w:val="16"/>
        </w:rPr>
        <w:t>otal adjusted pretax operating income (loss) on a consolidated basis consists of adjusted pretax operating income (loss) for our Mortgage segment, our homegenius segment and All Other activities, as further detailed in Note 4 of Notes to Unaudited Condense</w:t>
      </w:r>
      <w:r>
        <w:rPr>
          <w:rFonts w:ascii="Arial" w:eastAsia="Arial" w:hAnsi="Arial" w:cs="Arial"/>
          <w:color w:val="64615D"/>
          <w:sz w:val="16"/>
        </w:rPr>
        <w:t>d Consolidated Financial Statements.</w:t>
      </w:r>
    </w:p>
    <w:p w14:paraId="4C9AC84A" w14:textId="77777777" w:rsidR="001614AC" w:rsidRDefault="004468F9">
      <w:pPr>
        <w:keepNext/>
        <w:spacing w:before="200" w:after="100" w:line="288" w:lineRule="auto"/>
        <w:ind w:firstLine="450"/>
        <w:rPr>
          <w:rFonts w:ascii="Arial" w:eastAsia="Arial" w:hAnsi="Arial" w:cs="Arial"/>
          <w:b/>
          <w:color w:val="64615D"/>
          <w:sz w:val="18"/>
        </w:rPr>
      </w:pPr>
      <w:r>
        <w:rPr>
          <w:rFonts w:ascii="Arial" w:eastAsia="Arial" w:hAnsi="Arial" w:cs="Arial"/>
          <w:sz w:val="18"/>
        </w:rPr>
        <w:t>Adjusted diluted net operating income (loss) per share is calculated by dividing (i) adjusted pretax operating income (loss) attributable to common stockholders, net of taxes computed using the Company’s statutory tax r</w:t>
      </w:r>
      <w:r>
        <w:rPr>
          <w:rFonts w:ascii="Arial" w:eastAsia="Arial" w:hAnsi="Arial" w:cs="Arial"/>
          <w:sz w:val="18"/>
        </w:rPr>
        <w:t>ate, by (ii) the sum of the weighted average number of common shares outstanding and all dilutive potential common shares outstanding. The following table provides a reconciliation of diluted net income (loss) per share to our non-GAAP financial measure fo</w:t>
      </w:r>
      <w:r>
        <w:rPr>
          <w:rFonts w:ascii="Arial" w:eastAsia="Arial" w:hAnsi="Arial" w:cs="Arial"/>
          <w:sz w:val="18"/>
        </w:rPr>
        <w:t>r the consolidated company of adjusted diluted net operating income (loss) per share.</w:t>
      </w:r>
    </w:p>
    <w:tbl>
      <w:tblPr>
        <w:tblW w:w="102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84"/>
        <w:gridCol w:w="107"/>
        <w:gridCol w:w="163"/>
        <w:gridCol w:w="760"/>
        <w:gridCol w:w="102"/>
        <w:gridCol w:w="77"/>
        <w:gridCol w:w="163"/>
        <w:gridCol w:w="760"/>
        <w:gridCol w:w="102"/>
        <w:gridCol w:w="107"/>
        <w:gridCol w:w="163"/>
        <w:gridCol w:w="760"/>
        <w:gridCol w:w="102"/>
        <w:gridCol w:w="107"/>
        <w:gridCol w:w="163"/>
        <w:gridCol w:w="760"/>
        <w:gridCol w:w="102"/>
      </w:tblGrid>
      <w:tr w:rsidR="001614AC" w14:paraId="220335E4" w14:textId="77777777">
        <w:trPr>
          <w:cantSplit/>
        </w:trPr>
        <w:tc>
          <w:tcPr>
            <w:tcW w:w="10080" w:type="dxa"/>
            <w:gridSpan w:val="17"/>
            <w:tcBorders>
              <w:top w:val="nil"/>
              <w:left w:val="nil"/>
              <w:bottom w:val="single" w:sz="12" w:space="0" w:color="99AAB6"/>
              <w:right w:val="nil"/>
            </w:tcBorders>
            <w:tcMar>
              <w:top w:w="0" w:type="dxa"/>
              <w:left w:w="53" w:type="dxa"/>
              <w:bottom w:w="0" w:type="dxa"/>
              <w:right w:w="53" w:type="dxa"/>
            </w:tcMar>
            <w:vAlign w:val="bottom"/>
          </w:tcPr>
          <w:p w14:paraId="69028DB5" w14:textId="77777777" w:rsidR="001614AC" w:rsidRDefault="004468F9">
            <w:pPr>
              <w:keepNext/>
              <w:spacing w:before="75" w:after="30" w:line="288" w:lineRule="auto"/>
              <w:rPr>
                <w:rFonts w:ascii="Arial" w:eastAsia="Arial" w:hAnsi="Arial" w:cs="Arial"/>
                <w:b/>
                <w:sz w:val="20"/>
              </w:rPr>
            </w:pPr>
            <w:r>
              <w:rPr>
                <w:rFonts w:ascii="Arial" w:eastAsia="Arial" w:hAnsi="Arial" w:cs="Arial"/>
                <w:b/>
                <w:sz w:val="20"/>
              </w:rPr>
              <w:t>Reconciliation of diluted net income (loss) per share to adjusted diluted net operating income (loss) per share</w:t>
            </w:r>
          </w:p>
        </w:tc>
      </w:tr>
      <w:tr w:rsidR="001614AC" w14:paraId="131C4C74" w14:textId="77777777">
        <w:trPr>
          <w:cantSplit/>
          <w:trHeight w:hRule="exact" w:val="135"/>
        </w:trPr>
        <w:tc>
          <w:tcPr>
            <w:tcW w:w="5670" w:type="dxa"/>
            <w:tcBorders>
              <w:top w:val="nil"/>
              <w:left w:val="nil"/>
              <w:bottom w:val="nil"/>
              <w:right w:val="nil"/>
            </w:tcBorders>
            <w:tcMar>
              <w:top w:w="0" w:type="dxa"/>
              <w:left w:w="0" w:type="dxa"/>
              <w:bottom w:w="0" w:type="dxa"/>
              <w:right w:w="0" w:type="dxa"/>
            </w:tcMar>
            <w:vAlign w:val="bottom"/>
          </w:tcPr>
          <w:p w14:paraId="70373D33" w14:textId="77777777" w:rsidR="001614AC" w:rsidRDefault="001614AC">
            <w:pPr>
              <w:keepNext/>
            </w:pPr>
          </w:p>
        </w:tc>
        <w:tc>
          <w:tcPr>
            <w:tcW w:w="105" w:type="dxa"/>
            <w:tcBorders>
              <w:top w:val="single" w:sz="12" w:space="0" w:color="99AAB6"/>
              <w:left w:val="nil"/>
              <w:bottom w:val="nil"/>
              <w:right w:val="nil"/>
            </w:tcBorders>
            <w:tcMar>
              <w:top w:w="0" w:type="dxa"/>
              <w:left w:w="0" w:type="dxa"/>
              <w:bottom w:w="0" w:type="dxa"/>
              <w:right w:w="0" w:type="dxa"/>
            </w:tcMar>
            <w:vAlign w:val="bottom"/>
          </w:tcPr>
          <w:p w14:paraId="1233B169" w14:textId="77777777" w:rsidR="001614AC" w:rsidRDefault="001614AC">
            <w:pPr>
              <w:keepNext/>
            </w:pPr>
          </w:p>
        </w:tc>
        <w:tc>
          <w:tcPr>
            <w:tcW w:w="1005" w:type="dxa"/>
            <w:gridSpan w:val="3"/>
            <w:tcBorders>
              <w:top w:val="single" w:sz="12" w:space="0" w:color="99AAB6"/>
              <w:left w:val="nil"/>
              <w:bottom w:val="nil"/>
              <w:right w:val="nil"/>
            </w:tcBorders>
            <w:tcMar>
              <w:top w:w="0" w:type="dxa"/>
              <w:left w:w="0" w:type="dxa"/>
              <w:bottom w:w="0" w:type="dxa"/>
              <w:right w:w="0" w:type="dxa"/>
            </w:tcMar>
            <w:vAlign w:val="bottom"/>
          </w:tcPr>
          <w:p w14:paraId="6429C190" w14:textId="77777777" w:rsidR="001614AC" w:rsidRDefault="001614AC">
            <w:pPr>
              <w:keepNext/>
            </w:pPr>
          </w:p>
        </w:tc>
        <w:tc>
          <w:tcPr>
            <w:tcW w:w="75" w:type="dxa"/>
            <w:tcBorders>
              <w:top w:val="single" w:sz="12" w:space="0" w:color="99AAB6"/>
              <w:left w:val="nil"/>
              <w:bottom w:val="nil"/>
              <w:right w:val="nil"/>
            </w:tcBorders>
            <w:tcMar>
              <w:top w:w="0" w:type="dxa"/>
              <w:left w:w="0" w:type="dxa"/>
              <w:bottom w:w="0" w:type="dxa"/>
              <w:right w:w="0" w:type="dxa"/>
            </w:tcMar>
            <w:vAlign w:val="bottom"/>
          </w:tcPr>
          <w:p w14:paraId="30F3A8E6" w14:textId="77777777" w:rsidR="001614AC" w:rsidRDefault="001614AC">
            <w:pPr>
              <w:keepNext/>
            </w:pPr>
          </w:p>
        </w:tc>
        <w:tc>
          <w:tcPr>
            <w:tcW w:w="1005" w:type="dxa"/>
            <w:gridSpan w:val="3"/>
            <w:tcBorders>
              <w:top w:val="single" w:sz="12" w:space="0" w:color="99AAB6"/>
              <w:left w:val="nil"/>
              <w:bottom w:val="nil"/>
              <w:right w:val="nil"/>
            </w:tcBorders>
            <w:tcMar>
              <w:top w:w="0" w:type="dxa"/>
              <w:left w:w="0" w:type="dxa"/>
              <w:bottom w:w="0" w:type="dxa"/>
              <w:right w:w="0" w:type="dxa"/>
            </w:tcMar>
            <w:vAlign w:val="bottom"/>
          </w:tcPr>
          <w:p w14:paraId="0EA35580" w14:textId="77777777" w:rsidR="001614AC" w:rsidRDefault="001614AC">
            <w:pPr>
              <w:keepNext/>
            </w:pPr>
          </w:p>
        </w:tc>
        <w:tc>
          <w:tcPr>
            <w:tcW w:w="105" w:type="dxa"/>
            <w:tcBorders>
              <w:top w:val="single" w:sz="12" w:space="0" w:color="99AAB6"/>
              <w:left w:val="nil"/>
              <w:bottom w:val="nil"/>
              <w:right w:val="nil"/>
            </w:tcBorders>
            <w:tcMar>
              <w:top w:w="0" w:type="dxa"/>
              <w:left w:w="0" w:type="dxa"/>
              <w:bottom w:w="0" w:type="dxa"/>
              <w:right w:w="0" w:type="dxa"/>
            </w:tcMar>
            <w:vAlign w:val="bottom"/>
          </w:tcPr>
          <w:p w14:paraId="2B13D017" w14:textId="77777777" w:rsidR="001614AC" w:rsidRDefault="001614AC">
            <w:pPr>
              <w:keepNext/>
            </w:pPr>
          </w:p>
        </w:tc>
        <w:tc>
          <w:tcPr>
            <w:tcW w:w="1005" w:type="dxa"/>
            <w:gridSpan w:val="3"/>
            <w:tcBorders>
              <w:top w:val="single" w:sz="12" w:space="0" w:color="99AAB6"/>
              <w:left w:val="nil"/>
              <w:bottom w:val="nil"/>
              <w:right w:val="nil"/>
            </w:tcBorders>
            <w:tcMar>
              <w:top w:w="0" w:type="dxa"/>
              <w:left w:w="0" w:type="dxa"/>
              <w:bottom w:w="0" w:type="dxa"/>
              <w:right w:w="0" w:type="dxa"/>
            </w:tcMar>
            <w:vAlign w:val="bottom"/>
          </w:tcPr>
          <w:p w14:paraId="3222CBDC" w14:textId="77777777" w:rsidR="001614AC" w:rsidRDefault="001614AC">
            <w:pPr>
              <w:keepNext/>
            </w:pPr>
          </w:p>
        </w:tc>
        <w:tc>
          <w:tcPr>
            <w:tcW w:w="105" w:type="dxa"/>
            <w:tcBorders>
              <w:top w:val="single" w:sz="12" w:space="0" w:color="99AAB6"/>
              <w:left w:val="nil"/>
              <w:bottom w:val="nil"/>
              <w:right w:val="nil"/>
            </w:tcBorders>
            <w:tcMar>
              <w:top w:w="0" w:type="dxa"/>
              <w:left w:w="0" w:type="dxa"/>
              <w:bottom w:w="0" w:type="dxa"/>
              <w:right w:w="0" w:type="dxa"/>
            </w:tcMar>
            <w:vAlign w:val="bottom"/>
          </w:tcPr>
          <w:p w14:paraId="7BF39807" w14:textId="77777777" w:rsidR="001614AC" w:rsidRDefault="001614AC">
            <w:pPr>
              <w:keepNext/>
            </w:pPr>
          </w:p>
        </w:tc>
        <w:tc>
          <w:tcPr>
            <w:tcW w:w="1005" w:type="dxa"/>
            <w:gridSpan w:val="3"/>
            <w:tcBorders>
              <w:top w:val="single" w:sz="12" w:space="0" w:color="99AAB6"/>
              <w:left w:val="nil"/>
              <w:bottom w:val="nil"/>
              <w:right w:val="nil"/>
            </w:tcBorders>
            <w:tcMar>
              <w:top w:w="0" w:type="dxa"/>
              <w:left w:w="0" w:type="dxa"/>
              <w:bottom w:w="0" w:type="dxa"/>
              <w:right w:w="0" w:type="dxa"/>
            </w:tcMar>
            <w:vAlign w:val="bottom"/>
          </w:tcPr>
          <w:p w14:paraId="4B1C2DF7" w14:textId="77777777" w:rsidR="001614AC" w:rsidRDefault="001614AC">
            <w:pPr>
              <w:keepNext/>
            </w:pPr>
          </w:p>
        </w:tc>
      </w:tr>
      <w:tr w:rsidR="001614AC" w14:paraId="0E1936FF" w14:textId="77777777">
        <w:trPr>
          <w:cantSplit/>
        </w:trPr>
        <w:tc>
          <w:tcPr>
            <w:tcW w:w="5670" w:type="dxa"/>
            <w:tcBorders>
              <w:top w:val="nil"/>
              <w:left w:val="nil"/>
              <w:bottom w:val="single" w:sz="8" w:space="0" w:color="FFFFFF"/>
              <w:right w:val="nil"/>
            </w:tcBorders>
            <w:tcMar>
              <w:top w:w="0" w:type="dxa"/>
              <w:left w:w="0" w:type="dxa"/>
              <w:bottom w:w="0" w:type="dxa"/>
              <w:right w:w="0" w:type="dxa"/>
            </w:tcMar>
            <w:vAlign w:val="bottom"/>
          </w:tcPr>
          <w:p w14:paraId="3FADAAF3" w14:textId="77777777" w:rsidR="001614AC" w:rsidRDefault="001614AC">
            <w:pPr>
              <w:keepNext/>
            </w:pPr>
          </w:p>
        </w:tc>
        <w:tc>
          <w:tcPr>
            <w:tcW w:w="105" w:type="dxa"/>
            <w:tcBorders>
              <w:top w:val="nil"/>
              <w:left w:val="nil"/>
              <w:bottom w:val="nil"/>
              <w:right w:val="nil"/>
            </w:tcBorders>
            <w:tcMar>
              <w:top w:w="0" w:type="dxa"/>
              <w:left w:w="0" w:type="dxa"/>
              <w:bottom w:w="0" w:type="dxa"/>
              <w:right w:w="0" w:type="dxa"/>
            </w:tcMar>
            <w:vAlign w:val="bottom"/>
          </w:tcPr>
          <w:p w14:paraId="0483F796" w14:textId="77777777" w:rsidR="001614AC" w:rsidRDefault="001614AC">
            <w:pPr>
              <w:keepNext/>
            </w:pPr>
          </w:p>
        </w:tc>
        <w:tc>
          <w:tcPr>
            <w:tcW w:w="2085" w:type="dxa"/>
            <w:gridSpan w:val="7"/>
            <w:tcBorders>
              <w:top w:val="nil"/>
              <w:left w:val="nil"/>
              <w:bottom w:val="single" w:sz="8" w:space="0" w:color="FFFFFF"/>
              <w:right w:val="nil"/>
            </w:tcBorders>
            <w:tcMar>
              <w:top w:w="0" w:type="dxa"/>
              <w:left w:w="53" w:type="dxa"/>
              <w:bottom w:w="0" w:type="dxa"/>
              <w:right w:w="53" w:type="dxa"/>
            </w:tcMar>
            <w:vAlign w:val="bottom"/>
          </w:tcPr>
          <w:p w14:paraId="55BDD7A9" w14:textId="77777777" w:rsidR="001614AC" w:rsidRDefault="004468F9">
            <w:pPr>
              <w:keepNext/>
              <w:spacing w:before="75" w:line="288" w:lineRule="auto"/>
              <w:jc w:val="center"/>
            </w:pPr>
            <w:r>
              <w:rPr>
                <w:rFonts w:ascii="Arial" w:eastAsia="Arial" w:hAnsi="Arial" w:cs="Arial"/>
                <w:b/>
                <w:color w:val="00BAB3"/>
                <w:sz w:val="18"/>
              </w:rPr>
              <w:t>Three Months Ended</w:t>
            </w:r>
          </w:p>
          <w:p w14:paraId="6F0741A3" w14:textId="77777777" w:rsidR="001614AC" w:rsidRDefault="004468F9">
            <w:pPr>
              <w:spacing w:after="30" w:line="288" w:lineRule="auto"/>
              <w:jc w:val="center"/>
            </w:pPr>
            <w:r>
              <w:rPr>
                <w:rFonts w:ascii="Arial" w:eastAsia="Arial" w:hAnsi="Arial" w:cs="Arial"/>
                <w:b/>
                <w:color w:val="00BAB3"/>
                <w:sz w:val="18"/>
              </w:rPr>
              <w:t>June 30,</w:t>
            </w:r>
          </w:p>
        </w:tc>
        <w:tc>
          <w:tcPr>
            <w:tcW w:w="105" w:type="dxa"/>
            <w:tcBorders>
              <w:top w:val="nil"/>
              <w:left w:val="nil"/>
              <w:bottom w:val="single" w:sz="8" w:space="0" w:color="FFFFFF"/>
              <w:right w:val="nil"/>
            </w:tcBorders>
            <w:tcMar>
              <w:top w:w="0" w:type="dxa"/>
              <w:left w:w="0" w:type="dxa"/>
              <w:bottom w:w="0" w:type="dxa"/>
              <w:right w:w="0" w:type="dxa"/>
            </w:tcMar>
            <w:vAlign w:val="bottom"/>
          </w:tcPr>
          <w:p w14:paraId="046E02DA" w14:textId="77777777" w:rsidR="001614AC" w:rsidRDefault="001614AC">
            <w:pPr>
              <w:keepNext/>
            </w:pPr>
          </w:p>
        </w:tc>
        <w:tc>
          <w:tcPr>
            <w:tcW w:w="2115" w:type="dxa"/>
            <w:gridSpan w:val="7"/>
            <w:tcBorders>
              <w:top w:val="nil"/>
              <w:left w:val="nil"/>
              <w:bottom w:val="nil"/>
              <w:right w:val="nil"/>
            </w:tcBorders>
            <w:tcMar>
              <w:top w:w="0" w:type="dxa"/>
              <w:left w:w="53" w:type="dxa"/>
              <w:bottom w:w="0" w:type="dxa"/>
              <w:right w:w="53" w:type="dxa"/>
            </w:tcMar>
            <w:vAlign w:val="bottom"/>
          </w:tcPr>
          <w:p w14:paraId="0B7029C2" w14:textId="77777777" w:rsidR="001614AC" w:rsidRDefault="004468F9">
            <w:pPr>
              <w:keepNext/>
              <w:spacing w:before="75" w:line="288" w:lineRule="auto"/>
              <w:jc w:val="center"/>
            </w:pPr>
            <w:r>
              <w:rPr>
                <w:rFonts w:ascii="Arial" w:eastAsia="Arial" w:hAnsi="Arial" w:cs="Arial"/>
                <w:b/>
                <w:color w:val="00BAB3"/>
                <w:sz w:val="18"/>
              </w:rPr>
              <w:t xml:space="preserve">Six Months </w:t>
            </w:r>
            <w:r>
              <w:rPr>
                <w:rFonts w:ascii="Arial" w:eastAsia="Arial" w:hAnsi="Arial" w:cs="Arial"/>
                <w:b/>
                <w:color w:val="00BAB3"/>
                <w:sz w:val="18"/>
              </w:rPr>
              <w:t>Ended</w:t>
            </w:r>
          </w:p>
          <w:p w14:paraId="68FEB2AB" w14:textId="77777777" w:rsidR="001614AC" w:rsidRDefault="004468F9">
            <w:pPr>
              <w:spacing w:after="30" w:line="288" w:lineRule="auto"/>
              <w:jc w:val="center"/>
            </w:pPr>
            <w:r>
              <w:rPr>
                <w:rFonts w:ascii="Arial" w:eastAsia="Arial" w:hAnsi="Arial" w:cs="Arial"/>
                <w:b/>
                <w:color w:val="00BAB3"/>
                <w:sz w:val="18"/>
              </w:rPr>
              <w:t>June 30,</w:t>
            </w:r>
          </w:p>
        </w:tc>
      </w:tr>
      <w:tr w:rsidR="001614AC" w14:paraId="66278937" w14:textId="77777777">
        <w:trPr>
          <w:cantSplit/>
        </w:trPr>
        <w:tc>
          <w:tcPr>
            <w:tcW w:w="5670" w:type="dxa"/>
            <w:tcBorders>
              <w:top w:val="single" w:sz="8" w:space="0" w:color="FFFFFF"/>
              <w:left w:val="nil"/>
              <w:bottom w:val="single" w:sz="8" w:space="0" w:color="C7C9C7"/>
              <w:right w:val="nil"/>
            </w:tcBorders>
            <w:tcMar>
              <w:top w:w="0" w:type="dxa"/>
              <w:left w:w="53" w:type="dxa"/>
              <w:bottom w:w="0" w:type="dxa"/>
              <w:right w:w="53" w:type="dxa"/>
            </w:tcMar>
            <w:vAlign w:val="bottom"/>
          </w:tcPr>
          <w:p w14:paraId="785F8530" w14:textId="77777777" w:rsidR="001614AC" w:rsidRDefault="001614AC">
            <w:pPr>
              <w:keepNext/>
              <w:spacing w:before="55" w:after="30" w:line="288" w:lineRule="auto"/>
            </w:pPr>
          </w:p>
        </w:tc>
        <w:tc>
          <w:tcPr>
            <w:tcW w:w="105" w:type="dxa"/>
            <w:tcBorders>
              <w:top w:val="nil"/>
              <w:left w:val="nil"/>
              <w:bottom w:val="single" w:sz="8" w:space="0" w:color="C7C9C7"/>
              <w:right w:val="nil"/>
            </w:tcBorders>
            <w:tcMar>
              <w:top w:w="0" w:type="dxa"/>
              <w:left w:w="0" w:type="dxa"/>
              <w:bottom w:w="0" w:type="dxa"/>
              <w:right w:w="0" w:type="dxa"/>
            </w:tcMar>
            <w:vAlign w:val="bottom"/>
          </w:tcPr>
          <w:p w14:paraId="03857741" w14:textId="77777777" w:rsidR="001614AC" w:rsidRDefault="001614AC">
            <w:pPr>
              <w:keepNext/>
            </w:pPr>
          </w:p>
        </w:tc>
        <w:tc>
          <w:tcPr>
            <w:tcW w:w="1005" w:type="dxa"/>
            <w:gridSpan w:val="3"/>
            <w:tcBorders>
              <w:top w:val="nil"/>
              <w:left w:val="nil"/>
              <w:bottom w:val="single" w:sz="8" w:space="0" w:color="C7C9C7"/>
              <w:right w:val="nil"/>
            </w:tcBorders>
            <w:shd w:val="clear" w:color="auto" w:fill="E6F8F8"/>
            <w:tcMar>
              <w:top w:w="0" w:type="dxa"/>
              <w:left w:w="53" w:type="dxa"/>
              <w:bottom w:w="0" w:type="dxa"/>
              <w:right w:w="53" w:type="dxa"/>
            </w:tcMar>
            <w:vAlign w:val="bottom"/>
          </w:tcPr>
          <w:p w14:paraId="323CB2FC" w14:textId="77777777" w:rsidR="001614AC" w:rsidRDefault="004468F9">
            <w:pPr>
              <w:keepNext/>
              <w:spacing w:before="55" w:after="30" w:line="288" w:lineRule="auto"/>
              <w:jc w:val="center"/>
            </w:pPr>
            <w:r>
              <w:rPr>
                <w:rFonts w:ascii="Arial" w:eastAsia="Arial" w:hAnsi="Arial" w:cs="Arial"/>
                <w:b/>
                <w:color w:val="00BAB3"/>
                <w:sz w:val="18"/>
              </w:rPr>
              <w:t>2021</w:t>
            </w:r>
          </w:p>
        </w:tc>
        <w:tc>
          <w:tcPr>
            <w:tcW w:w="75" w:type="dxa"/>
            <w:tcBorders>
              <w:top w:val="single" w:sz="8" w:space="0" w:color="FFFFFF"/>
              <w:left w:val="nil"/>
              <w:bottom w:val="single" w:sz="8" w:space="0" w:color="C7C9C7"/>
              <w:right w:val="nil"/>
            </w:tcBorders>
            <w:tcMar>
              <w:top w:w="0" w:type="dxa"/>
              <w:left w:w="0" w:type="dxa"/>
              <w:bottom w:w="0" w:type="dxa"/>
              <w:right w:w="0" w:type="dxa"/>
            </w:tcMar>
            <w:vAlign w:val="bottom"/>
          </w:tcPr>
          <w:p w14:paraId="5DAB3421" w14:textId="77777777" w:rsidR="001614AC" w:rsidRDefault="001614AC">
            <w:pPr>
              <w:keepNext/>
            </w:pPr>
          </w:p>
        </w:tc>
        <w:tc>
          <w:tcPr>
            <w:tcW w:w="1005" w:type="dxa"/>
            <w:gridSpan w:val="3"/>
            <w:tcBorders>
              <w:top w:val="single" w:sz="8" w:space="0" w:color="FFFFFF"/>
              <w:left w:val="nil"/>
              <w:bottom w:val="single" w:sz="8" w:space="0" w:color="C7C9C7"/>
              <w:right w:val="nil"/>
            </w:tcBorders>
            <w:shd w:val="clear" w:color="auto" w:fill="F4F4F4"/>
            <w:tcMar>
              <w:top w:w="0" w:type="dxa"/>
              <w:left w:w="53" w:type="dxa"/>
              <w:bottom w:w="0" w:type="dxa"/>
              <w:right w:w="53" w:type="dxa"/>
            </w:tcMar>
            <w:vAlign w:val="bottom"/>
          </w:tcPr>
          <w:p w14:paraId="0BFBB3E0" w14:textId="77777777" w:rsidR="001614AC" w:rsidRDefault="004468F9">
            <w:pPr>
              <w:keepNext/>
              <w:spacing w:before="55" w:after="30" w:line="288" w:lineRule="auto"/>
              <w:jc w:val="center"/>
            </w:pPr>
            <w:r>
              <w:rPr>
                <w:rFonts w:ascii="Arial" w:eastAsia="Arial" w:hAnsi="Arial" w:cs="Arial"/>
                <w:b/>
                <w:color w:val="00BAB3"/>
                <w:sz w:val="18"/>
              </w:rPr>
              <w:t>2020</w:t>
            </w:r>
          </w:p>
        </w:tc>
        <w:tc>
          <w:tcPr>
            <w:tcW w:w="105" w:type="dxa"/>
            <w:tcBorders>
              <w:top w:val="single" w:sz="8" w:space="0" w:color="FFFFFF"/>
              <w:left w:val="nil"/>
              <w:bottom w:val="single" w:sz="8" w:space="0" w:color="C7C9C7"/>
              <w:right w:val="nil"/>
            </w:tcBorders>
            <w:tcMar>
              <w:top w:w="0" w:type="dxa"/>
              <w:left w:w="0" w:type="dxa"/>
              <w:bottom w:w="0" w:type="dxa"/>
              <w:right w:w="0" w:type="dxa"/>
            </w:tcMar>
            <w:vAlign w:val="bottom"/>
          </w:tcPr>
          <w:p w14:paraId="523062B4" w14:textId="77777777" w:rsidR="001614AC" w:rsidRDefault="001614AC">
            <w:pPr>
              <w:keepNext/>
            </w:pPr>
          </w:p>
        </w:tc>
        <w:tc>
          <w:tcPr>
            <w:tcW w:w="1005" w:type="dxa"/>
            <w:gridSpan w:val="3"/>
            <w:tcBorders>
              <w:top w:val="single" w:sz="8" w:space="0" w:color="FFFFFF"/>
              <w:left w:val="nil"/>
              <w:bottom w:val="single" w:sz="8" w:space="0" w:color="C7C9C7"/>
              <w:right w:val="nil"/>
            </w:tcBorders>
            <w:shd w:val="clear" w:color="auto" w:fill="E6F8F8"/>
            <w:tcMar>
              <w:top w:w="0" w:type="dxa"/>
              <w:left w:w="53" w:type="dxa"/>
              <w:bottom w:w="0" w:type="dxa"/>
              <w:right w:w="53" w:type="dxa"/>
            </w:tcMar>
            <w:vAlign w:val="bottom"/>
          </w:tcPr>
          <w:p w14:paraId="2547746D" w14:textId="77777777" w:rsidR="001614AC" w:rsidRDefault="004468F9">
            <w:pPr>
              <w:keepNext/>
              <w:spacing w:before="55" w:after="30" w:line="288" w:lineRule="auto"/>
              <w:jc w:val="center"/>
            </w:pPr>
            <w:r>
              <w:rPr>
                <w:rFonts w:ascii="Arial" w:eastAsia="Arial" w:hAnsi="Arial" w:cs="Arial"/>
                <w:b/>
                <w:color w:val="00BAB3"/>
                <w:sz w:val="18"/>
              </w:rPr>
              <w:t>2021</w:t>
            </w:r>
          </w:p>
        </w:tc>
        <w:tc>
          <w:tcPr>
            <w:tcW w:w="105" w:type="dxa"/>
            <w:tcBorders>
              <w:top w:val="single" w:sz="8" w:space="0" w:color="FFFFFF"/>
              <w:left w:val="nil"/>
              <w:bottom w:val="single" w:sz="8" w:space="0" w:color="C7C9C7"/>
              <w:right w:val="nil"/>
            </w:tcBorders>
            <w:tcMar>
              <w:top w:w="0" w:type="dxa"/>
              <w:left w:w="0" w:type="dxa"/>
              <w:bottom w:w="0" w:type="dxa"/>
              <w:right w:w="0" w:type="dxa"/>
            </w:tcMar>
            <w:vAlign w:val="bottom"/>
          </w:tcPr>
          <w:p w14:paraId="414A35B1" w14:textId="77777777" w:rsidR="001614AC" w:rsidRDefault="001614AC">
            <w:pPr>
              <w:keepNext/>
            </w:pPr>
          </w:p>
        </w:tc>
        <w:tc>
          <w:tcPr>
            <w:tcW w:w="1005" w:type="dxa"/>
            <w:gridSpan w:val="3"/>
            <w:tcBorders>
              <w:top w:val="single" w:sz="8" w:space="0" w:color="FFFFFF"/>
              <w:left w:val="nil"/>
              <w:bottom w:val="single" w:sz="8" w:space="0" w:color="C7C9C7"/>
              <w:right w:val="nil"/>
            </w:tcBorders>
            <w:shd w:val="clear" w:color="auto" w:fill="F4F4F4"/>
            <w:tcMar>
              <w:top w:w="0" w:type="dxa"/>
              <w:left w:w="53" w:type="dxa"/>
              <w:bottom w:w="0" w:type="dxa"/>
              <w:right w:w="53" w:type="dxa"/>
            </w:tcMar>
            <w:vAlign w:val="bottom"/>
          </w:tcPr>
          <w:p w14:paraId="56FA94B3" w14:textId="77777777" w:rsidR="001614AC" w:rsidRDefault="004468F9">
            <w:pPr>
              <w:keepNext/>
              <w:spacing w:before="55" w:after="30" w:line="288" w:lineRule="auto"/>
              <w:jc w:val="center"/>
            </w:pPr>
            <w:r>
              <w:rPr>
                <w:rFonts w:ascii="Arial" w:eastAsia="Arial" w:hAnsi="Arial" w:cs="Arial"/>
                <w:b/>
                <w:color w:val="00BAB3"/>
                <w:sz w:val="18"/>
              </w:rPr>
              <w:t>2020</w:t>
            </w:r>
          </w:p>
        </w:tc>
      </w:tr>
      <w:tr w:rsidR="001614AC" w14:paraId="7D30DE81" w14:textId="77777777">
        <w:trPr>
          <w:cantSplit/>
        </w:trPr>
        <w:tc>
          <w:tcPr>
            <w:tcW w:w="5670" w:type="dxa"/>
            <w:tcBorders>
              <w:top w:val="single" w:sz="8" w:space="0" w:color="C7C9C7"/>
              <w:left w:val="nil"/>
              <w:bottom w:val="single" w:sz="8" w:space="0" w:color="E9E9E9"/>
              <w:right w:val="nil"/>
            </w:tcBorders>
            <w:tcMar>
              <w:top w:w="0" w:type="dxa"/>
              <w:left w:w="53" w:type="dxa"/>
              <w:bottom w:w="0" w:type="dxa"/>
              <w:right w:w="53" w:type="dxa"/>
            </w:tcMar>
            <w:vAlign w:val="bottom"/>
          </w:tcPr>
          <w:p w14:paraId="15C7FC4B" w14:textId="77777777" w:rsidR="001614AC" w:rsidRDefault="004468F9">
            <w:pPr>
              <w:keepNext/>
              <w:spacing w:before="55" w:after="30" w:line="288" w:lineRule="auto"/>
            </w:pPr>
            <w:r>
              <w:rPr>
                <w:rFonts w:ascii="Arial" w:eastAsia="Arial" w:hAnsi="Arial" w:cs="Arial"/>
                <w:color w:val="000000"/>
                <w:sz w:val="18"/>
              </w:rPr>
              <w:t>Diluted net income (loss) per share</w:t>
            </w:r>
          </w:p>
        </w:tc>
        <w:tc>
          <w:tcPr>
            <w:tcW w:w="105" w:type="dxa"/>
            <w:tcBorders>
              <w:top w:val="single" w:sz="8" w:space="0" w:color="C7C9C7"/>
              <w:left w:val="nil"/>
              <w:bottom w:val="nil"/>
              <w:right w:val="nil"/>
            </w:tcBorders>
            <w:tcMar>
              <w:top w:w="0" w:type="dxa"/>
              <w:left w:w="0" w:type="dxa"/>
              <w:bottom w:w="0" w:type="dxa"/>
              <w:right w:w="0" w:type="dxa"/>
            </w:tcMar>
            <w:vAlign w:val="bottom"/>
          </w:tcPr>
          <w:p w14:paraId="34267FA5" w14:textId="77777777" w:rsidR="001614AC" w:rsidRDefault="001614AC">
            <w:pPr>
              <w:keepNext/>
            </w:pPr>
          </w:p>
        </w:tc>
        <w:tc>
          <w:tcPr>
            <w:tcW w:w="160" w:type="dxa"/>
            <w:tcBorders>
              <w:top w:val="single" w:sz="8" w:space="0" w:color="C7C9C7"/>
              <w:left w:val="nil"/>
              <w:bottom w:val="single" w:sz="8" w:space="0" w:color="C7C9C7"/>
              <w:right w:val="nil"/>
            </w:tcBorders>
            <w:tcMar>
              <w:top w:w="0" w:type="dxa"/>
              <w:left w:w="53" w:type="dxa"/>
              <w:bottom w:w="0" w:type="dxa"/>
              <w:right w:w="0" w:type="dxa"/>
            </w:tcMar>
            <w:vAlign w:val="bottom"/>
          </w:tcPr>
          <w:p w14:paraId="43FBB1D6" w14:textId="77777777" w:rsidR="001614AC" w:rsidRDefault="004468F9">
            <w:pPr>
              <w:keepNext/>
              <w:spacing w:before="55" w:after="30" w:line="288" w:lineRule="auto"/>
            </w:pPr>
            <w:r>
              <w:rPr>
                <w:rFonts w:ascii="Arial" w:eastAsia="Arial" w:hAnsi="Arial" w:cs="Arial"/>
                <w:color w:val="000000"/>
                <w:sz w:val="18"/>
              </w:rPr>
              <w:t>$</w:t>
            </w:r>
          </w:p>
        </w:tc>
        <w:tc>
          <w:tcPr>
            <w:tcW w:w="745" w:type="dxa"/>
            <w:tcBorders>
              <w:top w:val="single" w:sz="8" w:space="0" w:color="C7C9C7"/>
              <w:left w:val="nil"/>
              <w:bottom w:val="single" w:sz="8" w:space="0" w:color="C7C9C7"/>
              <w:right w:val="nil"/>
            </w:tcBorders>
            <w:tcMar>
              <w:top w:w="0" w:type="dxa"/>
              <w:left w:w="0" w:type="dxa"/>
              <w:bottom w:w="0" w:type="dxa"/>
              <w:right w:w="0" w:type="dxa"/>
            </w:tcMar>
            <w:vAlign w:val="bottom"/>
          </w:tcPr>
          <w:p w14:paraId="29E230DE" w14:textId="77777777" w:rsidR="001614AC" w:rsidRDefault="004468F9">
            <w:pPr>
              <w:keepNext/>
              <w:spacing w:before="55" w:after="30" w:line="288" w:lineRule="auto"/>
              <w:jc w:val="right"/>
            </w:pPr>
            <w:r>
              <w:rPr>
                <w:rFonts w:ascii="Arial" w:eastAsia="Arial" w:hAnsi="Arial" w:cs="Arial"/>
                <w:color w:val="000000"/>
                <w:sz w:val="18"/>
              </w:rPr>
              <w:t>0.80 </w:t>
            </w:r>
          </w:p>
        </w:tc>
        <w:tc>
          <w:tcPr>
            <w:tcW w:w="100" w:type="dxa"/>
            <w:tcBorders>
              <w:top w:val="single" w:sz="8" w:space="0" w:color="C7C9C7"/>
              <w:left w:val="nil"/>
              <w:bottom w:val="single" w:sz="8" w:space="0" w:color="C7C9C7"/>
              <w:right w:val="nil"/>
            </w:tcBorders>
            <w:tcMar>
              <w:top w:w="0" w:type="dxa"/>
              <w:left w:w="0" w:type="dxa"/>
              <w:bottom w:w="0" w:type="dxa"/>
              <w:right w:w="15" w:type="dxa"/>
            </w:tcMar>
            <w:vAlign w:val="bottom"/>
          </w:tcPr>
          <w:p w14:paraId="65796B1F" w14:textId="77777777" w:rsidR="001614AC" w:rsidRDefault="001614AC">
            <w:pPr>
              <w:keepNext/>
              <w:spacing w:before="55" w:after="30" w:line="288" w:lineRule="auto"/>
              <w:jc w:val="right"/>
            </w:pPr>
          </w:p>
        </w:tc>
        <w:tc>
          <w:tcPr>
            <w:tcW w:w="75" w:type="dxa"/>
            <w:tcBorders>
              <w:top w:val="single" w:sz="8" w:space="0" w:color="C7C9C7"/>
              <w:left w:val="nil"/>
              <w:bottom w:val="nil"/>
              <w:right w:val="nil"/>
            </w:tcBorders>
            <w:tcMar>
              <w:top w:w="0" w:type="dxa"/>
              <w:left w:w="0" w:type="dxa"/>
              <w:bottom w:w="0" w:type="dxa"/>
              <w:right w:w="0" w:type="dxa"/>
            </w:tcMar>
            <w:vAlign w:val="bottom"/>
          </w:tcPr>
          <w:p w14:paraId="7E0F601F" w14:textId="77777777" w:rsidR="001614AC" w:rsidRDefault="001614AC">
            <w:pPr>
              <w:keepNext/>
            </w:pPr>
          </w:p>
        </w:tc>
        <w:tc>
          <w:tcPr>
            <w:tcW w:w="160" w:type="dxa"/>
            <w:tcBorders>
              <w:top w:val="single" w:sz="8" w:space="0" w:color="C7C9C7"/>
              <w:left w:val="nil"/>
              <w:bottom w:val="single" w:sz="8" w:space="0" w:color="C7C9C7"/>
              <w:right w:val="nil"/>
            </w:tcBorders>
            <w:tcMar>
              <w:top w:w="0" w:type="dxa"/>
              <w:left w:w="53" w:type="dxa"/>
              <w:bottom w:w="0" w:type="dxa"/>
              <w:right w:w="0" w:type="dxa"/>
            </w:tcMar>
            <w:vAlign w:val="bottom"/>
          </w:tcPr>
          <w:p w14:paraId="2EE779A0" w14:textId="77777777" w:rsidR="001614AC" w:rsidRDefault="004468F9">
            <w:pPr>
              <w:keepNext/>
              <w:spacing w:before="55" w:after="30" w:line="288" w:lineRule="auto"/>
            </w:pPr>
            <w:r>
              <w:rPr>
                <w:rFonts w:ascii="Arial" w:eastAsia="Arial" w:hAnsi="Arial" w:cs="Arial"/>
                <w:color w:val="000000"/>
                <w:sz w:val="18"/>
              </w:rPr>
              <w:t>$</w:t>
            </w:r>
          </w:p>
        </w:tc>
        <w:tc>
          <w:tcPr>
            <w:tcW w:w="745" w:type="dxa"/>
            <w:tcBorders>
              <w:top w:val="single" w:sz="8" w:space="0" w:color="C7C9C7"/>
              <w:left w:val="nil"/>
              <w:bottom w:val="single" w:sz="8" w:space="0" w:color="C7C9C7"/>
              <w:right w:val="nil"/>
            </w:tcBorders>
            <w:tcMar>
              <w:top w:w="0" w:type="dxa"/>
              <w:left w:w="0" w:type="dxa"/>
              <w:bottom w:w="0" w:type="dxa"/>
              <w:right w:w="0" w:type="dxa"/>
            </w:tcMar>
            <w:vAlign w:val="bottom"/>
          </w:tcPr>
          <w:p w14:paraId="0131CC6A" w14:textId="77777777" w:rsidR="001614AC" w:rsidRDefault="004468F9">
            <w:pPr>
              <w:keepNext/>
              <w:spacing w:before="55" w:after="30" w:line="288" w:lineRule="auto"/>
              <w:jc w:val="right"/>
            </w:pPr>
            <w:r>
              <w:rPr>
                <w:rFonts w:ascii="Arial" w:eastAsia="Arial" w:hAnsi="Arial" w:cs="Arial"/>
                <w:color w:val="000000"/>
                <w:sz w:val="18"/>
              </w:rPr>
              <w:t>(0.15)</w:t>
            </w:r>
          </w:p>
        </w:tc>
        <w:tc>
          <w:tcPr>
            <w:tcW w:w="100" w:type="dxa"/>
            <w:tcBorders>
              <w:top w:val="single" w:sz="8" w:space="0" w:color="C7C9C7"/>
              <w:left w:val="nil"/>
              <w:bottom w:val="single" w:sz="8" w:space="0" w:color="C7C9C7"/>
              <w:right w:val="nil"/>
            </w:tcBorders>
            <w:tcMar>
              <w:top w:w="0" w:type="dxa"/>
              <w:left w:w="0" w:type="dxa"/>
              <w:bottom w:w="0" w:type="dxa"/>
              <w:right w:w="15" w:type="dxa"/>
            </w:tcMar>
            <w:vAlign w:val="bottom"/>
          </w:tcPr>
          <w:p w14:paraId="6E7BB773" w14:textId="77777777" w:rsidR="001614AC" w:rsidRDefault="001614AC">
            <w:pPr>
              <w:keepNext/>
              <w:spacing w:before="55" w:after="30" w:line="288" w:lineRule="auto"/>
              <w:jc w:val="right"/>
            </w:pPr>
          </w:p>
        </w:tc>
        <w:tc>
          <w:tcPr>
            <w:tcW w:w="105" w:type="dxa"/>
            <w:tcBorders>
              <w:top w:val="single" w:sz="8" w:space="0" w:color="C7C9C7"/>
              <w:left w:val="nil"/>
              <w:bottom w:val="nil"/>
              <w:right w:val="nil"/>
            </w:tcBorders>
            <w:tcMar>
              <w:top w:w="0" w:type="dxa"/>
              <w:left w:w="0" w:type="dxa"/>
              <w:bottom w:w="0" w:type="dxa"/>
              <w:right w:w="0" w:type="dxa"/>
            </w:tcMar>
            <w:vAlign w:val="bottom"/>
          </w:tcPr>
          <w:p w14:paraId="1B39B8C8" w14:textId="77777777" w:rsidR="001614AC" w:rsidRDefault="001614AC">
            <w:pPr>
              <w:keepNext/>
            </w:pPr>
          </w:p>
        </w:tc>
        <w:tc>
          <w:tcPr>
            <w:tcW w:w="160" w:type="dxa"/>
            <w:tcBorders>
              <w:top w:val="single" w:sz="8" w:space="0" w:color="C7C9C7"/>
              <w:left w:val="nil"/>
              <w:bottom w:val="single" w:sz="8" w:space="0" w:color="C7C9C7"/>
              <w:right w:val="nil"/>
            </w:tcBorders>
            <w:tcMar>
              <w:top w:w="0" w:type="dxa"/>
              <w:left w:w="53" w:type="dxa"/>
              <w:bottom w:w="0" w:type="dxa"/>
              <w:right w:w="0" w:type="dxa"/>
            </w:tcMar>
            <w:vAlign w:val="bottom"/>
          </w:tcPr>
          <w:p w14:paraId="1072955E" w14:textId="77777777" w:rsidR="001614AC" w:rsidRDefault="004468F9">
            <w:pPr>
              <w:keepNext/>
              <w:spacing w:before="55" w:after="30" w:line="288" w:lineRule="auto"/>
            </w:pPr>
            <w:r>
              <w:rPr>
                <w:rFonts w:ascii="Arial" w:eastAsia="Arial" w:hAnsi="Arial" w:cs="Arial"/>
                <w:color w:val="000000"/>
                <w:sz w:val="18"/>
              </w:rPr>
              <w:t>$</w:t>
            </w:r>
          </w:p>
        </w:tc>
        <w:tc>
          <w:tcPr>
            <w:tcW w:w="745" w:type="dxa"/>
            <w:tcBorders>
              <w:top w:val="single" w:sz="8" w:space="0" w:color="C7C9C7"/>
              <w:left w:val="nil"/>
              <w:bottom w:val="single" w:sz="8" w:space="0" w:color="C7C9C7"/>
              <w:right w:val="nil"/>
            </w:tcBorders>
            <w:tcMar>
              <w:top w:w="0" w:type="dxa"/>
              <w:left w:w="0" w:type="dxa"/>
              <w:bottom w:w="0" w:type="dxa"/>
              <w:right w:w="0" w:type="dxa"/>
            </w:tcMar>
            <w:vAlign w:val="bottom"/>
          </w:tcPr>
          <w:p w14:paraId="16D90048" w14:textId="77777777" w:rsidR="001614AC" w:rsidRDefault="004468F9">
            <w:pPr>
              <w:keepNext/>
              <w:spacing w:before="55" w:after="30" w:line="288" w:lineRule="auto"/>
              <w:jc w:val="right"/>
            </w:pPr>
            <w:r>
              <w:rPr>
                <w:rFonts w:ascii="Arial" w:eastAsia="Arial" w:hAnsi="Arial" w:cs="Arial"/>
                <w:color w:val="000000"/>
                <w:sz w:val="18"/>
              </w:rPr>
              <w:t>1.44 </w:t>
            </w:r>
          </w:p>
        </w:tc>
        <w:tc>
          <w:tcPr>
            <w:tcW w:w="100" w:type="dxa"/>
            <w:tcBorders>
              <w:top w:val="single" w:sz="8" w:space="0" w:color="C7C9C7"/>
              <w:left w:val="nil"/>
              <w:bottom w:val="single" w:sz="8" w:space="0" w:color="C7C9C7"/>
              <w:right w:val="nil"/>
            </w:tcBorders>
            <w:tcMar>
              <w:top w:w="0" w:type="dxa"/>
              <w:left w:w="0" w:type="dxa"/>
              <w:bottom w:w="0" w:type="dxa"/>
              <w:right w:w="15" w:type="dxa"/>
            </w:tcMar>
            <w:vAlign w:val="bottom"/>
          </w:tcPr>
          <w:p w14:paraId="1DEC886D" w14:textId="77777777" w:rsidR="001614AC" w:rsidRDefault="001614AC">
            <w:pPr>
              <w:keepNext/>
              <w:spacing w:before="55" w:after="30" w:line="288" w:lineRule="auto"/>
              <w:jc w:val="right"/>
            </w:pPr>
          </w:p>
        </w:tc>
        <w:tc>
          <w:tcPr>
            <w:tcW w:w="105" w:type="dxa"/>
            <w:tcBorders>
              <w:top w:val="single" w:sz="8" w:space="0" w:color="C7C9C7"/>
              <w:left w:val="nil"/>
              <w:bottom w:val="nil"/>
              <w:right w:val="nil"/>
            </w:tcBorders>
            <w:tcMar>
              <w:top w:w="0" w:type="dxa"/>
              <w:left w:w="0" w:type="dxa"/>
              <w:bottom w:w="0" w:type="dxa"/>
              <w:right w:w="0" w:type="dxa"/>
            </w:tcMar>
            <w:vAlign w:val="bottom"/>
          </w:tcPr>
          <w:p w14:paraId="163A6EE7" w14:textId="77777777" w:rsidR="001614AC" w:rsidRDefault="001614AC">
            <w:pPr>
              <w:keepNext/>
            </w:pPr>
          </w:p>
        </w:tc>
        <w:tc>
          <w:tcPr>
            <w:tcW w:w="160" w:type="dxa"/>
            <w:tcBorders>
              <w:top w:val="single" w:sz="8" w:space="0" w:color="C7C9C7"/>
              <w:left w:val="nil"/>
              <w:bottom w:val="single" w:sz="8" w:space="0" w:color="C7C9C7"/>
              <w:right w:val="nil"/>
            </w:tcBorders>
            <w:tcMar>
              <w:top w:w="0" w:type="dxa"/>
              <w:left w:w="53" w:type="dxa"/>
              <w:bottom w:w="0" w:type="dxa"/>
              <w:right w:w="0" w:type="dxa"/>
            </w:tcMar>
            <w:vAlign w:val="bottom"/>
          </w:tcPr>
          <w:p w14:paraId="5ABD5B53" w14:textId="77777777" w:rsidR="001614AC" w:rsidRDefault="004468F9">
            <w:pPr>
              <w:keepNext/>
              <w:spacing w:before="55" w:after="30" w:line="288" w:lineRule="auto"/>
            </w:pPr>
            <w:r>
              <w:rPr>
                <w:rFonts w:ascii="Arial" w:eastAsia="Arial" w:hAnsi="Arial" w:cs="Arial"/>
                <w:color w:val="000000"/>
                <w:sz w:val="18"/>
              </w:rPr>
              <w:t>$</w:t>
            </w:r>
          </w:p>
        </w:tc>
        <w:tc>
          <w:tcPr>
            <w:tcW w:w="745" w:type="dxa"/>
            <w:tcBorders>
              <w:top w:val="single" w:sz="8" w:space="0" w:color="C7C9C7"/>
              <w:left w:val="nil"/>
              <w:bottom w:val="single" w:sz="8" w:space="0" w:color="C7C9C7"/>
              <w:right w:val="nil"/>
            </w:tcBorders>
            <w:tcMar>
              <w:top w:w="0" w:type="dxa"/>
              <w:left w:w="0" w:type="dxa"/>
              <w:bottom w:w="0" w:type="dxa"/>
              <w:right w:w="0" w:type="dxa"/>
            </w:tcMar>
            <w:vAlign w:val="bottom"/>
          </w:tcPr>
          <w:p w14:paraId="2D655CF7" w14:textId="77777777" w:rsidR="001614AC" w:rsidRDefault="004468F9">
            <w:pPr>
              <w:keepNext/>
              <w:spacing w:before="55" w:after="30" w:line="288" w:lineRule="auto"/>
              <w:jc w:val="right"/>
            </w:pPr>
            <w:r>
              <w:rPr>
                <w:rFonts w:ascii="Arial" w:eastAsia="Arial" w:hAnsi="Arial" w:cs="Arial"/>
                <w:color w:val="000000"/>
                <w:sz w:val="18"/>
              </w:rPr>
              <w:t>0.56 </w:t>
            </w:r>
          </w:p>
        </w:tc>
        <w:tc>
          <w:tcPr>
            <w:tcW w:w="100" w:type="dxa"/>
            <w:tcBorders>
              <w:top w:val="single" w:sz="8" w:space="0" w:color="C7C9C7"/>
              <w:left w:val="nil"/>
              <w:bottom w:val="single" w:sz="8" w:space="0" w:color="C7C9C7"/>
              <w:right w:val="nil"/>
            </w:tcBorders>
            <w:tcMar>
              <w:top w:w="0" w:type="dxa"/>
              <w:left w:w="0" w:type="dxa"/>
              <w:bottom w:w="0" w:type="dxa"/>
              <w:right w:w="15" w:type="dxa"/>
            </w:tcMar>
            <w:vAlign w:val="bottom"/>
          </w:tcPr>
          <w:p w14:paraId="24AC3318" w14:textId="77777777" w:rsidR="001614AC" w:rsidRDefault="001614AC">
            <w:pPr>
              <w:keepNext/>
              <w:spacing w:before="55" w:after="30" w:line="288" w:lineRule="auto"/>
              <w:jc w:val="right"/>
            </w:pPr>
          </w:p>
        </w:tc>
      </w:tr>
      <w:tr w:rsidR="001614AC" w14:paraId="6C97A83F" w14:textId="77777777">
        <w:trPr>
          <w:cantSplit/>
        </w:trPr>
        <w:tc>
          <w:tcPr>
            <w:tcW w:w="5670" w:type="dxa"/>
            <w:tcBorders>
              <w:top w:val="single" w:sz="8" w:space="0" w:color="E9E9E9"/>
              <w:left w:val="nil"/>
              <w:bottom w:val="single" w:sz="8" w:space="0" w:color="E9E9E9"/>
              <w:right w:val="nil"/>
            </w:tcBorders>
            <w:tcMar>
              <w:top w:w="0" w:type="dxa"/>
              <w:left w:w="53" w:type="dxa"/>
              <w:bottom w:w="0" w:type="dxa"/>
              <w:right w:w="53" w:type="dxa"/>
            </w:tcMar>
            <w:vAlign w:val="bottom"/>
          </w:tcPr>
          <w:p w14:paraId="56D5034E" w14:textId="77777777" w:rsidR="001614AC" w:rsidRDefault="004468F9">
            <w:pPr>
              <w:keepNext/>
              <w:spacing w:before="55" w:after="30" w:line="288" w:lineRule="auto"/>
            </w:pPr>
            <w:r>
              <w:rPr>
                <w:rFonts w:ascii="Arial" w:eastAsia="Arial" w:hAnsi="Arial" w:cs="Arial"/>
                <w:color w:val="000000"/>
                <w:sz w:val="18"/>
              </w:rPr>
              <w:t>Less per-share impact of reconciling income (expense) items</w:t>
            </w:r>
          </w:p>
        </w:tc>
        <w:tc>
          <w:tcPr>
            <w:tcW w:w="105" w:type="dxa"/>
            <w:tcBorders>
              <w:top w:val="nil"/>
              <w:left w:val="nil"/>
              <w:bottom w:val="nil"/>
              <w:right w:val="nil"/>
            </w:tcBorders>
            <w:tcMar>
              <w:top w:w="0" w:type="dxa"/>
              <w:left w:w="0" w:type="dxa"/>
              <w:bottom w:w="0" w:type="dxa"/>
              <w:right w:w="0" w:type="dxa"/>
            </w:tcMar>
            <w:vAlign w:val="bottom"/>
          </w:tcPr>
          <w:p w14:paraId="44ECBEB2" w14:textId="77777777" w:rsidR="001614AC" w:rsidRDefault="001614AC">
            <w:pPr>
              <w:keepNext/>
            </w:pPr>
          </w:p>
        </w:tc>
        <w:tc>
          <w:tcPr>
            <w:tcW w:w="1005" w:type="dxa"/>
            <w:gridSpan w:val="3"/>
            <w:tcBorders>
              <w:top w:val="single" w:sz="8" w:space="0" w:color="C7C9C7"/>
              <w:left w:val="nil"/>
              <w:bottom w:val="single" w:sz="8" w:space="0" w:color="E9E9E9"/>
              <w:right w:val="nil"/>
            </w:tcBorders>
            <w:tcMar>
              <w:top w:w="0" w:type="dxa"/>
              <w:left w:w="0" w:type="dxa"/>
              <w:bottom w:w="0" w:type="dxa"/>
              <w:right w:w="0" w:type="dxa"/>
            </w:tcMar>
            <w:vAlign w:val="bottom"/>
          </w:tcPr>
          <w:p w14:paraId="495C9A11" w14:textId="77777777" w:rsidR="001614AC" w:rsidRDefault="001614AC">
            <w:pPr>
              <w:keepNext/>
            </w:pPr>
          </w:p>
        </w:tc>
        <w:tc>
          <w:tcPr>
            <w:tcW w:w="75" w:type="dxa"/>
            <w:tcBorders>
              <w:top w:val="nil"/>
              <w:left w:val="nil"/>
              <w:bottom w:val="nil"/>
              <w:right w:val="nil"/>
            </w:tcBorders>
            <w:tcMar>
              <w:top w:w="0" w:type="dxa"/>
              <w:left w:w="0" w:type="dxa"/>
              <w:bottom w:w="0" w:type="dxa"/>
              <w:right w:w="0" w:type="dxa"/>
            </w:tcMar>
            <w:vAlign w:val="bottom"/>
          </w:tcPr>
          <w:p w14:paraId="008F4B22" w14:textId="77777777" w:rsidR="001614AC" w:rsidRDefault="001614AC">
            <w:pPr>
              <w:keepNext/>
            </w:pPr>
          </w:p>
        </w:tc>
        <w:tc>
          <w:tcPr>
            <w:tcW w:w="1005" w:type="dxa"/>
            <w:gridSpan w:val="3"/>
            <w:tcBorders>
              <w:top w:val="single" w:sz="8" w:space="0" w:color="C7C9C7"/>
              <w:left w:val="nil"/>
              <w:bottom w:val="single" w:sz="8" w:space="0" w:color="E9E9E9"/>
              <w:right w:val="nil"/>
            </w:tcBorders>
            <w:tcMar>
              <w:top w:w="0" w:type="dxa"/>
              <w:left w:w="0" w:type="dxa"/>
              <w:bottom w:w="0" w:type="dxa"/>
              <w:right w:w="0" w:type="dxa"/>
            </w:tcMar>
            <w:vAlign w:val="bottom"/>
          </w:tcPr>
          <w:p w14:paraId="1441F95F" w14:textId="77777777" w:rsidR="001614AC" w:rsidRDefault="001614AC">
            <w:pPr>
              <w:keepNext/>
            </w:pPr>
          </w:p>
        </w:tc>
        <w:tc>
          <w:tcPr>
            <w:tcW w:w="105" w:type="dxa"/>
            <w:tcBorders>
              <w:top w:val="nil"/>
              <w:left w:val="nil"/>
              <w:bottom w:val="nil"/>
              <w:right w:val="nil"/>
            </w:tcBorders>
            <w:tcMar>
              <w:top w:w="0" w:type="dxa"/>
              <w:left w:w="0" w:type="dxa"/>
              <w:bottom w:w="0" w:type="dxa"/>
              <w:right w:w="0" w:type="dxa"/>
            </w:tcMar>
            <w:vAlign w:val="bottom"/>
          </w:tcPr>
          <w:p w14:paraId="420876D2" w14:textId="77777777" w:rsidR="001614AC" w:rsidRDefault="001614AC">
            <w:pPr>
              <w:keepNext/>
            </w:pPr>
          </w:p>
        </w:tc>
        <w:tc>
          <w:tcPr>
            <w:tcW w:w="1005" w:type="dxa"/>
            <w:gridSpan w:val="3"/>
            <w:tcBorders>
              <w:top w:val="single" w:sz="8" w:space="0" w:color="C7C9C7"/>
              <w:left w:val="nil"/>
              <w:bottom w:val="single" w:sz="8" w:space="0" w:color="E9E9E9"/>
              <w:right w:val="nil"/>
            </w:tcBorders>
            <w:tcMar>
              <w:top w:w="0" w:type="dxa"/>
              <w:left w:w="0" w:type="dxa"/>
              <w:bottom w:w="0" w:type="dxa"/>
              <w:right w:w="0" w:type="dxa"/>
            </w:tcMar>
            <w:vAlign w:val="bottom"/>
          </w:tcPr>
          <w:p w14:paraId="59C33C4D" w14:textId="77777777" w:rsidR="001614AC" w:rsidRDefault="001614AC">
            <w:pPr>
              <w:keepNext/>
            </w:pPr>
          </w:p>
        </w:tc>
        <w:tc>
          <w:tcPr>
            <w:tcW w:w="105" w:type="dxa"/>
            <w:tcBorders>
              <w:top w:val="nil"/>
              <w:left w:val="nil"/>
              <w:bottom w:val="nil"/>
              <w:right w:val="nil"/>
            </w:tcBorders>
            <w:tcMar>
              <w:top w:w="0" w:type="dxa"/>
              <w:left w:w="0" w:type="dxa"/>
              <w:bottom w:w="0" w:type="dxa"/>
              <w:right w:w="0" w:type="dxa"/>
            </w:tcMar>
            <w:vAlign w:val="bottom"/>
          </w:tcPr>
          <w:p w14:paraId="31ED4E9C" w14:textId="77777777" w:rsidR="001614AC" w:rsidRDefault="001614AC">
            <w:pPr>
              <w:keepNext/>
            </w:pPr>
          </w:p>
        </w:tc>
        <w:tc>
          <w:tcPr>
            <w:tcW w:w="1005" w:type="dxa"/>
            <w:gridSpan w:val="3"/>
            <w:tcBorders>
              <w:top w:val="single" w:sz="8" w:space="0" w:color="C7C9C7"/>
              <w:left w:val="nil"/>
              <w:bottom w:val="single" w:sz="8" w:space="0" w:color="E9E9E9"/>
              <w:right w:val="nil"/>
            </w:tcBorders>
            <w:tcMar>
              <w:top w:w="0" w:type="dxa"/>
              <w:left w:w="0" w:type="dxa"/>
              <w:bottom w:w="0" w:type="dxa"/>
              <w:right w:w="0" w:type="dxa"/>
            </w:tcMar>
            <w:vAlign w:val="bottom"/>
          </w:tcPr>
          <w:p w14:paraId="77ED7B14" w14:textId="77777777" w:rsidR="001614AC" w:rsidRDefault="001614AC">
            <w:pPr>
              <w:keepNext/>
            </w:pPr>
          </w:p>
        </w:tc>
      </w:tr>
      <w:tr w:rsidR="001614AC" w14:paraId="54638060" w14:textId="77777777">
        <w:trPr>
          <w:cantSplit/>
        </w:trPr>
        <w:tc>
          <w:tcPr>
            <w:tcW w:w="5670" w:type="dxa"/>
            <w:tcBorders>
              <w:top w:val="single" w:sz="8" w:space="0" w:color="E9E9E9"/>
              <w:left w:val="nil"/>
              <w:bottom w:val="single" w:sz="8" w:space="0" w:color="E9E9E9"/>
              <w:right w:val="nil"/>
            </w:tcBorders>
            <w:tcMar>
              <w:top w:w="0" w:type="dxa"/>
              <w:left w:w="53" w:type="dxa"/>
              <w:bottom w:w="0" w:type="dxa"/>
              <w:right w:w="53" w:type="dxa"/>
            </w:tcMar>
            <w:vAlign w:val="bottom"/>
          </w:tcPr>
          <w:p w14:paraId="111E6E01" w14:textId="77777777" w:rsidR="001614AC" w:rsidRDefault="004468F9">
            <w:pPr>
              <w:keepNext/>
              <w:spacing w:before="55" w:after="30" w:line="288" w:lineRule="auto"/>
              <w:ind w:left="240"/>
            </w:pPr>
            <w:r>
              <w:rPr>
                <w:rFonts w:ascii="Arial" w:eastAsia="Arial" w:hAnsi="Arial" w:cs="Arial"/>
                <w:color w:val="000000"/>
                <w:sz w:val="18"/>
              </w:rPr>
              <w:t>Net gains (losses) on investments and other financial instruments</w:t>
            </w:r>
          </w:p>
        </w:tc>
        <w:tc>
          <w:tcPr>
            <w:tcW w:w="105" w:type="dxa"/>
            <w:tcBorders>
              <w:top w:val="nil"/>
              <w:left w:val="nil"/>
              <w:bottom w:val="nil"/>
              <w:right w:val="nil"/>
            </w:tcBorders>
            <w:tcMar>
              <w:top w:w="0" w:type="dxa"/>
              <w:left w:w="0" w:type="dxa"/>
              <w:bottom w:w="0" w:type="dxa"/>
              <w:right w:w="0" w:type="dxa"/>
            </w:tcMar>
            <w:vAlign w:val="bottom"/>
          </w:tcPr>
          <w:p w14:paraId="576ECC3E" w14:textId="77777777" w:rsidR="001614AC" w:rsidRDefault="001614AC">
            <w:pPr>
              <w:keepNext/>
            </w:pPr>
          </w:p>
        </w:tc>
        <w:tc>
          <w:tcPr>
            <w:tcW w:w="90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509E42FC" w14:textId="77777777" w:rsidR="001614AC" w:rsidRDefault="004468F9">
            <w:pPr>
              <w:keepNext/>
              <w:spacing w:before="55" w:after="30" w:line="288" w:lineRule="auto"/>
              <w:jc w:val="right"/>
            </w:pPr>
            <w:r>
              <w:rPr>
                <w:rFonts w:ascii="Arial" w:eastAsia="Arial" w:hAnsi="Arial" w:cs="Arial"/>
                <w:color w:val="000000"/>
                <w:sz w:val="18"/>
              </w:rPr>
              <w:t>0.08 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627C9CEE" w14:textId="77777777" w:rsidR="001614AC" w:rsidRDefault="001614AC">
            <w:pPr>
              <w:keepNext/>
              <w:spacing w:before="55" w:after="30" w:line="288" w:lineRule="auto"/>
              <w:jc w:val="right"/>
            </w:pPr>
          </w:p>
        </w:tc>
        <w:tc>
          <w:tcPr>
            <w:tcW w:w="75" w:type="dxa"/>
            <w:tcBorders>
              <w:top w:val="nil"/>
              <w:left w:val="nil"/>
              <w:bottom w:val="nil"/>
              <w:right w:val="nil"/>
            </w:tcBorders>
            <w:tcMar>
              <w:top w:w="0" w:type="dxa"/>
              <w:left w:w="0" w:type="dxa"/>
              <w:bottom w:w="0" w:type="dxa"/>
              <w:right w:w="0" w:type="dxa"/>
            </w:tcMar>
            <w:vAlign w:val="bottom"/>
          </w:tcPr>
          <w:p w14:paraId="619D3911" w14:textId="77777777" w:rsidR="001614AC" w:rsidRDefault="001614AC">
            <w:pPr>
              <w:keepNext/>
            </w:pPr>
          </w:p>
        </w:tc>
        <w:tc>
          <w:tcPr>
            <w:tcW w:w="90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67A31C83" w14:textId="77777777" w:rsidR="001614AC" w:rsidRDefault="004468F9">
            <w:pPr>
              <w:keepNext/>
              <w:spacing w:before="55" w:after="30" w:line="288" w:lineRule="auto"/>
              <w:jc w:val="right"/>
            </w:pPr>
            <w:r>
              <w:rPr>
                <w:rFonts w:ascii="Arial" w:eastAsia="Arial" w:hAnsi="Arial" w:cs="Arial"/>
                <w:color w:val="000000"/>
                <w:sz w:val="18"/>
              </w:rPr>
              <w:t>0.24 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7789B789" w14:textId="77777777" w:rsidR="001614AC" w:rsidRDefault="001614AC">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7952FCD3" w14:textId="77777777" w:rsidR="001614AC" w:rsidRDefault="001614AC">
            <w:pPr>
              <w:keepNext/>
            </w:pPr>
          </w:p>
        </w:tc>
        <w:tc>
          <w:tcPr>
            <w:tcW w:w="90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7FBA26CE" w14:textId="77777777" w:rsidR="001614AC" w:rsidRDefault="004468F9">
            <w:pPr>
              <w:keepNext/>
              <w:spacing w:before="55" w:after="30" w:line="288" w:lineRule="auto"/>
              <w:jc w:val="right"/>
            </w:pPr>
            <w:r>
              <w:rPr>
                <w:rFonts w:ascii="Arial" w:eastAsia="Arial" w:hAnsi="Arial" w:cs="Arial"/>
                <w:color w:val="000000"/>
                <w:sz w:val="18"/>
              </w:rPr>
              <w:t>0.05 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236FAC4B" w14:textId="77777777" w:rsidR="001614AC" w:rsidRDefault="001614AC">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0E316BAD" w14:textId="77777777" w:rsidR="001614AC" w:rsidRDefault="001614AC">
            <w:pPr>
              <w:keepNext/>
            </w:pPr>
          </w:p>
        </w:tc>
        <w:tc>
          <w:tcPr>
            <w:tcW w:w="90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18FC88B1" w14:textId="77777777" w:rsidR="001614AC" w:rsidRDefault="004468F9">
            <w:pPr>
              <w:keepNext/>
              <w:spacing w:before="55" w:after="30" w:line="288" w:lineRule="auto"/>
              <w:jc w:val="right"/>
            </w:pPr>
            <w:r>
              <w:rPr>
                <w:rFonts w:ascii="Arial" w:eastAsia="Arial" w:hAnsi="Arial" w:cs="Arial"/>
                <w:color w:val="000000"/>
                <w:sz w:val="18"/>
              </w:rPr>
              <w:t>0.13 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2B14B4A9" w14:textId="77777777" w:rsidR="001614AC" w:rsidRDefault="001614AC">
            <w:pPr>
              <w:keepNext/>
              <w:spacing w:before="55" w:after="30" w:line="288" w:lineRule="auto"/>
              <w:jc w:val="right"/>
            </w:pPr>
          </w:p>
        </w:tc>
      </w:tr>
      <w:tr w:rsidR="001614AC" w14:paraId="7260106A" w14:textId="77777777">
        <w:trPr>
          <w:cantSplit/>
        </w:trPr>
        <w:tc>
          <w:tcPr>
            <w:tcW w:w="5670" w:type="dxa"/>
            <w:tcBorders>
              <w:top w:val="single" w:sz="8" w:space="0" w:color="E9E9E9"/>
              <w:left w:val="nil"/>
              <w:bottom w:val="single" w:sz="8" w:space="0" w:color="E9E9E9"/>
              <w:right w:val="nil"/>
            </w:tcBorders>
            <w:tcMar>
              <w:top w:w="0" w:type="dxa"/>
              <w:left w:w="53" w:type="dxa"/>
              <w:bottom w:w="0" w:type="dxa"/>
              <w:right w:w="53" w:type="dxa"/>
            </w:tcMar>
            <w:vAlign w:val="bottom"/>
          </w:tcPr>
          <w:p w14:paraId="0840B992" w14:textId="77777777" w:rsidR="001614AC" w:rsidRDefault="004468F9">
            <w:pPr>
              <w:keepNext/>
              <w:spacing w:before="55" w:after="30" w:line="288" w:lineRule="auto"/>
              <w:ind w:left="240"/>
            </w:pPr>
            <w:r>
              <w:rPr>
                <w:rFonts w:ascii="Arial" w:eastAsia="Arial" w:hAnsi="Arial" w:cs="Arial"/>
                <w:color w:val="000000"/>
                <w:sz w:val="18"/>
              </w:rPr>
              <w:t>Amortization and impairment of other acquired intangible assets</w:t>
            </w:r>
          </w:p>
        </w:tc>
        <w:tc>
          <w:tcPr>
            <w:tcW w:w="105" w:type="dxa"/>
            <w:tcBorders>
              <w:top w:val="nil"/>
              <w:left w:val="nil"/>
              <w:bottom w:val="nil"/>
              <w:right w:val="nil"/>
            </w:tcBorders>
            <w:tcMar>
              <w:top w:w="0" w:type="dxa"/>
              <w:left w:w="0" w:type="dxa"/>
              <w:bottom w:w="0" w:type="dxa"/>
              <w:right w:w="0" w:type="dxa"/>
            </w:tcMar>
            <w:vAlign w:val="bottom"/>
          </w:tcPr>
          <w:p w14:paraId="361BCF96" w14:textId="77777777" w:rsidR="001614AC" w:rsidRDefault="001614AC">
            <w:pPr>
              <w:keepNext/>
            </w:pPr>
          </w:p>
        </w:tc>
        <w:tc>
          <w:tcPr>
            <w:tcW w:w="90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63F77426" w14:textId="77777777" w:rsidR="001614AC" w:rsidRDefault="004468F9">
            <w:pPr>
              <w:keepNext/>
              <w:spacing w:before="55" w:after="30" w:line="288" w:lineRule="auto"/>
              <w:jc w:val="right"/>
            </w:pPr>
            <w:r>
              <w:rPr>
                <w:rFonts w:ascii="Arial" w:eastAsia="Arial" w:hAnsi="Arial" w:cs="Arial"/>
                <w:color w:val="000000"/>
                <w:sz w:val="18"/>
              </w:rPr>
              <w:t>—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272FBAA9" w14:textId="77777777" w:rsidR="001614AC" w:rsidRDefault="001614AC">
            <w:pPr>
              <w:keepNext/>
              <w:spacing w:before="55" w:after="30" w:line="288" w:lineRule="auto"/>
              <w:jc w:val="right"/>
            </w:pPr>
          </w:p>
        </w:tc>
        <w:tc>
          <w:tcPr>
            <w:tcW w:w="75" w:type="dxa"/>
            <w:tcBorders>
              <w:top w:val="nil"/>
              <w:left w:val="nil"/>
              <w:bottom w:val="nil"/>
              <w:right w:val="nil"/>
            </w:tcBorders>
            <w:tcMar>
              <w:top w:w="0" w:type="dxa"/>
              <w:left w:w="0" w:type="dxa"/>
              <w:bottom w:w="0" w:type="dxa"/>
              <w:right w:w="0" w:type="dxa"/>
            </w:tcMar>
            <w:vAlign w:val="bottom"/>
          </w:tcPr>
          <w:p w14:paraId="6D18AB9A" w14:textId="77777777" w:rsidR="001614AC" w:rsidRDefault="001614AC">
            <w:pPr>
              <w:keepNext/>
            </w:pPr>
          </w:p>
        </w:tc>
        <w:tc>
          <w:tcPr>
            <w:tcW w:w="90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667C145A" w14:textId="77777777" w:rsidR="001614AC" w:rsidRDefault="004468F9">
            <w:pPr>
              <w:keepNext/>
              <w:spacing w:before="55" w:after="30" w:line="288" w:lineRule="auto"/>
              <w:jc w:val="right"/>
            </w:pPr>
            <w:r>
              <w:rPr>
                <w:rFonts w:ascii="Arial" w:eastAsia="Arial" w:hAnsi="Arial" w:cs="Arial"/>
                <w:color w:val="000000"/>
                <w:sz w:val="18"/>
              </w:rPr>
              <w:t>(0.01)</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41259FA1" w14:textId="77777777" w:rsidR="001614AC" w:rsidRDefault="001614AC">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5B69C2A5" w14:textId="77777777" w:rsidR="001614AC" w:rsidRDefault="001614AC">
            <w:pPr>
              <w:keepNext/>
            </w:pPr>
          </w:p>
        </w:tc>
        <w:tc>
          <w:tcPr>
            <w:tcW w:w="90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035D2802" w14:textId="77777777" w:rsidR="001614AC" w:rsidRDefault="004468F9">
            <w:pPr>
              <w:keepNext/>
              <w:spacing w:before="55" w:after="30" w:line="288" w:lineRule="auto"/>
              <w:jc w:val="right"/>
            </w:pPr>
            <w:r>
              <w:rPr>
                <w:rFonts w:ascii="Arial" w:eastAsia="Arial" w:hAnsi="Arial" w:cs="Arial"/>
                <w:color w:val="000000"/>
                <w:sz w:val="18"/>
              </w:rPr>
              <w:t>(0.01)</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27D49611" w14:textId="77777777" w:rsidR="001614AC" w:rsidRDefault="001614AC">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218DCCA4" w14:textId="77777777" w:rsidR="001614AC" w:rsidRDefault="001614AC">
            <w:pPr>
              <w:keepNext/>
            </w:pPr>
          </w:p>
        </w:tc>
        <w:tc>
          <w:tcPr>
            <w:tcW w:w="90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57F06779" w14:textId="77777777" w:rsidR="001614AC" w:rsidRDefault="004468F9">
            <w:pPr>
              <w:keepNext/>
              <w:spacing w:before="55" w:after="30" w:line="288" w:lineRule="auto"/>
              <w:jc w:val="right"/>
            </w:pPr>
            <w:r>
              <w:rPr>
                <w:rFonts w:ascii="Arial" w:eastAsia="Arial" w:hAnsi="Arial" w:cs="Arial"/>
                <w:color w:val="000000"/>
                <w:sz w:val="18"/>
              </w:rPr>
              <w:t>(0.01)</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3CBE7A21" w14:textId="77777777" w:rsidR="001614AC" w:rsidRDefault="001614AC">
            <w:pPr>
              <w:keepNext/>
              <w:spacing w:before="55" w:after="30" w:line="288" w:lineRule="auto"/>
              <w:jc w:val="right"/>
            </w:pPr>
          </w:p>
        </w:tc>
      </w:tr>
      <w:tr w:rsidR="001614AC" w14:paraId="1B009160" w14:textId="77777777">
        <w:trPr>
          <w:cantSplit/>
        </w:trPr>
        <w:tc>
          <w:tcPr>
            <w:tcW w:w="5670" w:type="dxa"/>
            <w:tcBorders>
              <w:top w:val="single" w:sz="8" w:space="0" w:color="E9E9E9"/>
              <w:left w:val="nil"/>
              <w:bottom w:val="single" w:sz="8" w:space="0" w:color="E9E9E9"/>
              <w:right w:val="nil"/>
            </w:tcBorders>
            <w:tcMar>
              <w:top w:w="0" w:type="dxa"/>
              <w:left w:w="53" w:type="dxa"/>
              <w:bottom w:w="0" w:type="dxa"/>
              <w:right w:w="53" w:type="dxa"/>
            </w:tcMar>
            <w:vAlign w:val="bottom"/>
          </w:tcPr>
          <w:p w14:paraId="6A6296D6" w14:textId="77777777" w:rsidR="001614AC" w:rsidRDefault="004468F9">
            <w:pPr>
              <w:keepNext/>
              <w:spacing w:before="55" w:after="30" w:line="288" w:lineRule="auto"/>
              <w:ind w:left="240"/>
            </w:pPr>
            <w:r>
              <w:rPr>
                <w:rFonts w:ascii="Arial" w:eastAsia="Arial" w:hAnsi="Arial" w:cs="Arial"/>
                <w:color w:val="000000"/>
                <w:sz w:val="18"/>
              </w:rPr>
              <w:t>Impairment of other long-lived assets and other non-operating items</w:t>
            </w:r>
          </w:p>
        </w:tc>
        <w:tc>
          <w:tcPr>
            <w:tcW w:w="105" w:type="dxa"/>
            <w:tcBorders>
              <w:top w:val="nil"/>
              <w:left w:val="nil"/>
              <w:bottom w:val="nil"/>
              <w:right w:val="nil"/>
            </w:tcBorders>
            <w:tcMar>
              <w:top w:w="0" w:type="dxa"/>
              <w:left w:w="0" w:type="dxa"/>
              <w:bottom w:w="0" w:type="dxa"/>
              <w:right w:w="0" w:type="dxa"/>
            </w:tcMar>
            <w:vAlign w:val="bottom"/>
          </w:tcPr>
          <w:p w14:paraId="634171F9" w14:textId="77777777" w:rsidR="001614AC" w:rsidRDefault="001614AC">
            <w:pPr>
              <w:keepNext/>
            </w:pPr>
          </w:p>
        </w:tc>
        <w:tc>
          <w:tcPr>
            <w:tcW w:w="90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60BE3C51" w14:textId="77777777" w:rsidR="001614AC" w:rsidRDefault="004468F9">
            <w:pPr>
              <w:keepNext/>
              <w:spacing w:before="55" w:after="30" w:line="288" w:lineRule="auto"/>
              <w:jc w:val="right"/>
            </w:pPr>
            <w:r>
              <w:rPr>
                <w:rFonts w:ascii="Arial" w:eastAsia="Arial" w:hAnsi="Arial" w:cs="Arial"/>
                <w:color w:val="000000"/>
                <w:sz w:val="18"/>
              </w:rPr>
              <w:t>(0.02)</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7D1CC79D" w14:textId="77777777" w:rsidR="001614AC" w:rsidRDefault="001614AC">
            <w:pPr>
              <w:keepNext/>
              <w:spacing w:before="55" w:after="30" w:line="288" w:lineRule="auto"/>
              <w:jc w:val="right"/>
            </w:pPr>
          </w:p>
        </w:tc>
        <w:tc>
          <w:tcPr>
            <w:tcW w:w="75" w:type="dxa"/>
            <w:tcBorders>
              <w:top w:val="nil"/>
              <w:left w:val="nil"/>
              <w:bottom w:val="nil"/>
              <w:right w:val="nil"/>
            </w:tcBorders>
            <w:tcMar>
              <w:top w:w="0" w:type="dxa"/>
              <w:left w:w="0" w:type="dxa"/>
              <w:bottom w:w="0" w:type="dxa"/>
              <w:right w:w="0" w:type="dxa"/>
            </w:tcMar>
            <w:vAlign w:val="bottom"/>
          </w:tcPr>
          <w:p w14:paraId="5422CA38" w14:textId="77777777" w:rsidR="001614AC" w:rsidRDefault="001614AC">
            <w:pPr>
              <w:keepNext/>
            </w:pPr>
          </w:p>
        </w:tc>
        <w:tc>
          <w:tcPr>
            <w:tcW w:w="90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55B4ADAB" w14:textId="77777777" w:rsidR="001614AC" w:rsidRDefault="004468F9">
            <w:pPr>
              <w:keepNext/>
              <w:spacing w:before="55" w:after="30" w:line="288" w:lineRule="auto"/>
              <w:jc w:val="right"/>
            </w:pPr>
            <w:r>
              <w:rPr>
                <w:rFonts w:ascii="Arial" w:eastAsia="Arial" w:hAnsi="Arial" w:cs="Arial"/>
                <w:color w:val="000000"/>
                <w:sz w:val="18"/>
              </w:rPr>
              <w:t>—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0F776578" w14:textId="77777777" w:rsidR="001614AC" w:rsidRDefault="001614AC">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727C7918" w14:textId="77777777" w:rsidR="001614AC" w:rsidRDefault="001614AC">
            <w:pPr>
              <w:keepNext/>
            </w:pPr>
          </w:p>
        </w:tc>
        <w:tc>
          <w:tcPr>
            <w:tcW w:w="90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2C3E7905" w14:textId="77777777" w:rsidR="001614AC" w:rsidRDefault="004468F9">
            <w:pPr>
              <w:keepNext/>
              <w:spacing w:before="55" w:after="30" w:line="288" w:lineRule="auto"/>
              <w:jc w:val="right"/>
            </w:pPr>
            <w:r>
              <w:rPr>
                <w:rFonts w:ascii="Arial" w:eastAsia="Arial" w:hAnsi="Arial" w:cs="Arial"/>
                <w:color w:val="000000"/>
                <w:sz w:val="18"/>
              </w:rPr>
              <w:t>(0.02)</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73B56C7C" w14:textId="77777777" w:rsidR="001614AC" w:rsidRDefault="001614AC">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120FCFAE" w14:textId="77777777" w:rsidR="001614AC" w:rsidRDefault="001614AC">
            <w:pPr>
              <w:keepNext/>
            </w:pPr>
          </w:p>
        </w:tc>
        <w:tc>
          <w:tcPr>
            <w:tcW w:w="90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039EF8CB" w14:textId="77777777" w:rsidR="001614AC" w:rsidRDefault="004468F9">
            <w:pPr>
              <w:keepNext/>
              <w:spacing w:before="55" w:after="30" w:line="288" w:lineRule="auto"/>
              <w:jc w:val="right"/>
            </w:pPr>
            <w:r>
              <w:rPr>
                <w:rFonts w:ascii="Arial" w:eastAsia="Arial" w:hAnsi="Arial" w:cs="Arial"/>
                <w:color w:val="000000"/>
                <w:sz w:val="18"/>
              </w:rPr>
              <w:t>—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04BB282A" w14:textId="77777777" w:rsidR="001614AC" w:rsidRDefault="001614AC">
            <w:pPr>
              <w:keepNext/>
              <w:spacing w:before="55" w:after="30" w:line="288" w:lineRule="auto"/>
              <w:jc w:val="right"/>
            </w:pPr>
          </w:p>
        </w:tc>
      </w:tr>
      <w:tr w:rsidR="001614AC" w14:paraId="5D71455F" w14:textId="77777777">
        <w:trPr>
          <w:cantSplit/>
        </w:trPr>
        <w:tc>
          <w:tcPr>
            <w:tcW w:w="5670" w:type="dxa"/>
            <w:tcBorders>
              <w:top w:val="single" w:sz="8" w:space="0" w:color="E9E9E9"/>
              <w:left w:val="nil"/>
              <w:bottom w:val="single" w:sz="8" w:space="0" w:color="E9E9E9"/>
              <w:right w:val="nil"/>
            </w:tcBorders>
            <w:tcMar>
              <w:top w:w="0" w:type="dxa"/>
              <w:left w:w="53" w:type="dxa"/>
              <w:bottom w:w="0" w:type="dxa"/>
              <w:right w:w="53" w:type="dxa"/>
            </w:tcMar>
            <w:vAlign w:val="bottom"/>
          </w:tcPr>
          <w:p w14:paraId="7FD5D99A" w14:textId="77777777" w:rsidR="001614AC" w:rsidRDefault="004468F9">
            <w:pPr>
              <w:keepNext/>
              <w:spacing w:before="55" w:after="30" w:line="288" w:lineRule="auto"/>
              <w:ind w:left="240"/>
              <w:rPr>
                <w:rFonts w:ascii="Arial" w:eastAsia="Arial" w:hAnsi="Arial" w:cs="Arial"/>
                <w:sz w:val="18"/>
              </w:rPr>
            </w:pPr>
            <w:r>
              <w:rPr>
                <w:rFonts w:ascii="Arial" w:eastAsia="Arial" w:hAnsi="Arial" w:cs="Arial"/>
                <w:sz w:val="18"/>
              </w:rPr>
              <w:t xml:space="preserve">Income tax (provision) benefit on reconciling income (expense) items </w:t>
            </w:r>
            <w:r>
              <w:rPr>
                <w:rFonts w:ascii="Arial" w:eastAsia="Arial" w:hAnsi="Arial" w:cs="Arial"/>
                <w:sz w:val="18"/>
                <w:vertAlign w:val="superscript"/>
              </w:rPr>
              <w:t xml:space="preserve">(1) </w:t>
            </w:r>
          </w:p>
        </w:tc>
        <w:tc>
          <w:tcPr>
            <w:tcW w:w="105" w:type="dxa"/>
            <w:tcBorders>
              <w:top w:val="nil"/>
              <w:left w:val="nil"/>
              <w:bottom w:val="nil"/>
              <w:right w:val="nil"/>
            </w:tcBorders>
            <w:tcMar>
              <w:top w:w="0" w:type="dxa"/>
              <w:left w:w="0" w:type="dxa"/>
              <w:bottom w:w="0" w:type="dxa"/>
              <w:right w:w="0" w:type="dxa"/>
            </w:tcMar>
            <w:vAlign w:val="bottom"/>
          </w:tcPr>
          <w:p w14:paraId="4A09DEF5" w14:textId="77777777" w:rsidR="001614AC" w:rsidRDefault="001614AC">
            <w:pPr>
              <w:keepNext/>
            </w:pPr>
          </w:p>
        </w:tc>
        <w:tc>
          <w:tcPr>
            <w:tcW w:w="90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77BB3A23" w14:textId="77777777" w:rsidR="001614AC" w:rsidRDefault="004468F9">
            <w:pPr>
              <w:keepNext/>
              <w:spacing w:before="55" w:after="30" w:line="288" w:lineRule="auto"/>
              <w:jc w:val="right"/>
            </w:pPr>
            <w:r>
              <w:rPr>
                <w:rFonts w:ascii="Arial" w:eastAsia="Arial" w:hAnsi="Arial" w:cs="Arial"/>
                <w:color w:val="000000"/>
                <w:sz w:val="18"/>
              </w:rPr>
              <w:t>(0.01)</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64B24873" w14:textId="77777777" w:rsidR="001614AC" w:rsidRDefault="001614AC">
            <w:pPr>
              <w:keepNext/>
              <w:spacing w:before="55" w:after="30" w:line="288" w:lineRule="auto"/>
              <w:jc w:val="right"/>
            </w:pPr>
          </w:p>
        </w:tc>
        <w:tc>
          <w:tcPr>
            <w:tcW w:w="75" w:type="dxa"/>
            <w:tcBorders>
              <w:top w:val="nil"/>
              <w:left w:val="nil"/>
              <w:bottom w:val="nil"/>
              <w:right w:val="nil"/>
            </w:tcBorders>
            <w:tcMar>
              <w:top w:w="0" w:type="dxa"/>
              <w:left w:w="0" w:type="dxa"/>
              <w:bottom w:w="0" w:type="dxa"/>
              <w:right w:w="0" w:type="dxa"/>
            </w:tcMar>
            <w:vAlign w:val="bottom"/>
          </w:tcPr>
          <w:p w14:paraId="269247CF" w14:textId="77777777" w:rsidR="001614AC" w:rsidRDefault="001614AC">
            <w:pPr>
              <w:keepNext/>
            </w:pPr>
          </w:p>
        </w:tc>
        <w:tc>
          <w:tcPr>
            <w:tcW w:w="90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54D9967B" w14:textId="77777777" w:rsidR="001614AC" w:rsidRDefault="004468F9">
            <w:pPr>
              <w:keepNext/>
              <w:spacing w:before="55" w:after="30" w:line="288" w:lineRule="auto"/>
              <w:jc w:val="right"/>
            </w:pPr>
            <w:r>
              <w:rPr>
                <w:rFonts w:ascii="Arial" w:eastAsia="Arial" w:hAnsi="Arial" w:cs="Arial"/>
                <w:color w:val="000000"/>
                <w:sz w:val="18"/>
              </w:rPr>
              <w:t>(0.05)</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3A6ED50F" w14:textId="77777777" w:rsidR="001614AC" w:rsidRDefault="001614AC">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48F07B43" w14:textId="77777777" w:rsidR="001614AC" w:rsidRDefault="001614AC">
            <w:pPr>
              <w:keepNext/>
            </w:pPr>
          </w:p>
        </w:tc>
        <w:tc>
          <w:tcPr>
            <w:tcW w:w="90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4CB598DF" w14:textId="77777777" w:rsidR="001614AC" w:rsidRDefault="004468F9">
            <w:pPr>
              <w:keepNext/>
              <w:spacing w:before="55" w:after="30" w:line="288" w:lineRule="auto"/>
              <w:jc w:val="right"/>
            </w:pPr>
            <w:r>
              <w:rPr>
                <w:rFonts w:ascii="Arial" w:eastAsia="Arial" w:hAnsi="Arial" w:cs="Arial"/>
                <w:color w:val="000000"/>
                <w:sz w:val="18"/>
              </w:rPr>
              <w:t>(0.01)</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6DB6938D" w14:textId="77777777" w:rsidR="001614AC" w:rsidRDefault="001614AC">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104781AF" w14:textId="77777777" w:rsidR="001614AC" w:rsidRDefault="001614AC">
            <w:pPr>
              <w:keepNext/>
            </w:pPr>
          </w:p>
        </w:tc>
        <w:tc>
          <w:tcPr>
            <w:tcW w:w="90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2246DAFC" w14:textId="77777777" w:rsidR="001614AC" w:rsidRDefault="004468F9">
            <w:pPr>
              <w:keepNext/>
              <w:spacing w:before="55" w:after="30" w:line="288" w:lineRule="auto"/>
              <w:jc w:val="right"/>
            </w:pPr>
            <w:r>
              <w:rPr>
                <w:rFonts w:ascii="Arial" w:eastAsia="Arial" w:hAnsi="Arial" w:cs="Arial"/>
                <w:color w:val="000000"/>
                <w:sz w:val="18"/>
              </w:rPr>
              <w:t>(0.02)</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134BC92B" w14:textId="77777777" w:rsidR="001614AC" w:rsidRDefault="001614AC">
            <w:pPr>
              <w:keepNext/>
              <w:spacing w:before="55" w:after="30" w:line="288" w:lineRule="auto"/>
              <w:jc w:val="right"/>
            </w:pPr>
          </w:p>
        </w:tc>
      </w:tr>
      <w:tr w:rsidR="001614AC" w14:paraId="50DC73BF" w14:textId="77777777">
        <w:trPr>
          <w:cantSplit/>
        </w:trPr>
        <w:tc>
          <w:tcPr>
            <w:tcW w:w="5670" w:type="dxa"/>
            <w:tcBorders>
              <w:top w:val="single" w:sz="8" w:space="0" w:color="E9E9E9"/>
              <w:left w:val="nil"/>
              <w:bottom w:val="nil"/>
              <w:right w:val="nil"/>
            </w:tcBorders>
            <w:tcMar>
              <w:top w:w="0" w:type="dxa"/>
              <w:left w:w="53" w:type="dxa"/>
              <w:bottom w:w="0" w:type="dxa"/>
              <w:right w:w="53" w:type="dxa"/>
            </w:tcMar>
            <w:vAlign w:val="bottom"/>
          </w:tcPr>
          <w:p w14:paraId="5D7F23AE" w14:textId="77777777" w:rsidR="001614AC" w:rsidRDefault="004468F9">
            <w:pPr>
              <w:keepNext/>
              <w:spacing w:before="55" w:after="30" w:line="288" w:lineRule="auto"/>
              <w:ind w:left="240"/>
            </w:pPr>
            <w:r>
              <w:rPr>
                <w:rFonts w:ascii="Arial" w:eastAsia="Arial" w:hAnsi="Arial" w:cs="Arial"/>
                <w:color w:val="000000"/>
                <w:sz w:val="18"/>
              </w:rPr>
              <w:t xml:space="preserve">Difference between statutory and effective tax rates </w:t>
            </w:r>
          </w:p>
        </w:tc>
        <w:tc>
          <w:tcPr>
            <w:tcW w:w="105" w:type="dxa"/>
            <w:tcBorders>
              <w:top w:val="nil"/>
              <w:left w:val="nil"/>
              <w:bottom w:val="nil"/>
              <w:right w:val="nil"/>
            </w:tcBorders>
            <w:tcMar>
              <w:top w:w="0" w:type="dxa"/>
              <w:left w:w="0" w:type="dxa"/>
              <w:bottom w:w="0" w:type="dxa"/>
              <w:right w:w="0" w:type="dxa"/>
            </w:tcMar>
            <w:vAlign w:val="bottom"/>
          </w:tcPr>
          <w:p w14:paraId="71889FB4" w14:textId="77777777" w:rsidR="001614AC" w:rsidRDefault="001614AC">
            <w:pPr>
              <w:keepNext/>
            </w:pPr>
          </w:p>
        </w:tc>
        <w:tc>
          <w:tcPr>
            <w:tcW w:w="905" w:type="dxa"/>
            <w:gridSpan w:val="2"/>
            <w:tcBorders>
              <w:top w:val="single" w:sz="8" w:space="0" w:color="E9E9E9"/>
              <w:left w:val="nil"/>
              <w:bottom w:val="single" w:sz="8" w:space="0" w:color="C7C9C7"/>
              <w:right w:val="nil"/>
            </w:tcBorders>
            <w:tcMar>
              <w:top w:w="0" w:type="dxa"/>
              <w:left w:w="53" w:type="dxa"/>
              <w:bottom w:w="0" w:type="dxa"/>
              <w:right w:w="0" w:type="dxa"/>
            </w:tcMar>
            <w:vAlign w:val="bottom"/>
          </w:tcPr>
          <w:p w14:paraId="21639FE6" w14:textId="77777777" w:rsidR="001614AC" w:rsidRDefault="004468F9">
            <w:pPr>
              <w:keepNext/>
              <w:spacing w:before="55" w:after="30" w:line="288" w:lineRule="auto"/>
              <w:jc w:val="right"/>
            </w:pPr>
            <w:r>
              <w:rPr>
                <w:rFonts w:ascii="Arial" w:eastAsia="Arial" w:hAnsi="Arial" w:cs="Arial"/>
                <w:color w:val="000000"/>
                <w:sz w:val="18"/>
              </w:rPr>
              <w:t>— </w:t>
            </w:r>
          </w:p>
        </w:tc>
        <w:tc>
          <w:tcPr>
            <w:tcW w:w="100" w:type="dxa"/>
            <w:tcBorders>
              <w:top w:val="single" w:sz="8" w:space="0" w:color="E9E9E9"/>
              <w:left w:val="nil"/>
              <w:bottom w:val="single" w:sz="8" w:space="0" w:color="C7C9C7"/>
              <w:right w:val="nil"/>
            </w:tcBorders>
            <w:tcMar>
              <w:top w:w="0" w:type="dxa"/>
              <w:left w:w="0" w:type="dxa"/>
              <w:bottom w:w="0" w:type="dxa"/>
              <w:right w:w="15" w:type="dxa"/>
            </w:tcMar>
            <w:vAlign w:val="bottom"/>
          </w:tcPr>
          <w:p w14:paraId="05F9F66D" w14:textId="77777777" w:rsidR="001614AC" w:rsidRDefault="001614AC">
            <w:pPr>
              <w:keepNext/>
              <w:spacing w:before="55" w:after="30" w:line="288" w:lineRule="auto"/>
              <w:jc w:val="right"/>
            </w:pPr>
          </w:p>
        </w:tc>
        <w:tc>
          <w:tcPr>
            <w:tcW w:w="75" w:type="dxa"/>
            <w:tcBorders>
              <w:top w:val="nil"/>
              <w:left w:val="nil"/>
              <w:bottom w:val="nil"/>
              <w:right w:val="nil"/>
            </w:tcBorders>
            <w:tcMar>
              <w:top w:w="0" w:type="dxa"/>
              <w:left w:w="0" w:type="dxa"/>
              <w:bottom w:w="0" w:type="dxa"/>
              <w:right w:w="0" w:type="dxa"/>
            </w:tcMar>
            <w:vAlign w:val="bottom"/>
          </w:tcPr>
          <w:p w14:paraId="616F6C18" w14:textId="77777777" w:rsidR="001614AC" w:rsidRDefault="001614AC">
            <w:pPr>
              <w:keepNext/>
            </w:pPr>
          </w:p>
        </w:tc>
        <w:tc>
          <w:tcPr>
            <w:tcW w:w="905" w:type="dxa"/>
            <w:gridSpan w:val="2"/>
            <w:tcBorders>
              <w:top w:val="single" w:sz="8" w:space="0" w:color="E9E9E9"/>
              <w:left w:val="nil"/>
              <w:bottom w:val="single" w:sz="8" w:space="0" w:color="C7C9C7"/>
              <w:right w:val="nil"/>
            </w:tcBorders>
            <w:tcMar>
              <w:top w:w="0" w:type="dxa"/>
              <w:left w:w="53" w:type="dxa"/>
              <w:bottom w:w="0" w:type="dxa"/>
              <w:right w:w="0" w:type="dxa"/>
            </w:tcMar>
            <w:vAlign w:val="bottom"/>
          </w:tcPr>
          <w:p w14:paraId="0A92ACEA" w14:textId="77777777" w:rsidR="001614AC" w:rsidRDefault="004468F9">
            <w:pPr>
              <w:keepNext/>
              <w:spacing w:before="55" w:after="30" w:line="288" w:lineRule="auto"/>
              <w:jc w:val="right"/>
            </w:pPr>
            <w:r>
              <w:rPr>
                <w:rFonts w:ascii="Arial" w:eastAsia="Arial" w:hAnsi="Arial" w:cs="Arial"/>
                <w:color w:val="000000"/>
                <w:sz w:val="18"/>
              </w:rPr>
              <w:t>0.03 </w:t>
            </w:r>
          </w:p>
        </w:tc>
        <w:tc>
          <w:tcPr>
            <w:tcW w:w="100" w:type="dxa"/>
            <w:tcBorders>
              <w:top w:val="single" w:sz="8" w:space="0" w:color="E9E9E9"/>
              <w:left w:val="nil"/>
              <w:bottom w:val="single" w:sz="8" w:space="0" w:color="C7C9C7"/>
              <w:right w:val="nil"/>
            </w:tcBorders>
            <w:tcMar>
              <w:top w:w="0" w:type="dxa"/>
              <w:left w:w="0" w:type="dxa"/>
              <w:bottom w:w="0" w:type="dxa"/>
              <w:right w:w="15" w:type="dxa"/>
            </w:tcMar>
            <w:vAlign w:val="bottom"/>
          </w:tcPr>
          <w:p w14:paraId="38003878" w14:textId="77777777" w:rsidR="001614AC" w:rsidRDefault="001614AC">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7B83148E" w14:textId="77777777" w:rsidR="001614AC" w:rsidRDefault="001614AC">
            <w:pPr>
              <w:keepNext/>
            </w:pPr>
          </w:p>
        </w:tc>
        <w:tc>
          <w:tcPr>
            <w:tcW w:w="905" w:type="dxa"/>
            <w:gridSpan w:val="2"/>
            <w:tcBorders>
              <w:top w:val="single" w:sz="8" w:space="0" w:color="E9E9E9"/>
              <w:left w:val="nil"/>
              <w:bottom w:val="single" w:sz="8" w:space="0" w:color="C7C9C7"/>
              <w:right w:val="nil"/>
            </w:tcBorders>
            <w:tcMar>
              <w:top w:w="0" w:type="dxa"/>
              <w:left w:w="53" w:type="dxa"/>
              <w:bottom w:w="0" w:type="dxa"/>
              <w:right w:w="0" w:type="dxa"/>
            </w:tcMar>
            <w:vAlign w:val="bottom"/>
          </w:tcPr>
          <w:p w14:paraId="6EB877EE" w14:textId="77777777" w:rsidR="001614AC" w:rsidRDefault="004468F9">
            <w:pPr>
              <w:keepNext/>
              <w:spacing w:before="55" w:after="30" w:line="288" w:lineRule="auto"/>
              <w:jc w:val="right"/>
            </w:pPr>
            <w:r>
              <w:rPr>
                <w:rFonts w:ascii="Arial" w:eastAsia="Arial" w:hAnsi="Arial" w:cs="Arial"/>
                <w:color w:val="000000"/>
                <w:sz w:val="18"/>
              </w:rPr>
              <w:t>— </w:t>
            </w:r>
          </w:p>
        </w:tc>
        <w:tc>
          <w:tcPr>
            <w:tcW w:w="100" w:type="dxa"/>
            <w:tcBorders>
              <w:top w:val="single" w:sz="8" w:space="0" w:color="E9E9E9"/>
              <w:left w:val="nil"/>
              <w:bottom w:val="single" w:sz="8" w:space="0" w:color="C7C9C7"/>
              <w:right w:val="nil"/>
            </w:tcBorders>
            <w:tcMar>
              <w:top w:w="0" w:type="dxa"/>
              <w:left w:w="0" w:type="dxa"/>
              <w:bottom w:w="0" w:type="dxa"/>
              <w:right w:w="15" w:type="dxa"/>
            </w:tcMar>
            <w:vAlign w:val="bottom"/>
          </w:tcPr>
          <w:p w14:paraId="35DDD87A" w14:textId="77777777" w:rsidR="001614AC" w:rsidRDefault="001614AC">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1AC69345" w14:textId="77777777" w:rsidR="001614AC" w:rsidRDefault="001614AC">
            <w:pPr>
              <w:keepNext/>
            </w:pPr>
          </w:p>
        </w:tc>
        <w:tc>
          <w:tcPr>
            <w:tcW w:w="905" w:type="dxa"/>
            <w:gridSpan w:val="2"/>
            <w:tcBorders>
              <w:top w:val="single" w:sz="8" w:space="0" w:color="E9E9E9"/>
              <w:left w:val="nil"/>
              <w:bottom w:val="single" w:sz="8" w:space="0" w:color="C7C9C7"/>
              <w:right w:val="nil"/>
            </w:tcBorders>
            <w:tcMar>
              <w:top w:w="0" w:type="dxa"/>
              <w:left w:w="53" w:type="dxa"/>
              <w:bottom w:w="0" w:type="dxa"/>
              <w:right w:w="0" w:type="dxa"/>
            </w:tcMar>
            <w:vAlign w:val="bottom"/>
          </w:tcPr>
          <w:p w14:paraId="4F0C7477" w14:textId="77777777" w:rsidR="001614AC" w:rsidRDefault="004468F9">
            <w:pPr>
              <w:keepNext/>
              <w:spacing w:before="55" w:after="30" w:line="288" w:lineRule="auto"/>
              <w:jc w:val="right"/>
            </w:pPr>
            <w:r>
              <w:rPr>
                <w:rFonts w:ascii="Arial" w:eastAsia="Arial" w:hAnsi="Arial" w:cs="Arial"/>
                <w:color w:val="000000"/>
                <w:sz w:val="18"/>
              </w:rPr>
              <w:t>— </w:t>
            </w:r>
          </w:p>
        </w:tc>
        <w:tc>
          <w:tcPr>
            <w:tcW w:w="100" w:type="dxa"/>
            <w:tcBorders>
              <w:top w:val="single" w:sz="8" w:space="0" w:color="E9E9E9"/>
              <w:left w:val="nil"/>
              <w:bottom w:val="single" w:sz="8" w:space="0" w:color="C7C9C7"/>
              <w:right w:val="nil"/>
            </w:tcBorders>
            <w:tcMar>
              <w:top w:w="0" w:type="dxa"/>
              <w:left w:w="0" w:type="dxa"/>
              <w:bottom w:w="0" w:type="dxa"/>
              <w:right w:w="15" w:type="dxa"/>
            </w:tcMar>
            <w:vAlign w:val="bottom"/>
          </w:tcPr>
          <w:p w14:paraId="2BDCCE20" w14:textId="77777777" w:rsidR="001614AC" w:rsidRDefault="001614AC">
            <w:pPr>
              <w:keepNext/>
              <w:spacing w:before="55" w:after="30" w:line="288" w:lineRule="auto"/>
              <w:jc w:val="right"/>
            </w:pPr>
          </w:p>
        </w:tc>
      </w:tr>
      <w:tr w:rsidR="001614AC" w14:paraId="70E89522" w14:textId="77777777">
        <w:trPr>
          <w:cantSplit/>
        </w:trPr>
        <w:tc>
          <w:tcPr>
            <w:tcW w:w="5670" w:type="dxa"/>
            <w:tcBorders>
              <w:top w:val="nil"/>
              <w:left w:val="nil"/>
              <w:bottom w:val="single" w:sz="8" w:space="0" w:color="FFFFFF"/>
              <w:right w:val="nil"/>
            </w:tcBorders>
            <w:shd w:val="clear" w:color="auto" w:fill="F4F4F4"/>
            <w:tcMar>
              <w:top w:w="0" w:type="dxa"/>
              <w:left w:w="53" w:type="dxa"/>
              <w:bottom w:w="0" w:type="dxa"/>
              <w:right w:w="53" w:type="dxa"/>
            </w:tcMar>
            <w:vAlign w:val="bottom"/>
          </w:tcPr>
          <w:p w14:paraId="34514339" w14:textId="77777777" w:rsidR="001614AC" w:rsidRDefault="004468F9">
            <w:pPr>
              <w:keepNext/>
              <w:spacing w:before="75" w:after="30" w:line="288" w:lineRule="auto"/>
              <w:ind w:left="240"/>
            </w:pPr>
            <w:r>
              <w:rPr>
                <w:rFonts w:ascii="Arial" w:eastAsia="Arial" w:hAnsi="Arial" w:cs="Arial"/>
                <w:color w:val="000000"/>
                <w:sz w:val="18"/>
              </w:rPr>
              <w:t>Per-share impact of reconciling income (expense) items</w:t>
            </w:r>
          </w:p>
        </w:tc>
        <w:tc>
          <w:tcPr>
            <w:tcW w:w="105" w:type="dxa"/>
            <w:tcBorders>
              <w:top w:val="nil"/>
              <w:left w:val="nil"/>
              <w:bottom w:val="single" w:sz="8" w:space="0" w:color="FFFFFF"/>
              <w:right w:val="nil"/>
            </w:tcBorders>
            <w:shd w:val="clear" w:color="auto" w:fill="F4F4F4"/>
            <w:tcMar>
              <w:top w:w="0" w:type="dxa"/>
              <w:left w:w="0" w:type="dxa"/>
              <w:bottom w:w="0" w:type="dxa"/>
              <w:right w:w="0" w:type="dxa"/>
            </w:tcMar>
            <w:vAlign w:val="bottom"/>
          </w:tcPr>
          <w:p w14:paraId="2C8CBD92" w14:textId="77777777" w:rsidR="001614AC" w:rsidRDefault="001614AC">
            <w:pPr>
              <w:keepNext/>
            </w:pPr>
          </w:p>
        </w:tc>
        <w:tc>
          <w:tcPr>
            <w:tcW w:w="905" w:type="dxa"/>
            <w:gridSpan w:val="2"/>
            <w:tcBorders>
              <w:top w:val="single" w:sz="8" w:space="0" w:color="C7C9C7"/>
              <w:left w:val="nil"/>
              <w:bottom w:val="single" w:sz="8" w:space="0" w:color="C7C9C7"/>
              <w:right w:val="nil"/>
            </w:tcBorders>
            <w:shd w:val="clear" w:color="auto" w:fill="F4F4F4"/>
            <w:tcMar>
              <w:top w:w="0" w:type="dxa"/>
              <w:left w:w="53" w:type="dxa"/>
              <w:bottom w:w="0" w:type="dxa"/>
              <w:right w:w="0" w:type="dxa"/>
            </w:tcMar>
            <w:vAlign w:val="bottom"/>
          </w:tcPr>
          <w:p w14:paraId="2E51580A" w14:textId="77777777" w:rsidR="001614AC" w:rsidRDefault="004468F9">
            <w:pPr>
              <w:keepNext/>
              <w:spacing w:before="55" w:after="30" w:line="288" w:lineRule="auto"/>
              <w:jc w:val="right"/>
            </w:pPr>
            <w:r>
              <w:rPr>
                <w:rFonts w:ascii="Arial" w:eastAsia="Arial" w:hAnsi="Arial" w:cs="Arial"/>
                <w:color w:val="000000"/>
                <w:sz w:val="18"/>
              </w:rPr>
              <w:t>0.05 </w:t>
            </w:r>
          </w:p>
        </w:tc>
        <w:tc>
          <w:tcPr>
            <w:tcW w:w="100" w:type="dxa"/>
            <w:tcBorders>
              <w:top w:val="single" w:sz="8" w:space="0" w:color="C7C9C7"/>
              <w:left w:val="nil"/>
              <w:bottom w:val="single" w:sz="8" w:space="0" w:color="C7C9C7"/>
              <w:right w:val="nil"/>
            </w:tcBorders>
            <w:shd w:val="clear" w:color="auto" w:fill="F4F4F4"/>
            <w:tcMar>
              <w:top w:w="0" w:type="dxa"/>
              <w:left w:w="0" w:type="dxa"/>
              <w:bottom w:w="0" w:type="dxa"/>
              <w:right w:w="15" w:type="dxa"/>
            </w:tcMar>
            <w:vAlign w:val="bottom"/>
          </w:tcPr>
          <w:p w14:paraId="01AB54D9" w14:textId="77777777" w:rsidR="001614AC" w:rsidRDefault="001614AC">
            <w:pPr>
              <w:keepNext/>
              <w:spacing w:before="55" w:after="30" w:line="288" w:lineRule="auto"/>
              <w:jc w:val="right"/>
            </w:pPr>
          </w:p>
        </w:tc>
        <w:tc>
          <w:tcPr>
            <w:tcW w:w="75" w:type="dxa"/>
            <w:tcBorders>
              <w:top w:val="nil"/>
              <w:left w:val="nil"/>
              <w:bottom w:val="single" w:sz="8" w:space="0" w:color="FFFFFF"/>
              <w:right w:val="nil"/>
            </w:tcBorders>
            <w:shd w:val="clear" w:color="auto" w:fill="F4F4F4"/>
            <w:tcMar>
              <w:top w:w="0" w:type="dxa"/>
              <w:left w:w="0" w:type="dxa"/>
              <w:bottom w:w="0" w:type="dxa"/>
              <w:right w:w="0" w:type="dxa"/>
            </w:tcMar>
            <w:vAlign w:val="bottom"/>
          </w:tcPr>
          <w:p w14:paraId="24E2BAD0" w14:textId="77777777" w:rsidR="001614AC" w:rsidRDefault="001614AC">
            <w:pPr>
              <w:keepNext/>
            </w:pPr>
          </w:p>
        </w:tc>
        <w:tc>
          <w:tcPr>
            <w:tcW w:w="905" w:type="dxa"/>
            <w:gridSpan w:val="2"/>
            <w:tcBorders>
              <w:top w:val="single" w:sz="8" w:space="0" w:color="C7C9C7"/>
              <w:left w:val="nil"/>
              <w:bottom w:val="single" w:sz="8" w:space="0" w:color="C7C9C7"/>
              <w:right w:val="nil"/>
            </w:tcBorders>
            <w:shd w:val="clear" w:color="auto" w:fill="F4F4F4"/>
            <w:tcMar>
              <w:top w:w="0" w:type="dxa"/>
              <w:left w:w="53" w:type="dxa"/>
              <w:bottom w:w="0" w:type="dxa"/>
              <w:right w:w="0" w:type="dxa"/>
            </w:tcMar>
            <w:vAlign w:val="bottom"/>
          </w:tcPr>
          <w:p w14:paraId="292576F6" w14:textId="77777777" w:rsidR="001614AC" w:rsidRDefault="004468F9">
            <w:pPr>
              <w:keepNext/>
              <w:spacing w:before="55" w:after="30" w:line="288" w:lineRule="auto"/>
              <w:jc w:val="right"/>
            </w:pPr>
            <w:r>
              <w:rPr>
                <w:rFonts w:ascii="Arial" w:eastAsia="Arial" w:hAnsi="Arial" w:cs="Arial"/>
                <w:color w:val="000000"/>
                <w:sz w:val="18"/>
              </w:rPr>
              <w:t>0.21 </w:t>
            </w:r>
          </w:p>
        </w:tc>
        <w:tc>
          <w:tcPr>
            <w:tcW w:w="100" w:type="dxa"/>
            <w:tcBorders>
              <w:top w:val="single" w:sz="8" w:space="0" w:color="C7C9C7"/>
              <w:left w:val="nil"/>
              <w:bottom w:val="single" w:sz="8" w:space="0" w:color="C7C9C7"/>
              <w:right w:val="nil"/>
            </w:tcBorders>
            <w:shd w:val="clear" w:color="auto" w:fill="F4F4F4"/>
            <w:tcMar>
              <w:top w:w="0" w:type="dxa"/>
              <w:left w:w="0" w:type="dxa"/>
              <w:bottom w:w="0" w:type="dxa"/>
              <w:right w:w="15" w:type="dxa"/>
            </w:tcMar>
            <w:vAlign w:val="bottom"/>
          </w:tcPr>
          <w:p w14:paraId="1D518B18" w14:textId="77777777" w:rsidR="001614AC" w:rsidRDefault="001614AC">
            <w:pPr>
              <w:keepNext/>
              <w:spacing w:before="55" w:after="30" w:line="288" w:lineRule="auto"/>
              <w:jc w:val="right"/>
            </w:pPr>
          </w:p>
        </w:tc>
        <w:tc>
          <w:tcPr>
            <w:tcW w:w="105" w:type="dxa"/>
            <w:tcBorders>
              <w:top w:val="nil"/>
              <w:left w:val="nil"/>
              <w:bottom w:val="single" w:sz="8" w:space="0" w:color="FFFFFF"/>
              <w:right w:val="nil"/>
            </w:tcBorders>
            <w:shd w:val="clear" w:color="auto" w:fill="F4F4F4"/>
            <w:tcMar>
              <w:top w:w="0" w:type="dxa"/>
              <w:left w:w="0" w:type="dxa"/>
              <w:bottom w:w="0" w:type="dxa"/>
              <w:right w:w="0" w:type="dxa"/>
            </w:tcMar>
            <w:vAlign w:val="bottom"/>
          </w:tcPr>
          <w:p w14:paraId="5C51D562" w14:textId="77777777" w:rsidR="001614AC" w:rsidRDefault="001614AC">
            <w:pPr>
              <w:keepNext/>
            </w:pPr>
          </w:p>
        </w:tc>
        <w:tc>
          <w:tcPr>
            <w:tcW w:w="905" w:type="dxa"/>
            <w:gridSpan w:val="2"/>
            <w:tcBorders>
              <w:top w:val="single" w:sz="8" w:space="0" w:color="C7C9C7"/>
              <w:left w:val="nil"/>
              <w:bottom w:val="single" w:sz="8" w:space="0" w:color="C7C9C7"/>
              <w:right w:val="nil"/>
            </w:tcBorders>
            <w:shd w:val="clear" w:color="auto" w:fill="F4F4F4"/>
            <w:tcMar>
              <w:top w:w="0" w:type="dxa"/>
              <w:left w:w="53" w:type="dxa"/>
              <w:bottom w:w="0" w:type="dxa"/>
              <w:right w:w="0" w:type="dxa"/>
            </w:tcMar>
            <w:vAlign w:val="bottom"/>
          </w:tcPr>
          <w:p w14:paraId="4A73FD3F" w14:textId="77777777" w:rsidR="001614AC" w:rsidRDefault="004468F9">
            <w:pPr>
              <w:keepNext/>
              <w:spacing w:before="55" w:after="30" w:line="288" w:lineRule="auto"/>
              <w:jc w:val="right"/>
            </w:pPr>
            <w:r>
              <w:rPr>
                <w:rFonts w:ascii="Arial" w:eastAsia="Arial" w:hAnsi="Arial" w:cs="Arial"/>
                <w:color w:val="000000"/>
                <w:sz w:val="18"/>
              </w:rPr>
              <w:t>0.01 </w:t>
            </w:r>
          </w:p>
        </w:tc>
        <w:tc>
          <w:tcPr>
            <w:tcW w:w="100" w:type="dxa"/>
            <w:tcBorders>
              <w:top w:val="single" w:sz="8" w:space="0" w:color="C7C9C7"/>
              <w:left w:val="nil"/>
              <w:bottom w:val="single" w:sz="8" w:space="0" w:color="C7C9C7"/>
              <w:right w:val="nil"/>
            </w:tcBorders>
            <w:shd w:val="clear" w:color="auto" w:fill="F4F4F4"/>
            <w:tcMar>
              <w:top w:w="0" w:type="dxa"/>
              <w:left w:w="0" w:type="dxa"/>
              <w:bottom w:w="0" w:type="dxa"/>
              <w:right w:w="15" w:type="dxa"/>
            </w:tcMar>
            <w:vAlign w:val="bottom"/>
          </w:tcPr>
          <w:p w14:paraId="5EC74243" w14:textId="77777777" w:rsidR="001614AC" w:rsidRDefault="001614AC">
            <w:pPr>
              <w:keepNext/>
              <w:spacing w:before="55" w:after="30" w:line="288" w:lineRule="auto"/>
              <w:jc w:val="right"/>
            </w:pPr>
          </w:p>
        </w:tc>
        <w:tc>
          <w:tcPr>
            <w:tcW w:w="105" w:type="dxa"/>
            <w:tcBorders>
              <w:top w:val="nil"/>
              <w:left w:val="nil"/>
              <w:bottom w:val="single" w:sz="8" w:space="0" w:color="FFFFFF"/>
              <w:right w:val="nil"/>
            </w:tcBorders>
            <w:shd w:val="clear" w:color="auto" w:fill="F4F4F4"/>
            <w:tcMar>
              <w:top w:w="0" w:type="dxa"/>
              <w:left w:w="0" w:type="dxa"/>
              <w:bottom w:w="0" w:type="dxa"/>
              <w:right w:w="0" w:type="dxa"/>
            </w:tcMar>
            <w:vAlign w:val="bottom"/>
          </w:tcPr>
          <w:p w14:paraId="1D45DF28" w14:textId="77777777" w:rsidR="001614AC" w:rsidRDefault="001614AC">
            <w:pPr>
              <w:keepNext/>
            </w:pPr>
          </w:p>
        </w:tc>
        <w:tc>
          <w:tcPr>
            <w:tcW w:w="905" w:type="dxa"/>
            <w:gridSpan w:val="2"/>
            <w:tcBorders>
              <w:top w:val="single" w:sz="8" w:space="0" w:color="C7C9C7"/>
              <w:left w:val="nil"/>
              <w:bottom w:val="single" w:sz="8" w:space="0" w:color="C7C9C7"/>
              <w:right w:val="nil"/>
            </w:tcBorders>
            <w:shd w:val="clear" w:color="auto" w:fill="F4F4F4"/>
            <w:tcMar>
              <w:top w:w="0" w:type="dxa"/>
              <w:left w:w="53" w:type="dxa"/>
              <w:bottom w:w="0" w:type="dxa"/>
              <w:right w:w="0" w:type="dxa"/>
            </w:tcMar>
            <w:vAlign w:val="bottom"/>
          </w:tcPr>
          <w:p w14:paraId="1C8EBAB4" w14:textId="77777777" w:rsidR="001614AC" w:rsidRDefault="004468F9">
            <w:pPr>
              <w:keepNext/>
              <w:spacing w:before="55" w:after="30" w:line="288" w:lineRule="auto"/>
              <w:jc w:val="right"/>
            </w:pPr>
            <w:r>
              <w:rPr>
                <w:rFonts w:ascii="Arial" w:eastAsia="Arial" w:hAnsi="Arial" w:cs="Arial"/>
                <w:color w:val="000000"/>
                <w:sz w:val="18"/>
              </w:rPr>
              <w:t>0.10 </w:t>
            </w:r>
          </w:p>
        </w:tc>
        <w:tc>
          <w:tcPr>
            <w:tcW w:w="100" w:type="dxa"/>
            <w:tcBorders>
              <w:top w:val="single" w:sz="8" w:space="0" w:color="C7C9C7"/>
              <w:left w:val="nil"/>
              <w:bottom w:val="single" w:sz="8" w:space="0" w:color="C7C9C7"/>
              <w:right w:val="nil"/>
            </w:tcBorders>
            <w:shd w:val="clear" w:color="auto" w:fill="F4F4F4"/>
            <w:tcMar>
              <w:top w:w="0" w:type="dxa"/>
              <w:left w:w="0" w:type="dxa"/>
              <w:bottom w:w="0" w:type="dxa"/>
              <w:right w:w="15" w:type="dxa"/>
            </w:tcMar>
            <w:vAlign w:val="bottom"/>
          </w:tcPr>
          <w:p w14:paraId="2A9D5592" w14:textId="77777777" w:rsidR="001614AC" w:rsidRDefault="001614AC">
            <w:pPr>
              <w:keepNext/>
              <w:spacing w:before="55" w:after="30" w:line="288" w:lineRule="auto"/>
              <w:jc w:val="right"/>
            </w:pPr>
          </w:p>
        </w:tc>
      </w:tr>
      <w:tr w:rsidR="001614AC" w14:paraId="0CB67AD6" w14:textId="77777777">
        <w:trPr>
          <w:cantSplit/>
        </w:trPr>
        <w:tc>
          <w:tcPr>
            <w:tcW w:w="5670" w:type="dxa"/>
            <w:tcBorders>
              <w:top w:val="single" w:sz="8" w:space="0" w:color="FFFFFF"/>
              <w:left w:val="nil"/>
              <w:bottom w:val="nil"/>
              <w:right w:val="nil"/>
            </w:tcBorders>
            <w:shd w:val="clear" w:color="auto" w:fill="F4F4F4"/>
            <w:tcMar>
              <w:top w:w="0" w:type="dxa"/>
              <w:left w:w="53" w:type="dxa"/>
              <w:bottom w:w="0" w:type="dxa"/>
              <w:right w:w="53" w:type="dxa"/>
            </w:tcMar>
            <w:vAlign w:val="bottom"/>
          </w:tcPr>
          <w:p w14:paraId="25AE240D" w14:textId="77777777" w:rsidR="001614AC" w:rsidRDefault="004468F9">
            <w:pPr>
              <w:spacing w:before="55" w:after="30" w:line="288" w:lineRule="auto"/>
              <w:rPr>
                <w:rFonts w:ascii="Arial" w:eastAsia="Arial" w:hAnsi="Arial" w:cs="Arial"/>
                <w:sz w:val="18"/>
              </w:rPr>
            </w:pPr>
            <w:r>
              <w:rPr>
                <w:rFonts w:ascii="Arial" w:eastAsia="Arial" w:hAnsi="Arial" w:cs="Arial"/>
                <w:sz w:val="18"/>
              </w:rPr>
              <w:t xml:space="preserve">Adjusted diluted net operating income (loss) per share </w:t>
            </w:r>
            <w:r>
              <w:rPr>
                <w:rFonts w:ascii="Arial" w:eastAsia="Arial" w:hAnsi="Arial" w:cs="Arial"/>
                <w:sz w:val="18"/>
                <w:vertAlign w:val="superscript"/>
              </w:rPr>
              <w:t xml:space="preserve">(1) </w:t>
            </w:r>
          </w:p>
        </w:tc>
        <w:tc>
          <w:tcPr>
            <w:tcW w:w="105" w:type="dxa"/>
            <w:tcBorders>
              <w:top w:val="single" w:sz="8" w:space="0" w:color="FFFFFF"/>
              <w:left w:val="nil"/>
              <w:bottom w:val="nil"/>
              <w:right w:val="nil"/>
            </w:tcBorders>
            <w:shd w:val="clear" w:color="auto" w:fill="F4F4F4"/>
            <w:tcMar>
              <w:top w:w="0" w:type="dxa"/>
              <w:left w:w="0" w:type="dxa"/>
              <w:bottom w:w="0" w:type="dxa"/>
              <w:right w:w="0" w:type="dxa"/>
            </w:tcMar>
            <w:vAlign w:val="bottom"/>
          </w:tcPr>
          <w:p w14:paraId="24A9D360" w14:textId="77777777" w:rsidR="001614AC" w:rsidRDefault="001614AC"/>
        </w:tc>
        <w:tc>
          <w:tcPr>
            <w:tcW w:w="160" w:type="dxa"/>
            <w:tcBorders>
              <w:top w:val="single" w:sz="8" w:space="0" w:color="C7C9C7"/>
              <w:left w:val="nil"/>
              <w:bottom w:val="double" w:sz="8" w:space="0" w:color="C7C9C7"/>
              <w:right w:val="nil"/>
            </w:tcBorders>
            <w:shd w:val="clear" w:color="auto" w:fill="F4F4F4"/>
            <w:tcMar>
              <w:top w:w="0" w:type="dxa"/>
              <w:left w:w="53" w:type="dxa"/>
              <w:bottom w:w="0" w:type="dxa"/>
              <w:right w:w="0" w:type="dxa"/>
            </w:tcMar>
            <w:vAlign w:val="bottom"/>
          </w:tcPr>
          <w:p w14:paraId="221EDCBF" w14:textId="77777777" w:rsidR="001614AC" w:rsidRDefault="004468F9">
            <w:pPr>
              <w:spacing w:before="55" w:after="30" w:line="288" w:lineRule="auto"/>
            </w:pPr>
            <w:r>
              <w:rPr>
                <w:rFonts w:ascii="Arial" w:eastAsia="Arial" w:hAnsi="Arial" w:cs="Arial"/>
                <w:color w:val="000000"/>
                <w:sz w:val="18"/>
              </w:rPr>
              <w:t>$</w:t>
            </w:r>
          </w:p>
        </w:tc>
        <w:tc>
          <w:tcPr>
            <w:tcW w:w="745" w:type="dxa"/>
            <w:tcBorders>
              <w:top w:val="single" w:sz="8" w:space="0" w:color="C7C9C7"/>
              <w:left w:val="nil"/>
              <w:bottom w:val="double" w:sz="8" w:space="0" w:color="C7C9C7"/>
              <w:right w:val="nil"/>
            </w:tcBorders>
            <w:shd w:val="clear" w:color="auto" w:fill="F4F4F4"/>
            <w:tcMar>
              <w:top w:w="0" w:type="dxa"/>
              <w:left w:w="0" w:type="dxa"/>
              <w:bottom w:w="0" w:type="dxa"/>
              <w:right w:w="0" w:type="dxa"/>
            </w:tcMar>
            <w:vAlign w:val="bottom"/>
          </w:tcPr>
          <w:p w14:paraId="1507612F" w14:textId="77777777" w:rsidR="001614AC" w:rsidRDefault="004468F9">
            <w:pPr>
              <w:spacing w:before="55" w:after="30" w:line="288" w:lineRule="auto"/>
              <w:jc w:val="right"/>
            </w:pPr>
            <w:r>
              <w:rPr>
                <w:rFonts w:ascii="Arial" w:eastAsia="Arial" w:hAnsi="Arial" w:cs="Arial"/>
                <w:color w:val="000000"/>
                <w:sz w:val="18"/>
              </w:rPr>
              <w:t>0.75 </w:t>
            </w:r>
          </w:p>
        </w:tc>
        <w:tc>
          <w:tcPr>
            <w:tcW w:w="100" w:type="dxa"/>
            <w:tcBorders>
              <w:top w:val="single" w:sz="8" w:space="0" w:color="C7C9C7"/>
              <w:left w:val="nil"/>
              <w:bottom w:val="double" w:sz="8" w:space="0" w:color="C7C9C7"/>
              <w:right w:val="nil"/>
            </w:tcBorders>
            <w:shd w:val="clear" w:color="auto" w:fill="F4F4F4"/>
            <w:tcMar>
              <w:top w:w="0" w:type="dxa"/>
              <w:left w:w="0" w:type="dxa"/>
              <w:bottom w:w="0" w:type="dxa"/>
              <w:right w:w="15" w:type="dxa"/>
            </w:tcMar>
            <w:vAlign w:val="bottom"/>
          </w:tcPr>
          <w:p w14:paraId="5727FABA" w14:textId="77777777" w:rsidR="001614AC" w:rsidRDefault="001614AC">
            <w:pPr>
              <w:spacing w:before="55" w:after="30" w:line="288" w:lineRule="auto"/>
              <w:jc w:val="right"/>
            </w:pPr>
          </w:p>
        </w:tc>
        <w:tc>
          <w:tcPr>
            <w:tcW w:w="75" w:type="dxa"/>
            <w:tcBorders>
              <w:top w:val="single" w:sz="8" w:space="0" w:color="FFFFFF"/>
              <w:left w:val="nil"/>
              <w:bottom w:val="nil"/>
              <w:right w:val="nil"/>
            </w:tcBorders>
            <w:shd w:val="clear" w:color="auto" w:fill="F4F4F4"/>
            <w:tcMar>
              <w:top w:w="0" w:type="dxa"/>
              <w:left w:w="0" w:type="dxa"/>
              <w:bottom w:w="0" w:type="dxa"/>
              <w:right w:w="0" w:type="dxa"/>
            </w:tcMar>
            <w:vAlign w:val="bottom"/>
          </w:tcPr>
          <w:p w14:paraId="33CA8351" w14:textId="77777777" w:rsidR="001614AC" w:rsidRDefault="001614AC"/>
        </w:tc>
        <w:tc>
          <w:tcPr>
            <w:tcW w:w="160" w:type="dxa"/>
            <w:tcBorders>
              <w:top w:val="single" w:sz="8" w:space="0" w:color="C7C9C7"/>
              <w:left w:val="nil"/>
              <w:bottom w:val="double" w:sz="8" w:space="0" w:color="C7C9C7"/>
              <w:right w:val="nil"/>
            </w:tcBorders>
            <w:shd w:val="clear" w:color="auto" w:fill="F4F4F4"/>
            <w:tcMar>
              <w:top w:w="0" w:type="dxa"/>
              <w:left w:w="53" w:type="dxa"/>
              <w:bottom w:w="0" w:type="dxa"/>
              <w:right w:w="0" w:type="dxa"/>
            </w:tcMar>
            <w:vAlign w:val="bottom"/>
          </w:tcPr>
          <w:p w14:paraId="7B1C9AC8" w14:textId="77777777" w:rsidR="001614AC" w:rsidRDefault="004468F9">
            <w:pPr>
              <w:spacing w:before="55" w:after="30" w:line="288" w:lineRule="auto"/>
            </w:pPr>
            <w:r>
              <w:rPr>
                <w:rFonts w:ascii="Arial" w:eastAsia="Arial" w:hAnsi="Arial" w:cs="Arial"/>
                <w:color w:val="000000"/>
                <w:sz w:val="18"/>
              </w:rPr>
              <w:t>$</w:t>
            </w:r>
          </w:p>
        </w:tc>
        <w:tc>
          <w:tcPr>
            <w:tcW w:w="745" w:type="dxa"/>
            <w:tcBorders>
              <w:top w:val="single" w:sz="8" w:space="0" w:color="C7C9C7"/>
              <w:left w:val="nil"/>
              <w:bottom w:val="double" w:sz="8" w:space="0" w:color="C7C9C7"/>
              <w:right w:val="nil"/>
            </w:tcBorders>
            <w:shd w:val="clear" w:color="auto" w:fill="F4F4F4"/>
            <w:tcMar>
              <w:top w:w="0" w:type="dxa"/>
              <w:left w:w="0" w:type="dxa"/>
              <w:bottom w:w="0" w:type="dxa"/>
              <w:right w:w="0" w:type="dxa"/>
            </w:tcMar>
            <w:vAlign w:val="bottom"/>
          </w:tcPr>
          <w:p w14:paraId="136ADB20" w14:textId="77777777" w:rsidR="001614AC" w:rsidRDefault="004468F9">
            <w:pPr>
              <w:spacing w:before="55" w:after="30" w:line="288" w:lineRule="auto"/>
              <w:jc w:val="right"/>
            </w:pPr>
            <w:r>
              <w:rPr>
                <w:rFonts w:ascii="Arial" w:eastAsia="Arial" w:hAnsi="Arial" w:cs="Arial"/>
                <w:color w:val="000000"/>
                <w:sz w:val="18"/>
              </w:rPr>
              <w:t>(0.36)</w:t>
            </w:r>
          </w:p>
        </w:tc>
        <w:tc>
          <w:tcPr>
            <w:tcW w:w="100" w:type="dxa"/>
            <w:tcBorders>
              <w:top w:val="single" w:sz="8" w:space="0" w:color="C7C9C7"/>
              <w:left w:val="nil"/>
              <w:bottom w:val="double" w:sz="8" w:space="0" w:color="C7C9C7"/>
              <w:right w:val="nil"/>
            </w:tcBorders>
            <w:shd w:val="clear" w:color="auto" w:fill="F4F4F4"/>
            <w:tcMar>
              <w:top w:w="0" w:type="dxa"/>
              <w:left w:w="0" w:type="dxa"/>
              <w:bottom w:w="0" w:type="dxa"/>
              <w:right w:w="15" w:type="dxa"/>
            </w:tcMar>
            <w:vAlign w:val="bottom"/>
          </w:tcPr>
          <w:p w14:paraId="056526D5" w14:textId="77777777" w:rsidR="001614AC" w:rsidRDefault="001614AC">
            <w:pPr>
              <w:spacing w:before="55" w:after="30" w:line="288" w:lineRule="auto"/>
              <w:jc w:val="right"/>
            </w:pPr>
          </w:p>
        </w:tc>
        <w:tc>
          <w:tcPr>
            <w:tcW w:w="105" w:type="dxa"/>
            <w:tcBorders>
              <w:top w:val="single" w:sz="8" w:space="0" w:color="FFFFFF"/>
              <w:left w:val="nil"/>
              <w:bottom w:val="nil"/>
              <w:right w:val="nil"/>
            </w:tcBorders>
            <w:shd w:val="clear" w:color="auto" w:fill="F4F4F4"/>
            <w:tcMar>
              <w:top w:w="0" w:type="dxa"/>
              <w:left w:w="0" w:type="dxa"/>
              <w:bottom w:w="0" w:type="dxa"/>
              <w:right w:w="0" w:type="dxa"/>
            </w:tcMar>
            <w:vAlign w:val="bottom"/>
          </w:tcPr>
          <w:p w14:paraId="148F6271" w14:textId="77777777" w:rsidR="001614AC" w:rsidRDefault="001614AC"/>
        </w:tc>
        <w:tc>
          <w:tcPr>
            <w:tcW w:w="160" w:type="dxa"/>
            <w:tcBorders>
              <w:top w:val="single" w:sz="8" w:space="0" w:color="C7C9C7"/>
              <w:left w:val="nil"/>
              <w:bottom w:val="double" w:sz="8" w:space="0" w:color="C7C9C7"/>
              <w:right w:val="nil"/>
            </w:tcBorders>
            <w:shd w:val="clear" w:color="auto" w:fill="F4F4F4"/>
            <w:tcMar>
              <w:top w:w="0" w:type="dxa"/>
              <w:left w:w="53" w:type="dxa"/>
              <w:bottom w:w="0" w:type="dxa"/>
              <w:right w:w="0" w:type="dxa"/>
            </w:tcMar>
            <w:vAlign w:val="bottom"/>
          </w:tcPr>
          <w:p w14:paraId="5BC05135" w14:textId="77777777" w:rsidR="001614AC" w:rsidRDefault="004468F9">
            <w:pPr>
              <w:spacing w:before="55" w:after="30" w:line="288" w:lineRule="auto"/>
            </w:pPr>
            <w:r>
              <w:rPr>
                <w:rFonts w:ascii="Arial" w:eastAsia="Arial" w:hAnsi="Arial" w:cs="Arial"/>
                <w:color w:val="000000"/>
                <w:sz w:val="18"/>
              </w:rPr>
              <w:t>$</w:t>
            </w:r>
          </w:p>
        </w:tc>
        <w:tc>
          <w:tcPr>
            <w:tcW w:w="745" w:type="dxa"/>
            <w:tcBorders>
              <w:top w:val="single" w:sz="8" w:space="0" w:color="C7C9C7"/>
              <w:left w:val="nil"/>
              <w:bottom w:val="double" w:sz="8" w:space="0" w:color="C7C9C7"/>
              <w:right w:val="nil"/>
            </w:tcBorders>
            <w:shd w:val="clear" w:color="auto" w:fill="F4F4F4"/>
            <w:tcMar>
              <w:top w:w="0" w:type="dxa"/>
              <w:left w:w="0" w:type="dxa"/>
              <w:bottom w:w="0" w:type="dxa"/>
              <w:right w:w="0" w:type="dxa"/>
            </w:tcMar>
            <w:vAlign w:val="bottom"/>
          </w:tcPr>
          <w:p w14:paraId="7BF83504" w14:textId="77777777" w:rsidR="001614AC" w:rsidRDefault="004468F9">
            <w:pPr>
              <w:spacing w:before="55" w:after="30" w:line="288" w:lineRule="auto"/>
              <w:jc w:val="right"/>
            </w:pPr>
            <w:r>
              <w:rPr>
                <w:rFonts w:ascii="Arial" w:eastAsia="Arial" w:hAnsi="Arial" w:cs="Arial"/>
                <w:color w:val="000000"/>
                <w:sz w:val="18"/>
              </w:rPr>
              <w:t>1.43 </w:t>
            </w:r>
          </w:p>
        </w:tc>
        <w:tc>
          <w:tcPr>
            <w:tcW w:w="100" w:type="dxa"/>
            <w:tcBorders>
              <w:top w:val="single" w:sz="8" w:space="0" w:color="C7C9C7"/>
              <w:left w:val="nil"/>
              <w:bottom w:val="double" w:sz="8" w:space="0" w:color="C7C9C7"/>
              <w:right w:val="nil"/>
            </w:tcBorders>
            <w:shd w:val="clear" w:color="auto" w:fill="F4F4F4"/>
            <w:tcMar>
              <w:top w:w="0" w:type="dxa"/>
              <w:left w:w="0" w:type="dxa"/>
              <w:bottom w:w="0" w:type="dxa"/>
              <w:right w:w="15" w:type="dxa"/>
            </w:tcMar>
            <w:vAlign w:val="bottom"/>
          </w:tcPr>
          <w:p w14:paraId="7C16E7B1" w14:textId="77777777" w:rsidR="001614AC" w:rsidRDefault="001614AC">
            <w:pPr>
              <w:spacing w:before="55" w:after="30" w:line="288" w:lineRule="auto"/>
              <w:jc w:val="right"/>
            </w:pPr>
          </w:p>
        </w:tc>
        <w:tc>
          <w:tcPr>
            <w:tcW w:w="105" w:type="dxa"/>
            <w:tcBorders>
              <w:top w:val="single" w:sz="8" w:space="0" w:color="FFFFFF"/>
              <w:left w:val="nil"/>
              <w:bottom w:val="nil"/>
              <w:right w:val="nil"/>
            </w:tcBorders>
            <w:shd w:val="clear" w:color="auto" w:fill="F4F4F4"/>
            <w:tcMar>
              <w:top w:w="0" w:type="dxa"/>
              <w:left w:w="0" w:type="dxa"/>
              <w:bottom w:w="0" w:type="dxa"/>
              <w:right w:w="0" w:type="dxa"/>
            </w:tcMar>
            <w:vAlign w:val="bottom"/>
          </w:tcPr>
          <w:p w14:paraId="15C35A47" w14:textId="77777777" w:rsidR="001614AC" w:rsidRDefault="001614AC"/>
        </w:tc>
        <w:tc>
          <w:tcPr>
            <w:tcW w:w="160" w:type="dxa"/>
            <w:tcBorders>
              <w:top w:val="single" w:sz="8" w:space="0" w:color="C7C9C7"/>
              <w:left w:val="nil"/>
              <w:bottom w:val="double" w:sz="8" w:space="0" w:color="C7C9C7"/>
              <w:right w:val="nil"/>
            </w:tcBorders>
            <w:shd w:val="clear" w:color="auto" w:fill="F4F4F4"/>
            <w:tcMar>
              <w:top w:w="0" w:type="dxa"/>
              <w:left w:w="53" w:type="dxa"/>
              <w:bottom w:w="0" w:type="dxa"/>
              <w:right w:w="0" w:type="dxa"/>
            </w:tcMar>
            <w:vAlign w:val="bottom"/>
          </w:tcPr>
          <w:p w14:paraId="026B1BB5" w14:textId="77777777" w:rsidR="001614AC" w:rsidRDefault="004468F9">
            <w:pPr>
              <w:spacing w:before="55" w:after="30" w:line="288" w:lineRule="auto"/>
            </w:pPr>
            <w:r>
              <w:rPr>
                <w:rFonts w:ascii="Arial" w:eastAsia="Arial" w:hAnsi="Arial" w:cs="Arial"/>
                <w:color w:val="000000"/>
                <w:sz w:val="18"/>
              </w:rPr>
              <w:t>$</w:t>
            </w:r>
          </w:p>
        </w:tc>
        <w:tc>
          <w:tcPr>
            <w:tcW w:w="745" w:type="dxa"/>
            <w:tcBorders>
              <w:top w:val="single" w:sz="8" w:space="0" w:color="C7C9C7"/>
              <w:left w:val="nil"/>
              <w:bottom w:val="double" w:sz="8" w:space="0" w:color="C7C9C7"/>
              <w:right w:val="nil"/>
            </w:tcBorders>
            <w:shd w:val="clear" w:color="auto" w:fill="F4F4F4"/>
            <w:tcMar>
              <w:top w:w="0" w:type="dxa"/>
              <w:left w:w="0" w:type="dxa"/>
              <w:bottom w:w="0" w:type="dxa"/>
              <w:right w:w="0" w:type="dxa"/>
            </w:tcMar>
            <w:vAlign w:val="bottom"/>
          </w:tcPr>
          <w:p w14:paraId="62128DEC" w14:textId="77777777" w:rsidR="001614AC" w:rsidRDefault="004468F9">
            <w:pPr>
              <w:spacing w:before="55" w:after="30" w:line="288" w:lineRule="auto"/>
              <w:jc w:val="right"/>
            </w:pPr>
            <w:r>
              <w:rPr>
                <w:rFonts w:ascii="Arial" w:eastAsia="Arial" w:hAnsi="Arial" w:cs="Arial"/>
                <w:color w:val="000000"/>
                <w:sz w:val="18"/>
              </w:rPr>
              <w:t>0.46 </w:t>
            </w:r>
          </w:p>
        </w:tc>
        <w:tc>
          <w:tcPr>
            <w:tcW w:w="100" w:type="dxa"/>
            <w:tcBorders>
              <w:top w:val="single" w:sz="8" w:space="0" w:color="C7C9C7"/>
              <w:left w:val="nil"/>
              <w:bottom w:val="double" w:sz="8" w:space="0" w:color="C7C9C7"/>
              <w:right w:val="nil"/>
            </w:tcBorders>
            <w:shd w:val="clear" w:color="auto" w:fill="F4F4F4"/>
            <w:tcMar>
              <w:top w:w="0" w:type="dxa"/>
              <w:left w:w="0" w:type="dxa"/>
              <w:bottom w:w="0" w:type="dxa"/>
              <w:right w:w="15" w:type="dxa"/>
            </w:tcMar>
            <w:vAlign w:val="bottom"/>
          </w:tcPr>
          <w:p w14:paraId="7CDB8627" w14:textId="77777777" w:rsidR="001614AC" w:rsidRDefault="001614AC">
            <w:pPr>
              <w:spacing w:before="55" w:after="30" w:line="288" w:lineRule="auto"/>
              <w:jc w:val="right"/>
            </w:pPr>
          </w:p>
        </w:tc>
      </w:tr>
    </w:tbl>
    <w:p w14:paraId="4F93102D" w14:textId="77777777" w:rsidR="001614AC" w:rsidRDefault="004468F9" w:rsidP="004468F9">
      <w:pPr>
        <w:numPr>
          <w:ilvl w:val="0"/>
          <w:numId w:val="32"/>
        </w:numPr>
        <w:spacing w:line="288" w:lineRule="auto"/>
        <w:ind w:left="360"/>
        <w:rPr>
          <w:rFonts w:ascii="Arial" w:eastAsia="Arial" w:hAnsi="Arial" w:cs="Arial"/>
          <w:b/>
          <w:color w:val="64615D"/>
          <w:sz w:val="16"/>
        </w:rPr>
      </w:pPr>
      <w:r>
        <w:rPr>
          <w:rFonts w:ascii="Arial" w:eastAsia="Arial" w:hAnsi="Arial" w:cs="Arial"/>
          <w:color w:val="64615D"/>
          <w:sz w:val="16"/>
        </w:rPr>
        <w:t>Calculated using the Company’s federal statutory tax rate of 21%. Any permanent tax adjustments and state income taxes on these items have been deemed immaterial and are not included.</w:t>
      </w:r>
    </w:p>
    <w:p w14:paraId="57E05D2C" w14:textId="77777777" w:rsidR="001614AC" w:rsidRDefault="004468F9">
      <w:pPr>
        <w:keepNext/>
        <w:spacing w:before="200" w:after="100" w:line="288" w:lineRule="auto"/>
        <w:ind w:firstLine="450"/>
        <w:rPr>
          <w:rFonts w:ascii="Arial" w:eastAsia="Arial" w:hAnsi="Arial" w:cs="Arial"/>
          <w:b/>
          <w:color w:val="64615D"/>
          <w:sz w:val="18"/>
        </w:rPr>
      </w:pPr>
      <w:r>
        <w:rPr>
          <w:rFonts w:ascii="Arial" w:eastAsia="Arial" w:hAnsi="Arial" w:cs="Arial"/>
          <w:sz w:val="18"/>
        </w:rPr>
        <w:lastRenderedPageBreak/>
        <w:t>Adjusted net operating return on equity is ca</w:t>
      </w:r>
      <w:r>
        <w:rPr>
          <w:rFonts w:ascii="Arial" w:eastAsia="Arial" w:hAnsi="Arial" w:cs="Arial"/>
          <w:sz w:val="18"/>
        </w:rPr>
        <w:t>lculated by dividing annualized adjusted pretax operating income (loss), net of taxes computed using the Company’s statutory tax rate, by average stockholders’ equity, based on the average of the beginning and ending balances for each period presented. The</w:t>
      </w:r>
      <w:r>
        <w:rPr>
          <w:rFonts w:ascii="Arial" w:eastAsia="Arial" w:hAnsi="Arial" w:cs="Arial"/>
          <w:sz w:val="18"/>
        </w:rPr>
        <w:t xml:space="preserve"> following table provides a reconciliation of return on equity to our non-GAAP financial measure for the consolidated company of adjusted net operating return on equity.</w:t>
      </w:r>
    </w:p>
    <w:tbl>
      <w:tblPr>
        <w:tblW w:w="102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4"/>
        <w:gridCol w:w="103"/>
        <w:gridCol w:w="898"/>
        <w:gridCol w:w="176"/>
        <w:gridCol w:w="103"/>
        <w:gridCol w:w="898"/>
        <w:gridCol w:w="176"/>
        <w:gridCol w:w="103"/>
        <w:gridCol w:w="898"/>
        <w:gridCol w:w="176"/>
        <w:gridCol w:w="103"/>
        <w:gridCol w:w="898"/>
        <w:gridCol w:w="176"/>
      </w:tblGrid>
      <w:tr w:rsidR="001614AC" w14:paraId="5B52FCA2" w14:textId="77777777">
        <w:trPr>
          <w:cantSplit/>
        </w:trPr>
        <w:tc>
          <w:tcPr>
            <w:tcW w:w="10080" w:type="dxa"/>
            <w:gridSpan w:val="13"/>
            <w:tcBorders>
              <w:top w:val="nil"/>
              <w:left w:val="nil"/>
              <w:bottom w:val="single" w:sz="12" w:space="0" w:color="99AAB6"/>
              <w:right w:val="nil"/>
            </w:tcBorders>
            <w:tcMar>
              <w:top w:w="0" w:type="dxa"/>
              <w:left w:w="53" w:type="dxa"/>
              <w:bottom w:w="0" w:type="dxa"/>
              <w:right w:w="53" w:type="dxa"/>
            </w:tcMar>
            <w:vAlign w:val="bottom"/>
          </w:tcPr>
          <w:p w14:paraId="55633E1F" w14:textId="77777777" w:rsidR="001614AC" w:rsidRDefault="004468F9">
            <w:pPr>
              <w:keepNext/>
              <w:spacing w:before="75" w:after="30" w:line="288" w:lineRule="auto"/>
              <w:rPr>
                <w:rFonts w:ascii="Arial" w:eastAsia="Arial" w:hAnsi="Arial" w:cs="Arial"/>
                <w:b/>
                <w:sz w:val="20"/>
              </w:rPr>
            </w:pPr>
            <w:r>
              <w:rPr>
                <w:rFonts w:ascii="Arial" w:eastAsia="Arial" w:hAnsi="Arial" w:cs="Arial"/>
                <w:b/>
                <w:sz w:val="20"/>
              </w:rPr>
              <w:t>Reconciliation of return on equity to adjusted net operating return on equity</w:t>
            </w:r>
          </w:p>
        </w:tc>
      </w:tr>
      <w:tr w:rsidR="001614AC" w14:paraId="39672A04" w14:textId="77777777">
        <w:trPr>
          <w:cantSplit/>
          <w:trHeight w:hRule="exact" w:val="135"/>
        </w:trPr>
        <w:tc>
          <w:tcPr>
            <w:tcW w:w="5640" w:type="dxa"/>
            <w:tcBorders>
              <w:top w:val="nil"/>
              <w:left w:val="nil"/>
              <w:bottom w:val="nil"/>
              <w:right w:val="nil"/>
            </w:tcBorders>
            <w:tcMar>
              <w:top w:w="0" w:type="dxa"/>
              <w:left w:w="53" w:type="dxa"/>
              <w:bottom w:w="0" w:type="dxa"/>
              <w:right w:w="53" w:type="dxa"/>
            </w:tcMar>
            <w:vAlign w:val="bottom"/>
          </w:tcPr>
          <w:p w14:paraId="19B2B6BC" w14:textId="77777777" w:rsidR="001614AC" w:rsidRDefault="001614AC">
            <w:pPr>
              <w:keepNext/>
              <w:spacing w:before="45" w:after="30" w:line="288" w:lineRule="auto"/>
            </w:pPr>
          </w:p>
        </w:tc>
        <w:tc>
          <w:tcPr>
            <w:tcW w:w="105" w:type="dxa"/>
            <w:tcBorders>
              <w:top w:val="single" w:sz="12" w:space="0" w:color="99AAB6"/>
              <w:left w:val="nil"/>
              <w:bottom w:val="nil"/>
              <w:right w:val="nil"/>
            </w:tcBorders>
            <w:tcMar>
              <w:top w:w="0" w:type="dxa"/>
              <w:left w:w="0" w:type="dxa"/>
              <w:bottom w:w="0" w:type="dxa"/>
              <w:right w:w="0" w:type="dxa"/>
            </w:tcMar>
            <w:vAlign w:val="bottom"/>
          </w:tcPr>
          <w:p w14:paraId="781902A4" w14:textId="77777777" w:rsidR="001614AC" w:rsidRDefault="001614AC">
            <w:pPr>
              <w:keepNext/>
            </w:pPr>
          </w:p>
        </w:tc>
        <w:tc>
          <w:tcPr>
            <w:tcW w:w="1005" w:type="dxa"/>
            <w:gridSpan w:val="2"/>
            <w:tcBorders>
              <w:top w:val="single" w:sz="12" w:space="0" w:color="99AAB6"/>
              <w:left w:val="nil"/>
              <w:bottom w:val="nil"/>
              <w:right w:val="nil"/>
            </w:tcBorders>
            <w:tcMar>
              <w:top w:w="0" w:type="dxa"/>
              <w:left w:w="0" w:type="dxa"/>
              <w:bottom w:w="0" w:type="dxa"/>
              <w:right w:w="0" w:type="dxa"/>
            </w:tcMar>
            <w:vAlign w:val="bottom"/>
          </w:tcPr>
          <w:p w14:paraId="72873E31" w14:textId="77777777" w:rsidR="001614AC" w:rsidRDefault="001614AC">
            <w:pPr>
              <w:keepNext/>
            </w:pPr>
          </w:p>
        </w:tc>
        <w:tc>
          <w:tcPr>
            <w:tcW w:w="105" w:type="dxa"/>
            <w:tcBorders>
              <w:top w:val="single" w:sz="12" w:space="0" w:color="99AAB6"/>
              <w:left w:val="nil"/>
              <w:bottom w:val="nil"/>
              <w:right w:val="nil"/>
            </w:tcBorders>
            <w:tcMar>
              <w:top w:w="0" w:type="dxa"/>
              <w:left w:w="0" w:type="dxa"/>
              <w:bottom w:w="0" w:type="dxa"/>
              <w:right w:w="0" w:type="dxa"/>
            </w:tcMar>
            <w:vAlign w:val="bottom"/>
          </w:tcPr>
          <w:p w14:paraId="4969DE4D" w14:textId="77777777" w:rsidR="001614AC" w:rsidRDefault="001614AC">
            <w:pPr>
              <w:keepNext/>
            </w:pPr>
          </w:p>
        </w:tc>
        <w:tc>
          <w:tcPr>
            <w:tcW w:w="1005" w:type="dxa"/>
            <w:gridSpan w:val="2"/>
            <w:tcBorders>
              <w:top w:val="single" w:sz="12" w:space="0" w:color="99AAB6"/>
              <w:left w:val="nil"/>
              <w:bottom w:val="nil"/>
              <w:right w:val="nil"/>
            </w:tcBorders>
            <w:tcMar>
              <w:top w:w="0" w:type="dxa"/>
              <w:left w:w="0" w:type="dxa"/>
              <w:bottom w:w="0" w:type="dxa"/>
              <w:right w:w="0" w:type="dxa"/>
            </w:tcMar>
            <w:vAlign w:val="bottom"/>
          </w:tcPr>
          <w:p w14:paraId="7D821D97" w14:textId="77777777" w:rsidR="001614AC" w:rsidRDefault="001614AC">
            <w:pPr>
              <w:keepNext/>
            </w:pPr>
          </w:p>
        </w:tc>
        <w:tc>
          <w:tcPr>
            <w:tcW w:w="105" w:type="dxa"/>
            <w:tcBorders>
              <w:top w:val="single" w:sz="12" w:space="0" w:color="99AAB6"/>
              <w:left w:val="nil"/>
              <w:bottom w:val="nil"/>
              <w:right w:val="nil"/>
            </w:tcBorders>
            <w:tcMar>
              <w:top w:w="0" w:type="dxa"/>
              <w:left w:w="0" w:type="dxa"/>
              <w:bottom w:w="0" w:type="dxa"/>
              <w:right w:w="0" w:type="dxa"/>
            </w:tcMar>
            <w:vAlign w:val="bottom"/>
          </w:tcPr>
          <w:p w14:paraId="03B62019" w14:textId="77777777" w:rsidR="001614AC" w:rsidRDefault="001614AC">
            <w:pPr>
              <w:keepNext/>
            </w:pPr>
          </w:p>
        </w:tc>
        <w:tc>
          <w:tcPr>
            <w:tcW w:w="1005" w:type="dxa"/>
            <w:gridSpan w:val="2"/>
            <w:tcBorders>
              <w:top w:val="single" w:sz="12" w:space="0" w:color="99AAB6"/>
              <w:left w:val="nil"/>
              <w:bottom w:val="nil"/>
              <w:right w:val="nil"/>
            </w:tcBorders>
            <w:tcMar>
              <w:top w:w="0" w:type="dxa"/>
              <w:left w:w="0" w:type="dxa"/>
              <w:bottom w:w="0" w:type="dxa"/>
              <w:right w:w="0" w:type="dxa"/>
            </w:tcMar>
            <w:vAlign w:val="bottom"/>
          </w:tcPr>
          <w:p w14:paraId="7CFA0478" w14:textId="77777777" w:rsidR="001614AC" w:rsidRDefault="001614AC">
            <w:pPr>
              <w:keepNext/>
            </w:pPr>
          </w:p>
        </w:tc>
        <w:tc>
          <w:tcPr>
            <w:tcW w:w="105" w:type="dxa"/>
            <w:tcBorders>
              <w:top w:val="single" w:sz="12" w:space="0" w:color="99AAB6"/>
              <w:left w:val="nil"/>
              <w:bottom w:val="nil"/>
              <w:right w:val="nil"/>
            </w:tcBorders>
            <w:tcMar>
              <w:top w:w="0" w:type="dxa"/>
              <w:left w:w="0" w:type="dxa"/>
              <w:bottom w:w="0" w:type="dxa"/>
              <w:right w:w="0" w:type="dxa"/>
            </w:tcMar>
            <w:vAlign w:val="bottom"/>
          </w:tcPr>
          <w:p w14:paraId="1E8A61F0" w14:textId="77777777" w:rsidR="001614AC" w:rsidRDefault="001614AC">
            <w:pPr>
              <w:keepNext/>
            </w:pPr>
          </w:p>
        </w:tc>
        <w:tc>
          <w:tcPr>
            <w:tcW w:w="1005" w:type="dxa"/>
            <w:gridSpan w:val="2"/>
            <w:tcBorders>
              <w:top w:val="single" w:sz="12" w:space="0" w:color="99AAB6"/>
              <w:left w:val="nil"/>
              <w:bottom w:val="nil"/>
              <w:right w:val="nil"/>
            </w:tcBorders>
            <w:tcMar>
              <w:top w:w="0" w:type="dxa"/>
              <w:left w:w="0" w:type="dxa"/>
              <w:bottom w:w="0" w:type="dxa"/>
              <w:right w:w="0" w:type="dxa"/>
            </w:tcMar>
            <w:vAlign w:val="bottom"/>
          </w:tcPr>
          <w:p w14:paraId="3DDBEEDB" w14:textId="77777777" w:rsidR="001614AC" w:rsidRDefault="001614AC">
            <w:pPr>
              <w:keepNext/>
            </w:pPr>
          </w:p>
        </w:tc>
      </w:tr>
      <w:tr w:rsidR="001614AC" w14:paraId="7AE6E7B0" w14:textId="77777777">
        <w:trPr>
          <w:cantSplit/>
        </w:trPr>
        <w:tc>
          <w:tcPr>
            <w:tcW w:w="5640" w:type="dxa"/>
            <w:tcBorders>
              <w:top w:val="nil"/>
              <w:left w:val="nil"/>
              <w:bottom w:val="single" w:sz="8" w:space="0" w:color="FFFFFF"/>
              <w:right w:val="nil"/>
            </w:tcBorders>
            <w:tcMar>
              <w:top w:w="0" w:type="dxa"/>
              <w:left w:w="0" w:type="dxa"/>
              <w:bottom w:w="0" w:type="dxa"/>
              <w:right w:w="0" w:type="dxa"/>
            </w:tcMar>
            <w:vAlign w:val="bottom"/>
          </w:tcPr>
          <w:p w14:paraId="45C3A8DB" w14:textId="77777777" w:rsidR="001614AC" w:rsidRDefault="001614AC">
            <w:pPr>
              <w:keepNext/>
            </w:pPr>
          </w:p>
        </w:tc>
        <w:tc>
          <w:tcPr>
            <w:tcW w:w="105" w:type="dxa"/>
            <w:tcBorders>
              <w:top w:val="nil"/>
              <w:left w:val="nil"/>
              <w:bottom w:val="nil"/>
              <w:right w:val="nil"/>
            </w:tcBorders>
            <w:tcMar>
              <w:top w:w="0" w:type="dxa"/>
              <w:left w:w="0" w:type="dxa"/>
              <w:bottom w:w="0" w:type="dxa"/>
              <w:right w:w="0" w:type="dxa"/>
            </w:tcMar>
            <w:vAlign w:val="bottom"/>
          </w:tcPr>
          <w:p w14:paraId="7E31A562" w14:textId="77777777" w:rsidR="001614AC" w:rsidRDefault="001614AC">
            <w:pPr>
              <w:keepNext/>
            </w:pPr>
          </w:p>
        </w:tc>
        <w:tc>
          <w:tcPr>
            <w:tcW w:w="2115" w:type="dxa"/>
            <w:gridSpan w:val="5"/>
            <w:tcBorders>
              <w:top w:val="nil"/>
              <w:left w:val="nil"/>
              <w:bottom w:val="single" w:sz="8" w:space="0" w:color="FFFFFF"/>
              <w:right w:val="nil"/>
            </w:tcBorders>
            <w:tcMar>
              <w:top w:w="0" w:type="dxa"/>
              <w:left w:w="53" w:type="dxa"/>
              <w:bottom w:w="0" w:type="dxa"/>
              <w:right w:w="53" w:type="dxa"/>
            </w:tcMar>
            <w:vAlign w:val="bottom"/>
          </w:tcPr>
          <w:p w14:paraId="51A299E9" w14:textId="77777777" w:rsidR="001614AC" w:rsidRDefault="004468F9">
            <w:pPr>
              <w:keepNext/>
              <w:spacing w:before="75" w:line="288" w:lineRule="auto"/>
              <w:jc w:val="center"/>
            </w:pPr>
            <w:r>
              <w:rPr>
                <w:rFonts w:ascii="Arial" w:eastAsia="Arial" w:hAnsi="Arial" w:cs="Arial"/>
                <w:b/>
                <w:color w:val="00BAB3"/>
                <w:sz w:val="18"/>
              </w:rPr>
              <w:t>Three Months Ended</w:t>
            </w:r>
          </w:p>
          <w:p w14:paraId="65F75C7B" w14:textId="77777777" w:rsidR="001614AC" w:rsidRDefault="004468F9">
            <w:pPr>
              <w:spacing w:after="30" w:line="288" w:lineRule="auto"/>
              <w:jc w:val="center"/>
            </w:pPr>
            <w:r>
              <w:rPr>
                <w:rFonts w:ascii="Arial" w:eastAsia="Arial" w:hAnsi="Arial" w:cs="Arial"/>
                <w:b/>
                <w:color w:val="00BAB3"/>
                <w:sz w:val="18"/>
              </w:rPr>
              <w:t>June 30,</w:t>
            </w:r>
          </w:p>
        </w:tc>
        <w:tc>
          <w:tcPr>
            <w:tcW w:w="105" w:type="dxa"/>
            <w:tcBorders>
              <w:top w:val="nil"/>
              <w:left w:val="nil"/>
              <w:bottom w:val="single" w:sz="8" w:space="0" w:color="FFFFFF"/>
              <w:right w:val="nil"/>
            </w:tcBorders>
            <w:tcMar>
              <w:top w:w="0" w:type="dxa"/>
              <w:left w:w="0" w:type="dxa"/>
              <w:bottom w:w="0" w:type="dxa"/>
              <w:right w:w="0" w:type="dxa"/>
            </w:tcMar>
            <w:vAlign w:val="bottom"/>
          </w:tcPr>
          <w:p w14:paraId="5DA3B68B" w14:textId="77777777" w:rsidR="001614AC" w:rsidRDefault="001614AC">
            <w:pPr>
              <w:keepNext/>
            </w:pPr>
          </w:p>
        </w:tc>
        <w:tc>
          <w:tcPr>
            <w:tcW w:w="2115" w:type="dxa"/>
            <w:gridSpan w:val="5"/>
            <w:tcBorders>
              <w:top w:val="nil"/>
              <w:left w:val="nil"/>
              <w:bottom w:val="nil"/>
              <w:right w:val="nil"/>
            </w:tcBorders>
            <w:tcMar>
              <w:top w:w="0" w:type="dxa"/>
              <w:left w:w="53" w:type="dxa"/>
              <w:bottom w:w="0" w:type="dxa"/>
              <w:right w:w="53" w:type="dxa"/>
            </w:tcMar>
            <w:vAlign w:val="bottom"/>
          </w:tcPr>
          <w:p w14:paraId="6C9EE6DB" w14:textId="77777777" w:rsidR="001614AC" w:rsidRDefault="004468F9">
            <w:pPr>
              <w:keepNext/>
              <w:spacing w:before="75" w:line="288" w:lineRule="auto"/>
              <w:jc w:val="center"/>
            </w:pPr>
            <w:r>
              <w:rPr>
                <w:rFonts w:ascii="Arial" w:eastAsia="Arial" w:hAnsi="Arial" w:cs="Arial"/>
                <w:b/>
                <w:color w:val="00BAB3"/>
                <w:sz w:val="18"/>
              </w:rPr>
              <w:t>Six Months Ended</w:t>
            </w:r>
          </w:p>
          <w:p w14:paraId="270B6322" w14:textId="77777777" w:rsidR="001614AC" w:rsidRDefault="004468F9">
            <w:pPr>
              <w:spacing w:after="30" w:line="288" w:lineRule="auto"/>
              <w:jc w:val="center"/>
            </w:pPr>
            <w:r>
              <w:rPr>
                <w:rFonts w:ascii="Arial" w:eastAsia="Arial" w:hAnsi="Arial" w:cs="Arial"/>
                <w:b/>
                <w:color w:val="00BAB3"/>
                <w:sz w:val="18"/>
              </w:rPr>
              <w:t>June 30,</w:t>
            </w:r>
          </w:p>
        </w:tc>
      </w:tr>
      <w:tr w:rsidR="001614AC" w14:paraId="6E0E1E30" w14:textId="77777777">
        <w:trPr>
          <w:cantSplit/>
        </w:trPr>
        <w:tc>
          <w:tcPr>
            <w:tcW w:w="5640" w:type="dxa"/>
            <w:tcBorders>
              <w:top w:val="single" w:sz="8" w:space="0" w:color="FFFFFF"/>
              <w:left w:val="nil"/>
              <w:bottom w:val="single" w:sz="8" w:space="0" w:color="C7C9C7"/>
              <w:right w:val="nil"/>
            </w:tcBorders>
            <w:tcMar>
              <w:top w:w="0" w:type="dxa"/>
              <w:left w:w="53" w:type="dxa"/>
              <w:bottom w:w="0" w:type="dxa"/>
              <w:right w:w="53" w:type="dxa"/>
            </w:tcMar>
            <w:vAlign w:val="bottom"/>
          </w:tcPr>
          <w:p w14:paraId="07535110" w14:textId="77777777" w:rsidR="001614AC" w:rsidRDefault="001614AC">
            <w:pPr>
              <w:keepNext/>
              <w:spacing w:before="55" w:after="30" w:line="288" w:lineRule="auto"/>
            </w:pPr>
          </w:p>
        </w:tc>
        <w:tc>
          <w:tcPr>
            <w:tcW w:w="105" w:type="dxa"/>
            <w:tcBorders>
              <w:top w:val="nil"/>
              <w:left w:val="nil"/>
              <w:bottom w:val="single" w:sz="8" w:space="0" w:color="C7C9C7"/>
              <w:right w:val="nil"/>
            </w:tcBorders>
            <w:tcMar>
              <w:top w:w="0" w:type="dxa"/>
              <w:left w:w="0" w:type="dxa"/>
              <w:bottom w:w="0" w:type="dxa"/>
              <w:right w:w="0" w:type="dxa"/>
            </w:tcMar>
            <w:vAlign w:val="bottom"/>
          </w:tcPr>
          <w:p w14:paraId="22598BAF" w14:textId="77777777" w:rsidR="001614AC" w:rsidRDefault="001614AC">
            <w:pPr>
              <w:keepNext/>
            </w:pPr>
          </w:p>
        </w:tc>
        <w:tc>
          <w:tcPr>
            <w:tcW w:w="1005" w:type="dxa"/>
            <w:gridSpan w:val="2"/>
            <w:tcBorders>
              <w:top w:val="nil"/>
              <w:left w:val="nil"/>
              <w:bottom w:val="single" w:sz="8" w:space="0" w:color="C7C9C7"/>
              <w:right w:val="nil"/>
            </w:tcBorders>
            <w:shd w:val="clear" w:color="auto" w:fill="E6F8F8"/>
            <w:tcMar>
              <w:top w:w="0" w:type="dxa"/>
              <w:left w:w="53" w:type="dxa"/>
              <w:bottom w:w="0" w:type="dxa"/>
              <w:right w:w="53" w:type="dxa"/>
            </w:tcMar>
            <w:vAlign w:val="bottom"/>
          </w:tcPr>
          <w:p w14:paraId="60508D3E" w14:textId="77777777" w:rsidR="001614AC" w:rsidRDefault="004468F9">
            <w:pPr>
              <w:keepNext/>
              <w:spacing w:before="55" w:after="30" w:line="288" w:lineRule="auto"/>
              <w:jc w:val="center"/>
            </w:pPr>
            <w:r>
              <w:rPr>
                <w:rFonts w:ascii="Arial" w:eastAsia="Arial" w:hAnsi="Arial" w:cs="Arial"/>
                <w:b/>
                <w:color w:val="00BAB3"/>
                <w:sz w:val="18"/>
              </w:rPr>
              <w:t>2021</w:t>
            </w:r>
          </w:p>
        </w:tc>
        <w:tc>
          <w:tcPr>
            <w:tcW w:w="105" w:type="dxa"/>
            <w:tcBorders>
              <w:top w:val="single" w:sz="8" w:space="0" w:color="FFFFFF"/>
              <w:left w:val="nil"/>
              <w:bottom w:val="single" w:sz="8" w:space="0" w:color="C7C9C7"/>
              <w:right w:val="nil"/>
            </w:tcBorders>
            <w:tcMar>
              <w:top w:w="0" w:type="dxa"/>
              <w:left w:w="0" w:type="dxa"/>
              <w:bottom w:w="0" w:type="dxa"/>
              <w:right w:w="0" w:type="dxa"/>
            </w:tcMar>
            <w:vAlign w:val="bottom"/>
          </w:tcPr>
          <w:p w14:paraId="0D47671B" w14:textId="77777777" w:rsidR="001614AC" w:rsidRDefault="001614AC">
            <w:pPr>
              <w:keepNext/>
            </w:pPr>
          </w:p>
        </w:tc>
        <w:tc>
          <w:tcPr>
            <w:tcW w:w="1005" w:type="dxa"/>
            <w:gridSpan w:val="2"/>
            <w:tcBorders>
              <w:top w:val="single" w:sz="8" w:space="0" w:color="FFFFFF"/>
              <w:left w:val="nil"/>
              <w:bottom w:val="single" w:sz="8" w:space="0" w:color="C7C9C7"/>
              <w:right w:val="nil"/>
            </w:tcBorders>
            <w:shd w:val="clear" w:color="auto" w:fill="F4F4F4"/>
            <w:tcMar>
              <w:top w:w="0" w:type="dxa"/>
              <w:left w:w="53" w:type="dxa"/>
              <w:bottom w:w="0" w:type="dxa"/>
              <w:right w:w="53" w:type="dxa"/>
            </w:tcMar>
            <w:vAlign w:val="bottom"/>
          </w:tcPr>
          <w:p w14:paraId="074B39A6" w14:textId="77777777" w:rsidR="001614AC" w:rsidRDefault="004468F9">
            <w:pPr>
              <w:keepNext/>
              <w:spacing w:before="55" w:after="30" w:line="288" w:lineRule="auto"/>
              <w:jc w:val="center"/>
            </w:pPr>
            <w:r>
              <w:rPr>
                <w:rFonts w:ascii="Arial" w:eastAsia="Arial" w:hAnsi="Arial" w:cs="Arial"/>
                <w:b/>
                <w:color w:val="00BAB3"/>
                <w:sz w:val="18"/>
              </w:rPr>
              <w:t>2020</w:t>
            </w:r>
          </w:p>
        </w:tc>
        <w:tc>
          <w:tcPr>
            <w:tcW w:w="105" w:type="dxa"/>
            <w:tcBorders>
              <w:top w:val="single" w:sz="8" w:space="0" w:color="FFFFFF"/>
              <w:left w:val="nil"/>
              <w:bottom w:val="single" w:sz="8" w:space="0" w:color="C7C9C7"/>
              <w:right w:val="nil"/>
            </w:tcBorders>
            <w:tcMar>
              <w:top w:w="0" w:type="dxa"/>
              <w:left w:w="0" w:type="dxa"/>
              <w:bottom w:w="0" w:type="dxa"/>
              <w:right w:w="0" w:type="dxa"/>
            </w:tcMar>
            <w:vAlign w:val="bottom"/>
          </w:tcPr>
          <w:p w14:paraId="6BEF49AD" w14:textId="77777777" w:rsidR="001614AC" w:rsidRDefault="001614AC">
            <w:pPr>
              <w:keepNext/>
            </w:pPr>
          </w:p>
        </w:tc>
        <w:tc>
          <w:tcPr>
            <w:tcW w:w="1005" w:type="dxa"/>
            <w:gridSpan w:val="2"/>
            <w:tcBorders>
              <w:top w:val="single" w:sz="8" w:space="0" w:color="FFFFFF"/>
              <w:left w:val="nil"/>
              <w:bottom w:val="single" w:sz="8" w:space="0" w:color="C7C9C7"/>
              <w:right w:val="nil"/>
            </w:tcBorders>
            <w:shd w:val="clear" w:color="auto" w:fill="E6F8F8"/>
            <w:tcMar>
              <w:top w:w="0" w:type="dxa"/>
              <w:left w:w="53" w:type="dxa"/>
              <w:bottom w:w="0" w:type="dxa"/>
              <w:right w:w="53" w:type="dxa"/>
            </w:tcMar>
            <w:vAlign w:val="bottom"/>
          </w:tcPr>
          <w:p w14:paraId="55EA70C6" w14:textId="77777777" w:rsidR="001614AC" w:rsidRDefault="004468F9">
            <w:pPr>
              <w:keepNext/>
              <w:spacing w:before="55" w:after="30" w:line="288" w:lineRule="auto"/>
              <w:jc w:val="center"/>
            </w:pPr>
            <w:r>
              <w:rPr>
                <w:rFonts w:ascii="Arial" w:eastAsia="Arial" w:hAnsi="Arial" w:cs="Arial"/>
                <w:b/>
                <w:color w:val="00BAB3"/>
                <w:sz w:val="18"/>
              </w:rPr>
              <w:t>2021</w:t>
            </w:r>
          </w:p>
        </w:tc>
        <w:tc>
          <w:tcPr>
            <w:tcW w:w="105" w:type="dxa"/>
            <w:tcBorders>
              <w:top w:val="single" w:sz="8" w:space="0" w:color="FFFFFF"/>
              <w:left w:val="nil"/>
              <w:bottom w:val="single" w:sz="8" w:space="0" w:color="C7C9C7"/>
              <w:right w:val="nil"/>
            </w:tcBorders>
            <w:tcMar>
              <w:top w:w="0" w:type="dxa"/>
              <w:left w:w="0" w:type="dxa"/>
              <w:bottom w:w="0" w:type="dxa"/>
              <w:right w:w="0" w:type="dxa"/>
            </w:tcMar>
            <w:vAlign w:val="bottom"/>
          </w:tcPr>
          <w:p w14:paraId="1DF550BF" w14:textId="77777777" w:rsidR="001614AC" w:rsidRDefault="001614AC">
            <w:pPr>
              <w:keepNext/>
            </w:pPr>
          </w:p>
        </w:tc>
        <w:tc>
          <w:tcPr>
            <w:tcW w:w="1005" w:type="dxa"/>
            <w:gridSpan w:val="2"/>
            <w:tcBorders>
              <w:top w:val="single" w:sz="8" w:space="0" w:color="FFFFFF"/>
              <w:left w:val="nil"/>
              <w:bottom w:val="single" w:sz="8" w:space="0" w:color="C7C9C7"/>
              <w:right w:val="nil"/>
            </w:tcBorders>
            <w:shd w:val="clear" w:color="auto" w:fill="F4F4F4"/>
            <w:tcMar>
              <w:top w:w="0" w:type="dxa"/>
              <w:left w:w="53" w:type="dxa"/>
              <w:bottom w:w="0" w:type="dxa"/>
              <w:right w:w="53" w:type="dxa"/>
            </w:tcMar>
            <w:vAlign w:val="bottom"/>
          </w:tcPr>
          <w:p w14:paraId="672769AE" w14:textId="77777777" w:rsidR="001614AC" w:rsidRDefault="004468F9">
            <w:pPr>
              <w:keepNext/>
              <w:spacing w:before="55" w:after="30" w:line="288" w:lineRule="auto"/>
              <w:jc w:val="center"/>
            </w:pPr>
            <w:r>
              <w:rPr>
                <w:rFonts w:ascii="Arial" w:eastAsia="Arial" w:hAnsi="Arial" w:cs="Arial"/>
                <w:b/>
                <w:color w:val="00BAB3"/>
                <w:sz w:val="18"/>
              </w:rPr>
              <w:t>2020</w:t>
            </w:r>
          </w:p>
        </w:tc>
      </w:tr>
      <w:tr w:rsidR="001614AC" w14:paraId="3D65275D" w14:textId="77777777">
        <w:trPr>
          <w:cantSplit/>
        </w:trPr>
        <w:tc>
          <w:tcPr>
            <w:tcW w:w="5640" w:type="dxa"/>
            <w:tcBorders>
              <w:top w:val="single" w:sz="8" w:space="0" w:color="C7C9C7"/>
              <w:left w:val="nil"/>
              <w:bottom w:val="single" w:sz="8" w:space="0" w:color="E9E9E9"/>
              <w:right w:val="nil"/>
            </w:tcBorders>
            <w:tcMar>
              <w:top w:w="0" w:type="dxa"/>
              <w:left w:w="53" w:type="dxa"/>
              <w:bottom w:w="0" w:type="dxa"/>
              <w:right w:w="53" w:type="dxa"/>
            </w:tcMar>
            <w:vAlign w:val="bottom"/>
          </w:tcPr>
          <w:p w14:paraId="2EA8F972" w14:textId="77777777" w:rsidR="001614AC" w:rsidRDefault="004468F9">
            <w:pPr>
              <w:keepNext/>
              <w:spacing w:before="55" w:after="30" w:line="288" w:lineRule="auto"/>
              <w:rPr>
                <w:rFonts w:ascii="Arial" w:eastAsia="Arial" w:hAnsi="Arial" w:cs="Arial"/>
                <w:sz w:val="18"/>
              </w:rPr>
            </w:pPr>
            <w:r>
              <w:rPr>
                <w:rFonts w:ascii="Arial" w:eastAsia="Arial" w:hAnsi="Arial" w:cs="Arial"/>
                <w:sz w:val="18"/>
              </w:rPr>
              <w:t xml:space="preserve">Return on equity </w:t>
            </w:r>
            <w:r>
              <w:rPr>
                <w:rFonts w:ascii="Arial" w:eastAsia="Arial" w:hAnsi="Arial" w:cs="Arial"/>
                <w:sz w:val="18"/>
                <w:vertAlign w:val="superscript"/>
              </w:rPr>
              <w:t xml:space="preserve">(1) </w:t>
            </w:r>
          </w:p>
        </w:tc>
        <w:tc>
          <w:tcPr>
            <w:tcW w:w="105" w:type="dxa"/>
            <w:tcBorders>
              <w:top w:val="single" w:sz="8" w:space="0" w:color="C7C9C7"/>
              <w:left w:val="nil"/>
              <w:bottom w:val="nil"/>
              <w:right w:val="nil"/>
            </w:tcBorders>
            <w:tcMar>
              <w:top w:w="0" w:type="dxa"/>
              <w:left w:w="0" w:type="dxa"/>
              <w:bottom w:w="0" w:type="dxa"/>
              <w:right w:w="0" w:type="dxa"/>
            </w:tcMar>
            <w:vAlign w:val="bottom"/>
          </w:tcPr>
          <w:p w14:paraId="2376545F" w14:textId="77777777" w:rsidR="001614AC" w:rsidRDefault="001614AC">
            <w:pPr>
              <w:keepNext/>
            </w:pPr>
          </w:p>
        </w:tc>
        <w:tc>
          <w:tcPr>
            <w:tcW w:w="905" w:type="dxa"/>
            <w:tcBorders>
              <w:top w:val="single" w:sz="8" w:space="0" w:color="C7C9C7"/>
              <w:left w:val="nil"/>
              <w:bottom w:val="single" w:sz="8" w:space="0" w:color="C7C9C7"/>
              <w:right w:val="nil"/>
            </w:tcBorders>
            <w:tcMar>
              <w:top w:w="0" w:type="dxa"/>
              <w:left w:w="53" w:type="dxa"/>
              <w:bottom w:w="0" w:type="dxa"/>
              <w:right w:w="0" w:type="dxa"/>
            </w:tcMar>
            <w:vAlign w:val="bottom"/>
          </w:tcPr>
          <w:p w14:paraId="0D8F7EB5" w14:textId="77777777" w:rsidR="001614AC" w:rsidRDefault="004468F9">
            <w:pPr>
              <w:keepNext/>
              <w:spacing w:before="55" w:after="30" w:line="288" w:lineRule="auto"/>
              <w:jc w:val="right"/>
            </w:pPr>
            <w:r>
              <w:rPr>
                <w:rFonts w:ascii="Arial" w:eastAsia="Arial" w:hAnsi="Arial" w:cs="Arial"/>
                <w:color w:val="000000"/>
                <w:sz w:val="18"/>
              </w:rPr>
              <w:t>14.5 </w:t>
            </w:r>
          </w:p>
        </w:tc>
        <w:tc>
          <w:tcPr>
            <w:tcW w:w="100" w:type="dxa"/>
            <w:tcBorders>
              <w:top w:val="single" w:sz="8" w:space="0" w:color="C7C9C7"/>
              <w:left w:val="nil"/>
              <w:bottom w:val="single" w:sz="8" w:space="0" w:color="C7C9C7"/>
              <w:right w:val="nil"/>
            </w:tcBorders>
            <w:tcMar>
              <w:top w:w="0" w:type="dxa"/>
              <w:left w:w="0" w:type="dxa"/>
              <w:bottom w:w="0" w:type="dxa"/>
              <w:right w:w="15" w:type="dxa"/>
            </w:tcMar>
            <w:vAlign w:val="bottom"/>
          </w:tcPr>
          <w:p w14:paraId="54FC9016" w14:textId="77777777" w:rsidR="001614AC" w:rsidRDefault="004468F9">
            <w:pPr>
              <w:keepNext/>
              <w:spacing w:before="55" w:after="30" w:line="288" w:lineRule="auto"/>
              <w:jc w:val="right"/>
            </w:pPr>
            <w:r>
              <w:rPr>
                <w:rFonts w:ascii="Arial" w:eastAsia="Arial" w:hAnsi="Arial" w:cs="Arial"/>
                <w:color w:val="000000"/>
                <w:sz w:val="18"/>
              </w:rPr>
              <w:t>%</w:t>
            </w:r>
          </w:p>
        </w:tc>
        <w:tc>
          <w:tcPr>
            <w:tcW w:w="105" w:type="dxa"/>
            <w:tcBorders>
              <w:top w:val="single" w:sz="8" w:space="0" w:color="C7C9C7"/>
              <w:left w:val="nil"/>
              <w:bottom w:val="nil"/>
              <w:right w:val="nil"/>
            </w:tcBorders>
            <w:tcMar>
              <w:top w:w="0" w:type="dxa"/>
              <w:left w:w="0" w:type="dxa"/>
              <w:bottom w:w="0" w:type="dxa"/>
              <w:right w:w="0" w:type="dxa"/>
            </w:tcMar>
            <w:vAlign w:val="bottom"/>
          </w:tcPr>
          <w:p w14:paraId="78308DE1" w14:textId="77777777" w:rsidR="001614AC" w:rsidRDefault="001614AC">
            <w:pPr>
              <w:keepNext/>
            </w:pPr>
          </w:p>
        </w:tc>
        <w:tc>
          <w:tcPr>
            <w:tcW w:w="905" w:type="dxa"/>
            <w:tcBorders>
              <w:top w:val="single" w:sz="8" w:space="0" w:color="C7C9C7"/>
              <w:left w:val="nil"/>
              <w:bottom w:val="single" w:sz="8" w:space="0" w:color="C7C9C7"/>
              <w:right w:val="nil"/>
            </w:tcBorders>
            <w:tcMar>
              <w:top w:w="0" w:type="dxa"/>
              <w:left w:w="53" w:type="dxa"/>
              <w:bottom w:w="0" w:type="dxa"/>
              <w:right w:w="0" w:type="dxa"/>
            </w:tcMar>
            <w:vAlign w:val="bottom"/>
          </w:tcPr>
          <w:p w14:paraId="79BFF489" w14:textId="77777777" w:rsidR="001614AC" w:rsidRDefault="004468F9">
            <w:pPr>
              <w:keepNext/>
              <w:spacing w:before="55" w:after="30" w:line="288" w:lineRule="auto"/>
              <w:jc w:val="right"/>
            </w:pPr>
            <w:r>
              <w:rPr>
                <w:rFonts w:ascii="Arial" w:eastAsia="Arial" w:hAnsi="Arial" w:cs="Arial"/>
                <w:color w:val="000000"/>
                <w:sz w:val="18"/>
              </w:rPr>
              <w:t>(3.1)</w:t>
            </w:r>
          </w:p>
        </w:tc>
        <w:tc>
          <w:tcPr>
            <w:tcW w:w="100" w:type="dxa"/>
            <w:tcBorders>
              <w:top w:val="single" w:sz="8" w:space="0" w:color="C7C9C7"/>
              <w:left w:val="nil"/>
              <w:bottom w:val="single" w:sz="8" w:space="0" w:color="C7C9C7"/>
              <w:right w:val="nil"/>
            </w:tcBorders>
            <w:tcMar>
              <w:top w:w="0" w:type="dxa"/>
              <w:left w:w="0" w:type="dxa"/>
              <w:bottom w:w="0" w:type="dxa"/>
              <w:right w:w="15" w:type="dxa"/>
            </w:tcMar>
            <w:vAlign w:val="bottom"/>
          </w:tcPr>
          <w:p w14:paraId="54151917" w14:textId="77777777" w:rsidR="001614AC" w:rsidRDefault="004468F9">
            <w:pPr>
              <w:keepNext/>
              <w:spacing w:before="55" w:after="30" w:line="288" w:lineRule="auto"/>
              <w:jc w:val="right"/>
            </w:pPr>
            <w:r>
              <w:rPr>
                <w:rFonts w:ascii="Arial" w:eastAsia="Arial" w:hAnsi="Arial" w:cs="Arial"/>
                <w:color w:val="000000"/>
                <w:sz w:val="18"/>
              </w:rPr>
              <w:t>%</w:t>
            </w:r>
          </w:p>
        </w:tc>
        <w:tc>
          <w:tcPr>
            <w:tcW w:w="105" w:type="dxa"/>
            <w:tcBorders>
              <w:top w:val="single" w:sz="8" w:space="0" w:color="C7C9C7"/>
              <w:left w:val="nil"/>
              <w:bottom w:val="nil"/>
              <w:right w:val="nil"/>
            </w:tcBorders>
            <w:tcMar>
              <w:top w:w="0" w:type="dxa"/>
              <w:left w:w="0" w:type="dxa"/>
              <w:bottom w:w="0" w:type="dxa"/>
              <w:right w:w="0" w:type="dxa"/>
            </w:tcMar>
            <w:vAlign w:val="bottom"/>
          </w:tcPr>
          <w:p w14:paraId="487061CB" w14:textId="77777777" w:rsidR="001614AC" w:rsidRDefault="001614AC">
            <w:pPr>
              <w:keepNext/>
            </w:pPr>
          </w:p>
        </w:tc>
        <w:tc>
          <w:tcPr>
            <w:tcW w:w="905" w:type="dxa"/>
            <w:tcBorders>
              <w:top w:val="single" w:sz="8" w:space="0" w:color="C7C9C7"/>
              <w:left w:val="nil"/>
              <w:bottom w:val="single" w:sz="8" w:space="0" w:color="C7C9C7"/>
              <w:right w:val="nil"/>
            </w:tcBorders>
            <w:tcMar>
              <w:top w:w="0" w:type="dxa"/>
              <w:left w:w="53" w:type="dxa"/>
              <w:bottom w:w="0" w:type="dxa"/>
              <w:right w:w="0" w:type="dxa"/>
            </w:tcMar>
            <w:vAlign w:val="bottom"/>
          </w:tcPr>
          <w:p w14:paraId="1A648BCE" w14:textId="77777777" w:rsidR="001614AC" w:rsidRDefault="004468F9">
            <w:pPr>
              <w:keepNext/>
              <w:spacing w:before="55" w:after="30" w:line="288" w:lineRule="auto"/>
              <w:jc w:val="right"/>
            </w:pPr>
            <w:r>
              <w:rPr>
                <w:rFonts w:ascii="Arial" w:eastAsia="Arial" w:hAnsi="Arial" w:cs="Arial"/>
                <w:color w:val="000000"/>
                <w:sz w:val="18"/>
              </w:rPr>
              <w:t>13.0 </w:t>
            </w:r>
          </w:p>
        </w:tc>
        <w:tc>
          <w:tcPr>
            <w:tcW w:w="100" w:type="dxa"/>
            <w:tcBorders>
              <w:top w:val="single" w:sz="8" w:space="0" w:color="C7C9C7"/>
              <w:left w:val="nil"/>
              <w:bottom w:val="single" w:sz="8" w:space="0" w:color="C7C9C7"/>
              <w:right w:val="nil"/>
            </w:tcBorders>
            <w:tcMar>
              <w:top w:w="0" w:type="dxa"/>
              <w:left w:w="0" w:type="dxa"/>
              <w:bottom w:w="0" w:type="dxa"/>
              <w:right w:w="15" w:type="dxa"/>
            </w:tcMar>
            <w:vAlign w:val="bottom"/>
          </w:tcPr>
          <w:p w14:paraId="1E541642" w14:textId="77777777" w:rsidR="001614AC" w:rsidRDefault="004468F9">
            <w:pPr>
              <w:keepNext/>
              <w:spacing w:before="55" w:after="30" w:line="288" w:lineRule="auto"/>
              <w:jc w:val="right"/>
            </w:pPr>
            <w:r>
              <w:rPr>
                <w:rFonts w:ascii="Arial" w:eastAsia="Arial" w:hAnsi="Arial" w:cs="Arial"/>
                <w:color w:val="000000"/>
                <w:sz w:val="18"/>
              </w:rPr>
              <w:t>%</w:t>
            </w:r>
          </w:p>
        </w:tc>
        <w:tc>
          <w:tcPr>
            <w:tcW w:w="105" w:type="dxa"/>
            <w:tcBorders>
              <w:top w:val="single" w:sz="8" w:space="0" w:color="C7C9C7"/>
              <w:left w:val="nil"/>
              <w:bottom w:val="nil"/>
              <w:right w:val="nil"/>
            </w:tcBorders>
            <w:tcMar>
              <w:top w:w="0" w:type="dxa"/>
              <w:left w:w="0" w:type="dxa"/>
              <w:bottom w:w="0" w:type="dxa"/>
              <w:right w:w="0" w:type="dxa"/>
            </w:tcMar>
            <w:vAlign w:val="bottom"/>
          </w:tcPr>
          <w:p w14:paraId="1AE6B334" w14:textId="77777777" w:rsidR="001614AC" w:rsidRDefault="001614AC">
            <w:pPr>
              <w:keepNext/>
            </w:pPr>
          </w:p>
        </w:tc>
        <w:tc>
          <w:tcPr>
            <w:tcW w:w="905" w:type="dxa"/>
            <w:tcBorders>
              <w:top w:val="single" w:sz="8" w:space="0" w:color="C7C9C7"/>
              <w:left w:val="nil"/>
              <w:bottom w:val="single" w:sz="8" w:space="0" w:color="C7C9C7"/>
              <w:right w:val="nil"/>
            </w:tcBorders>
            <w:tcMar>
              <w:top w:w="0" w:type="dxa"/>
              <w:left w:w="53" w:type="dxa"/>
              <w:bottom w:w="0" w:type="dxa"/>
              <w:right w:w="0" w:type="dxa"/>
            </w:tcMar>
            <w:vAlign w:val="bottom"/>
          </w:tcPr>
          <w:p w14:paraId="1F758179" w14:textId="77777777" w:rsidR="001614AC" w:rsidRDefault="004468F9">
            <w:pPr>
              <w:keepNext/>
              <w:spacing w:before="55" w:after="30" w:line="288" w:lineRule="auto"/>
              <w:jc w:val="right"/>
            </w:pPr>
            <w:r>
              <w:rPr>
                <w:rFonts w:ascii="Arial" w:eastAsia="Arial" w:hAnsi="Arial" w:cs="Arial"/>
                <w:color w:val="000000"/>
                <w:sz w:val="18"/>
              </w:rPr>
              <w:t>5.5 </w:t>
            </w:r>
          </w:p>
        </w:tc>
        <w:tc>
          <w:tcPr>
            <w:tcW w:w="100" w:type="dxa"/>
            <w:tcBorders>
              <w:top w:val="single" w:sz="8" w:space="0" w:color="C7C9C7"/>
              <w:left w:val="nil"/>
              <w:bottom w:val="single" w:sz="8" w:space="0" w:color="C7C9C7"/>
              <w:right w:val="nil"/>
            </w:tcBorders>
            <w:tcMar>
              <w:top w:w="0" w:type="dxa"/>
              <w:left w:w="0" w:type="dxa"/>
              <w:bottom w:w="0" w:type="dxa"/>
              <w:right w:w="15" w:type="dxa"/>
            </w:tcMar>
            <w:vAlign w:val="bottom"/>
          </w:tcPr>
          <w:p w14:paraId="79F4BF8B" w14:textId="77777777" w:rsidR="001614AC" w:rsidRDefault="004468F9">
            <w:pPr>
              <w:keepNext/>
              <w:spacing w:before="55" w:after="30" w:line="288" w:lineRule="auto"/>
              <w:jc w:val="right"/>
            </w:pPr>
            <w:r>
              <w:rPr>
                <w:rFonts w:ascii="Arial" w:eastAsia="Arial" w:hAnsi="Arial" w:cs="Arial"/>
                <w:color w:val="000000"/>
                <w:sz w:val="18"/>
              </w:rPr>
              <w:t>%</w:t>
            </w:r>
          </w:p>
        </w:tc>
      </w:tr>
      <w:tr w:rsidR="001614AC" w14:paraId="6F10E4E8" w14:textId="77777777">
        <w:trPr>
          <w:cantSplit/>
        </w:trPr>
        <w:tc>
          <w:tcPr>
            <w:tcW w:w="5640" w:type="dxa"/>
            <w:tcBorders>
              <w:top w:val="single" w:sz="8" w:space="0" w:color="E9E9E9"/>
              <w:left w:val="nil"/>
              <w:bottom w:val="single" w:sz="8" w:space="0" w:color="E9E9E9"/>
              <w:right w:val="nil"/>
            </w:tcBorders>
            <w:tcMar>
              <w:top w:w="0" w:type="dxa"/>
              <w:left w:w="53" w:type="dxa"/>
              <w:bottom w:w="0" w:type="dxa"/>
              <w:right w:w="53" w:type="dxa"/>
            </w:tcMar>
            <w:vAlign w:val="bottom"/>
          </w:tcPr>
          <w:p w14:paraId="6CA3FBF7" w14:textId="77777777" w:rsidR="001614AC" w:rsidRDefault="004468F9">
            <w:pPr>
              <w:keepNext/>
              <w:spacing w:before="55" w:after="30" w:line="288" w:lineRule="auto"/>
              <w:rPr>
                <w:rFonts w:ascii="Arial" w:eastAsia="Arial" w:hAnsi="Arial" w:cs="Arial"/>
                <w:sz w:val="18"/>
              </w:rPr>
            </w:pPr>
            <w:r>
              <w:rPr>
                <w:rFonts w:ascii="Arial" w:eastAsia="Arial" w:hAnsi="Arial" w:cs="Arial"/>
                <w:sz w:val="18"/>
              </w:rPr>
              <w:t xml:space="preserve">Less impact of reconciling income (expense) items </w:t>
            </w:r>
            <w:r>
              <w:rPr>
                <w:rFonts w:ascii="Arial" w:eastAsia="Arial" w:hAnsi="Arial" w:cs="Arial"/>
                <w:sz w:val="18"/>
                <w:vertAlign w:val="superscript"/>
              </w:rPr>
              <w:t>(2)</w:t>
            </w:r>
          </w:p>
        </w:tc>
        <w:tc>
          <w:tcPr>
            <w:tcW w:w="105" w:type="dxa"/>
            <w:tcBorders>
              <w:top w:val="nil"/>
              <w:left w:val="nil"/>
              <w:bottom w:val="nil"/>
              <w:right w:val="nil"/>
            </w:tcBorders>
            <w:tcMar>
              <w:top w:w="0" w:type="dxa"/>
              <w:left w:w="0" w:type="dxa"/>
              <w:bottom w:w="0" w:type="dxa"/>
              <w:right w:w="0" w:type="dxa"/>
            </w:tcMar>
            <w:vAlign w:val="bottom"/>
          </w:tcPr>
          <w:p w14:paraId="6A06231F" w14:textId="77777777" w:rsidR="001614AC" w:rsidRDefault="001614AC">
            <w:pPr>
              <w:keepNext/>
            </w:pPr>
          </w:p>
        </w:tc>
        <w:tc>
          <w:tcPr>
            <w:tcW w:w="1005" w:type="dxa"/>
            <w:gridSpan w:val="2"/>
            <w:tcBorders>
              <w:top w:val="single" w:sz="8" w:space="0" w:color="C7C9C7"/>
              <w:left w:val="nil"/>
              <w:bottom w:val="single" w:sz="8" w:space="0" w:color="E9E9E9"/>
              <w:right w:val="nil"/>
            </w:tcBorders>
            <w:tcMar>
              <w:top w:w="0" w:type="dxa"/>
              <w:left w:w="0" w:type="dxa"/>
              <w:bottom w:w="0" w:type="dxa"/>
              <w:right w:w="0" w:type="dxa"/>
            </w:tcMar>
            <w:vAlign w:val="bottom"/>
          </w:tcPr>
          <w:p w14:paraId="087E47CA" w14:textId="77777777" w:rsidR="001614AC" w:rsidRDefault="001614AC">
            <w:pPr>
              <w:keepNext/>
            </w:pPr>
          </w:p>
        </w:tc>
        <w:tc>
          <w:tcPr>
            <w:tcW w:w="105" w:type="dxa"/>
            <w:tcBorders>
              <w:top w:val="nil"/>
              <w:left w:val="nil"/>
              <w:bottom w:val="nil"/>
              <w:right w:val="nil"/>
            </w:tcBorders>
            <w:tcMar>
              <w:top w:w="0" w:type="dxa"/>
              <w:left w:w="0" w:type="dxa"/>
              <w:bottom w:w="0" w:type="dxa"/>
              <w:right w:w="0" w:type="dxa"/>
            </w:tcMar>
            <w:vAlign w:val="bottom"/>
          </w:tcPr>
          <w:p w14:paraId="6F94B698" w14:textId="77777777" w:rsidR="001614AC" w:rsidRDefault="001614AC">
            <w:pPr>
              <w:keepNext/>
            </w:pPr>
          </w:p>
        </w:tc>
        <w:tc>
          <w:tcPr>
            <w:tcW w:w="1005" w:type="dxa"/>
            <w:gridSpan w:val="2"/>
            <w:tcBorders>
              <w:top w:val="single" w:sz="8" w:space="0" w:color="C7C9C7"/>
              <w:left w:val="nil"/>
              <w:bottom w:val="single" w:sz="8" w:space="0" w:color="E9E9E9"/>
              <w:right w:val="nil"/>
            </w:tcBorders>
            <w:tcMar>
              <w:top w:w="0" w:type="dxa"/>
              <w:left w:w="0" w:type="dxa"/>
              <w:bottom w:w="0" w:type="dxa"/>
              <w:right w:w="0" w:type="dxa"/>
            </w:tcMar>
            <w:vAlign w:val="bottom"/>
          </w:tcPr>
          <w:p w14:paraId="372DD77C" w14:textId="77777777" w:rsidR="001614AC" w:rsidRDefault="001614AC">
            <w:pPr>
              <w:keepNext/>
            </w:pPr>
          </w:p>
        </w:tc>
        <w:tc>
          <w:tcPr>
            <w:tcW w:w="105" w:type="dxa"/>
            <w:tcBorders>
              <w:top w:val="nil"/>
              <w:left w:val="nil"/>
              <w:bottom w:val="nil"/>
              <w:right w:val="nil"/>
            </w:tcBorders>
            <w:tcMar>
              <w:top w:w="0" w:type="dxa"/>
              <w:left w:w="0" w:type="dxa"/>
              <w:bottom w:w="0" w:type="dxa"/>
              <w:right w:w="0" w:type="dxa"/>
            </w:tcMar>
            <w:vAlign w:val="bottom"/>
          </w:tcPr>
          <w:p w14:paraId="74B08A08" w14:textId="77777777" w:rsidR="001614AC" w:rsidRDefault="001614AC">
            <w:pPr>
              <w:keepNext/>
            </w:pPr>
          </w:p>
        </w:tc>
        <w:tc>
          <w:tcPr>
            <w:tcW w:w="1005" w:type="dxa"/>
            <w:gridSpan w:val="2"/>
            <w:tcBorders>
              <w:top w:val="single" w:sz="8" w:space="0" w:color="C7C9C7"/>
              <w:left w:val="nil"/>
              <w:bottom w:val="single" w:sz="8" w:space="0" w:color="E9E9E9"/>
              <w:right w:val="nil"/>
            </w:tcBorders>
            <w:tcMar>
              <w:top w:w="0" w:type="dxa"/>
              <w:left w:w="0" w:type="dxa"/>
              <w:bottom w:w="0" w:type="dxa"/>
              <w:right w:w="0" w:type="dxa"/>
            </w:tcMar>
            <w:vAlign w:val="bottom"/>
          </w:tcPr>
          <w:p w14:paraId="33AC5AE1" w14:textId="77777777" w:rsidR="001614AC" w:rsidRDefault="001614AC">
            <w:pPr>
              <w:keepNext/>
            </w:pPr>
          </w:p>
        </w:tc>
        <w:tc>
          <w:tcPr>
            <w:tcW w:w="105" w:type="dxa"/>
            <w:tcBorders>
              <w:top w:val="nil"/>
              <w:left w:val="nil"/>
              <w:bottom w:val="nil"/>
              <w:right w:val="nil"/>
            </w:tcBorders>
            <w:tcMar>
              <w:top w:w="0" w:type="dxa"/>
              <w:left w:w="0" w:type="dxa"/>
              <w:bottom w:w="0" w:type="dxa"/>
              <w:right w:w="0" w:type="dxa"/>
            </w:tcMar>
            <w:vAlign w:val="bottom"/>
          </w:tcPr>
          <w:p w14:paraId="76273AE2" w14:textId="77777777" w:rsidR="001614AC" w:rsidRDefault="001614AC">
            <w:pPr>
              <w:keepNext/>
            </w:pPr>
          </w:p>
        </w:tc>
        <w:tc>
          <w:tcPr>
            <w:tcW w:w="1005" w:type="dxa"/>
            <w:gridSpan w:val="2"/>
            <w:tcBorders>
              <w:top w:val="single" w:sz="8" w:space="0" w:color="C7C9C7"/>
              <w:left w:val="nil"/>
              <w:bottom w:val="single" w:sz="8" w:space="0" w:color="E9E9E9"/>
              <w:right w:val="nil"/>
            </w:tcBorders>
            <w:tcMar>
              <w:top w:w="0" w:type="dxa"/>
              <w:left w:w="0" w:type="dxa"/>
              <w:bottom w:w="0" w:type="dxa"/>
              <w:right w:w="0" w:type="dxa"/>
            </w:tcMar>
            <w:vAlign w:val="bottom"/>
          </w:tcPr>
          <w:p w14:paraId="5A0AE570" w14:textId="77777777" w:rsidR="001614AC" w:rsidRDefault="001614AC">
            <w:pPr>
              <w:keepNext/>
            </w:pPr>
          </w:p>
        </w:tc>
      </w:tr>
      <w:tr w:rsidR="001614AC" w14:paraId="7E092654" w14:textId="77777777">
        <w:trPr>
          <w:cantSplit/>
        </w:trPr>
        <w:tc>
          <w:tcPr>
            <w:tcW w:w="5640" w:type="dxa"/>
            <w:tcBorders>
              <w:top w:val="single" w:sz="8" w:space="0" w:color="E9E9E9"/>
              <w:left w:val="nil"/>
              <w:bottom w:val="single" w:sz="8" w:space="0" w:color="E9E9E9"/>
              <w:right w:val="nil"/>
            </w:tcBorders>
            <w:tcMar>
              <w:top w:w="0" w:type="dxa"/>
              <w:left w:w="53" w:type="dxa"/>
              <w:bottom w:w="0" w:type="dxa"/>
              <w:right w:w="53" w:type="dxa"/>
            </w:tcMar>
            <w:vAlign w:val="bottom"/>
          </w:tcPr>
          <w:p w14:paraId="762A95B5" w14:textId="77777777" w:rsidR="001614AC" w:rsidRDefault="004468F9">
            <w:pPr>
              <w:keepNext/>
              <w:spacing w:before="55" w:after="30" w:line="288" w:lineRule="auto"/>
              <w:ind w:left="240"/>
            </w:pPr>
            <w:r>
              <w:rPr>
                <w:rFonts w:ascii="Arial" w:eastAsia="Arial" w:hAnsi="Arial" w:cs="Arial"/>
                <w:color w:val="000000"/>
                <w:sz w:val="18"/>
              </w:rPr>
              <w:t>Net gains (losses) o</w:t>
            </w:r>
            <w:r>
              <w:rPr>
                <w:rFonts w:ascii="Arial" w:eastAsia="Arial" w:hAnsi="Arial" w:cs="Arial"/>
                <w:color w:val="000000"/>
                <w:sz w:val="18"/>
              </w:rPr>
              <w:t>n investments and other financial instruments</w:t>
            </w:r>
          </w:p>
        </w:tc>
        <w:tc>
          <w:tcPr>
            <w:tcW w:w="105" w:type="dxa"/>
            <w:tcBorders>
              <w:top w:val="nil"/>
              <w:left w:val="nil"/>
              <w:bottom w:val="nil"/>
              <w:right w:val="nil"/>
            </w:tcBorders>
            <w:tcMar>
              <w:top w:w="0" w:type="dxa"/>
              <w:left w:w="0" w:type="dxa"/>
              <w:bottom w:w="0" w:type="dxa"/>
              <w:right w:w="0" w:type="dxa"/>
            </w:tcMar>
            <w:vAlign w:val="bottom"/>
          </w:tcPr>
          <w:p w14:paraId="5ABE43A7" w14:textId="77777777" w:rsidR="001614AC" w:rsidRDefault="001614AC">
            <w:pPr>
              <w:keepNext/>
            </w:pPr>
          </w:p>
        </w:tc>
        <w:tc>
          <w:tcPr>
            <w:tcW w:w="905" w:type="dxa"/>
            <w:tcBorders>
              <w:top w:val="single" w:sz="8" w:space="0" w:color="E9E9E9"/>
              <w:left w:val="nil"/>
              <w:bottom w:val="single" w:sz="8" w:space="0" w:color="E9E9E9"/>
              <w:right w:val="nil"/>
            </w:tcBorders>
            <w:tcMar>
              <w:top w:w="0" w:type="dxa"/>
              <w:left w:w="53" w:type="dxa"/>
              <w:bottom w:w="0" w:type="dxa"/>
              <w:right w:w="0" w:type="dxa"/>
            </w:tcMar>
            <w:vAlign w:val="bottom"/>
          </w:tcPr>
          <w:p w14:paraId="50364418" w14:textId="77777777" w:rsidR="001614AC" w:rsidRDefault="004468F9">
            <w:pPr>
              <w:keepNext/>
              <w:spacing w:before="55" w:after="30" w:line="288" w:lineRule="auto"/>
              <w:jc w:val="right"/>
            </w:pPr>
            <w:r>
              <w:rPr>
                <w:rFonts w:ascii="Arial" w:eastAsia="Arial" w:hAnsi="Arial" w:cs="Arial"/>
                <w:color w:val="000000"/>
                <w:sz w:val="18"/>
              </w:rPr>
              <w:t>1.5 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4CDF322C" w14:textId="77777777" w:rsidR="001614AC" w:rsidRDefault="001614AC">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29949994" w14:textId="77777777" w:rsidR="001614AC" w:rsidRDefault="001614AC">
            <w:pPr>
              <w:keepNext/>
            </w:pPr>
          </w:p>
        </w:tc>
        <w:tc>
          <w:tcPr>
            <w:tcW w:w="905" w:type="dxa"/>
            <w:tcBorders>
              <w:top w:val="single" w:sz="8" w:space="0" w:color="E9E9E9"/>
              <w:left w:val="nil"/>
              <w:bottom w:val="single" w:sz="8" w:space="0" w:color="E9E9E9"/>
              <w:right w:val="nil"/>
            </w:tcBorders>
            <w:tcMar>
              <w:top w:w="0" w:type="dxa"/>
              <w:left w:w="53" w:type="dxa"/>
              <w:bottom w:w="0" w:type="dxa"/>
              <w:right w:w="0" w:type="dxa"/>
            </w:tcMar>
            <w:vAlign w:val="bottom"/>
          </w:tcPr>
          <w:p w14:paraId="44D48334" w14:textId="77777777" w:rsidR="001614AC" w:rsidRDefault="004468F9">
            <w:pPr>
              <w:keepNext/>
              <w:spacing w:before="55" w:after="30" w:line="288" w:lineRule="auto"/>
              <w:jc w:val="right"/>
            </w:pPr>
            <w:r>
              <w:rPr>
                <w:rFonts w:ascii="Arial" w:eastAsia="Arial" w:hAnsi="Arial" w:cs="Arial"/>
                <w:color w:val="000000"/>
                <w:sz w:val="18"/>
              </w:rPr>
              <w:t>4.8 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27BA43D3" w14:textId="77777777" w:rsidR="001614AC" w:rsidRDefault="001614AC">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2FC8B8A4" w14:textId="77777777" w:rsidR="001614AC" w:rsidRDefault="001614AC">
            <w:pPr>
              <w:keepNext/>
            </w:pPr>
          </w:p>
        </w:tc>
        <w:tc>
          <w:tcPr>
            <w:tcW w:w="905" w:type="dxa"/>
            <w:tcBorders>
              <w:top w:val="single" w:sz="8" w:space="0" w:color="E9E9E9"/>
              <w:left w:val="nil"/>
              <w:bottom w:val="single" w:sz="8" w:space="0" w:color="E9E9E9"/>
              <w:right w:val="nil"/>
            </w:tcBorders>
            <w:tcMar>
              <w:top w:w="0" w:type="dxa"/>
              <w:left w:w="53" w:type="dxa"/>
              <w:bottom w:w="0" w:type="dxa"/>
              <w:right w:w="0" w:type="dxa"/>
            </w:tcMar>
            <w:vAlign w:val="bottom"/>
          </w:tcPr>
          <w:p w14:paraId="42602DE4" w14:textId="77777777" w:rsidR="001614AC" w:rsidRDefault="004468F9">
            <w:pPr>
              <w:keepNext/>
              <w:spacing w:before="55" w:after="30" w:line="288" w:lineRule="auto"/>
              <w:jc w:val="right"/>
            </w:pPr>
            <w:r>
              <w:rPr>
                <w:rFonts w:ascii="Arial" w:eastAsia="Arial" w:hAnsi="Arial" w:cs="Arial"/>
                <w:color w:val="000000"/>
                <w:sz w:val="18"/>
              </w:rPr>
              <w:t>0.5 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7ECD5426" w14:textId="77777777" w:rsidR="001614AC" w:rsidRDefault="001614AC">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26222B38" w14:textId="77777777" w:rsidR="001614AC" w:rsidRDefault="001614AC">
            <w:pPr>
              <w:keepNext/>
            </w:pPr>
          </w:p>
        </w:tc>
        <w:tc>
          <w:tcPr>
            <w:tcW w:w="905" w:type="dxa"/>
            <w:tcBorders>
              <w:top w:val="single" w:sz="8" w:space="0" w:color="E9E9E9"/>
              <w:left w:val="nil"/>
              <w:bottom w:val="single" w:sz="8" w:space="0" w:color="E9E9E9"/>
              <w:right w:val="nil"/>
            </w:tcBorders>
            <w:tcMar>
              <w:top w:w="0" w:type="dxa"/>
              <w:left w:w="53" w:type="dxa"/>
              <w:bottom w:w="0" w:type="dxa"/>
              <w:right w:w="0" w:type="dxa"/>
            </w:tcMar>
            <w:vAlign w:val="bottom"/>
          </w:tcPr>
          <w:p w14:paraId="07E0CF1A" w14:textId="77777777" w:rsidR="001614AC" w:rsidRDefault="004468F9">
            <w:pPr>
              <w:keepNext/>
              <w:spacing w:before="55" w:after="30" w:line="288" w:lineRule="auto"/>
              <w:jc w:val="right"/>
            </w:pPr>
            <w:r>
              <w:rPr>
                <w:rFonts w:ascii="Arial" w:eastAsia="Arial" w:hAnsi="Arial" w:cs="Arial"/>
                <w:color w:val="000000"/>
                <w:sz w:val="18"/>
              </w:rPr>
              <w:t>1.3 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5675BE0F" w14:textId="77777777" w:rsidR="001614AC" w:rsidRDefault="001614AC">
            <w:pPr>
              <w:keepNext/>
              <w:spacing w:before="55" w:after="30" w:line="288" w:lineRule="auto"/>
              <w:jc w:val="right"/>
            </w:pPr>
          </w:p>
        </w:tc>
      </w:tr>
      <w:tr w:rsidR="001614AC" w14:paraId="1BE9A6F0" w14:textId="77777777">
        <w:trPr>
          <w:cantSplit/>
        </w:trPr>
        <w:tc>
          <w:tcPr>
            <w:tcW w:w="5640" w:type="dxa"/>
            <w:tcBorders>
              <w:top w:val="single" w:sz="8" w:space="0" w:color="E9E9E9"/>
              <w:left w:val="nil"/>
              <w:bottom w:val="single" w:sz="8" w:space="0" w:color="E9E9E9"/>
              <w:right w:val="nil"/>
            </w:tcBorders>
            <w:tcMar>
              <w:top w:w="0" w:type="dxa"/>
              <w:left w:w="53" w:type="dxa"/>
              <w:bottom w:w="0" w:type="dxa"/>
              <w:right w:w="53" w:type="dxa"/>
            </w:tcMar>
            <w:vAlign w:val="bottom"/>
          </w:tcPr>
          <w:p w14:paraId="40105F66" w14:textId="77777777" w:rsidR="001614AC" w:rsidRDefault="004468F9">
            <w:pPr>
              <w:keepNext/>
              <w:spacing w:before="55" w:after="30" w:line="288" w:lineRule="auto"/>
              <w:ind w:left="240"/>
            </w:pPr>
            <w:r>
              <w:rPr>
                <w:rFonts w:ascii="Arial" w:eastAsia="Arial" w:hAnsi="Arial" w:cs="Arial"/>
                <w:color w:val="000000"/>
                <w:sz w:val="18"/>
              </w:rPr>
              <w:t>Amortization and impairment of other acquired intangible assets</w:t>
            </w:r>
          </w:p>
        </w:tc>
        <w:tc>
          <w:tcPr>
            <w:tcW w:w="105" w:type="dxa"/>
            <w:tcBorders>
              <w:top w:val="nil"/>
              <w:left w:val="nil"/>
              <w:bottom w:val="nil"/>
              <w:right w:val="nil"/>
            </w:tcBorders>
            <w:tcMar>
              <w:top w:w="0" w:type="dxa"/>
              <w:left w:w="0" w:type="dxa"/>
              <w:bottom w:w="0" w:type="dxa"/>
              <w:right w:w="0" w:type="dxa"/>
            </w:tcMar>
            <w:vAlign w:val="bottom"/>
          </w:tcPr>
          <w:p w14:paraId="4F28A1B2" w14:textId="77777777" w:rsidR="001614AC" w:rsidRDefault="001614AC">
            <w:pPr>
              <w:keepNext/>
            </w:pPr>
          </w:p>
        </w:tc>
        <w:tc>
          <w:tcPr>
            <w:tcW w:w="905" w:type="dxa"/>
            <w:tcBorders>
              <w:top w:val="single" w:sz="8" w:space="0" w:color="E9E9E9"/>
              <w:left w:val="nil"/>
              <w:bottom w:val="single" w:sz="8" w:space="0" w:color="E9E9E9"/>
              <w:right w:val="nil"/>
            </w:tcBorders>
            <w:tcMar>
              <w:top w:w="0" w:type="dxa"/>
              <w:left w:w="53" w:type="dxa"/>
              <w:bottom w:w="0" w:type="dxa"/>
              <w:right w:w="0" w:type="dxa"/>
            </w:tcMar>
            <w:vAlign w:val="bottom"/>
          </w:tcPr>
          <w:p w14:paraId="64D01B1B" w14:textId="77777777" w:rsidR="001614AC" w:rsidRDefault="004468F9">
            <w:pPr>
              <w:keepNext/>
              <w:spacing w:before="55" w:after="30" w:line="288" w:lineRule="auto"/>
              <w:jc w:val="right"/>
            </w:pPr>
            <w:r>
              <w:rPr>
                <w:rFonts w:ascii="Arial" w:eastAsia="Arial" w:hAnsi="Arial" w:cs="Arial"/>
                <w:color w:val="000000"/>
                <w:sz w:val="18"/>
              </w:rPr>
              <w:t>(0.1)</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1EACB4CD" w14:textId="77777777" w:rsidR="001614AC" w:rsidRDefault="001614AC">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62A0D5B7" w14:textId="77777777" w:rsidR="001614AC" w:rsidRDefault="001614AC">
            <w:pPr>
              <w:keepNext/>
            </w:pPr>
          </w:p>
        </w:tc>
        <w:tc>
          <w:tcPr>
            <w:tcW w:w="905" w:type="dxa"/>
            <w:tcBorders>
              <w:top w:val="single" w:sz="8" w:space="0" w:color="E9E9E9"/>
              <w:left w:val="nil"/>
              <w:bottom w:val="single" w:sz="8" w:space="0" w:color="E9E9E9"/>
              <w:right w:val="nil"/>
            </w:tcBorders>
            <w:tcMar>
              <w:top w:w="0" w:type="dxa"/>
              <w:left w:w="53" w:type="dxa"/>
              <w:bottom w:w="0" w:type="dxa"/>
              <w:right w:w="0" w:type="dxa"/>
            </w:tcMar>
            <w:vAlign w:val="bottom"/>
          </w:tcPr>
          <w:p w14:paraId="4F33C4FE" w14:textId="77777777" w:rsidR="001614AC" w:rsidRDefault="004468F9">
            <w:pPr>
              <w:keepNext/>
              <w:spacing w:before="55" w:after="30" w:line="288" w:lineRule="auto"/>
              <w:jc w:val="right"/>
            </w:pPr>
            <w:r>
              <w:rPr>
                <w:rFonts w:ascii="Arial" w:eastAsia="Arial" w:hAnsi="Arial" w:cs="Arial"/>
                <w:color w:val="000000"/>
                <w:sz w:val="18"/>
              </w:rPr>
              <w:t>(0.1)</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10191340" w14:textId="77777777" w:rsidR="001614AC" w:rsidRDefault="001614AC">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2D0442F6" w14:textId="77777777" w:rsidR="001614AC" w:rsidRDefault="001614AC">
            <w:pPr>
              <w:keepNext/>
            </w:pPr>
          </w:p>
        </w:tc>
        <w:tc>
          <w:tcPr>
            <w:tcW w:w="905" w:type="dxa"/>
            <w:tcBorders>
              <w:top w:val="single" w:sz="8" w:space="0" w:color="E9E9E9"/>
              <w:left w:val="nil"/>
              <w:bottom w:val="single" w:sz="8" w:space="0" w:color="E9E9E9"/>
              <w:right w:val="nil"/>
            </w:tcBorders>
            <w:tcMar>
              <w:top w:w="0" w:type="dxa"/>
              <w:left w:w="53" w:type="dxa"/>
              <w:bottom w:w="0" w:type="dxa"/>
              <w:right w:w="0" w:type="dxa"/>
            </w:tcMar>
            <w:vAlign w:val="bottom"/>
          </w:tcPr>
          <w:p w14:paraId="1789A080" w14:textId="77777777" w:rsidR="001614AC" w:rsidRDefault="004468F9">
            <w:pPr>
              <w:keepNext/>
              <w:spacing w:before="55" w:after="30" w:line="288" w:lineRule="auto"/>
              <w:jc w:val="right"/>
            </w:pPr>
            <w:r>
              <w:rPr>
                <w:rFonts w:ascii="Arial" w:eastAsia="Arial" w:hAnsi="Arial" w:cs="Arial"/>
                <w:color w:val="000000"/>
                <w:sz w:val="18"/>
              </w:rPr>
              <w:t>(0.1)</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15DF0CC5" w14:textId="77777777" w:rsidR="001614AC" w:rsidRDefault="001614AC">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28F992DF" w14:textId="77777777" w:rsidR="001614AC" w:rsidRDefault="001614AC">
            <w:pPr>
              <w:keepNext/>
            </w:pPr>
          </w:p>
        </w:tc>
        <w:tc>
          <w:tcPr>
            <w:tcW w:w="905" w:type="dxa"/>
            <w:tcBorders>
              <w:top w:val="single" w:sz="8" w:space="0" w:color="E9E9E9"/>
              <w:left w:val="nil"/>
              <w:bottom w:val="single" w:sz="8" w:space="0" w:color="E9E9E9"/>
              <w:right w:val="nil"/>
            </w:tcBorders>
            <w:tcMar>
              <w:top w:w="0" w:type="dxa"/>
              <w:left w:w="53" w:type="dxa"/>
              <w:bottom w:w="0" w:type="dxa"/>
              <w:right w:w="0" w:type="dxa"/>
            </w:tcMar>
            <w:vAlign w:val="bottom"/>
          </w:tcPr>
          <w:p w14:paraId="09843C6C" w14:textId="77777777" w:rsidR="001614AC" w:rsidRDefault="004468F9">
            <w:pPr>
              <w:keepNext/>
              <w:spacing w:before="55" w:after="30" w:line="288" w:lineRule="auto"/>
              <w:jc w:val="right"/>
            </w:pPr>
            <w:r>
              <w:rPr>
                <w:rFonts w:ascii="Arial" w:eastAsia="Arial" w:hAnsi="Arial" w:cs="Arial"/>
                <w:color w:val="000000"/>
                <w:sz w:val="18"/>
              </w:rPr>
              <w:t>(0.1)</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310EB2AF" w14:textId="77777777" w:rsidR="001614AC" w:rsidRDefault="001614AC">
            <w:pPr>
              <w:keepNext/>
              <w:spacing w:before="55" w:after="30" w:line="288" w:lineRule="auto"/>
              <w:jc w:val="right"/>
            </w:pPr>
          </w:p>
        </w:tc>
      </w:tr>
      <w:tr w:rsidR="001614AC" w14:paraId="0403246E" w14:textId="77777777">
        <w:trPr>
          <w:cantSplit/>
        </w:trPr>
        <w:tc>
          <w:tcPr>
            <w:tcW w:w="5640" w:type="dxa"/>
            <w:tcBorders>
              <w:top w:val="single" w:sz="8" w:space="0" w:color="E9E9E9"/>
              <w:left w:val="nil"/>
              <w:bottom w:val="single" w:sz="8" w:space="0" w:color="E9E9E9"/>
              <w:right w:val="nil"/>
            </w:tcBorders>
            <w:tcMar>
              <w:top w:w="0" w:type="dxa"/>
              <w:left w:w="53" w:type="dxa"/>
              <w:bottom w:w="0" w:type="dxa"/>
              <w:right w:w="53" w:type="dxa"/>
            </w:tcMar>
            <w:vAlign w:val="bottom"/>
          </w:tcPr>
          <w:p w14:paraId="6DB603FA" w14:textId="77777777" w:rsidR="001614AC" w:rsidRDefault="004468F9">
            <w:pPr>
              <w:keepNext/>
              <w:spacing w:before="55" w:after="30" w:line="288" w:lineRule="auto"/>
              <w:ind w:left="240"/>
            </w:pPr>
            <w:r>
              <w:rPr>
                <w:rFonts w:ascii="Arial" w:eastAsia="Arial" w:hAnsi="Arial" w:cs="Arial"/>
                <w:color w:val="000000"/>
                <w:sz w:val="18"/>
              </w:rPr>
              <w:t>Impairment of other long-lived assets and other non-operating items</w:t>
            </w:r>
          </w:p>
        </w:tc>
        <w:tc>
          <w:tcPr>
            <w:tcW w:w="105" w:type="dxa"/>
            <w:tcBorders>
              <w:top w:val="nil"/>
              <w:left w:val="nil"/>
              <w:bottom w:val="nil"/>
              <w:right w:val="nil"/>
            </w:tcBorders>
            <w:tcMar>
              <w:top w:w="0" w:type="dxa"/>
              <w:left w:w="0" w:type="dxa"/>
              <w:bottom w:w="0" w:type="dxa"/>
              <w:right w:w="0" w:type="dxa"/>
            </w:tcMar>
            <w:vAlign w:val="bottom"/>
          </w:tcPr>
          <w:p w14:paraId="7AC36FE6" w14:textId="77777777" w:rsidR="001614AC" w:rsidRDefault="001614AC">
            <w:pPr>
              <w:keepNext/>
            </w:pPr>
          </w:p>
        </w:tc>
        <w:tc>
          <w:tcPr>
            <w:tcW w:w="905" w:type="dxa"/>
            <w:tcBorders>
              <w:top w:val="single" w:sz="8" w:space="0" w:color="E9E9E9"/>
              <w:left w:val="nil"/>
              <w:bottom w:val="single" w:sz="8" w:space="0" w:color="E9E9E9"/>
              <w:right w:val="nil"/>
            </w:tcBorders>
            <w:tcMar>
              <w:top w:w="0" w:type="dxa"/>
              <w:left w:w="53" w:type="dxa"/>
              <w:bottom w:w="0" w:type="dxa"/>
              <w:right w:w="0" w:type="dxa"/>
            </w:tcMar>
            <w:vAlign w:val="bottom"/>
          </w:tcPr>
          <w:p w14:paraId="36A8C1EB" w14:textId="77777777" w:rsidR="001614AC" w:rsidRDefault="004468F9">
            <w:pPr>
              <w:keepNext/>
              <w:spacing w:before="55" w:after="30" w:line="288" w:lineRule="auto"/>
              <w:jc w:val="right"/>
            </w:pPr>
            <w:r>
              <w:rPr>
                <w:rFonts w:ascii="Arial" w:eastAsia="Arial" w:hAnsi="Arial" w:cs="Arial"/>
                <w:color w:val="000000"/>
                <w:sz w:val="18"/>
              </w:rPr>
              <w:t>(0.4)</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0324157D" w14:textId="77777777" w:rsidR="001614AC" w:rsidRDefault="001614AC">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1A5909F8" w14:textId="77777777" w:rsidR="001614AC" w:rsidRDefault="001614AC">
            <w:pPr>
              <w:keepNext/>
            </w:pPr>
          </w:p>
        </w:tc>
        <w:tc>
          <w:tcPr>
            <w:tcW w:w="905" w:type="dxa"/>
            <w:tcBorders>
              <w:top w:val="single" w:sz="8" w:space="0" w:color="E9E9E9"/>
              <w:left w:val="nil"/>
              <w:bottom w:val="single" w:sz="8" w:space="0" w:color="E9E9E9"/>
              <w:right w:val="nil"/>
            </w:tcBorders>
            <w:tcMar>
              <w:top w:w="0" w:type="dxa"/>
              <w:left w:w="53" w:type="dxa"/>
              <w:bottom w:w="0" w:type="dxa"/>
              <w:right w:w="0" w:type="dxa"/>
            </w:tcMar>
            <w:vAlign w:val="bottom"/>
          </w:tcPr>
          <w:p w14:paraId="64E0335B" w14:textId="77777777" w:rsidR="001614AC" w:rsidRDefault="004468F9">
            <w:pPr>
              <w:keepNext/>
              <w:spacing w:before="55" w:after="30" w:line="288" w:lineRule="auto"/>
              <w:jc w:val="right"/>
            </w:pPr>
            <w:r>
              <w:rPr>
                <w:rFonts w:ascii="Arial" w:eastAsia="Arial" w:hAnsi="Arial" w:cs="Arial"/>
                <w:color w:val="000000"/>
                <w:sz w:val="18"/>
              </w:rPr>
              <w:t>—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081F06C0" w14:textId="77777777" w:rsidR="001614AC" w:rsidRDefault="001614AC">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29529B50" w14:textId="77777777" w:rsidR="001614AC" w:rsidRDefault="001614AC">
            <w:pPr>
              <w:keepNext/>
            </w:pPr>
          </w:p>
        </w:tc>
        <w:tc>
          <w:tcPr>
            <w:tcW w:w="905" w:type="dxa"/>
            <w:tcBorders>
              <w:top w:val="single" w:sz="8" w:space="0" w:color="E9E9E9"/>
              <w:left w:val="nil"/>
              <w:bottom w:val="single" w:sz="8" w:space="0" w:color="E9E9E9"/>
              <w:right w:val="nil"/>
            </w:tcBorders>
            <w:tcMar>
              <w:top w:w="0" w:type="dxa"/>
              <w:left w:w="53" w:type="dxa"/>
              <w:bottom w:w="0" w:type="dxa"/>
              <w:right w:w="0" w:type="dxa"/>
            </w:tcMar>
            <w:vAlign w:val="bottom"/>
          </w:tcPr>
          <w:p w14:paraId="611D224E" w14:textId="77777777" w:rsidR="001614AC" w:rsidRDefault="004468F9">
            <w:pPr>
              <w:keepNext/>
              <w:spacing w:before="55" w:after="30" w:line="288" w:lineRule="auto"/>
              <w:jc w:val="right"/>
            </w:pPr>
            <w:r>
              <w:rPr>
                <w:rFonts w:ascii="Arial" w:eastAsia="Arial" w:hAnsi="Arial" w:cs="Arial"/>
                <w:color w:val="000000"/>
                <w:sz w:val="18"/>
              </w:rPr>
              <w:t>(0.2)</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35B9E6CC" w14:textId="77777777" w:rsidR="001614AC" w:rsidRDefault="001614AC">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37D7FF7E" w14:textId="77777777" w:rsidR="001614AC" w:rsidRDefault="001614AC">
            <w:pPr>
              <w:keepNext/>
            </w:pPr>
          </w:p>
        </w:tc>
        <w:tc>
          <w:tcPr>
            <w:tcW w:w="905" w:type="dxa"/>
            <w:tcBorders>
              <w:top w:val="single" w:sz="8" w:space="0" w:color="E9E9E9"/>
              <w:left w:val="nil"/>
              <w:bottom w:val="single" w:sz="8" w:space="0" w:color="E9E9E9"/>
              <w:right w:val="nil"/>
            </w:tcBorders>
            <w:tcMar>
              <w:top w:w="0" w:type="dxa"/>
              <w:left w:w="53" w:type="dxa"/>
              <w:bottom w:w="0" w:type="dxa"/>
              <w:right w:w="0" w:type="dxa"/>
            </w:tcMar>
            <w:vAlign w:val="bottom"/>
          </w:tcPr>
          <w:p w14:paraId="74716760" w14:textId="77777777" w:rsidR="001614AC" w:rsidRDefault="004468F9">
            <w:pPr>
              <w:keepNext/>
              <w:spacing w:before="55" w:after="30" w:line="288" w:lineRule="auto"/>
              <w:jc w:val="right"/>
            </w:pPr>
            <w:r>
              <w:rPr>
                <w:rFonts w:ascii="Arial" w:eastAsia="Arial" w:hAnsi="Arial" w:cs="Arial"/>
                <w:color w:val="000000"/>
                <w:sz w:val="18"/>
              </w:rPr>
              <w:t>—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3D97CF94" w14:textId="77777777" w:rsidR="001614AC" w:rsidRDefault="001614AC">
            <w:pPr>
              <w:keepNext/>
              <w:spacing w:before="55" w:after="30" w:line="288" w:lineRule="auto"/>
              <w:jc w:val="right"/>
            </w:pPr>
          </w:p>
        </w:tc>
      </w:tr>
      <w:tr w:rsidR="001614AC" w14:paraId="7F84B44E" w14:textId="77777777">
        <w:trPr>
          <w:cantSplit/>
        </w:trPr>
        <w:tc>
          <w:tcPr>
            <w:tcW w:w="5640" w:type="dxa"/>
            <w:tcBorders>
              <w:top w:val="single" w:sz="8" w:space="0" w:color="E9E9E9"/>
              <w:left w:val="nil"/>
              <w:bottom w:val="single" w:sz="8" w:space="0" w:color="E9E9E9"/>
              <w:right w:val="nil"/>
            </w:tcBorders>
            <w:tcMar>
              <w:top w:w="0" w:type="dxa"/>
              <w:left w:w="53" w:type="dxa"/>
              <w:bottom w:w="0" w:type="dxa"/>
              <w:right w:w="53" w:type="dxa"/>
            </w:tcMar>
            <w:vAlign w:val="bottom"/>
          </w:tcPr>
          <w:p w14:paraId="07994444" w14:textId="77777777" w:rsidR="001614AC" w:rsidRDefault="004468F9">
            <w:pPr>
              <w:keepNext/>
              <w:spacing w:before="55" w:after="30" w:line="288" w:lineRule="auto"/>
              <w:ind w:left="240"/>
              <w:rPr>
                <w:rFonts w:ascii="Arial" w:eastAsia="Arial" w:hAnsi="Arial" w:cs="Arial"/>
                <w:sz w:val="18"/>
              </w:rPr>
            </w:pPr>
            <w:r>
              <w:rPr>
                <w:rFonts w:ascii="Arial" w:eastAsia="Arial" w:hAnsi="Arial" w:cs="Arial"/>
                <w:sz w:val="18"/>
              </w:rPr>
              <w:t>Income tax (provision) benefit on reconciling income (expense) items</w:t>
            </w:r>
            <w:r>
              <w:rPr>
                <w:rFonts w:ascii="Arial" w:eastAsia="Arial" w:hAnsi="Arial" w:cs="Arial"/>
                <w:sz w:val="18"/>
                <w:vertAlign w:val="superscript"/>
              </w:rPr>
              <w:t xml:space="preserve"> (3) </w:t>
            </w:r>
          </w:p>
        </w:tc>
        <w:tc>
          <w:tcPr>
            <w:tcW w:w="105" w:type="dxa"/>
            <w:tcBorders>
              <w:top w:val="nil"/>
              <w:left w:val="nil"/>
              <w:bottom w:val="nil"/>
              <w:right w:val="nil"/>
            </w:tcBorders>
            <w:tcMar>
              <w:top w:w="0" w:type="dxa"/>
              <w:left w:w="0" w:type="dxa"/>
              <w:bottom w:w="0" w:type="dxa"/>
              <w:right w:w="0" w:type="dxa"/>
            </w:tcMar>
            <w:vAlign w:val="bottom"/>
          </w:tcPr>
          <w:p w14:paraId="1DDC8FF0" w14:textId="77777777" w:rsidR="001614AC" w:rsidRDefault="001614AC">
            <w:pPr>
              <w:keepNext/>
            </w:pPr>
          </w:p>
        </w:tc>
        <w:tc>
          <w:tcPr>
            <w:tcW w:w="905" w:type="dxa"/>
            <w:tcBorders>
              <w:top w:val="single" w:sz="8" w:space="0" w:color="E9E9E9"/>
              <w:left w:val="nil"/>
              <w:bottom w:val="single" w:sz="8" w:space="0" w:color="E9E9E9"/>
              <w:right w:val="nil"/>
            </w:tcBorders>
            <w:tcMar>
              <w:top w:w="0" w:type="dxa"/>
              <w:left w:w="53" w:type="dxa"/>
              <w:bottom w:w="0" w:type="dxa"/>
              <w:right w:w="0" w:type="dxa"/>
            </w:tcMar>
            <w:vAlign w:val="bottom"/>
          </w:tcPr>
          <w:p w14:paraId="318ABC9C" w14:textId="77777777" w:rsidR="001614AC" w:rsidRDefault="004468F9">
            <w:pPr>
              <w:keepNext/>
              <w:spacing w:before="55" w:after="30" w:line="288" w:lineRule="auto"/>
              <w:jc w:val="right"/>
            </w:pPr>
            <w:r>
              <w:rPr>
                <w:rFonts w:ascii="Arial" w:eastAsia="Arial" w:hAnsi="Arial" w:cs="Arial"/>
                <w:color w:val="000000"/>
                <w:sz w:val="18"/>
              </w:rPr>
              <w:t>(0.2)</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32727F05" w14:textId="77777777" w:rsidR="001614AC" w:rsidRDefault="001614AC">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6D7FAE31" w14:textId="77777777" w:rsidR="001614AC" w:rsidRDefault="001614AC">
            <w:pPr>
              <w:keepNext/>
            </w:pPr>
          </w:p>
        </w:tc>
        <w:tc>
          <w:tcPr>
            <w:tcW w:w="905" w:type="dxa"/>
            <w:tcBorders>
              <w:top w:val="single" w:sz="8" w:space="0" w:color="E9E9E9"/>
              <w:left w:val="nil"/>
              <w:bottom w:val="single" w:sz="8" w:space="0" w:color="E9E9E9"/>
              <w:right w:val="nil"/>
            </w:tcBorders>
            <w:tcMar>
              <w:top w:w="0" w:type="dxa"/>
              <w:left w:w="53" w:type="dxa"/>
              <w:bottom w:w="0" w:type="dxa"/>
              <w:right w:w="0" w:type="dxa"/>
            </w:tcMar>
            <w:vAlign w:val="bottom"/>
          </w:tcPr>
          <w:p w14:paraId="564A83A9" w14:textId="77777777" w:rsidR="001614AC" w:rsidRDefault="004468F9">
            <w:pPr>
              <w:keepNext/>
              <w:spacing w:before="55" w:after="30" w:line="288" w:lineRule="auto"/>
              <w:jc w:val="right"/>
            </w:pPr>
            <w:r>
              <w:rPr>
                <w:rFonts w:ascii="Arial" w:eastAsia="Arial" w:hAnsi="Arial" w:cs="Arial"/>
                <w:color w:val="000000"/>
                <w:sz w:val="18"/>
              </w:rPr>
              <w:t>(1.0)</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03A9DFF6" w14:textId="77777777" w:rsidR="001614AC" w:rsidRDefault="001614AC">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2701939F" w14:textId="77777777" w:rsidR="001614AC" w:rsidRDefault="001614AC">
            <w:pPr>
              <w:keepNext/>
            </w:pPr>
          </w:p>
        </w:tc>
        <w:tc>
          <w:tcPr>
            <w:tcW w:w="905" w:type="dxa"/>
            <w:tcBorders>
              <w:top w:val="single" w:sz="8" w:space="0" w:color="E9E9E9"/>
              <w:left w:val="nil"/>
              <w:bottom w:val="single" w:sz="8" w:space="0" w:color="E9E9E9"/>
              <w:right w:val="nil"/>
            </w:tcBorders>
            <w:tcMar>
              <w:top w:w="0" w:type="dxa"/>
              <w:left w:w="53" w:type="dxa"/>
              <w:bottom w:w="0" w:type="dxa"/>
              <w:right w:w="0" w:type="dxa"/>
            </w:tcMar>
            <w:vAlign w:val="bottom"/>
          </w:tcPr>
          <w:p w14:paraId="0288F788" w14:textId="77777777" w:rsidR="001614AC" w:rsidRDefault="004468F9">
            <w:pPr>
              <w:keepNext/>
              <w:spacing w:before="55" w:after="30" w:line="288" w:lineRule="auto"/>
              <w:jc w:val="right"/>
            </w:pPr>
            <w:r>
              <w:rPr>
                <w:rFonts w:ascii="Arial" w:eastAsia="Arial" w:hAnsi="Arial" w:cs="Arial"/>
                <w:color w:val="000000"/>
                <w:sz w:val="18"/>
              </w:rPr>
              <w:t>—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5B8CDBCB" w14:textId="77777777" w:rsidR="001614AC" w:rsidRDefault="001614AC">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45D8EE37" w14:textId="77777777" w:rsidR="001614AC" w:rsidRDefault="001614AC">
            <w:pPr>
              <w:keepNext/>
            </w:pPr>
          </w:p>
        </w:tc>
        <w:tc>
          <w:tcPr>
            <w:tcW w:w="905" w:type="dxa"/>
            <w:tcBorders>
              <w:top w:val="single" w:sz="8" w:space="0" w:color="E9E9E9"/>
              <w:left w:val="nil"/>
              <w:bottom w:val="single" w:sz="8" w:space="0" w:color="E9E9E9"/>
              <w:right w:val="nil"/>
            </w:tcBorders>
            <w:tcMar>
              <w:top w:w="0" w:type="dxa"/>
              <w:left w:w="53" w:type="dxa"/>
              <w:bottom w:w="0" w:type="dxa"/>
              <w:right w:w="0" w:type="dxa"/>
            </w:tcMar>
            <w:vAlign w:val="bottom"/>
          </w:tcPr>
          <w:p w14:paraId="2E377AF0" w14:textId="77777777" w:rsidR="001614AC" w:rsidRDefault="004468F9">
            <w:pPr>
              <w:keepNext/>
              <w:spacing w:before="55" w:after="30" w:line="288" w:lineRule="auto"/>
              <w:jc w:val="right"/>
            </w:pPr>
            <w:r>
              <w:rPr>
                <w:rFonts w:ascii="Arial" w:eastAsia="Arial" w:hAnsi="Arial" w:cs="Arial"/>
                <w:color w:val="000000"/>
                <w:sz w:val="18"/>
              </w:rPr>
              <w:t>(0.2)</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2174238E" w14:textId="77777777" w:rsidR="001614AC" w:rsidRDefault="001614AC">
            <w:pPr>
              <w:keepNext/>
              <w:spacing w:before="55" w:after="30" w:line="288" w:lineRule="auto"/>
              <w:jc w:val="right"/>
            </w:pPr>
          </w:p>
        </w:tc>
      </w:tr>
      <w:tr w:rsidR="001614AC" w14:paraId="63358C90" w14:textId="77777777">
        <w:trPr>
          <w:cantSplit/>
        </w:trPr>
        <w:tc>
          <w:tcPr>
            <w:tcW w:w="5640" w:type="dxa"/>
            <w:tcBorders>
              <w:top w:val="single" w:sz="8" w:space="0" w:color="E9E9E9"/>
              <w:left w:val="nil"/>
              <w:bottom w:val="nil"/>
              <w:right w:val="nil"/>
            </w:tcBorders>
            <w:tcMar>
              <w:top w:w="0" w:type="dxa"/>
              <w:left w:w="53" w:type="dxa"/>
              <w:bottom w:w="0" w:type="dxa"/>
              <w:right w:w="53" w:type="dxa"/>
            </w:tcMar>
            <w:vAlign w:val="bottom"/>
          </w:tcPr>
          <w:p w14:paraId="21061D9B" w14:textId="77777777" w:rsidR="001614AC" w:rsidRDefault="004468F9">
            <w:pPr>
              <w:keepNext/>
              <w:spacing w:before="55" w:after="30" w:line="288" w:lineRule="auto"/>
              <w:ind w:left="240"/>
            </w:pPr>
            <w:r>
              <w:rPr>
                <w:rFonts w:ascii="Arial" w:eastAsia="Arial" w:hAnsi="Arial" w:cs="Arial"/>
                <w:color w:val="000000"/>
                <w:sz w:val="18"/>
              </w:rPr>
              <w:t xml:space="preserve">Difference between statutory and effective tax rates </w:t>
            </w:r>
          </w:p>
        </w:tc>
        <w:tc>
          <w:tcPr>
            <w:tcW w:w="105" w:type="dxa"/>
            <w:tcBorders>
              <w:top w:val="nil"/>
              <w:left w:val="nil"/>
              <w:bottom w:val="nil"/>
              <w:right w:val="nil"/>
            </w:tcBorders>
            <w:tcMar>
              <w:top w:w="0" w:type="dxa"/>
              <w:left w:w="0" w:type="dxa"/>
              <w:bottom w:w="0" w:type="dxa"/>
              <w:right w:w="0" w:type="dxa"/>
            </w:tcMar>
            <w:vAlign w:val="bottom"/>
          </w:tcPr>
          <w:p w14:paraId="02AA9429" w14:textId="77777777" w:rsidR="001614AC" w:rsidRDefault="001614AC">
            <w:pPr>
              <w:keepNext/>
            </w:pPr>
          </w:p>
        </w:tc>
        <w:tc>
          <w:tcPr>
            <w:tcW w:w="905" w:type="dxa"/>
            <w:tcBorders>
              <w:top w:val="single" w:sz="8" w:space="0" w:color="E9E9E9"/>
              <w:left w:val="nil"/>
              <w:bottom w:val="single" w:sz="8" w:space="0" w:color="C7C9C7"/>
              <w:right w:val="nil"/>
            </w:tcBorders>
            <w:tcMar>
              <w:top w:w="0" w:type="dxa"/>
              <w:left w:w="53" w:type="dxa"/>
              <w:bottom w:w="0" w:type="dxa"/>
              <w:right w:w="0" w:type="dxa"/>
            </w:tcMar>
            <w:vAlign w:val="bottom"/>
          </w:tcPr>
          <w:p w14:paraId="65029BFE" w14:textId="77777777" w:rsidR="001614AC" w:rsidRDefault="004468F9">
            <w:pPr>
              <w:keepNext/>
              <w:spacing w:before="55" w:after="30" w:line="288" w:lineRule="auto"/>
              <w:jc w:val="right"/>
            </w:pPr>
            <w:r>
              <w:rPr>
                <w:rFonts w:ascii="Arial" w:eastAsia="Arial" w:hAnsi="Arial" w:cs="Arial"/>
                <w:color w:val="000000"/>
                <w:sz w:val="18"/>
              </w:rPr>
              <w:t>0.1 </w:t>
            </w:r>
          </w:p>
        </w:tc>
        <w:tc>
          <w:tcPr>
            <w:tcW w:w="100" w:type="dxa"/>
            <w:tcBorders>
              <w:top w:val="single" w:sz="8" w:space="0" w:color="E9E9E9"/>
              <w:left w:val="nil"/>
              <w:bottom w:val="single" w:sz="8" w:space="0" w:color="C7C9C7"/>
              <w:right w:val="nil"/>
            </w:tcBorders>
            <w:tcMar>
              <w:top w:w="0" w:type="dxa"/>
              <w:left w:w="0" w:type="dxa"/>
              <w:bottom w:w="0" w:type="dxa"/>
              <w:right w:w="15" w:type="dxa"/>
            </w:tcMar>
            <w:vAlign w:val="bottom"/>
          </w:tcPr>
          <w:p w14:paraId="30275AD5" w14:textId="77777777" w:rsidR="001614AC" w:rsidRDefault="001614AC">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70D47C03" w14:textId="77777777" w:rsidR="001614AC" w:rsidRDefault="001614AC">
            <w:pPr>
              <w:keepNext/>
            </w:pPr>
          </w:p>
        </w:tc>
        <w:tc>
          <w:tcPr>
            <w:tcW w:w="905" w:type="dxa"/>
            <w:tcBorders>
              <w:top w:val="single" w:sz="8" w:space="0" w:color="E9E9E9"/>
              <w:left w:val="nil"/>
              <w:bottom w:val="single" w:sz="8" w:space="0" w:color="C7C9C7"/>
              <w:right w:val="nil"/>
            </w:tcBorders>
            <w:tcMar>
              <w:top w:w="0" w:type="dxa"/>
              <w:left w:w="53" w:type="dxa"/>
              <w:bottom w:w="0" w:type="dxa"/>
              <w:right w:w="0" w:type="dxa"/>
            </w:tcMar>
            <w:vAlign w:val="bottom"/>
          </w:tcPr>
          <w:p w14:paraId="22A668BE" w14:textId="77777777" w:rsidR="001614AC" w:rsidRDefault="004468F9">
            <w:pPr>
              <w:keepNext/>
              <w:spacing w:before="55" w:after="30" w:line="288" w:lineRule="auto"/>
              <w:jc w:val="right"/>
            </w:pPr>
            <w:r>
              <w:rPr>
                <w:rFonts w:ascii="Arial" w:eastAsia="Arial" w:hAnsi="Arial" w:cs="Arial"/>
                <w:color w:val="000000"/>
                <w:sz w:val="18"/>
              </w:rPr>
              <w:t>0.3 </w:t>
            </w:r>
          </w:p>
        </w:tc>
        <w:tc>
          <w:tcPr>
            <w:tcW w:w="100" w:type="dxa"/>
            <w:tcBorders>
              <w:top w:val="single" w:sz="8" w:space="0" w:color="E9E9E9"/>
              <w:left w:val="nil"/>
              <w:bottom w:val="single" w:sz="8" w:space="0" w:color="C7C9C7"/>
              <w:right w:val="nil"/>
            </w:tcBorders>
            <w:tcMar>
              <w:top w:w="0" w:type="dxa"/>
              <w:left w:w="0" w:type="dxa"/>
              <w:bottom w:w="0" w:type="dxa"/>
              <w:right w:w="15" w:type="dxa"/>
            </w:tcMar>
            <w:vAlign w:val="bottom"/>
          </w:tcPr>
          <w:p w14:paraId="650CF8FE" w14:textId="77777777" w:rsidR="001614AC" w:rsidRDefault="001614AC">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3DB91C6A" w14:textId="77777777" w:rsidR="001614AC" w:rsidRDefault="001614AC">
            <w:pPr>
              <w:keepNext/>
            </w:pPr>
          </w:p>
        </w:tc>
        <w:tc>
          <w:tcPr>
            <w:tcW w:w="905" w:type="dxa"/>
            <w:tcBorders>
              <w:top w:val="single" w:sz="8" w:space="0" w:color="E9E9E9"/>
              <w:left w:val="nil"/>
              <w:bottom w:val="single" w:sz="8" w:space="0" w:color="C7C9C7"/>
              <w:right w:val="nil"/>
            </w:tcBorders>
            <w:tcMar>
              <w:top w:w="0" w:type="dxa"/>
              <w:left w:w="53" w:type="dxa"/>
              <w:bottom w:w="0" w:type="dxa"/>
              <w:right w:w="0" w:type="dxa"/>
            </w:tcMar>
            <w:vAlign w:val="bottom"/>
          </w:tcPr>
          <w:p w14:paraId="0183D6D1" w14:textId="77777777" w:rsidR="001614AC" w:rsidRDefault="004468F9">
            <w:pPr>
              <w:keepNext/>
              <w:spacing w:before="55" w:after="30" w:line="288" w:lineRule="auto"/>
              <w:jc w:val="right"/>
            </w:pPr>
            <w:r>
              <w:rPr>
                <w:rFonts w:ascii="Arial" w:eastAsia="Arial" w:hAnsi="Arial" w:cs="Arial"/>
                <w:color w:val="000000"/>
                <w:sz w:val="18"/>
              </w:rPr>
              <w:t>(0.1)</w:t>
            </w:r>
          </w:p>
        </w:tc>
        <w:tc>
          <w:tcPr>
            <w:tcW w:w="100" w:type="dxa"/>
            <w:tcBorders>
              <w:top w:val="single" w:sz="8" w:space="0" w:color="E9E9E9"/>
              <w:left w:val="nil"/>
              <w:bottom w:val="single" w:sz="8" w:space="0" w:color="C7C9C7"/>
              <w:right w:val="nil"/>
            </w:tcBorders>
            <w:tcMar>
              <w:top w:w="0" w:type="dxa"/>
              <w:left w:w="0" w:type="dxa"/>
              <w:bottom w:w="0" w:type="dxa"/>
              <w:right w:w="15" w:type="dxa"/>
            </w:tcMar>
            <w:vAlign w:val="bottom"/>
          </w:tcPr>
          <w:p w14:paraId="39D4CE44" w14:textId="77777777" w:rsidR="001614AC" w:rsidRDefault="001614AC">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33F9E557" w14:textId="77777777" w:rsidR="001614AC" w:rsidRDefault="001614AC">
            <w:pPr>
              <w:keepNext/>
            </w:pPr>
          </w:p>
        </w:tc>
        <w:tc>
          <w:tcPr>
            <w:tcW w:w="905" w:type="dxa"/>
            <w:tcBorders>
              <w:top w:val="single" w:sz="8" w:space="0" w:color="E9E9E9"/>
              <w:left w:val="nil"/>
              <w:bottom w:val="single" w:sz="8" w:space="0" w:color="C7C9C7"/>
              <w:right w:val="nil"/>
            </w:tcBorders>
            <w:tcMar>
              <w:top w:w="0" w:type="dxa"/>
              <w:left w:w="53" w:type="dxa"/>
              <w:bottom w:w="0" w:type="dxa"/>
              <w:right w:w="0" w:type="dxa"/>
            </w:tcMar>
            <w:vAlign w:val="bottom"/>
          </w:tcPr>
          <w:p w14:paraId="14E0095C" w14:textId="77777777" w:rsidR="001614AC" w:rsidRDefault="004468F9">
            <w:pPr>
              <w:keepNext/>
              <w:spacing w:before="55" w:after="30" w:line="288" w:lineRule="auto"/>
              <w:jc w:val="right"/>
            </w:pPr>
            <w:r>
              <w:rPr>
                <w:rFonts w:ascii="Arial" w:eastAsia="Arial" w:hAnsi="Arial" w:cs="Arial"/>
                <w:color w:val="000000"/>
                <w:sz w:val="18"/>
              </w:rPr>
              <w:t>(0.1)</w:t>
            </w:r>
          </w:p>
        </w:tc>
        <w:tc>
          <w:tcPr>
            <w:tcW w:w="100" w:type="dxa"/>
            <w:tcBorders>
              <w:top w:val="single" w:sz="8" w:space="0" w:color="E9E9E9"/>
              <w:left w:val="nil"/>
              <w:bottom w:val="single" w:sz="8" w:space="0" w:color="C7C9C7"/>
              <w:right w:val="nil"/>
            </w:tcBorders>
            <w:tcMar>
              <w:top w:w="0" w:type="dxa"/>
              <w:left w:w="0" w:type="dxa"/>
              <w:bottom w:w="0" w:type="dxa"/>
              <w:right w:w="15" w:type="dxa"/>
            </w:tcMar>
            <w:vAlign w:val="bottom"/>
          </w:tcPr>
          <w:p w14:paraId="71D3BE39" w14:textId="77777777" w:rsidR="001614AC" w:rsidRDefault="001614AC">
            <w:pPr>
              <w:keepNext/>
              <w:spacing w:before="55" w:after="30" w:line="288" w:lineRule="auto"/>
              <w:jc w:val="right"/>
            </w:pPr>
          </w:p>
        </w:tc>
      </w:tr>
      <w:tr w:rsidR="001614AC" w14:paraId="749BC99A" w14:textId="77777777">
        <w:trPr>
          <w:cantSplit/>
        </w:trPr>
        <w:tc>
          <w:tcPr>
            <w:tcW w:w="5640" w:type="dxa"/>
            <w:tcBorders>
              <w:top w:val="nil"/>
              <w:left w:val="nil"/>
              <w:bottom w:val="single" w:sz="8" w:space="0" w:color="FFFFFF"/>
              <w:right w:val="nil"/>
            </w:tcBorders>
            <w:shd w:val="clear" w:color="auto" w:fill="F4F4F4"/>
            <w:tcMar>
              <w:top w:w="0" w:type="dxa"/>
              <w:left w:w="53" w:type="dxa"/>
              <w:bottom w:w="0" w:type="dxa"/>
              <w:right w:w="53" w:type="dxa"/>
            </w:tcMar>
            <w:vAlign w:val="bottom"/>
          </w:tcPr>
          <w:p w14:paraId="185E53E5" w14:textId="77777777" w:rsidR="001614AC" w:rsidRDefault="004468F9">
            <w:pPr>
              <w:keepNext/>
              <w:spacing w:before="75" w:after="30" w:line="288" w:lineRule="auto"/>
              <w:ind w:left="240"/>
            </w:pPr>
            <w:r>
              <w:rPr>
                <w:rFonts w:ascii="Arial" w:eastAsia="Arial" w:hAnsi="Arial" w:cs="Arial"/>
                <w:color w:val="000000"/>
                <w:sz w:val="18"/>
              </w:rPr>
              <w:t>Impact of reconciling income (expense) items</w:t>
            </w:r>
          </w:p>
        </w:tc>
        <w:tc>
          <w:tcPr>
            <w:tcW w:w="105" w:type="dxa"/>
            <w:tcBorders>
              <w:top w:val="nil"/>
              <w:left w:val="nil"/>
              <w:bottom w:val="single" w:sz="8" w:space="0" w:color="FFFFFF"/>
              <w:right w:val="nil"/>
            </w:tcBorders>
            <w:shd w:val="clear" w:color="auto" w:fill="F4F4F4"/>
            <w:tcMar>
              <w:top w:w="0" w:type="dxa"/>
              <w:left w:w="0" w:type="dxa"/>
              <w:bottom w:w="0" w:type="dxa"/>
              <w:right w:w="0" w:type="dxa"/>
            </w:tcMar>
            <w:vAlign w:val="bottom"/>
          </w:tcPr>
          <w:p w14:paraId="75C53B06" w14:textId="77777777" w:rsidR="001614AC" w:rsidRDefault="001614AC">
            <w:pPr>
              <w:keepNext/>
            </w:pPr>
          </w:p>
        </w:tc>
        <w:tc>
          <w:tcPr>
            <w:tcW w:w="905" w:type="dxa"/>
            <w:tcBorders>
              <w:top w:val="single" w:sz="8" w:space="0" w:color="C7C9C7"/>
              <w:left w:val="nil"/>
              <w:bottom w:val="single" w:sz="8" w:space="0" w:color="C7C9C7"/>
              <w:right w:val="nil"/>
            </w:tcBorders>
            <w:shd w:val="clear" w:color="auto" w:fill="F4F4F4"/>
            <w:tcMar>
              <w:top w:w="0" w:type="dxa"/>
              <w:left w:w="53" w:type="dxa"/>
              <w:bottom w:w="0" w:type="dxa"/>
              <w:right w:w="0" w:type="dxa"/>
            </w:tcMar>
            <w:vAlign w:val="bottom"/>
          </w:tcPr>
          <w:p w14:paraId="2A765648" w14:textId="77777777" w:rsidR="001614AC" w:rsidRDefault="004468F9">
            <w:pPr>
              <w:keepNext/>
              <w:spacing w:before="55" w:after="30" w:line="288" w:lineRule="auto"/>
              <w:jc w:val="right"/>
            </w:pPr>
            <w:r>
              <w:rPr>
                <w:rFonts w:ascii="Arial" w:eastAsia="Arial" w:hAnsi="Arial" w:cs="Arial"/>
                <w:color w:val="000000"/>
                <w:sz w:val="18"/>
              </w:rPr>
              <w:t>0.9 </w:t>
            </w:r>
          </w:p>
        </w:tc>
        <w:tc>
          <w:tcPr>
            <w:tcW w:w="100" w:type="dxa"/>
            <w:tcBorders>
              <w:top w:val="single" w:sz="8" w:space="0" w:color="C7C9C7"/>
              <w:left w:val="nil"/>
              <w:bottom w:val="single" w:sz="8" w:space="0" w:color="C7C9C7"/>
              <w:right w:val="nil"/>
            </w:tcBorders>
            <w:shd w:val="clear" w:color="auto" w:fill="F4F4F4"/>
            <w:tcMar>
              <w:top w:w="0" w:type="dxa"/>
              <w:left w:w="0" w:type="dxa"/>
              <w:bottom w:w="0" w:type="dxa"/>
              <w:right w:w="15" w:type="dxa"/>
            </w:tcMar>
            <w:vAlign w:val="bottom"/>
          </w:tcPr>
          <w:p w14:paraId="18D8E0CD" w14:textId="77777777" w:rsidR="001614AC" w:rsidRDefault="001614AC">
            <w:pPr>
              <w:keepNext/>
              <w:spacing w:before="55" w:after="30" w:line="288" w:lineRule="auto"/>
              <w:jc w:val="right"/>
            </w:pPr>
          </w:p>
        </w:tc>
        <w:tc>
          <w:tcPr>
            <w:tcW w:w="105" w:type="dxa"/>
            <w:tcBorders>
              <w:top w:val="nil"/>
              <w:left w:val="nil"/>
              <w:bottom w:val="single" w:sz="8" w:space="0" w:color="FFFFFF"/>
              <w:right w:val="nil"/>
            </w:tcBorders>
            <w:shd w:val="clear" w:color="auto" w:fill="F4F4F4"/>
            <w:tcMar>
              <w:top w:w="0" w:type="dxa"/>
              <w:left w:w="0" w:type="dxa"/>
              <w:bottom w:w="0" w:type="dxa"/>
              <w:right w:w="0" w:type="dxa"/>
            </w:tcMar>
            <w:vAlign w:val="bottom"/>
          </w:tcPr>
          <w:p w14:paraId="5334C760" w14:textId="77777777" w:rsidR="001614AC" w:rsidRDefault="001614AC">
            <w:pPr>
              <w:keepNext/>
            </w:pPr>
          </w:p>
        </w:tc>
        <w:tc>
          <w:tcPr>
            <w:tcW w:w="905" w:type="dxa"/>
            <w:tcBorders>
              <w:top w:val="single" w:sz="8" w:space="0" w:color="C7C9C7"/>
              <w:left w:val="nil"/>
              <w:bottom w:val="single" w:sz="8" w:space="0" w:color="C7C9C7"/>
              <w:right w:val="nil"/>
            </w:tcBorders>
            <w:shd w:val="clear" w:color="auto" w:fill="F4F4F4"/>
            <w:tcMar>
              <w:top w:w="0" w:type="dxa"/>
              <w:left w:w="53" w:type="dxa"/>
              <w:bottom w:w="0" w:type="dxa"/>
              <w:right w:w="0" w:type="dxa"/>
            </w:tcMar>
            <w:vAlign w:val="bottom"/>
          </w:tcPr>
          <w:p w14:paraId="2AD1A2D7" w14:textId="77777777" w:rsidR="001614AC" w:rsidRDefault="004468F9">
            <w:pPr>
              <w:keepNext/>
              <w:spacing w:before="55" w:after="30" w:line="288" w:lineRule="auto"/>
              <w:jc w:val="right"/>
            </w:pPr>
            <w:r>
              <w:rPr>
                <w:rFonts w:ascii="Arial" w:eastAsia="Arial" w:hAnsi="Arial" w:cs="Arial"/>
                <w:color w:val="000000"/>
                <w:sz w:val="18"/>
              </w:rPr>
              <w:t>4.0 </w:t>
            </w:r>
          </w:p>
        </w:tc>
        <w:tc>
          <w:tcPr>
            <w:tcW w:w="100" w:type="dxa"/>
            <w:tcBorders>
              <w:top w:val="single" w:sz="8" w:space="0" w:color="C7C9C7"/>
              <w:left w:val="nil"/>
              <w:bottom w:val="single" w:sz="8" w:space="0" w:color="C7C9C7"/>
              <w:right w:val="nil"/>
            </w:tcBorders>
            <w:shd w:val="clear" w:color="auto" w:fill="F4F4F4"/>
            <w:tcMar>
              <w:top w:w="0" w:type="dxa"/>
              <w:left w:w="0" w:type="dxa"/>
              <w:bottom w:w="0" w:type="dxa"/>
              <w:right w:w="15" w:type="dxa"/>
            </w:tcMar>
            <w:vAlign w:val="bottom"/>
          </w:tcPr>
          <w:p w14:paraId="4760DA56" w14:textId="77777777" w:rsidR="001614AC" w:rsidRDefault="001614AC">
            <w:pPr>
              <w:keepNext/>
              <w:spacing w:before="55" w:after="30" w:line="288" w:lineRule="auto"/>
              <w:jc w:val="right"/>
            </w:pPr>
          </w:p>
        </w:tc>
        <w:tc>
          <w:tcPr>
            <w:tcW w:w="105" w:type="dxa"/>
            <w:tcBorders>
              <w:top w:val="nil"/>
              <w:left w:val="nil"/>
              <w:bottom w:val="single" w:sz="8" w:space="0" w:color="FFFFFF"/>
              <w:right w:val="nil"/>
            </w:tcBorders>
            <w:shd w:val="clear" w:color="auto" w:fill="F4F4F4"/>
            <w:tcMar>
              <w:top w:w="0" w:type="dxa"/>
              <w:left w:w="0" w:type="dxa"/>
              <w:bottom w:w="0" w:type="dxa"/>
              <w:right w:w="0" w:type="dxa"/>
            </w:tcMar>
            <w:vAlign w:val="bottom"/>
          </w:tcPr>
          <w:p w14:paraId="69A4F2FA" w14:textId="77777777" w:rsidR="001614AC" w:rsidRDefault="001614AC">
            <w:pPr>
              <w:keepNext/>
            </w:pPr>
          </w:p>
        </w:tc>
        <w:tc>
          <w:tcPr>
            <w:tcW w:w="905" w:type="dxa"/>
            <w:tcBorders>
              <w:top w:val="single" w:sz="8" w:space="0" w:color="C7C9C7"/>
              <w:left w:val="nil"/>
              <w:bottom w:val="single" w:sz="8" w:space="0" w:color="C7C9C7"/>
              <w:right w:val="nil"/>
            </w:tcBorders>
            <w:shd w:val="clear" w:color="auto" w:fill="F4F4F4"/>
            <w:tcMar>
              <w:top w:w="0" w:type="dxa"/>
              <w:left w:w="53" w:type="dxa"/>
              <w:bottom w:w="0" w:type="dxa"/>
              <w:right w:w="0" w:type="dxa"/>
            </w:tcMar>
            <w:vAlign w:val="bottom"/>
          </w:tcPr>
          <w:p w14:paraId="780A4393" w14:textId="77777777" w:rsidR="001614AC" w:rsidRDefault="004468F9">
            <w:pPr>
              <w:keepNext/>
              <w:spacing w:before="55" w:after="30" w:line="288" w:lineRule="auto"/>
              <w:jc w:val="right"/>
            </w:pPr>
            <w:r>
              <w:rPr>
                <w:rFonts w:ascii="Arial" w:eastAsia="Arial" w:hAnsi="Arial" w:cs="Arial"/>
                <w:color w:val="000000"/>
                <w:sz w:val="18"/>
              </w:rPr>
              <w:t>0.1 </w:t>
            </w:r>
          </w:p>
        </w:tc>
        <w:tc>
          <w:tcPr>
            <w:tcW w:w="100" w:type="dxa"/>
            <w:tcBorders>
              <w:top w:val="single" w:sz="8" w:space="0" w:color="C7C9C7"/>
              <w:left w:val="nil"/>
              <w:bottom w:val="single" w:sz="8" w:space="0" w:color="C7C9C7"/>
              <w:right w:val="nil"/>
            </w:tcBorders>
            <w:shd w:val="clear" w:color="auto" w:fill="F4F4F4"/>
            <w:tcMar>
              <w:top w:w="0" w:type="dxa"/>
              <w:left w:w="0" w:type="dxa"/>
              <w:bottom w:w="0" w:type="dxa"/>
              <w:right w:w="15" w:type="dxa"/>
            </w:tcMar>
            <w:vAlign w:val="bottom"/>
          </w:tcPr>
          <w:p w14:paraId="3CCF47AD" w14:textId="77777777" w:rsidR="001614AC" w:rsidRDefault="001614AC">
            <w:pPr>
              <w:keepNext/>
              <w:spacing w:before="55" w:after="30" w:line="288" w:lineRule="auto"/>
              <w:jc w:val="right"/>
            </w:pPr>
          </w:p>
        </w:tc>
        <w:tc>
          <w:tcPr>
            <w:tcW w:w="105" w:type="dxa"/>
            <w:tcBorders>
              <w:top w:val="nil"/>
              <w:left w:val="nil"/>
              <w:bottom w:val="single" w:sz="8" w:space="0" w:color="FFFFFF"/>
              <w:right w:val="nil"/>
            </w:tcBorders>
            <w:shd w:val="clear" w:color="auto" w:fill="F4F4F4"/>
            <w:tcMar>
              <w:top w:w="0" w:type="dxa"/>
              <w:left w:w="0" w:type="dxa"/>
              <w:bottom w:w="0" w:type="dxa"/>
              <w:right w:w="0" w:type="dxa"/>
            </w:tcMar>
            <w:vAlign w:val="bottom"/>
          </w:tcPr>
          <w:p w14:paraId="76FD99A0" w14:textId="77777777" w:rsidR="001614AC" w:rsidRDefault="001614AC">
            <w:pPr>
              <w:keepNext/>
            </w:pPr>
          </w:p>
        </w:tc>
        <w:tc>
          <w:tcPr>
            <w:tcW w:w="905" w:type="dxa"/>
            <w:tcBorders>
              <w:top w:val="single" w:sz="8" w:space="0" w:color="C7C9C7"/>
              <w:left w:val="nil"/>
              <w:bottom w:val="single" w:sz="8" w:space="0" w:color="C7C9C7"/>
              <w:right w:val="nil"/>
            </w:tcBorders>
            <w:shd w:val="clear" w:color="auto" w:fill="F4F4F4"/>
            <w:tcMar>
              <w:top w:w="0" w:type="dxa"/>
              <w:left w:w="53" w:type="dxa"/>
              <w:bottom w:w="0" w:type="dxa"/>
              <w:right w:w="0" w:type="dxa"/>
            </w:tcMar>
            <w:vAlign w:val="bottom"/>
          </w:tcPr>
          <w:p w14:paraId="79FB90E6" w14:textId="77777777" w:rsidR="001614AC" w:rsidRDefault="004468F9">
            <w:pPr>
              <w:keepNext/>
              <w:spacing w:before="55" w:after="30" w:line="288" w:lineRule="auto"/>
              <w:jc w:val="right"/>
            </w:pPr>
            <w:r>
              <w:rPr>
                <w:rFonts w:ascii="Arial" w:eastAsia="Arial" w:hAnsi="Arial" w:cs="Arial"/>
                <w:color w:val="000000"/>
                <w:sz w:val="18"/>
              </w:rPr>
              <w:t>0.9 </w:t>
            </w:r>
          </w:p>
        </w:tc>
        <w:tc>
          <w:tcPr>
            <w:tcW w:w="100" w:type="dxa"/>
            <w:tcBorders>
              <w:top w:val="single" w:sz="8" w:space="0" w:color="C7C9C7"/>
              <w:left w:val="nil"/>
              <w:bottom w:val="single" w:sz="8" w:space="0" w:color="C7C9C7"/>
              <w:right w:val="nil"/>
            </w:tcBorders>
            <w:shd w:val="clear" w:color="auto" w:fill="F4F4F4"/>
            <w:tcMar>
              <w:top w:w="0" w:type="dxa"/>
              <w:left w:w="0" w:type="dxa"/>
              <w:bottom w:w="0" w:type="dxa"/>
              <w:right w:w="15" w:type="dxa"/>
            </w:tcMar>
            <w:vAlign w:val="bottom"/>
          </w:tcPr>
          <w:p w14:paraId="42F2B879" w14:textId="77777777" w:rsidR="001614AC" w:rsidRDefault="001614AC">
            <w:pPr>
              <w:keepNext/>
              <w:spacing w:before="55" w:after="30" w:line="288" w:lineRule="auto"/>
              <w:jc w:val="right"/>
            </w:pPr>
          </w:p>
        </w:tc>
      </w:tr>
      <w:tr w:rsidR="001614AC" w14:paraId="2708DCC6" w14:textId="77777777">
        <w:trPr>
          <w:cantSplit/>
        </w:trPr>
        <w:tc>
          <w:tcPr>
            <w:tcW w:w="5640" w:type="dxa"/>
            <w:tcBorders>
              <w:top w:val="single" w:sz="8" w:space="0" w:color="FFFFFF"/>
              <w:left w:val="nil"/>
              <w:bottom w:val="nil"/>
              <w:right w:val="nil"/>
            </w:tcBorders>
            <w:shd w:val="clear" w:color="auto" w:fill="F4F4F4"/>
            <w:tcMar>
              <w:top w:w="0" w:type="dxa"/>
              <w:left w:w="53" w:type="dxa"/>
              <w:bottom w:w="0" w:type="dxa"/>
              <w:right w:w="53" w:type="dxa"/>
            </w:tcMar>
            <w:vAlign w:val="bottom"/>
          </w:tcPr>
          <w:p w14:paraId="17921C5F" w14:textId="77777777" w:rsidR="001614AC" w:rsidRDefault="004468F9">
            <w:pPr>
              <w:spacing w:before="55" w:after="30" w:line="288" w:lineRule="auto"/>
            </w:pPr>
            <w:r>
              <w:rPr>
                <w:rFonts w:ascii="Arial" w:eastAsia="Arial" w:hAnsi="Arial" w:cs="Arial"/>
                <w:color w:val="000000"/>
                <w:sz w:val="18"/>
              </w:rPr>
              <w:t>Adjusted net operating return on equity</w:t>
            </w:r>
          </w:p>
        </w:tc>
        <w:tc>
          <w:tcPr>
            <w:tcW w:w="105" w:type="dxa"/>
            <w:tcBorders>
              <w:top w:val="single" w:sz="8" w:space="0" w:color="FFFFFF"/>
              <w:left w:val="nil"/>
              <w:bottom w:val="nil"/>
              <w:right w:val="nil"/>
            </w:tcBorders>
            <w:shd w:val="clear" w:color="auto" w:fill="F4F4F4"/>
            <w:tcMar>
              <w:top w:w="0" w:type="dxa"/>
              <w:left w:w="0" w:type="dxa"/>
              <w:bottom w:w="0" w:type="dxa"/>
              <w:right w:w="0" w:type="dxa"/>
            </w:tcMar>
            <w:vAlign w:val="bottom"/>
          </w:tcPr>
          <w:p w14:paraId="5B573310" w14:textId="77777777" w:rsidR="001614AC" w:rsidRDefault="001614AC"/>
        </w:tc>
        <w:tc>
          <w:tcPr>
            <w:tcW w:w="905" w:type="dxa"/>
            <w:tcBorders>
              <w:top w:val="single" w:sz="8" w:space="0" w:color="C7C9C7"/>
              <w:left w:val="nil"/>
              <w:bottom w:val="double" w:sz="8" w:space="0" w:color="C7C9C7"/>
              <w:right w:val="nil"/>
            </w:tcBorders>
            <w:shd w:val="clear" w:color="auto" w:fill="F4F4F4"/>
            <w:tcMar>
              <w:top w:w="0" w:type="dxa"/>
              <w:left w:w="53" w:type="dxa"/>
              <w:bottom w:w="0" w:type="dxa"/>
              <w:right w:w="0" w:type="dxa"/>
            </w:tcMar>
            <w:vAlign w:val="bottom"/>
          </w:tcPr>
          <w:p w14:paraId="3B4EE2C0" w14:textId="77777777" w:rsidR="001614AC" w:rsidRDefault="004468F9">
            <w:pPr>
              <w:spacing w:before="55" w:after="30" w:line="288" w:lineRule="auto"/>
              <w:jc w:val="right"/>
            </w:pPr>
            <w:r>
              <w:rPr>
                <w:rFonts w:ascii="Arial" w:eastAsia="Arial" w:hAnsi="Arial" w:cs="Arial"/>
                <w:color w:val="000000"/>
                <w:sz w:val="18"/>
              </w:rPr>
              <w:t>13.6 </w:t>
            </w:r>
          </w:p>
        </w:tc>
        <w:tc>
          <w:tcPr>
            <w:tcW w:w="100" w:type="dxa"/>
            <w:tcBorders>
              <w:top w:val="single" w:sz="8" w:space="0" w:color="C7C9C7"/>
              <w:left w:val="nil"/>
              <w:bottom w:val="double" w:sz="8" w:space="0" w:color="C7C9C7"/>
              <w:right w:val="nil"/>
            </w:tcBorders>
            <w:shd w:val="clear" w:color="auto" w:fill="F4F4F4"/>
            <w:tcMar>
              <w:top w:w="0" w:type="dxa"/>
              <w:left w:w="0" w:type="dxa"/>
              <w:bottom w:w="0" w:type="dxa"/>
              <w:right w:w="15" w:type="dxa"/>
            </w:tcMar>
            <w:vAlign w:val="bottom"/>
          </w:tcPr>
          <w:p w14:paraId="5C5DB5D7" w14:textId="77777777" w:rsidR="001614AC" w:rsidRDefault="004468F9">
            <w:pPr>
              <w:spacing w:before="55" w:after="30" w:line="288" w:lineRule="auto"/>
              <w:jc w:val="right"/>
            </w:pPr>
            <w:r>
              <w:rPr>
                <w:rFonts w:ascii="Arial" w:eastAsia="Arial" w:hAnsi="Arial" w:cs="Arial"/>
                <w:color w:val="000000"/>
                <w:sz w:val="18"/>
              </w:rPr>
              <w:t>%</w:t>
            </w:r>
          </w:p>
        </w:tc>
        <w:tc>
          <w:tcPr>
            <w:tcW w:w="105" w:type="dxa"/>
            <w:tcBorders>
              <w:top w:val="single" w:sz="8" w:space="0" w:color="FFFFFF"/>
              <w:left w:val="nil"/>
              <w:bottom w:val="nil"/>
              <w:right w:val="nil"/>
            </w:tcBorders>
            <w:shd w:val="clear" w:color="auto" w:fill="F4F4F4"/>
            <w:tcMar>
              <w:top w:w="0" w:type="dxa"/>
              <w:left w:w="0" w:type="dxa"/>
              <w:bottom w:w="0" w:type="dxa"/>
              <w:right w:w="0" w:type="dxa"/>
            </w:tcMar>
            <w:vAlign w:val="bottom"/>
          </w:tcPr>
          <w:p w14:paraId="1215EDFF" w14:textId="77777777" w:rsidR="001614AC" w:rsidRDefault="001614AC"/>
        </w:tc>
        <w:tc>
          <w:tcPr>
            <w:tcW w:w="905" w:type="dxa"/>
            <w:tcBorders>
              <w:top w:val="single" w:sz="8" w:space="0" w:color="C7C9C7"/>
              <w:left w:val="nil"/>
              <w:bottom w:val="double" w:sz="8" w:space="0" w:color="C7C9C7"/>
              <w:right w:val="nil"/>
            </w:tcBorders>
            <w:shd w:val="clear" w:color="auto" w:fill="F4F4F4"/>
            <w:tcMar>
              <w:top w:w="0" w:type="dxa"/>
              <w:left w:w="53" w:type="dxa"/>
              <w:bottom w:w="0" w:type="dxa"/>
              <w:right w:w="0" w:type="dxa"/>
            </w:tcMar>
            <w:vAlign w:val="bottom"/>
          </w:tcPr>
          <w:p w14:paraId="6E5810E6" w14:textId="77777777" w:rsidR="001614AC" w:rsidRDefault="004468F9">
            <w:pPr>
              <w:spacing w:before="55" w:after="30" w:line="288" w:lineRule="auto"/>
              <w:jc w:val="right"/>
            </w:pPr>
            <w:r>
              <w:rPr>
                <w:rFonts w:ascii="Arial" w:eastAsia="Arial" w:hAnsi="Arial" w:cs="Arial"/>
                <w:color w:val="000000"/>
                <w:sz w:val="18"/>
              </w:rPr>
              <w:t>(7.1)</w:t>
            </w:r>
          </w:p>
        </w:tc>
        <w:tc>
          <w:tcPr>
            <w:tcW w:w="100" w:type="dxa"/>
            <w:tcBorders>
              <w:top w:val="single" w:sz="8" w:space="0" w:color="C7C9C7"/>
              <w:left w:val="nil"/>
              <w:bottom w:val="double" w:sz="8" w:space="0" w:color="C7C9C7"/>
              <w:right w:val="nil"/>
            </w:tcBorders>
            <w:shd w:val="clear" w:color="auto" w:fill="F4F4F4"/>
            <w:tcMar>
              <w:top w:w="0" w:type="dxa"/>
              <w:left w:w="0" w:type="dxa"/>
              <w:bottom w:w="0" w:type="dxa"/>
              <w:right w:w="15" w:type="dxa"/>
            </w:tcMar>
            <w:vAlign w:val="bottom"/>
          </w:tcPr>
          <w:p w14:paraId="438D2969" w14:textId="77777777" w:rsidR="001614AC" w:rsidRDefault="004468F9">
            <w:pPr>
              <w:spacing w:before="55" w:after="30" w:line="288" w:lineRule="auto"/>
              <w:jc w:val="right"/>
            </w:pPr>
            <w:r>
              <w:rPr>
                <w:rFonts w:ascii="Arial" w:eastAsia="Arial" w:hAnsi="Arial" w:cs="Arial"/>
                <w:color w:val="000000"/>
                <w:sz w:val="18"/>
              </w:rPr>
              <w:t>%</w:t>
            </w:r>
          </w:p>
        </w:tc>
        <w:tc>
          <w:tcPr>
            <w:tcW w:w="105" w:type="dxa"/>
            <w:tcBorders>
              <w:top w:val="single" w:sz="8" w:space="0" w:color="FFFFFF"/>
              <w:left w:val="nil"/>
              <w:bottom w:val="nil"/>
              <w:right w:val="nil"/>
            </w:tcBorders>
            <w:shd w:val="clear" w:color="auto" w:fill="F4F4F4"/>
            <w:tcMar>
              <w:top w:w="0" w:type="dxa"/>
              <w:left w:w="0" w:type="dxa"/>
              <w:bottom w:w="0" w:type="dxa"/>
              <w:right w:w="0" w:type="dxa"/>
            </w:tcMar>
            <w:vAlign w:val="bottom"/>
          </w:tcPr>
          <w:p w14:paraId="197A83AE" w14:textId="77777777" w:rsidR="001614AC" w:rsidRDefault="001614AC"/>
        </w:tc>
        <w:tc>
          <w:tcPr>
            <w:tcW w:w="905" w:type="dxa"/>
            <w:tcBorders>
              <w:top w:val="single" w:sz="8" w:space="0" w:color="C7C9C7"/>
              <w:left w:val="nil"/>
              <w:bottom w:val="double" w:sz="8" w:space="0" w:color="C7C9C7"/>
              <w:right w:val="nil"/>
            </w:tcBorders>
            <w:shd w:val="clear" w:color="auto" w:fill="F4F4F4"/>
            <w:tcMar>
              <w:top w:w="0" w:type="dxa"/>
              <w:left w:w="53" w:type="dxa"/>
              <w:bottom w:w="0" w:type="dxa"/>
              <w:right w:w="0" w:type="dxa"/>
            </w:tcMar>
            <w:vAlign w:val="bottom"/>
          </w:tcPr>
          <w:p w14:paraId="0C1A5838" w14:textId="77777777" w:rsidR="001614AC" w:rsidRDefault="004468F9">
            <w:pPr>
              <w:spacing w:before="55" w:after="30" w:line="288" w:lineRule="auto"/>
              <w:jc w:val="right"/>
            </w:pPr>
            <w:r>
              <w:rPr>
                <w:rFonts w:ascii="Arial" w:eastAsia="Arial" w:hAnsi="Arial" w:cs="Arial"/>
                <w:color w:val="000000"/>
                <w:sz w:val="18"/>
              </w:rPr>
              <w:t>12.9 </w:t>
            </w:r>
          </w:p>
        </w:tc>
        <w:tc>
          <w:tcPr>
            <w:tcW w:w="100" w:type="dxa"/>
            <w:tcBorders>
              <w:top w:val="single" w:sz="8" w:space="0" w:color="C7C9C7"/>
              <w:left w:val="nil"/>
              <w:bottom w:val="double" w:sz="8" w:space="0" w:color="C7C9C7"/>
              <w:right w:val="nil"/>
            </w:tcBorders>
            <w:shd w:val="clear" w:color="auto" w:fill="F4F4F4"/>
            <w:tcMar>
              <w:top w:w="0" w:type="dxa"/>
              <w:left w:w="0" w:type="dxa"/>
              <w:bottom w:w="0" w:type="dxa"/>
              <w:right w:w="15" w:type="dxa"/>
            </w:tcMar>
            <w:vAlign w:val="bottom"/>
          </w:tcPr>
          <w:p w14:paraId="69B7240C" w14:textId="77777777" w:rsidR="001614AC" w:rsidRDefault="004468F9">
            <w:pPr>
              <w:spacing w:before="55" w:after="30" w:line="288" w:lineRule="auto"/>
              <w:jc w:val="right"/>
            </w:pPr>
            <w:r>
              <w:rPr>
                <w:rFonts w:ascii="Arial" w:eastAsia="Arial" w:hAnsi="Arial" w:cs="Arial"/>
                <w:color w:val="000000"/>
                <w:sz w:val="18"/>
              </w:rPr>
              <w:t>%</w:t>
            </w:r>
          </w:p>
        </w:tc>
        <w:tc>
          <w:tcPr>
            <w:tcW w:w="105" w:type="dxa"/>
            <w:tcBorders>
              <w:top w:val="single" w:sz="8" w:space="0" w:color="FFFFFF"/>
              <w:left w:val="nil"/>
              <w:bottom w:val="nil"/>
              <w:right w:val="nil"/>
            </w:tcBorders>
            <w:shd w:val="clear" w:color="auto" w:fill="F4F4F4"/>
            <w:tcMar>
              <w:top w:w="0" w:type="dxa"/>
              <w:left w:w="0" w:type="dxa"/>
              <w:bottom w:w="0" w:type="dxa"/>
              <w:right w:w="0" w:type="dxa"/>
            </w:tcMar>
            <w:vAlign w:val="bottom"/>
          </w:tcPr>
          <w:p w14:paraId="31EEDA0B" w14:textId="77777777" w:rsidR="001614AC" w:rsidRDefault="001614AC"/>
        </w:tc>
        <w:tc>
          <w:tcPr>
            <w:tcW w:w="905" w:type="dxa"/>
            <w:tcBorders>
              <w:top w:val="single" w:sz="8" w:space="0" w:color="C7C9C7"/>
              <w:left w:val="nil"/>
              <w:bottom w:val="double" w:sz="8" w:space="0" w:color="C7C9C7"/>
              <w:right w:val="nil"/>
            </w:tcBorders>
            <w:shd w:val="clear" w:color="auto" w:fill="F4F4F4"/>
            <w:tcMar>
              <w:top w:w="0" w:type="dxa"/>
              <w:left w:w="53" w:type="dxa"/>
              <w:bottom w:w="0" w:type="dxa"/>
              <w:right w:w="0" w:type="dxa"/>
            </w:tcMar>
            <w:vAlign w:val="bottom"/>
          </w:tcPr>
          <w:p w14:paraId="332FB13D" w14:textId="77777777" w:rsidR="001614AC" w:rsidRDefault="004468F9">
            <w:pPr>
              <w:spacing w:before="55" w:after="30" w:line="288" w:lineRule="auto"/>
              <w:jc w:val="right"/>
            </w:pPr>
            <w:r>
              <w:rPr>
                <w:rFonts w:ascii="Arial" w:eastAsia="Arial" w:hAnsi="Arial" w:cs="Arial"/>
                <w:color w:val="000000"/>
                <w:sz w:val="18"/>
              </w:rPr>
              <w:t>4.6 </w:t>
            </w:r>
          </w:p>
        </w:tc>
        <w:tc>
          <w:tcPr>
            <w:tcW w:w="100" w:type="dxa"/>
            <w:tcBorders>
              <w:top w:val="single" w:sz="8" w:space="0" w:color="C7C9C7"/>
              <w:left w:val="nil"/>
              <w:bottom w:val="double" w:sz="8" w:space="0" w:color="C7C9C7"/>
              <w:right w:val="nil"/>
            </w:tcBorders>
            <w:shd w:val="clear" w:color="auto" w:fill="F4F4F4"/>
            <w:tcMar>
              <w:top w:w="0" w:type="dxa"/>
              <w:left w:w="0" w:type="dxa"/>
              <w:bottom w:w="0" w:type="dxa"/>
              <w:right w:w="15" w:type="dxa"/>
            </w:tcMar>
            <w:vAlign w:val="bottom"/>
          </w:tcPr>
          <w:p w14:paraId="47AF3173" w14:textId="77777777" w:rsidR="001614AC" w:rsidRDefault="004468F9">
            <w:pPr>
              <w:spacing w:before="55" w:after="30" w:line="288" w:lineRule="auto"/>
              <w:jc w:val="right"/>
            </w:pPr>
            <w:r>
              <w:rPr>
                <w:rFonts w:ascii="Arial" w:eastAsia="Arial" w:hAnsi="Arial" w:cs="Arial"/>
                <w:color w:val="000000"/>
                <w:sz w:val="18"/>
              </w:rPr>
              <w:t>%</w:t>
            </w:r>
          </w:p>
        </w:tc>
      </w:tr>
    </w:tbl>
    <w:p w14:paraId="1A0A6329" w14:textId="77777777" w:rsidR="001614AC" w:rsidRDefault="004468F9" w:rsidP="004468F9">
      <w:pPr>
        <w:numPr>
          <w:ilvl w:val="0"/>
          <w:numId w:val="33"/>
        </w:numPr>
        <w:spacing w:line="288" w:lineRule="auto"/>
        <w:ind w:left="360"/>
        <w:rPr>
          <w:rFonts w:ascii="Arial" w:eastAsia="Arial" w:hAnsi="Arial" w:cs="Arial"/>
          <w:b/>
          <w:color w:val="64615D"/>
          <w:sz w:val="16"/>
        </w:rPr>
      </w:pPr>
      <w:r>
        <w:rPr>
          <w:rFonts w:ascii="Arial" w:eastAsia="Arial" w:hAnsi="Arial" w:cs="Arial"/>
          <w:color w:val="64615D"/>
          <w:sz w:val="16"/>
        </w:rPr>
        <w:t xml:space="preserve">Calculated by dividing </w:t>
      </w:r>
      <w:r>
        <w:rPr>
          <w:rFonts w:ascii="Arial" w:eastAsia="Arial" w:hAnsi="Arial" w:cs="Arial"/>
          <w:color w:val="64615D"/>
          <w:sz w:val="16"/>
        </w:rPr>
        <w:t>annualized net income (loss) by average stockholders’ equity, based on the average of the beginning and ending balances for each period presented.</w:t>
      </w:r>
    </w:p>
    <w:p w14:paraId="1B8ADD76" w14:textId="77777777" w:rsidR="001614AC" w:rsidRDefault="004468F9" w:rsidP="004468F9">
      <w:pPr>
        <w:numPr>
          <w:ilvl w:val="0"/>
          <w:numId w:val="33"/>
        </w:numPr>
        <w:spacing w:line="288" w:lineRule="auto"/>
        <w:ind w:left="360"/>
        <w:rPr>
          <w:rFonts w:ascii="Arial" w:eastAsia="Arial" w:hAnsi="Arial" w:cs="Arial"/>
          <w:b/>
          <w:color w:val="64615D"/>
          <w:sz w:val="16"/>
        </w:rPr>
      </w:pPr>
      <w:r>
        <w:rPr>
          <w:rFonts w:ascii="Arial" w:eastAsia="Arial" w:hAnsi="Arial" w:cs="Arial"/>
          <w:color w:val="64615D"/>
          <w:sz w:val="16"/>
        </w:rPr>
        <w:t>Annualized, as a percentage of average stockholders’ equity.</w:t>
      </w:r>
    </w:p>
    <w:p w14:paraId="395EA8DF" w14:textId="77777777" w:rsidR="001614AC" w:rsidRDefault="004468F9" w:rsidP="004468F9">
      <w:pPr>
        <w:numPr>
          <w:ilvl w:val="0"/>
          <w:numId w:val="33"/>
        </w:numPr>
        <w:spacing w:line="288" w:lineRule="auto"/>
        <w:ind w:left="360"/>
        <w:rPr>
          <w:rFonts w:ascii="Arial" w:eastAsia="Arial" w:hAnsi="Arial" w:cs="Arial"/>
          <w:b/>
          <w:color w:val="64615D"/>
          <w:sz w:val="16"/>
        </w:rPr>
      </w:pPr>
      <w:r>
        <w:rPr>
          <w:rFonts w:ascii="Arial" w:eastAsia="Arial" w:hAnsi="Arial" w:cs="Arial"/>
          <w:color w:val="64615D"/>
          <w:sz w:val="16"/>
        </w:rPr>
        <w:t>Calculated using the Company’s federal statutory</w:t>
      </w:r>
      <w:r>
        <w:rPr>
          <w:rFonts w:ascii="Arial" w:eastAsia="Arial" w:hAnsi="Arial" w:cs="Arial"/>
          <w:color w:val="64615D"/>
          <w:sz w:val="16"/>
        </w:rPr>
        <w:t xml:space="preserve"> tax rate of 21%. Any permanent tax adjustments and state income taxes on these items have been deemed immaterial and are not included.</w:t>
      </w:r>
    </w:p>
    <w:p w14:paraId="7F8144E8" w14:textId="77777777" w:rsidR="001614AC" w:rsidRDefault="001614AC" w:rsidP="004468F9">
      <w:pPr>
        <w:numPr>
          <w:ilvl w:val="0"/>
          <w:numId w:val="33"/>
        </w:numPr>
        <w:spacing w:line="288" w:lineRule="auto"/>
        <w:ind w:left="360"/>
        <w:rPr>
          <w:rFonts w:ascii="Arial" w:eastAsia="Arial" w:hAnsi="Arial" w:cs="Arial"/>
          <w:b/>
          <w:color w:val="64615D"/>
          <w:sz w:val="16"/>
        </w:rPr>
        <w:sectPr w:rsidR="001614AC">
          <w:headerReference w:type="default" r:id="rId47"/>
          <w:type w:val="continuous"/>
          <w:pgSz w:w="12240" w:h="15840"/>
          <w:pgMar w:top="1260" w:right="1080" w:bottom="1080" w:left="1080" w:header="270" w:footer="270" w:gutter="0"/>
          <w:cols w:space="708"/>
        </w:sectPr>
      </w:pPr>
    </w:p>
    <w:p w14:paraId="1D3D6694" w14:textId="77777777" w:rsidR="001614AC" w:rsidRDefault="004468F9">
      <w:pPr>
        <w:keepNext/>
        <w:spacing w:before="200" w:after="160" w:line="288" w:lineRule="auto"/>
        <w:ind w:left="360" w:hanging="360"/>
        <w:rPr>
          <w:rFonts w:ascii="Arial" w:eastAsia="Arial" w:hAnsi="Arial" w:cs="Arial"/>
          <w:b/>
          <w:color w:val="4D6B80"/>
          <w:sz w:val="30"/>
        </w:rPr>
      </w:pPr>
      <w:bookmarkStart w:id="33" w:name="Section34"/>
      <w:bookmarkEnd w:id="33"/>
      <w:r>
        <w:rPr>
          <w:rFonts w:ascii="Arial" w:eastAsia="Arial" w:hAnsi="Arial" w:cs="Arial"/>
          <w:b/>
          <w:color w:val="4D6B80"/>
          <w:sz w:val="30"/>
        </w:rPr>
        <w:lastRenderedPageBreak/>
        <w:t>Results of Operations—Mortgage</w:t>
      </w:r>
    </w:p>
    <w:p w14:paraId="5794FDA0" w14:textId="77777777" w:rsidR="001614AC" w:rsidRDefault="004468F9">
      <w:pPr>
        <w:keepNext/>
        <w:spacing w:before="180" w:after="140" w:line="288" w:lineRule="auto"/>
        <w:rPr>
          <w:rFonts w:ascii="Arial" w:eastAsia="Arial" w:hAnsi="Arial" w:cs="Arial"/>
          <w:b/>
          <w:color w:val="002B49"/>
          <w:sz w:val="26"/>
        </w:rPr>
      </w:pPr>
      <w:r>
        <w:rPr>
          <w:rFonts w:ascii="Arial" w:eastAsia="Arial" w:hAnsi="Arial" w:cs="Arial"/>
          <w:b/>
          <w:color w:val="002B49"/>
          <w:sz w:val="26"/>
        </w:rPr>
        <w:t xml:space="preserve">Three and Six Months Ended June 30, 2021 Compared to Three and Six Months Ended June 30, 2020 </w:t>
      </w:r>
    </w:p>
    <w:p w14:paraId="09D2D65E" w14:textId="77777777" w:rsidR="001614AC" w:rsidRDefault="004468F9">
      <w:pPr>
        <w:keepNext/>
        <w:spacing w:before="100" w:after="100" w:line="288" w:lineRule="auto"/>
        <w:ind w:firstLine="450"/>
        <w:rPr>
          <w:rFonts w:ascii="Arial" w:eastAsia="Arial" w:hAnsi="Arial" w:cs="Arial"/>
          <w:b/>
          <w:i/>
          <w:color w:val="4D6B80"/>
          <w:sz w:val="18"/>
        </w:rPr>
      </w:pPr>
      <w:r>
        <w:rPr>
          <w:rFonts w:ascii="Arial" w:eastAsia="Arial" w:hAnsi="Arial" w:cs="Arial"/>
          <w:sz w:val="18"/>
        </w:rPr>
        <w:t xml:space="preserve"> The following table summarizes our Mortgage segment’s results of operations for the three and six months ended June 30, 2021 and 2020.</w:t>
      </w:r>
    </w:p>
    <w:tbl>
      <w:tblPr>
        <w:tblW w:w="102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0"/>
        <w:gridCol w:w="107"/>
        <w:gridCol w:w="163"/>
        <w:gridCol w:w="760"/>
        <w:gridCol w:w="102"/>
        <w:gridCol w:w="77"/>
        <w:gridCol w:w="163"/>
        <w:gridCol w:w="760"/>
        <w:gridCol w:w="102"/>
        <w:gridCol w:w="77"/>
        <w:gridCol w:w="163"/>
        <w:gridCol w:w="1035"/>
        <w:gridCol w:w="102"/>
        <w:gridCol w:w="107"/>
        <w:gridCol w:w="163"/>
        <w:gridCol w:w="760"/>
        <w:gridCol w:w="102"/>
        <w:gridCol w:w="107"/>
        <w:gridCol w:w="163"/>
        <w:gridCol w:w="760"/>
        <w:gridCol w:w="102"/>
        <w:gridCol w:w="107"/>
        <w:gridCol w:w="163"/>
        <w:gridCol w:w="1035"/>
        <w:gridCol w:w="102"/>
      </w:tblGrid>
      <w:tr w:rsidR="001614AC" w14:paraId="78547EBD" w14:textId="77777777">
        <w:trPr>
          <w:cantSplit/>
        </w:trPr>
        <w:tc>
          <w:tcPr>
            <w:tcW w:w="10080" w:type="dxa"/>
            <w:gridSpan w:val="25"/>
            <w:tcBorders>
              <w:top w:val="nil"/>
              <w:left w:val="nil"/>
              <w:bottom w:val="single" w:sz="12" w:space="0" w:color="99AAB6"/>
              <w:right w:val="nil"/>
            </w:tcBorders>
            <w:tcMar>
              <w:top w:w="0" w:type="dxa"/>
              <w:left w:w="53" w:type="dxa"/>
              <w:bottom w:w="0" w:type="dxa"/>
              <w:right w:w="53" w:type="dxa"/>
            </w:tcMar>
            <w:vAlign w:val="bottom"/>
          </w:tcPr>
          <w:p w14:paraId="7876958F" w14:textId="77777777" w:rsidR="001614AC" w:rsidRDefault="004468F9">
            <w:pPr>
              <w:keepNext/>
              <w:spacing w:before="75" w:after="30" w:line="288" w:lineRule="auto"/>
            </w:pPr>
            <w:r>
              <w:rPr>
                <w:rFonts w:ascii="Arial" w:eastAsia="Arial" w:hAnsi="Arial" w:cs="Arial"/>
                <w:b/>
                <w:color w:val="000000"/>
                <w:sz w:val="20"/>
              </w:rPr>
              <w:t xml:space="preserve">Summary results of operations - Mortgage </w:t>
            </w:r>
          </w:p>
        </w:tc>
      </w:tr>
      <w:tr w:rsidR="001614AC" w14:paraId="7D3C0081" w14:textId="77777777">
        <w:trPr>
          <w:cantSplit/>
          <w:trHeight w:hRule="exact" w:val="135"/>
        </w:trPr>
        <w:tc>
          <w:tcPr>
            <w:tcW w:w="2940" w:type="dxa"/>
            <w:tcBorders>
              <w:top w:val="nil"/>
              <w:left w:val="nil"/>
              <w:bottom w:val="single" w:sz="8" w:space="0" w:color="FFFFFF"/>
              <w:right w:val="nil"/>
            </w:tcBorders>
            <w:tcMar>
              <w:top w:w="0" w:type="dxa"/>
              <w:left w:w="0" w:type="dxa"/>
              <w:bottom w:w="0" w:type="dxa"/>
              <w:right w:w="0" w:type="dxa"/>
            </w:tcMar>
            <w:vAlign w:val="bottom"/>
          </w:tcPr>
          <w:p w14:paraId="5C8F1929" w14:textId="77777777" w:rsidR="001614AC" w:rsidRDefault="001614AC">
            <w:pPr>
              <w:keepNext/>
            </w:pPr>
          </w:p>
        </w:tc>
        <w:tc>
          <w:tcPr>
            <w:tcW w:w="105" w:type="dxa"/>
            <w:tcBorders>
              <w:top w:val="single" w:sz="12" w:space="0" w:color="99AAB6"/>
              <w:left w:val="nil"/>
              <w:bottom w:val="nil"/>
              <w:right w:val="nil"/>
            </w:tcBorders>
            <w:tcMar>
              <w:top w:w="0" w:type="dxa"/>
              <w:left w:w="0" w:type="dxa"/>
              <w:bottom w:w="0" w:type="dxa"/>
              <w:right w:w="0" w:type="dxa"/>
            </w:tcMar>
            <w:vAlign w:val="bottom"/>
          </w:tcPr>
          <w:p w14:paraId="78C52783" w14:textId="77777777" w:rsidR="001614AC" w:rsidRDefault="001614AC">
            <w:pPr>
              <w:keepNext/>
            </w:pPr>
          </w:p>
        </w:tc>
        <w:tc>
          <w:tcPr>
            <w:tcW w:w="1005" w:type="dxa"/>
            <w:gridSpan w:val="3"/>
            <w:tcBorders>
              <w:top w:val="single" w:sz="12" w:space="0" w:color="99AAB6"/>
              <w:left w:val="nil"/>
              <w:bottom w:val="single" w:sz="8" w:space="0" w:color="FFFFFF"/>
              <w:right w:val="nil"/>
            </w:tcBorders>
            <w:tcMar>
              <w:top w:w="0" w:type="dxa"/>
              <w:left w:w="0" w:type="dxa"/>
              <w:bottom w:w="0" w:type="dxa"/>
              <w:right w:w="0" w:type="dxa"/>
            </w:tcMar>
            <w:vAlign w:val="bottom"/>
          </w:tcPr>
          <w:p w14:paraId="3E89C2D4" w14:textId="77777777" w:rsidR="001614AC" w:rsidRDefault="001614AC">
            <w:pPr>
              <w:keepNext/>
            </w:pPr>
          </w:p>
        </w:tc>
        <w:tc>
          <w:tcPr>
            <w:tcW w:w="75" w:type="dxa"/>
            <w:tcBorders>
              <w:top w:val="single" w:sz="12" w:space="0" w:color="99AAB6"/>
              <w:left w:val="nil"/>
              <w:bottom w:val="single" w:sz="8" w:space="0" w:color="FFFFFF"/>
              <w:right w:val="nil"/>
            </w:tcBorders>
            <w:tcMar>
              <w:top w:w="0" w:type="dxa"/>
              <w:left w:w="0" w:type="dxa"/>
              <w:bottom w:w="0" w:type="dxa"/>
              <w:right w:w="0" w:type="dxa"/>
            </w:tcMar>
            <w:vAlign w:val="bottom"/>
          </w:tcPr>
          <w:p w14:paraId="46040AC5" w14:textId="77777777" w:rsidR="001614AC" w:rsidRDefault="001614AC">
            <w:pPr>
              <w:keepNext/>
            </w:pPr>
          </w:p>
        </w:tc>
        <w:tc>
          <w:tcPr>
            <w:tcW w:w="1005" w:type="dxa"/>
            <w:gridSpan w:val="3"/>
            <w:tcBorders>
              <w:top w:val="single" w:sz="12" w:space="0" w:color="99AAB6"/>
              <w:left w:val="nil"/>
              <w:bottom w:val="single" w:sz="8" w:space="0" w:color="FFFFFF"/>
              <w:right w:val="nil"/>
            </w:tcBorders>
            <w:tcMar>
              <w:top w:w="0" w:type="dxa"/>
              <w:left w:w="0" w:type="dxa"/>
              <w:bottom w:w="0" w:type="dxa"/>
              <w:right w:w="0" w:type="dxa"/>
            </w:tcMar>
            <w:vAlign w:val="bottom"/>
          </w:tcPr>
          <w:p w14:paraId="241DF38C" w14:textId="77777777" w:rsidR="001614AC" w:rsidRDefault="001614AC">
            <w:pPr>
              <w:keepNext/>
            </w:pPr>
          </w:p>
        </w:tc>
        <w:tc>
          <w:tcPr>
            <w:tcW w:w="75" w:type="dxa"/>
            <w:tcBorders>
              <w:top w:val="single" w:sz="12" w:space="0" w:color="99AAB6"/>
              <w:left w:val="nil"/>
              <w:bottom w:val="single" w:sz="8" w:space="0" w:color="FFFFFF"/>
              <w:right w:val="nil"/>
            </w:tcBorders>
            <w:tcMar>
              <w:top w:w="0" w:type="dxa"/>
              <w:left w:w="0" w:type="dxa"/>
              <w:bottom w:w="0" w:type="dxa"/>
              <w:right w:w="0" w:type="dxa"/>
            </w:tcMar>
            <w:vAlign w:val="bottom"/>
          </w:tcPr>
          <w:p w14:paraId="2C14FC61" w14:textId="77777777" w:rsidR="001614AC" w:rsidRDefault="001614AC">
            <w:pPr>
              <w:keepNext/>
            </w:pPr>
          </w:p>
        </w:tc>
        <w:tc>
          <w:tcPr>
            <w:tcW w:w="1275" w:type="dxa"/>
            <w:gridSpan w:val="3"/>
            <w:tcBorders>
              <w:top w:val="single" w:sz="12" w:space="0" w:color="99AAB6"/>
              <w:left w:val="nil"/>
              <w:bottom w:val="single" w:sz="8" w:space="0" w:color="F4F4F4"/>
              <w:right w:val="nil"/>
            </w:tcBorders>
            <w:tcMar>
              <w:top w:w="0" w:type="dxa"/>
              <w:left w:w="0" w:type="dxa"/>
              <w:bottom w:w="0" w:type="dxa"/>
              <w:right w:w="0" w:type="dxa"/>
            </w:tcMar>
            <w:vAlign w:val="bottom"/>
          </w:tcPr>
          <w:p w14:paraId="3C22E9C2" w14:textId="77777777" w:rsidR="001614AC" w:rsidRDefault="001614AC">
            <w:pPr>
              <w:keepNext/>
            </w:pPr>
          </w:p>
        </w:tc>
        <w:tc>
          <w:tcPr>
            <w:tcW w:w="105" w:type="dxa"/>
            <w:tcBorders>
              <w:top w:val="single" w:sz="12" w:space="0" w:color="99AAB6"/>
              <w:left w:val="nil"/>
              <w:bottom w:val="single" w:sz="8" w:space="0" w:color="FFFFFF"/>
              <w:right w:val="nil"/>
            </w:tcBorders>
            <w:tcMar>
              <w:top w:w="0" w:type="dxa"/>
              <w:left w:w="0" w:type="dxa"/>
              <w:bottom w:w="0" w:type="dxa"/>
              <w:right w:w="0" w:type="dxa"/>
            </w:tcMar>
            <w:vAlign w:val="bottom"/>
          </w:tcPr>
          <w:p w14:paraId="226E8D1F" w14:textId="77777777" w:rsidR="001614AC" w:rsidRDefault="001614AC">
            <w:pPr>
              <w:keepNext/>
            </w:pPr>
          </w:p>
        </w:tc>
        <w:tc>
          <w:tcPr>
            <w:tcW w:w="1005" w:type="dxa"/>
            <w:gridSpan w:val="3"/>
            <w:tcBorders>
              <w:top w:val="single" w:sz="12" w:space="0" w:color="99AAB6"/>
              <w:left w:val="nil"/>
              <w:bottom w:val="single" w:sz="8" w:space="0" w:color="FFFFFF"/>
              <w:right w:val="nil"/>
            </w:tcBorders>
            <w:tcMar>
              <w:top w:w="0" w:type="dxa"/>
              <w:left w:w="0" w:type="dxa"/>
              <w:bottom w:w="0" w:type="dxa"/>
              <w:right w:w="0" w:type="dxa"/>
            </w:tcMar>
            <w:vAlign w:val="bottom"/>
          </w:tcPr>
          <w:p w14:paraId="0628A958" w14:textId="77777777" w:rsidR="001614AC" w:rsidRDefault="001614AC">
            <w:pPr>
              <w:keepNext/>
            </w:pPr>
          </w:p>
        </w:tc>
        <w:tc>
          <w:tcPr>
            <w:tcW w:w="105" w:type="dxa"/>
            <w:tcBorders>
              <w:top w:val="single" w:sz="12" w:space="0" w:color="99AAB6"/>
              <w:left w:val="nil"/>
              <w:bottom w:val="single" w:sz="8" w:space="0" w:color="FFFFFF"/>
              <w:right w:val="nil"/>
            </w:tcBorders>
            <w:tcMar>
              <w:top w:w="0" w:type="dxa"/>
              <w:left w:w="0" w:type="dxa"/>
              <w:bottom w:w="0" w:type="dxa"/>
              <w:right w:w="0" w:type="dxa"/>
            </w:tcMar>
            <w:vAlign w:val="bottom"/>
          </w:tcPr>
          <w:p w14:paraId="60F54898" w14:textId="77777777" w:rsidR="001614AC" w:rsidRDefault="001614AC">
            <w:pPr>
              <w:keepNext/>
            </w:pPr>
          </w:p>
        </w:tc>
        <w:tc>
          <w:tcPr>
            <w:tcW w:w="1005" w:type="dxa"/>
            <w:gridSpan w:val="3"/>
            <w:tcBorders>
              <w:top w:val="single" w:sz="12" w:space="0" w:color="99AAB6"/>
              <w:left w:val="nil"/>
              <w:bottom w:val="single" w:sz="8" w:space="0" w:color="FFFFFF"/>
              <w:right w:val="nil"/>
            </w:tcBorders>
            <w:tcMar>
              <w:top w:w="0" w:type="dxa"/>
              <w:left w:w="0" w:type="dxa"/>
              <w:bottom w:w="0" w:type="dxa"/>
              <w:right w:w="0" w:type="dxa"/>
            </w:tcMar>
            <w:vAlign w:val="bottom"/>
          </w:tcPr>
          <w:p w14:paraId="3CEECED4" w14:textId="77777777" w:rsidR="001614AC" w:rsidRDefault="001614AC">
            <w:pPr>
              <w:keepNext/>
            </w:pPr>
          </w:p>
        </w:tc>
        <w:tc>
          <w:tcPr>
            <w:tcW w:w="105" w:type="dxa"/>
            <w:tcBorders>
              <w:top w:val="single" w:sz="12" w:space="0" w:color="99AAB6"/>
              <w:left w:val="nil"/>
              <w:bottom w:val="single" w:sz="8" w:space="0" w:color="FFFFFF"/>
              <w:right w:val="nil"/>
            </w:tcBorders>
            <w:tcMar>
              <w:top w:w="0" w:type="dxa"/>
              <w:left w:w="0" w:type="dxa"/>
              <w:bottom w:w="0" w:type="dxa"/>
              <w:right w:w="0" w:type="dxa"/>
            </w:tcMar>
            <w:vAlign w:val="bottom"/>
          </w:tcPr>
          <w:p w14:paraId="30816C2A" w14:textId="77777777" w:rsidR="001614AC" w:rsidRDefault="001614AC">
            <w:pPr>
              <w:keepNext/>
            </w:pPr>
          </w:p>
        </w:tc>
        <w:tc>
          <w:tcPr>
            <w:tcW w:w="1275" w:type="dxa"/>
            <w:gridSpan w:val="3"/>
            <w:tcBorders>
              <w:top w:val="single" w:sz="12" w:space="0" w:color="99AAB6"/>
              <w:left w:val="nil"/>
              <w:bottom w:val="single" w:sz="8" w:space="0" w:color="F4F4F4"/>
              <w:right w:val="nil"/>
            </w:tcBorders>
            <w:tcMar>
              <w:top w:w="0" w:type="dxa"/>
              <w:left w:w="0" w:type="dxa"/>
              <w:bottom w:w="0" w:type="dxa"/>
              <w:right w:w="0" w:type="dxa"/>
            </w:tcMar>
            <w:vAlign w:val="bottom"/>
          </w:tcPr>
          <w:p w14:paraId="701F563B" w14:textId="77777777" w:rsidR="001614AC" w:rsidRDefault="001614AC">
            <w:pPr>
              <w:keepNext/>
            </w:pPr>
          </w:p>
        </w:tc>
      </w:tr>
      <w:tr w:rsidR="001614AC" w14:paraId="7154DC91" w14:textId="77777777">
        <w:trPr>
          <w:cantSplit/>
        </w:trPr>
        <w:tc>
          <w:tcPr>
            <w:tcW w:w="2940" w:type="dxa"/>
            <w:tcBorders>
              <w:top w:val="single" w:sz="8" w:space="0" w:color="FFFFFF"/>
              <w:left w:val="nil"/>
              <w:bottom w:val="single" w:sz="8" w:space="0" w:color="FFFFFF"/>
              <w:right w:val="nil"/>
            </w:tcBorders>
            <w:tcMar>
              <w:top w:w="0" w:type="dxa"/>
              <w:left w:w="0" w:type="dxa"/>
              <w:bottom w:w="0" w:type="dxa"/>
              <w:right w:w="0" w:type="dxa"/>
            </w:tcMar>
            <w:vAlign w:val="bottom"/>
          </w:tcPr>
          <w:p w14:paraId="01EC4470" w14:textId="77777777" w:rsidR="001614AC" w:rsidRDefault="001614AC">
            <w:pPr>
              <w:keepNext/>
            </w:pPr>
          </w:p>
        </w:tc>
        <w:tc>
          <w:tcPr>
            <w:tcW w:w="105" w:type="dxa"/>
            <w:tcBorders>
              <w:top w:val="nil"/>
              <w:left w:val="nil"/>
              <w:bottom w:val="nil"/>
              <w:right w:val="nil"/>
            </w:tcBorders>
            <w:tcMar>
              <w:top w:w="0" w:type="dxa"/>
              <w:left w:w="0" w:type="dxa"/>
              <w:bottom w:w="0" w:type="dxa"/>
              <w:right w:w="0" w:type="dxa"/>
            </w:tcMar>
            <w:vAlign w:val="bottom"/>
          </w:tcPr>
          <w:p w14:paraId="600A1BA2" w14:textId="77777777" w:rsidR="001614AC" w:rsidRDefault="001614AC">
            <w:pPr>
              <w:keepNext/>
            </w:pPr>
          </w:p>
        </w:tc>
        <w:tc>
          <w:tcPr>
            <w:tcW w:w="2085" w:type="dxa"/>
            <w:gridSpan w:val="7"/>
            <w:tcBorders>
              <w:top w:val="nil"/>
              <w:left w:val="nil"/>
              <w:bottom w:val="nil"/>
              <w:right w:val="nil"/>
            </w:tcBorders>
            <w:tcMar>
              <w:top w:w="0" w:type="dxa"/>
              <w:left w:w="53" w:type="dxa"/>
              <w:bottom w:w="0" w:type="dxa"/>
              <w:right w:w="53" w:type="dxa"/>
            </w:tcMar>
            <w:vAlign w:val="bottom"/>
          </w:tcPr>
          <w:p w14:paraId="7ED2F05D" w14:textId="77777777" w:rsidR="001614AC" w:rsidRDefault="004468F9">
            <w:pPr>
              <w:keepNext/>
              <w:spacing w:before="55" w:line="288" w:lineRule="auto"/>
              <w:jc w:val="center"/>
            </w:pPr>
            <w:r>
              <w:rPr>
                <w:rFonts w:ascii="Arial" w:eastAsia="Arial" w:hAnsi="Arial" w:cs="Arial"/>
                <w:b/>
                <w:color w:val="00BAB3"/>
                <w:sz w:val="18"/>
              </w:rPr>
              <w:t>Three Months Ended</w:t>
            </w:r>
          </w:p>
          <w:p w14:paraId="7D5C20CF" w14:textId="77777777" w:rsidR="001614AC" w:rsidRDefault="004468F9">
            <w:pPr>
              <w:spacing w:after="30" w:line="288" w:lineRule="auto"/>
              <w:jc w:val="center"/>
            </w:pPr>
            <w:r>
              <w:rPr>
                <w:rFonts w:ascii="Arial" w:eastAsia="Arial" w:hAnsi="Arial" w:cs="Arial"/>
                <w:b/>
                <w:color w:val="00BAB3"/>
                <w:sz w:val="18"/>
              </w:rPr>
              <w:t>June 30,</w:t>
            </w:r>
          </w:p>
        </w:tc>
        <w:tc>
          <w:tcPr>
            <w:tcW w:w="75" w:type="dxa"/>
            <w:tcBorders>
              <w:top w:val="single" w:sz="8" w:space="0" w:color="FFFFFF"/>
              <w:left w:val="nil"/>
              <w:bottom w:val="single" w:sz="8" w:space="0" w:color="FFFFFF"/>
              <w:right w:val="nil"/>
            </w:tcBorders>
            <w:tcMar>
              <w:top w:w="0" w:type="dxa"/>
              <w:left w:w="0" w:type="dxa"/>
              <w:bottom w:w="0" w:type="dxa"/>
              <w:right w:w="0" w:type="dxa"/>
            </w:tcMar>
            <w:vAlign w:val="bottom"/>
          </w:tcPr>
          <w:p w14:paraId="52639D4F" w14:textId="77777777" w:rsidR="001614AC" w:rsidRDefault="001614AC">
            <w:pPr>
              <w:keepNext/>
            </w:pPr>
          </w:p>
        </w:tc>
        <w:tc>
          <w:tcPr>
            <w:tcW w:w="1275" w:type="dxa"/>
            <w:gridSpan w:val="3"/>
            <w:tcBorders>
              <w:top w:val="single" w:sz="8" w:space="0" w:color="F4F4F4"/>
              <w:left w:val="nil"/>
              <w:bottom w:val="single" w:sz="8" w:space="0" w:color="FFFFFF"/>
              <w:right w:val="nil"/>
            </w:tcBorders>
            <w:shd w:val="clear" w:color="auto" w:fill="F4F4F4"/>
            <w:tcMar>
              <w:top w:w="0" w:type="dxa"/>
              <w:left w:w="53" w:type="dxa"/>
              <w:bottom w:w="0" w:type="dxa"/>
              <w:right w:w="53" w:type="dxa"/>
            </w:tcMar>
          </w:tcPr>
          <w:p w14:paraId="5296C022" w14:textId="77777777" w:rsidR="001614AC" w:rsidRDefault="004468F9">
            <w:pPr>
              <w:keepNext/>
              <w:spacing w:before="55" w:line="288" w:lineRule="auto"/>
              <w:jc w:val="center"/>
              <w:rPr>
                <w:rFonts w:ascii="Arial" w:eastAsia="Arial" w:hAnsi="Arial" w:cs="Arial"/>
                <w:b/>
                <w:sz w:val="18"/>
              </w:rPr>
            </w:pPr>
            <w:r>
              <w:rPr>
                <w:rFonts w:ascii="Arial" w:eastAsia="Arial" w:hAnsi="Arial" w:cs="Arial"/>
                <w:b/>
                <w:sz w:val="18"/>
              </w:rPr>
              <w:t>Change</w:t>
            </w:r>
          </w:p>
          <w:p w14:paraId="7C55A96C" w14:textId="77777777" w:rsidR="001614AC" w:rsidRDefault="004468F9">
            <w:pPr>
              <w:spacing w:after="30" w:line="288" w:lineRule="auto"/>
              <w:jc w:val="center"/>
              <w:rPr>
                <w:rFonts w:ascii="Arial" w:eastAsia="Arial" w:hAnsi="Arial" w:cs="Arial"/>
                <w:b/>
                <w:sz w:val="16"/>
              </w:rPr>
            </w:pPr>
            <w:r>
              <w:rPr>
                <w:rFonts w:ascii="Arial" w:eastAsia="Arial" w:hAnsi="Arial" w:cs="Arial"/>
                <w:b/>
                <w:sz w:val="16"/>
              </w:rPr>
              <w:t xml:space="preserve">Favorable </w:t>
            </w:r>
            <w:r>
              <w:rPr>
                <w:rFonts w:ascii="Arial" w:eastAsia="Arial" w:hAnsi="Arial" w:cs="Arial"/>
                <w:b/>
                <w:sz w:val="16"/>
              </w:rPr>
              <w:t>(Unfavorable)</w:t>
            </w:r>
          </w:p>
        </w:tc>
        <w:tc>
          <w:tcPr>
            <w:tcW w:w="105" w:type="dxa"/>
            <w:tcBorders>
              <w:top w:val="single" w:sz="8" w:space="0" w:color="FFFFFF"/>
              <w:left w:val="nil"/>
              <w:bottom w:val="single" w:sz="8" w:space="0" w:color="FFFFFF"/>
              <w:right w:val="nil"/>
            </w:tcBorders>
            <w:tcMar>
              <w:top w:w="0" w:type="dxa"/>
              <w:left w:w="0" w:type="dxa"/>
              <w:bottom w:w="0" w:type="dxa"/>
              <w:right w:w="0" w:type="dxa"/>
            </w:tcMar>
            <w:vAlign w:val="bottom"/>
          </w:tcPr>
          <w:p w14:paraId="7D51829A" w14:textId="77777777" w:rsidR="001614AC" w:rsidRDefault="001614AC">
            <w:pPr>
              <w:keepNext/>
            </w:pPr>
          </w:p>
        </w:tc>
        <w:tc>
          <w:tcPr>
            <w:tcW w:w="2115" w:type="dxa"/>
            <w:gridSpan w:val="7"/>
            <w:tcBorders>
              <w:top w:val="nil"/>
              <w:left w:val="nil"/>
              <w:bottom w:val="nil"/>
              <w:right w:val="nil"/>
            </w:tcBorders>
            <w:tcMar>
              <w:top w:w="0" w:type="dxa"/>
              <w:left w:w="53" w:type="dxa"/>
              <w:bottom w:w="0" w:type="dxa"/>
              <w:right w:w="53" w:type="dxa"/>
            </w:tcMar>
            <w:vAlign w:val="bottom"/>
          </w:tcPr>
          <w:p w14:paraId="3B0C3D37" w14:textId="77777777" w:rsidR="001614AC" w:rsidRDefault="004468F9">
            <w:pPr>
              <w:keepNext/>
              <w:spacing w:before="55" w:line="288" w:lineRule="auto"/>
              <w:jc w:val="center"/>
            </w:pPr>
            <w:r>
              <w:rPr>
                <w:rFonts w:ascii="Arial" w:eastAsia="Arial" w:hAnsi="Arial" w:cs="Arial"/>
                <w:b/>
                <w:color w:val="00BAB3"/>
                <w:sz w:val="18"/>
              </w:rPr>
              <w:t>Six Months Ended</w:t>
            </w:r>
          </w:p>
          <w:p w14:paraId="5F9536C7" w14:textId="77777777" w:rsidR="001614AC" w:rsidRDefault="004468F9">
            <w:pPr>
              <w:spacing w:after="30" w:line="288" w:lineRule="auto"/>
              <w:jc w:val="center"/>
            </w:pPr>
            <w:r>
              <w:rPr>
                <w:rFonts w:ascii="Arial" w:eastAsia="Arial" w:hAnsi="Arial" w:cs="Arial"/>
                <w:b/>
                <w:color w:val="00BAB3"/>
                <w:sz w:val="18"/>
              </w:rPr>
              <w:t>June 30,</w:t>
            </w:r>
          </w:p>
        </w:tc>
        <w:tc>
          <w:tcPr>
            <w:tcW w:w="105" w:type="dxa"/>
            <w:tcBorders>
              <w:top w:val="single" w:sz="8" w:space="0" w:color="FFFFFF"/>
              <w:left w:val="nil"/>
              <w:bottom w:val="single" w:sz="8" w:space="0" w:color="FFFFFF"/>
              <w:right w:val="nil"/>
            </w:tcBorders>
            <w:tcMar>
              <w:top w:w="0" w:type="dxa"/>
              <w:left w:w="0" w:type="dxa"/>
              <w:bottom w:w="0" w:type="dxa"/>
              <w:right w:w="0" w:type="dxa"/>
            </w:tcMar>
            <w:vAlign w:val="bottom"/>
          </w:tcPr>
          <w:p w14:paraId="7A635B4A" w14:textId="77777777" w:rsidR="001614AC" w:rsidRDefault="001614AC">
            <w:pPr>
              <w:keepNext/>
            </w:pPr>
          </w:p>
        </w:tc>
        <w:tc>
          <w:tcPr>
            <w:tcW w:w="1275" w:type="dxa"/>
            <w:gridSpan w:val="3"/>
            <w:tcBorders>
              <w:top w:val="single" w:sz="8" w:space="0" w:color="F4F4F4"/>
              <w:left w:val="nil"/>
              <w:bottom w:val="single" w:sz="8" w:space="0" w:color="FFFFFF"/>
              <w:right w:val="nil"/>
            </w:tcBorders>
            <w:shd w:val="clear" w:color="auto" w:fill="F4F4F4"/>
            <w:tcMar>
              <w:top w:w="0" w:type="dxa"/>
              <w:left w:w="53" w:type="dxa"/>
              <w:bottom w:w="0" w:type="dxa"/>
              <w:right w:w="53" w:type="dxa"/>
            </w:tcMar>
          </w:tcPr>
          <w:p w14:paraId="50B20E68" w14:textId="77777777" w:rsidR="001614AC" w:rsidRDefault="004468F9">
            <w:pPr>
              <w:keepNext/>
              <w:spacing w:before="55" w:line="288" w:lineRule="auto"/>
              <w:jc w:val="center"/>
              <w:rPr>
                <w:rFonts w:ascii="Arial" w:eastAsia="Arial" w:hAnsi="Arial" w:cs="Arial"/>
                <w:b/>
                <w:sz w:val="18"/>
              </w:rPr>
            </w:pPr>
            <w:r>
              <w:rPr>
                <w:rFonts w:ascii="Arial" w:eastAsia="Arial" w:hAnsi="Arial" w:cs="Arial"/>
                <w:b/>
                <w:sz w:val="18"/>
              </w:rPr>
              <w:t>Change</w:t>
            </w:r>
          </w:p>
          <w:p w14:paraId="59DF949B" w14:textId="77777777" w:rsidR="001614AC" w:rsidRDefault="004468F9">
            <w:pPr>
              <w:spacing w:after="30" w:line="288" w:lineRule="auto"/>
              <w:jc w:val="center"/>
              <w:rPr>
                <w:rFonts w:ascii="Arial" w:eastAsia="Arial" w:hAnsi="Arial" w:cs="Arial"/>
                <w:b/>
                <w:sz w:val="16"/>
              </w:rPr>
            </w:pPr>
            <w:r>
              <w:rPr>
                <w:rFonts w:ascii="Arial" w:eastAsia="Arial" w:hAnsi="Arial" w:cs="Arial"/>
                <w:b/>
                <w:sz w:val="16"/>
              </w:rPr>
              <w:t>Favorable (Unfavorable)</w:t>
            </w:r>
          </w:p>
        </w:tc>
      </w:tr>
      <w:tr w:rsidR="001614AC" w14:paraId="46463EDE" w14:textId="77777777">
        <w:trPr>
          <w:cantSplit/>
        </w:trPr>
        <w:tc>
          <w:tcPr>
            <w:tcW w:w="2940" w:type="dxa"/>
            <w:tcBorders>
              <w:top w:val="single" w:sz="8" w:space="0" w:color="FFFFFF"/>
              <w:left w:val="nil"/>
              <w:bottom w:val="single" w:sz="8" w:space="0" w:color="C7C9C7"/>
              <w:right w:val="nil"/>
            </w:tcBorders>
            <w:tcMar>
              <w:top w:w="0" w:type="dxa"/>
              <w:left w:w="53" w:type="dxa"/>
              <w:bottom w:w="0" w:type="dxa"/>
              <w:right w:w="53" w:type="dxa"/>
            </w:tcMar>
            <w:vAlign w:val="bottom"/>
          </w:tcPr>
          <w:p w14:paraId="5F9E93D8" w14:textId="77777777" w:rsidR="001614AC" w:rsidRDefault="004468F9">
            <w:pPr>
              <w:keepNext/>
              <w:spacing w:before="55" w:after="30" w:line="288" w:lineRule="auto"/>
            </w:pPr>
            <w:r>
              <w:rPr>
                <w:rFonts w:ascii="Arial" w:eastAsia="Arial" w:hAnsi="Arial" w:cs="Arial"/>
                <w:color w:val="8B8886"/>
                <w:sz w:val="16"/>
              </w:rPr>
              <w:t>(In millions)</w:t>
            </w:r>
          </w:p>
        </w:tc>
        <w:tc>
          <w:tcPr>
            <w:tcW w:w="105" w:type="dxa"/>
            <w:tcBorders>
              <w:top w:val="nil"/>
              <w:left w:val="nil"/>
              <w:bottom w:val="single" w:sz="8" w:space="0" w:color="C7C9C7"/>
              <w:right w:val="nil"/>
            </w:tcBorders>
            <w:tcMar>
              <w:top w:w="0" w:type="dxa"/>
              <w:left w:w="0" w:type="dxa"/>
              <w:bottom w:w="0" w:type="dxa"/>
              <w:right w:w="0" w:type="dxa"/>
            </w:tcMar>
            <w:vAlign w:val="bottom"/>
          </w:tcPr>
          <w:p w14:paraId="619AB855" w14:textId="77777777" w:rsidR="001614AC" w:rsidRDefault="001614AC">
            <w:pPr>
              <w:keepNext/>
            </w:pPr>
          </w:p>
        </w:tc>
        <w:tc>
          <w:tcPr>
            <w:tcW w:w="1005" w:type="dxa"/>
            <w:gridSpan w:val="3"/>
            <w:tcBorders>
              <w:top w:val="single" w:sz="8" w:space="0" w:color="FFFFFF"/>
              <w:left w:val="nil"/>
              <w:bottom w:val="single" w:sz="8" w:space="0" w:color="C7C9C7"/>
              <w:right w:val="nil"/>
            </w:tcBorders>
            <w:shd w:val="clear" w:color="auto" w:fill="E6F8F8"/>
            <w:tcMar>
              <w:top w:w="0" w:type="dxa"/>
              <w:left w:w="53" w:type="dxa"/>
              <w:bottom w:w="0" w:type="dxa"/>
              <w:right w:w="53" w:type="dxa"/>
            </w:tcMar>
            <w:vAlign w:val="bottom"/>
          </w:tcPr>
          <w:p w14:paraId="079E802E" w14:textId="77777777" w:rsidR="001614AC" w:rsidRDefault="004468F9">
            <w:pPr>
              <w:keepNext/>
              <w:spacing w:before="55" w:after="30" w:line="288" w:lineRule="auto"/>
              <w:jc w:val="center"/>
            </w:pPr>
            <w:r>
              <w:rPr>
                <w:rFonts w:ascii="Arial" w:eastAsia="Arial" w:hAnsi="Arial" w:cs="Arial"/>
                <w:b/>
                <w:color w:val="00BAB3"/>
                <w:sz w:val="18"/>
              </w:rPr>
              <w:t>2021</w:t>
            </w:r>
          </w:p>
        </w:tc>
        <w:tc>
          <w:tcPr>
            <w:tcW w:w="75" w:type="dxa"/>
            <w:tcBorders>
              <w:top w:val="single" w:sz="8" w:space="0" w:color="FFFFFF"/>
              <w:left w:val="nil"/>
              <w:bottom w:val="single" w:sz="8" w:space="0" w:color="C7C9C7"/>
              <w:right w:val="nil"/>
            </w:tcBorders>
            <w:tcMar>
              <w:top w:w="0" w:type="dxa"/>
              <w:left w:w="0" w:type="dxa"/>
              <w:bottom w:w="0" w:type="dxa"/>
              <w:right w:w="0" w:type="dxa"/>
            </w:tcMar>
            <w:vAlign w:val="bottom"/>
          </w:tcPr>
          <w:p w14:paraId="66A81C61" w14:textId="77777777" w:rsidR="001614AC" w:rsidRDefault="001614AC">
            <w:pPr>
              <w:keepNext/>
            </w:pPr>
          </w:p>
        </w:tc>
        <w:tc>
          <w:tcPr>
            <w:tcW w:w="1005" w:type="dxa"/>
            <w:gridSpan w:val="3"/>
            <w:tcBorders>
              <w:top w:val="single" w:sz="8" w:space="0" w:color="FFFFFF"/>
              <w:left w:val="nil"/>
              <w:bottom w:val="single" w:sz="8" w:space="0" w:color="C7C9C7"/>
              <w:right w:val="nil"/>
            </w:tcBorders>
            <w:shd w:val="clear" w:color="auto" w:fill="F4F4F4"/>
            <w:tcMar>
              <w:top w:w="0" w:type="dxa"/>
              <w:left w:w="53" w:type="dxa"/>
              <w:bottom w:w="0" w:type="dxa"/>
              <w:right w:w="53" w:type="dxa"/>
            </w:tcMar>
            <w:vAlign w:val="bottom"/>
          </w:tcPr>
          <w:p w14:paraId="5A55B3DE" w14:textId="77777777" w:rsidR="001614AC" w:rsidRDefault="004468F9">
            <w:pPr>
              <w:keepNext/>
              <w:spacing w:before="55" w:after="30" w:line="288" w:lineRule="auto"/>
              <w:jc w:val="center"/>
            </w:pPr>
            <w:r>
              <w:rPr>
                <w:rFonts w:ascii="Arial" w:eastAsia="Arial" w:hAnsi="Arial" w:cs="Arial"/>
                <w:b/>
                <w:color w:val="00BAB3"/>
                <w:sz w:val="18"/>
              </w:rPr>
              <w:t>2020</w:t>
            </w:r>
          </w:p>
        </w:tc>
        <w:tc>
          <w:tcPr>
            <w:tcW w:w="75" w:type="dxa"/>
            <w:tcBorders>
              <w:top w:val="single" w:sz="8" w:space="0" w:color="FFFFFF"/>
              <w:left w:val="nil"/>
              <w:bottom w:val="single" w:sz="8" w:space="0" w:color="C7C9C7"/>
              <w:right w:val="nil"/>
            </w:tcBorders>
            <w:tcMar>
              <w:top w:w="0" w:type="dxa"/>
              <w:left w:w="0" w:type="dxa"/>
              <w:bottom w:w="0" w:type="dxa"/>
              <w:right w:w="0" w:type="dxa"/>
            </w:tcMar>
            <w:vAlign w:val="bottom"/>
          </w:tcPr>
          <w:p w14:paraId="24E22471" w14:textId="77777777" w:rsidR="001614AC" w:rsidRDefault="001614AC">
            <w:pPr>
              <w:keepNext/>
            </w:pPr>
          </w:p>
        </w:tc>
        <w:tc>
          <w:tcPr>
            <w:tcW w:w="1275" w:type="dxa"/>
            <w:gridSpan w:val="3"/>
            <w:tcBorders>
              <w:top w:val="single" w:sz="8" w:space="0" w:color="FFFFFF"/>
              <w:left w:val="nil"/>
              <w:bottom w:val="single" w:sz="8" w:space="0" w:color="C7C9C7"/>
              <w:right w:val="nil"/>
            </w:tcBorders>
            <w:tcMar>
              <w:top w:w="0" w:type="dxa"/>
              <w:left w:w="53" w:type="dxa"/>
              <w:bottom w:w="0" w:type="dxa"/>
              <w:right w:w="53" w:type="dxa"/>
            </w:tcMar>
            <w:vAlign w:val="bottom"/>
          </w:tcPr>
          <w:p w14:paraId="129CBFE5" w14:textId="77777777" w:rsidR="001614AC" w:rsidRDefault="004468F9">
            <w:pPr>
              <w:keepNext/>
              <w:spacing w:before="55" w:after="30" w:line="288" w:lineRule="auto"/>
              <w:jc w:val="center"/>
            </w:pPr>
            <w:r>
              <w:rPr>
                <w:rFonts w:ascii="Arial" w:eastAsia="Arial" w:hAnsi="Arial" w:cs="Arial"/>
                <w:b/>
                <w:color w:val="00BAB3"/>
                <w:sz w:val="18"/>
              </w:rPr>
              <w:t>2021 vs. 2020</w:t>
            </w:r>
          </w:p>
        </w:tc>
        <w:tc>
          <w:tcPr>
            <w:tcW w:w="105" w:type="dxa"/>
            <w:tcBorders>
              <w:top w:val="single" w:sz="8" w:space="0" w:color="FFFFFF"/>
              <w:left w:val="nil"/>
              <w:bottom w:val="single" w:sz="8" w:space="0" w:color="C7C9C7"/>
              <w:right w:val="nil"/>
            </w:tcBorders>
            <w:tcMar>
              <w:top w:w="0" w:type="dxa"/>
              <w:left w:w="0" w:type="dxa"/>
              <w:bottom w:w="0" w:type="dxa"/>
              <w:right w:w="0" w:type="dxa"/>
            </w:tcMar>
            <w:vAlign w:val="bottom"/>
          </w:tcPr>
          <w:p w14:paraId="227A7A8D" w14:textId="77777777" w:rsidR="001614AC" w:rsidRDefault="001614AC">
            <w:pPr>
              <w:keepNext/>
            </w:pPr>
          </w:p>
        </w:tc>
        <w:tc>
          <w:tcPr>
            <w:tcW w:w="1005" w:type="dxa"/>
            <w:gridSpan w:val="3"/>
            <w:tcBorders>
              <w:top w:val="single" w:sz="8" w:space="0" w:color="FFFFFF"/>
              <w:left w:val="nil"/>
              <w:bottom w:val="single" w:sz="8" w:space="0" w:color="C7C9C7"/>
              <w:right w:val="nil"/>
            </w:tcBorders>
            <w:shd w:val="clear" w:color="auto" w:fill="E6F8F8"/>
            <w:tcMar>
              <w:top w:w="0" w:type="dxa"/>
              <w:left w:w="53" w:type="dxa"/>
              <w:bottom w:w="0" w:type="dxa"/>
              <w:right w:w="53" w:type="dxa"/>
            </w:tcMar>
            <w:vAlign w:val="bottom"/>
          </w:tcPr>
          <w:p w14:paraId="4FBC3C34" w14:textId="77777777" w:rsidR="001614AC" w:rsidRDefault="004468F9">
            <w:pPr>
              <w:keepNext/>
              <w:spacing w:before="55" w:after="30" w:line="288" w:lineRule="auto"/>
              <w:jc w:val="center"/>
            </w:pPr>
            <w:r>
              <w:rPr>
                <w:rFonts w:ascii="Arial" w:eastAsia="Arial" w:hAnsi="Arial" w:cs="Arial"/>
                <w:b/>
                <w:color w:val="00BAB3"/>
                <w:sz w:val="18"/>
              </w:rPr>
              <w:t>2021</w:t>
            </w:r>
          </w:p>
        </w:tc>
        <w:tc>
          <w:tcPr>
            <w:tcW w:w="105" w:type="dxa"/>
            <w:tcBorders>
              <w:top w:val="single" w:sz="8" w:space="0" w:color="FFFFFF"/>
              <w:left w:val="nil"/>
              <w:bottom w:val="single" w:sz="8" w:space="0" w:color="C7C9C7"/>
              <w:right w:val="nil"/>
            </w:tcBorders>
            <w:tcMar>
              <w:top w:w="0" w:type="dxa"/>
              <w:left w:w="0" w:type="dxa"/>
              <w:bottom w:w="0" w:type="dxa"/>
              <w:right w:w="0" w:type="dxa"/>
            </w:tcMar>
            <w:vAlign w:val="bottom"/>
          </w:tcPr>
          <w:p w14:paraId="035E6D96" w14:textId="77777777" w:rsidR="001614AC" w:rsidRDefault="001614AC">
            <w:pPr>
              <w:keepNext/>
            </w:pPr>
          </w:p>
        </w:tc>
        <w:tc>
          <w:tcPr>
            <w:tcW w:w="1005" w:type="dxa"/>
            <w:gridSpan w:val="3"/>
            <w:tcBorders>
              <w:top w:val="single" w:sz="8" w:space="0" w:color="FFFFFF"/>
              <w:left w:val="nil"/>
              <w:bottom w:val="single" w:sz="8" w:space="0" w:color="C7C9C7"/>
              <w:right w:val="nil"/>
            </w:tcBorders>
            <w:shd w:val="clear" w:color="auto" w:fill="F4F4F4"/>
            <w:tcMar>
              <w:top w:w="0" w:type="dxa"/>
              <w:left w:w="53" w:type="dxa"/>
              <w:bottom w:w="0" w:type="dxa"/>
              <w:right w:w="53" w:type="dxa"/>
            </w:tcMar>
            <w:vAlign w:val="bottom"/>
          </w:tcPr>
          <w:p w14:paraId="589ECD09" w14:textId="77777777" w:rsidR="001614AC" w:rsidRDefault="004468F9">
            <w:pPr>
              <w:keepNext/>
              <w:spacing w:before="55" w:after="30" w:line="288" w:lineRule="auto"/>
              <w:jc w:val="center"/>
            </w:pPr>
            <w:r>
              <w:rPr>
                <w:rFonts w:ascii="Arial" w:eastAsia="Arial" w:hAnsi="Arial" w:cs="Arial"/>
                <w:b/>
                <w:color w:val="00BAB3"/>
                <w:sz w:val="18"/>
              </w:rPr>
              <w:t>2020</w:t>
            </w:r>
          </w:p>
        </w:tc>
        <w:tc>
          <w:tcPr>
            <w:tcW w:w="105" w:type="dxa"/>
            <w:tcBorders>
              <w:top w:val="single" w:sz="8" w:space="0" w:color="FFFFFF"/>
              <w:left w:val="nil"/>
              <w:bottom w:val="single" w:sz="8" w:space="0" w:color="C7C9C7"/>
              <w:right w:val="nil"/>
            </w:tcBorders>
            <w:tcMar>
              <w:top w:w="0" w:type="dxa"/>
              <w:left w:w="0" w:type="dxa"/>
              <w:bottom w:w="0" w:type="dxa"/>
              <w:right w:w="0" w:type="dxa"/>
            </w:tcMar>
            <w:vAlign w:val="bottom"/>
          </w:tcPr>
          <w:p w14:paraId="5F2CBF4A" w14:textId="77777777" w:rsidR="001614AC" w:rsidRDefault="001614AC">
            <w:pPr>
              <w:keepNext/>
            </w:pPr>
          </w:p>
        </w:tc>
        <w:tc>
          <w:tcPr>
            <w:tcW w:w="1275" w:type="dxa"/>
            <w:gridSpan w:val="3"/>
            <w:tcBorders>
              <w:top w:val="single" w:sz="8" w:space="0" w:color="FFFFFF"/>
              <w:left w:val="nil"/>
              <w:bottom w:val="single" w:sz="8" w:space="0" w:color="C7C9C7"/>
              <w:right w:val="nil"/>
            </w:tcBorders>
            <w:tcMar>
              <w:top w:w="0" w:type="dxa"/>
              <w:left w:w="53" w:type="dxa"/>
              <w:bottom w:w="0" w:type="dxa"/>
              <w:right w:w="53" w:type="dxa"/>
            </w:tcMar>
            <w:vAlign w:val="bottom"/>
          </w:tcPr>
          <w:p w14:paraId="52B35EBC" w14:textId="77777777" w:rsidR="001614AC" w:rsidRDefault="004468F9">
            <w:pPr>
              <w:keepNext/>
              <w:spacing w:before="55" w:after="30" w:line="288" w:lineRule="auto"/>
              <w:jc w:val="center"/>
            </w:pPr>
            <w:r>
              <w:rPr>
                <w:rFonts w:ascii="Arial" w:eastAsia="Arial" w:hAnsi="Arial" w:cs="Arial"/>
                <w:b/>
                <w:color w:val="00BAB3"/>
                <w:sz w:val="18"/>
              </w:rPr>
              <w:t>2021 vs. 2020</w:t>
            </w:r>
          </w:p>
        </w:tc>
      </w:tr>
      <w:tr w:rsidR="001614AC" w14:paraId="61980853" w14:textId="77777777">
        <w:trPr>
          <w:cantSplit/>
        </w:trPr>
        <w:tc>
          <w:tcPr>
            <w:tcW w:w="2940" w:type="dxa"/>
            <w:tcBorders>
              <w:top w:val="single" w:sz="8" w:space="0" w:color="C7C9C7"/>
              <w:left w:val="nil"/>
              <w:bottom w:val="single" w:sz="8" w:space="0" w:color="E9E9E9"/>
              <w:right w:val="nil"/>
            </w:tcBorders>
            <w:tcMar>
              <w:top w:w="0" w:type="dxa"/>
              <w:left w:w="53" w:type="dxa"/>
              <w:bottom w:w="0" w:type="dxa"/>
              <w:right w:w="53" w:type="dxa"/>
            </w:tcMar>
            <w:vAlign w:val="bottom"/>
          </w:tcPr>
          <w:p w14:paraId="0FE6AC0F" w14:textId="77777777" w:rsidR="001614AC" w:rsidRDefault="004468F9">
            <w:pPr>
              <w:keepNext/>
              <w:spacing w:before="55" w:after="30" w:line="288" w:lineRule="auto"/>
              <w:rPr>
                <w:rFonts w:ascii="Arial" w:eastAsia="Arial" w:hAnsi="Arial" w:cs="Arial"/>
                <w:sz w:val="18"/>
              </w:rPr>
            </w:pPr>
            <w:r>
              <w:rPr>
                <w:rFonts w:ascii="Arial" w:eastAsia="Arial" w:hAnsi="Arial" w:cs="Arial"/>
                <w:sz w:val="18"/>
              </w:rPr>
              <w:t xml:space="preserve">Adjusted pretax operating income (loss) </w:t>
            </w:r>
            <w:r>
              <w:rPr>
                <w:rFonts w:ascii="Arial" w:eastAsia="Arial" w:hAnsi="Arial" w:cs="Arial"/>
                <w:sz w:val="18"/>
                <w:vertAlign w:val="superscript"/>
              </w:rPr>
              <w:t xml:space="preserve">(1) (2) </w:t>
            </w:r>
          </w:p>
        </w:tc>
        <w:tc>
          <w:tcPr>
            <w:tcW w:w="105" w:type="dxa"/>
            <w:tcBorders>
              <w:top w:val="single" w:sz="8" w:space="0" w:color="C7C9C7"/>
              <w:left w:val="nil"/>
              <w:bottom w:val="nil"/>
              <w:right w:val="nil"/>
            </w:tcBorders>
            <w:tcMar>
              <w:top w:w="0" w:type="dxa"/>
              <w:left w:w="0" w:type="dxa"/>
              <w:bottom w:w="0" w:type="dxa"/>
              <w:right w:w="0" w:type="dxa"/>
            </w:tcMar>
            <w:vAlign w:val="bottom"/>
          </w:tcPr>
          <w:p w14:paraId="1F637406" w14:textId="77777777" w:rsidR="001614AC" w:rsidRDefault="001614AC">
            <w:pPr>
              <w:keepNext/>
            </w:pPr>
          </w:p>
        </w:tc>
        <w:tc>
          <w:tcPr>
            <w:tcW w:w="160" w:type="dxa"/>
            <w:tcBorders>
              <w:top w:val="single" w:sz="8" w:space="0" w:color="C7C9C7"/>
              <w:left w:val="nil"/>
              <w:bottom w:val="single" w:sz="8" w:space="0" w:color="E9E9E9"/>
              <w:right w:val="nil"/>
            </w:tcBorders>
            <w:tcMar>
              <w:top w:w="0" w:type="dxa"/>
              <w:left w:w="53" w:type="dxa"/>
              <w:bottom w:w="0" w:type="dxa"/>
              <w:right w:w="0" w:type="dxa"/>
            </w:tcMar>
            <w:vAlign w:val="bottom"/>
          </w:tcPr>
          <w:p w14:paraId="4566C2FA" w14:textId="77777777" w:rsidR="001614AC" w:rsidRDefault="004468F9">
            <w:pPr>
              <w:keepNext/>
              <w:spacing w:before="55" w:after="30" w:line="288" w:lineRule="auto"/>
            </w:pPr>
            <w:r>
              <w:rPr>
                <w:rFonts w:ascii="Arial" w:eastAsia="Arial" w:hAnsi="Arial" w:cs="Arial"/>
                <w:color w:val="000000"/>
                <w:sz w:val="18"/>
              </w:rPr>
              <w:t>$</w:t>
            </w:r>
          </w:p>
        </w:tc>
        <w:tc>
          <w:tcPr>
            <w:tcW w:w="745" w:type="dxa"/>
            <w:tcBorders>
              <w:top w:val="single" w:sz="8" w:space="0" w:color="C7C9C7"/>
              <w:left w:val="nil"/>
              <w:bottom w:val="single" w:sz="8" w:space="0" w:color="E9E9E9"/>
              <w:right w:val="nil"/>
            </w:tcBorders>
            <w:tcMar>
              <w:top w:w="0" w:type="dxa"/>
              <w:left w:w="0" w:type="dxa"/>
              <w:bottom w:w="0" w:type="dxa"/>
              <w:right w:w="0" w:type="dxa"/>
            </w:tcMar>
            <w:vAlign w:val="bottom"/>
          </w:tcPr>
          <w:p w14:paraId="1252BE86" w14:textId="77777777" w:rsidR="001614AC" w:rsidRDefault="004468F9">
            <w:pPr>
              <w:keepNext/>
              <w:spacing w:before="55" w:after="30" w:line="288" w:lineRule="auto"/>
              <w:jc w:val="right"/>
            </w:pPr>
            <w:r>
              <w:rPr>
                <w:rFonts w:ascii="Arial" w:eastAsia="Arial" w:hAnsi="Arial" w:cs="Arial"/>
                <w:color w:val="000000"/>
                <w:sz w:val="18"/>
              </w:rPr>
              <w:t>191.5 </w:t>
            </w:r>
          </w:p>
        </w:tc>
        <w:tc>
          <w:tcPr>
            <w:tcW w:w="100" w:type="dxa"/>
            <w:tcBorders>
              <w:top w:val="single" w:sz="8" w:space="0" w:color="C7C9C7"/>
              <w:left w:val="nil"/>
              <w:bottom w:val="single" w:sz="8" w:space="0" w:color="E9E9E9"/>
              <w:right w:val="nil"/>
            </w:tcBorders>
            <w:tcMar>
              <w:top w:w="0" w:type="dxa"/>
              <w:left w:w="0" w:type="dxa"/>
              <w:bottom w:w="0" w:type="dxa"/>
              <w:right w:w="15" w:type="dxa"/>
            </w:tcMar>
            <w:vAlign w:val="bottom"/>
          </w:tcPr>
          <w:p w14:paraId="0B63DC05" w14:textId="77777777" w:rsidR="001614AC" w:rsidRDefault="001614AC">
            <w:pPr>
              <w:keepNext/>
              <w:spacing w:before="55" w:after="30" w:line="288" w:lineRule="auto"/>
              <w:jc w:val="right"/>
            </w:pPr>
          </w:p>
        </w:tc>
        <w:tc>
          <w:tcPr>
            <w:tcW w:w="75" w:type="dxa"/>
            <w:tcBorders>
              <w:top w:val="single" w:sz="8" w:space="0" w:color="C7C9C7"/>
              <w:left w:val="nil"/>
              <w:bottom w:val="nil"/>
              <w:right w:val="nil"/>
            </w:tcBorders>
            <w:tcMar>
              <w:top w:w="0" w:type="dxa"/>
              <w:left w:w="0" w:type="dxa"/>
              <w:bottom w:w="0" w:type="dxa"/>
              <w:right w:w="0" w:type="dxa"/>
            </w:tcMar>
            <w:vAlign w:val="bottom"/>
          </w:tcPr>
          <w:p w14:paraId="10FC6E48" w14:textId="77777777" w:rsidR="001614AC" w:rsidRDefault="001614AC">
            <w:pPr>
              <w:keepNext/>
            </w:pPr>
          </w:p>
        </w:tc>
        <w:tc>
          <w:tcPr>
            <w:tcW w:w="160" w:type="dxa"/>
            <w:tcBorders>
              <w:top w:val="single" w:sz="8" w:space="0" w:color="C7C9C7"/>
              <w:left w:val="nil"/>
              <w:bottom w:val="single" w:sz="8" w:space="0" w:color="E9E9E9"/>
              <w:right w:val="nil"/>
            </w:tcBorders>
            <w:tcMar>
              <w:top w:w="0" w:type="dxa"/>
              <w:left w:w="53" w:type="dxa"/>
              <w:bottom w:w="0" w:type="dxa"/>
              <w:right w:w="0" w:type="dxa"/>
            </w:tcMar>
            <w:vAlign w:val="bottom"/>
          </w:tcPr>
          <w:p w14:paraId="3F1F780E" w14:textId="77777777" w:rsidR="001614AC" w:rsidRDefault="004468F9">
            <w:pPr>
              <w:keepNext/>
              <w:spacing w:before="55" w:after="30" w:line="288" w:lineRule="auto"/>
            </w:pPr>
            <w:r>
              <w:rPr>
                <w:rFonts w:ascii="Arial" w:eastAsia="Arial" w:hAnsi="Arial" w:cs="Arial"/>
                <w:color w:val="000000"/>
                <w:sz w:val="18"/>
              </w:rPr>
              <w:t>$</w:t>
            </w:r>
          </w:p>
        </w:tc>
        <w:tc>
          <w:tcPr>
            <w:tcW w:w="745" w:type="dxa"/>
            <w:tcBorders>
              <w:top w:val="single" w:sz="8" w:space="0" w:color="C7C9C7"/>
              <w:left w:val="nil"/>
              <w:bottom w:val="single" w:sz="8" w:space="0" w:color="E9E9E9"/>
              <w:right w:val="nil"/>
            </w:tcBorders>
            <w:tcMar>
              <w:top w:w="0" w:type="dxa"/>
              <w:left w:w="0" w:type="dxa"/>
              <w:bottom w:w="0" w:type="dxa"/>
              <w:right w:w="0" w:type="dxa"/>
            </w:tcMar>
            <w:vAlign w:val="bottom"/>
          </w:tcPr>
          <w:p w14:paraId="354D77E5" w14:textId="77777777" w:rsidR="001614AC" w:rsidRDefault="004468F9">
            <w:pPr>
              <w:keepNext/>
              <w:spacing w:before="55" w:after="30" w:line="288" w:lineRule="auto"/>
              <w:jc w:val="right"/>
            </w:pPr>
            <w:r>
              <w:rPr>
                <w:rFonts w:ascii="Arial" w:eastAsia="Arial" w:hAnsi="Arial" w:cs="Arial"/>
                <w:color w:val="000000"/>
                <w:sz w:val="18"/>
              </w:rPr>
              <w:t>(85.8)</w:t>
            </w:r>
          </w:p>
        </w:tc>
        <w:tc>
          <w:tcPr>
            <w:tcW w:w="100" w:type="dxa"/>
            <w:tcBorders>
              <w:top w:val="single" w:sz="8" w:space="0" w:color="C7C9C7"/>
              <w:left w:val="nil"/>
              <w:bottom w:val="single" w:sz="8" w:space="0" w:color="E9E9E9"/>
              <w:right w:val="nil"/>
            </w:tcBorders>
            <w:tcMar>
              <w:top w:w="0" w:type="dxa"/>
              <w:left w:w="0" w:type="dxa"/>
              <w:bottom w:w="0" w:type="dxa"/>
              <w:right w:w="15" w:type="dxa"/>
            </w:tcMar>
            <w:vAlign w:val="bottom"/>
          </w:tcPr>
          <w:p w14:paraId="77FD589D" w14:textId="77777777" w:rsidR="001614AC" w:rsidRDefault="001614AC">
            <w:pPr>
              <w:keepNext/>
              <w:spacing w:before="55" w:after="30" w:line="288" w:lineRule="auto"/>
              <w:jc w:val="right"/>
            </w:pPr>
          </w:p>
        </w:tc>
        <w:tc>
          <w:tcPr>
            <w:tcW w:w="75" w:type="dxa"/>
            <w:tcBorders>
              <w:top w:val="single" w:sz="8" w:space="0" w:color="C7C9C7"/>
              <w:left w:val="nil"/>
              <w:bottom w:val="nil"/>
              <w:right w:val="nil"/>
            </w:tcBorders>
            <w:tcMar>
              <w:top w:w="0" w:type="dxa"/>
              <w:left w:w="0" w:type="dxa"/>
              <w:bottom w:w="0" w:type="dxa"/>
              <w:right w:w="0" w:type="dxa"/>
            </w:tcMar>
            <w:vAlign w:val="bottom"/>
          </w:tcPr>
          <w:p w14:paraId="4D3D89BA" w14:textId="77777777" w:rsidR="001614AC" w:rsidRDefault="001614AC">
            <w:pPr>
              <w:keepNext/>
            </w:pPr>
          </w:p>
        </w:tc>
        <w:tc>
          <w:tcPr>
            <w:tcW w:w="160" w:type="dxa"/>
            <w:tcBorders>
              <w:top w:val="single" w:sz="8" w:space="0" w:color="C7C9C7"/>
              <w:left w:val="nil"/>
              <w:bottom w:val="single" w:sz="8" w:space="0" w:color="E9E9E9"/>
              <w:right w:val="nil"/>
            </w:tcBorders>
            <w:tcMar>
              <w:top w:w="0" w:type="dxa"/>
              <w:left w:w="53" w:type="dxa"/>
              <w:bottom w:w="0" w:type="dxa"/>
              <w:right w:w="0" w:type="dxa"/>
            </w:tcMar>
            <w:vAlign w:val="bottom"/>
          </w:tcPr>
          <w:p w14:paraId="4CD986CD" w14:textId="77777777" w:rsidR="001614AC" w:rsidRDefault="004468F9">
            <w:pPr>
              <w:keepNext/>
              <w:spacing w:before="55" w:after="30" w:line="288" w:lineRule="auto"/>
            </w:pPr>
            <w:r>
              <w:rPr>
                <w:rFonts w:ascii="Arial" w:eastAsia="Arial" w:hAnsi="Arial" w:cs="Arial"/>
                <w:color w:val="000000"/>
                <w:sz w:val="18"/>
              </w:rPr>
              <w:t>$</w:t>
            </w:r>
          </w:p>
        </w:tc>
        <w:tc>
          <w:tcPr>
            <w:tcW w:w="1015" w:type="dxa"/>
            <w:tcBorders>
              <w:top w:val="single" w:sz="8" w:space="0" w:color="C7C9C7"/>
              <w:left w:val="nil"/>
              <w:bottom w:val="single" w:sz="8" w:space="0" w:color="E9E9E9"/>
              <w:right w:val="nil"/>
            </w:tcBorders>
            <w:tcMar>
              <w:top w:w="0" w:type="dxa"/>
              <w:left w:w="0" w:type="dxa"/>
              <w:bottom w:w="0" w:type="dxa"/>
              <w:right w:w="0" w:type="dxa"/>
            </w:tcMar>
            <w:vAlign w:val="bottom"/>
          </w:tcPr>
          <w:p w14:paraId="50154555" w14:textId="77777777" w:rsidR="001614AC" w:rsidRDefault="004468F9">
            <w:pPr>
              <w:keepNext/>
              <w:spacing w:before="55" w:after="30" w:line="288" w:lineRule="auto"/>
              <w:jc w:val="right"/>
            </w:pPr>
            <w:r>
              <w:rPr>
                <w:rFonts w:ascii="Arial" w:eastAsia="Arial" w:hAnsi="Arial" w:cs="Arial"/>
                <w:color w:val="000000"/>
                <w:sz w:val="18"/>
              </w:rPr>
              <w:t>277.3 </w:t>
            </w:r>
          </w:p>
        </w:tc>
        <w:tc>
          <w:tcPr>
            <w:tcW w:w="100" w:type="dxa"/>
            <w:tcBorders>
              <w:top w:val="single" w:sz="8" w:space="0" w:color="C7C9C7"/>
              <w:left w:val="nil"/>
              <w:bottom w:val="single" w:sz="8" w:space="0" w:color="E9E9E9"/>
              <w:right w:val="nil"/>
            </w:tcBorders>
            <w:tcMar>
              <w:top w:w="0" w:type="dxa"/>
              <w:left w:w="0" w:type="dxa"/>
              <w:bottom w:w="0" w:type="dxa"/>
              <w:right w:w="15" w:type="dxa"/>
            </w:tcMar>
            <w:vAlign w:val="bottom"/>
          </w:tcPr>
          <w:p w14:paraId="5B11A611" w14:textId="77777777" w:rsidR="001614AC" w:rsidRDefault="001614AC">
            <w:pPr>
              <w:keepNext/>
              <w:spacing w:before="55" w:after="30" w:line="288" w:lineRule="auto"/>
              <w:jc w:val="right"/>
            </w:pPr>
          </w:p>
        </w:tc>
        <w:tc>
          <w:tcPr>
            <w:tcW w:w="105" w:type="dxa"/>
            <w:tcBorders>
              <w:top w:val="single" w:sz="8" w:space="0" w:color="C7C9C7"/>
              <w:left w:val="nil"/>
              <w:bottom w:val="nil"/>
              <w:right w:val="nil"/>
            </w:tcBorders>
            <w:tcMar>
              <w:top w:w="0" w:type="dxa"/>
              <w:left w:w="0" w:type="dxa"/>
              <w:bottom w:w="0" w:type="dxa"/>
              <w:right w:w="0" w:type="dxa"/>
            </w:tcMar>
            <w:vAlign w:val="bottom"/>
          </w:tcPr>
          <w:p w14:paraId="4F1CD25C" w14:textId="77777777" w:rsidR="001614AC" w:rsidRDefault="001614AC">
            <w:pPr>
              <w:keepNext/>
            </w:pPr>
          </w:p>
        </w:tc>
        <w:tc>
          <w:tcPr>
            <w:tcW w:w="160" w:type="dxa"/>
            <w:tcBorders>
              <w:top w:val="single" w:sz="8" w:space="0" w:color="C7C9C7"/>
              <w:left w:val="nil"/>
              <w:bottom w:val="single" w:sz="8" w:space="0" w:color="E9E9E9"/>
              <w:right w:val="nil"/>
            </w:tcBorders>
            <w:tcMar>
              <w:top w:w="0" w:type="dxa"/>
              <w:left w:w="53" w:type="dxa"/>
              <w:bottom w:w="0" w:type="dxa"/>
              <w:right w:w="0" w:type="dxa"/>
            </w:tcMar>
            <w:vAlign w:val="bottom"/>
          </w:tcPr>
          <w:p w14:paraId="1FBEFAC0" w14:textId="77777777" w:rsidR="001614AC" w:rsidRDefault="004468F9">
            <w:pPr>
              <w:keepNext/>
              <w:spacing w:before="55" w:after="30" w:line="288" w:lineRule="auto"/>
            </w:pPr>
            <w:r>
              <w:rPr>
                <w:rFonts w:ascii="Arial" w:eastAsia="Arial" w:hAnsi="Arial" w:cs="Arial"/>
                <w:color w:val="000000"/>
                <w:sz w:val="18"/>
              </w:rPr>
              <w:t>$</w:t>
            </w:r>
          </w:p>
        </w:tc>
        <w:tc>
          <w:tcPr>
            <w:tcW w:w="745" w:type="dxa"/>
            <w:tcBorders>
              <w:top w:val="single" w:sz="8" w:space="0" w:color="C7C9C7"/>
              <w:left w:val="nil"/>
              <w:bottom w:val="single" w:sz="8" w:space="0" w:color="E9E9E9"/>
              <w:right w:val="nil"/>
            </w:tcBorders>
            <w:tcMar>
              <w:top w:w="0" w:type="dxa"/>
              <w:left w:w="0" w:type="dxa"/>
              <w:bottom w:w="0" w:type="dxa"/>
              <w:right w:w="0" w:type="dxa"/>
            </w:tcMar>
            <w:vAlign w:val="bottom"/>
          </w:tcPr>
          <w:p w14:paraId="7CA65DBB" w14:textId="77777777" w:rsidR="001614AC" w:rsidRDefault="004468F9">
            <w:pPr>
              <w:keepNext/>
              <w:spacing w:before="55" w:after="30" w:line="288" w:lineRule="auto"/>
              <w:jc w:val="right"/>
            </w:pPr>
            <w:r>
              <w:rPr>
                <w:rFonts w:ascii="Arial" w:eastAsia="Arial" w:hAnsi="Arial" w:cs="Arial"/>
                <w:color w:val="000000"/>
                <w:sz w:val="18"/>
              </w:rPr>
              <w:t>365.7 </w:t>
            </w:r>
          </w:p>
        </w:tc>
        <w:tc>
          <w:tcPr>
            <w:tcW w:w="100" w:type="dxa"/>
            <w:tcBorders>
              <w:top w:val="single" w:sz="8" w:space="0" w:color="C7C9C7"/>
              <w:left w:val="nil"/>
              <w:bottom w:val="single" w:sz="8" w:space="0" w:color="E9E9E9"/>
              <w:right w:val="nil"/>
            </w:tcBorders>
            <w:tcMar>
              <w:top w:w="0" w:type="dxa"/>
              <w:left w:w="0" w:type="dxa"/>
              <w:bottom w:w="0" w:type="dxa"/>
              <w:right w:w="15" w:type="dxa"/>
            </w:tcMar>
            <w:vAlign w:val="bottom"/>
          </w:tcPr>
          <w:p w14:paraId="1566C1CD" w14:textId="77777777" w:rsidR="001614AC" w:rsidRDefault="001614AC">
            <w:pPr>
              <w:keepNext/>
              <w:spacing w:before="55" w:after="30" w:line="288" w:lineRule="auto"/>
              <w:jc w:val="right"/>
            </w:pPr>
          </w:p>
        </w:tc>
        <w:tc>
          <w:tcPr>
            <w:tcW w:w="105" w:type="dxa"/>
            <w:tcBorders>
              <w:top w:val="single" w:sz="8" w:space="0" w:color="C7C9C7"/>
              <w:left w:val="nil"/>
              <w:bottom w:val="nil"/>
              <w:right w:val="nil"/>
            </w:tcBorders>
            <w:tcMar>
              <w:top w:w="0" w:type="dxa"/>
              <w:left w:w="0" w:type="dxa"/>
              <w:bottom w:w="0" w:type="dxa"/>
              <w:right w:w="0" w:type="dxa"/>
            </w:tcMar>
            <w:vAlign w:val="bottom"/>
          </w:tcPr>
          <w:p w14:paraId="22259A7C" w14:textId="77777777" w:rsidR="001614AC" w:rsidRDefault="001614AC">
            <w:pPr>
              <w:keepNext/>
            </w:pPr>
          </w:p>
        </w:tc>
        <w:tc>
          <w:tcPr>
            <w:tcW w:w="160" w:type="dxa"/>
            <w:tcBorders>
              <w:top w:val="single" w:sz="8" w:space="0" w:color="C7C9C7"/>
              <w:left w:val="nil"/>
              <w:bottom w:val="single" w:sz="8" w:space="0" w:color="E9E9E9"/>
              <w:right w:val="nil"/>
            </w:tcBorders>
            <w:tcMar>
              <w:top w:w="0" w:type="dxa"/>
              <w:left w:w="53" w:type="dxa"/>
              <w:bottom w:w="0" w:type="dxa"/>
              <w:right w:w="0" w:type="dxa"/>
            </w:tcMar>
            <w:vAlign w:val="bottom"/>
          </w:tcPr>
          <w:p w14:paraId="17A445B1" w14:textId="77777777" w:rsidR="001614AC" w:rsidRDefault="004468F9">
            <w:pPr>
              <w:keepNext/>
              <w:spacing w:before="55" w:after="30" w:line="288" w:lineRule="auto"/>
            </w:pPr>
            <w:r>
              <w:rPr>
                <w:rFonts w:ascii="Arial" w:eastAsia="Arial" w:hAnsi="Arial" w:cs="Arial"/>
                <w:color w:val="000000"/>
                <w:sz w:val="18"/>
              </w:rPr>
              <w:t>$</w:t>
            </w:r>
          </w:p>
        </w:tc>
        <w:tc>
          <w:tcPr>
            <w:tcW w:w="745" w:type="dxa"/>
            <w:tcBorders>
              <w:top w:val="single" w:sz="8" w:space="0" w:color="C7C9C7"/>
              <w:left w:val="nil"/>
              <w:bottom w:val="single" w:sz="8" w:space="0" w:color="E9E9E9"/>
              <w:right w:val="nil"/>
            </w:tcBorders>
            <w:tcMar>
              <w:top w:w="0" w:type="dxa"/>
              <w:left w:w="0" w:type="dxa"/>
              <w:bottom w:w="0" w:type="dxa"/>
              <w:right w:w="0" w:type="dxa"/>
            </w:tcMar>
            <w:vAlign w:val="bottom"/>
          </w:tcPr>
          <w:p w14:paraId="14124516" w14:textId="77777777" w:rsidR="001614AC" w:rsidRDefault="004468F9">
            <w:pPr>
              <w:keepNext/>
              <w:spacing w:before="55" w:after="30" w:line="288" w:lineRule="auto"/>
              <w:jc w:val="right"/>
            </w:pPr>
            <w:r>
              <w:rPr>
                <w:rFonts w:ascii="Arial" w:eastAsia="Arial" w:hAnsi="Arial" w:cs="Arial"/>
                <w:color w:val="000000"/>
                <w:sz w:val="18"/>
              </w:rPr>
              <w:t>119.8 </w:t>
            </w:r>
          </w:p>
        </w:tc>
        <w:tc>
          <w:tcPr>
            <w:tcW w:w="100" w:type="dxa"/>
            <w:tcBorders>
              <w:top w:val="single" w:sz="8" w:space="0" w:color="C7C9C7"/>
              <w:left w:val="nil"/>
              <w:bottom w:val="single" w:sz="8" w:space="0" w:color="E9E9E9"/>
              <w:right w:val="nil"/>
            </w:tcBorders>
            <w:tcMar>
              <w:top w:w="0" w:type="dxa"/>
              <w:left w:w="0" w:type="dxa"/>
              <w:bottom w:w="0" w:type="dxa"/>
              <w:right w:w="15" w:type="dxa"/>
            </w:tcMar>
            <w:vAlign w:val="bottom"/>
          </w:tcPr>
          <w:p w14:paraId="1BF10FCC" w14:textId="77777777" w:rsidR="001614AC" w:rsidRDefault="001614AC">
            <w:pPr>
              <w:keepNext/>
              <w:spacing w:before="55" w:after="30" w:line="288" w:lineRule="auto"/>
              <w:jc w:val="right"/>
            </w:pPr>
          </w:p>
        </w:tc>
        <w:tc>
          <w:tcPr>
            <w:tcW w:w="105" w:type="dxa"/>
            <w:tcBorders>
              <w:top w:val="single" w:sz="8" w:space="0" w:color="C7C9C7"/>
              <w:left w:val="nil"/>
              <w:bottom w:val="nil"/>
              <w:right w:val="nil"/>
            </w:tcBorders>
            <w:tcMar>
              <w:top w:w="0" w:type="dxa"/>
              <w:left w:w="0" w:type="dxa"/>
              <w:bottom w:w="0" w:type="dxa"/>
              <w:right w:w="0" w:type="dxa"/>
            </w:tcMar>
            <w:vAlign w:val="bottom"/>
          </w:tcPr>
          <w:p w14:paraId="09F7BE6F" w14:textId="77777777" w:rsidR="001614AC" w:rsidRDefault="001614AC">
            <w:pPr>
              <w:keepNext/>
            </w:pPr>
          </w:p>
        </w:tc>
        <w:tc>
          <w:tcPr>
            <w:tcW w:w="160" w:type="dxa"/>
            <w:tcBorders>
              <w:top w:val="single" w:sz="8" w:space="0" w:color="C7C9C7"/>
              <w:left w:val="nil"/>
              <w:bottom w:val="single" w:sz="8" w:space="0" w:color="E9E9E9"/>
              <w:right w:val="nil"/>
            </w:tcBorders>
            <w:tcMar>
              <w:top w:w="0" w:type="dxa"/>
              <w:left w:w="53" w:type="dxa"/>
              <w:bottom w:w="0" w:type="dxa"/>
              <w:right w:w="0" w:type="dxa"/>
            </w:tcMar>
            <w:vAlign w:val="bottom"/>
          </w:tcPr>
          <w:p w14:paraId="00515A15" w14:textId="77777777" w:rsidR="001614AC" w:rsidRDefault="004468F9">
            <w:pPr>
              <w:keepNext/>
              <w:spacing w:before="55" w:after="30" w:line="288" w:lineRule="auto"/>
            </w:pPr>
            <w:r>
              <w:rPr>
                <w:rFonts w:ascii="Arial" w:eastAsia="Arial" w:hAnsi="Arial" w:cs="Arial"/>
                <w:color w:val="000000"/>
                <w:sz w:val="18"/>
              </w:rPr>
              <w:t>$</w:t>
            </w:r>
          </w:p>
        </w:tc>
        <w:tc>
          <w:tcPr>
            <w:tcW w:w="1015" w:type="dxa"/>
            <w:tcBorders>
              <w:top w:val="single" w:sz="8" w:space="0" w:color="C7C9C7"/>
              <w:left w:val="nil"/>
              <w:bottom w:val="single" w:sz="8" w:space="0" w:color="E9E9E9"/>
              <w:right w:val="nil"/>
            </w:tcBorders>
            <w:tcMar>
              <w:top w:w="0" w:type="dxa"/>
              <w:left w:w="0" w:type="dxa"/>
              <w:bottom w:w="0" w:type="dxa"/>
              <w:right w:w="0" w:type="dxa"/>
            </w:tcMar>
            <w:vAlign w:val="bottom"/>
          </w:tcPr>
          <w:p w14:paraId="4BF97C1E" w14:textId="77777777" w:rsidR="001614AC" w:rsidRDefault="004468F9">
            <w:pPr>
              <w:keepNext/>
              <w:spacing w:before="55" w:after="30" w:line="288" w:lineRule="auto"/>
              <w:jc w:val="right"/>
            </w:pPr>
            <w:r>
              <w:rPr>
                <w:rFonts w:ascii="Arial" w:eastAsia="Arial" w:hAnsi="Arial" w:cs="Arial"/>
                <w:color w:val="000000"/>
                <w:sz w:val="18"/>
              </w:rPr>
              <w:t>245.9 </w:t>
            </w:r>
          </w:p>
        </w:tc>
        <w:tc>
          <w:tcPr>
            <w:tcW w:w="100" w:type="dxa"/>
            <w:tcBorders>
              <w:top w:val="single" w:sz="8" w:space="0" w:color="C7C9C7"/>
              <w:left w:val="nil"/>
              <w:bottom w:val="single" w:sz="8" w:space="0" w:color="E9E9E9"/>
              <w:right w:val="nil"/>
            </w:tcBorders>
            <w:tcMar>
              <w:top w:w="0" w:type="dxa"/>
              <w:left w:w="0" w:type="dxa"/>
              <w:bottom w:w="0" w:type="dxa"/>
              <w:right w:w="15" w:type="dxa"/>
            </w:tcMar>
            <w:vAlign w:val="bottom"/>
          </w:tcPr>
          <w:p w14:paraId="3D1B7659" w14:textId="77777777" w:rsidR="001614AC" w:rsidRDefault="001614AC">
            <w:pPr>
              <w:keepNext/>
              <w:spacing w:before="55" w:after="30" w:line="288" w:lineRule="auto"/>
              <w:jc w:val="right"/>
            </w:pPr>
          </w:p>
        </w:tc>
      </w:tr>
      <w:tr w:rsidR="001614AC" w14:paraId="327E31C0" w14:textId="77777777">
        <w:trPr>
          <w:cantSplit/>
        </w:trPr>
        <w:tc>
          <w:tcPr>
            <w:tcW w:w="2940" w:type="dxa"/>
            <w:tcBorders>
              <w:top w:val="single" w:sz="8" w:space="0" w:color="E9E9E9"/>
              <w:left w:val="nil"/>
              <w:bottom w:val="single" w:sz="8" w:space="0" w:color="E9E9E9"/>
              <w:right w:val="nil"/>
            </w:tcBorders>
            <w:tcMar>
              <w:top w:w="0" w:type="dxa"/>
              <w:left w:w="53" w:type="dxa"/>
              <w:bottom w:w="0" w:type="dxa"/>
              <w:right w:w="53" w:type="dxa"/>
            </w:tcMar>
            <w:vAlign w:val="bottom"/>
          </w:tcPr>
          <w:p w14:paraId="208449BF" w14:textId="77777777" w:rsidR="001614AC" w:rsidRDefault="004468F9">
            <w:pPr>
              <w:keepNext/>
              <w:spacing w:before="55" w:after="30" w:line="288" w:lineRule="auto"/>
            </w:pPr>
            <w:r>
              <w:rPr>
                <w:rFonts w:ascii="Arial" w:eastAsia="Arial" w:hAnsi="Arial" w:cs="Arial"/>
                <w:color w:val="000000"/>
                <w:sz w:val="18"/>
              </w:rPr>
              <w:t xml:space="preserve">Net premiums written </w:t>
            </w:r>
          </w:p>
        </w:tc>
        <w:tc>
          <w:tcPr>
            <w:tcW w:w="105" w:type="dxa"/>
            <w:tcBorders>
              <w:top w:val="nil"/>
              <w:left w:val="nil"/>
              <w:bottom w:val="nil"/>
              <w:right w:val="nil"/>
            </w:tcBorders>
            <w:tcMar>
              <w:top w:w="0" w:type="dxa"/>
              <w:left w:w="0" w:type="dxa"/>
              <w:bottom w:w="0" w:type="dxa"/>
              <w:right w:w="0" w:type="dxa"/>
            </w:tcMar>
            <w:vAlign w:val="bottom"/>
          </w:tcPr>
          <w:p w14:paraId="0E0DE5F4" w14:textId="77777777" w:rsidR="001614AC" w:rsidRDefault="001614AC">
            <w:pPr>
              <w:keepNext/>
            </w:pPr>
          </w:p>
        </w:tc>
        <w:tc>
          <w:tcPr>
            <w:tcW w:w="90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463B72A5" w14:textId="77777777" w:rsidR="001614AC" w:rsidRDefault="004468F9">
            <w:pPr>
              <w:keepNext/>
              <w:spacing w:before="55" w:after="30" w:line="288" w:lineRule="auto"/>
              <w:jc w:val="right"/>
            </w:pPr>
            <w:r>
              <w:rPr>
                <w:rFonts w:ascii="Arial" w:eastAsia="Arial" w:hAnsi="Arial" w:cs="Arial"/>
                <w:color w:val="000000"/>
                <w:sz w:val="18"/>
              </w:rPr>
              <w:t>231.0 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71A9F5D6" w14:textId="77777777" w:rsidR="001614AC" w:rsidRDefault="001614AC">
            <w:pPr>
              <w:keepNext/>
              <w:spacing w:before="55" w:after="30" w:line="288" w:lineRule="auto"/>
              <w:jc w:val="right"/>
            </w:pPr>
          </w:p>
        </w:tc>
        <w:tc>
          <w:tcPr>
            <w:tcW w:w="75" w:type="dxa"/>
            <w:tcBorders>
              <w:top w:val="nil"/>
              <w:left w:val="nil"/>
              <w:bottom w:val="nil"/>
              <w:right w:val="nil"/>
            </w:tcBorders>
            <w:tcMar>
              <w:top w:w="0" w:type="dxa"/>
              <w:left w:w="0" w:type="dxa"/>
              <w:bottom w:w="0" w:type="dxa"/>
              <w:right w:w="0" w:type="dxa"/>
            </w:tcMar>
            <w:vAlign w:val="bottom"/>
          </w:tcPr>
          <w:p w14:paraId="2049010A" w14:textId="77777777" w:rsidR="001614AC" w:rsidRDefault="001614AC">
            <w:pPr>
              <w:keepNext/>
            </w:pPr>
          </w:p>
        </w:tc>
        <w:tc>
          <w:tcPr>
            <w:tcW w:w="90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2BB99E7F" w14:textId="77777777" w:rsidR="001614AC" w:rsidRDefault="004468F9">
            <w:pPr>
              <w:keepNext/>
              <w:spacing w:before="55" w:after="30" w:line="288" w:lineRule="auto"/>
              <w:jc w:val="right"/>
            </w:pPr>
            <w:r>
              <w:rPr>
                <w:rFonts w:ascii="Arial" w:eastAsia="Arial" w:hAnsi="Arial" w:cs="Arial"/>
                <w:color w:val="000000"/>
                <w:sz w:val="18"/>
              </w:rPr>
              <w:t>229.5 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0B023B04" w14:textId="77777777" w:rsidR="001614AC" w:rsidRDefault="001614AC">
            <w:pPr>
              <w:keepNext/>
              <w:spacing w:before="55" w:after="30" w:line="288" w:lineRule="auto"/>
              <w:jc w:val="right"/>
            </w:pPr>
          </w:p>
        </w:tc>
        <w:tc>
          <w:tcPr>
            <w:tcW w:w="75" w:type="dxa"/>
            <w:tcBorders>
              <w:top w:val="nil"/>
              <w:left w:val="nil"/>
              <w:bottom w:val="nil"/>
              <w:right w:val="nil"/>
            </w:tcBorders>
            <w:tcMar>
              <w:top w:w="0" w:type="dxa"/>
              <w:left w:w="0" w:type="dxa"/>
              <w:bottom w:w="0" w:type="dxa"/>
              <w:right w:w="0" w:type="dxa"/>
            </w:tcMar>
            <w:vAlign w:val="bottom"/>
          </w:tcPr>
          <w:p w14:paraId="6F9EC9DD" w14:textId="77777777" w:rsidR="001614AC" w:rsidRDefault="001614AC">
            <w:pPr>
              <w:keepNext/>
            </w:pPr>
          </w:p>
        </w:tc>
        <w:tc>
          <w:tcPr>
            <w:tcW w:w="117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39B31314" w14:textId="77777777" w:rsidR="001614AC" w:rsidRDefault="004468F9">
            <w:pPr>
              <w:keepNext/>
              <w:spacing w:before="55" w:after="30" w:line="288" w:lineRule="auto"/>
              <w:jc w:val="right"/>
            </w:pPr>
            <w:r>
              <w:rPr>
                <w:rFonts w:ascii="Arial" w:eastAsia="Arial" w:hAnsi="Arial" w:cs="Arial"/>
                <w:color w:val="000000"/>
                <w:sz w:val="18"/>
              </w:rPr>
              <w:t>1.5 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25EFC068" w14:textId="77777777" w:rsidR="001614AC" w:rsidRDefault="001614AC">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79B51CF6" w14:textId="77777777" w:rsidR="001614AC" w:rsidRDefault="001614AC">
            <w:pPr>
              <w:keepNext/>
            </w:pPr>
          </w:p>
        </w:tc>
        <w:tc>
          <w:tcPr>
            <w:tcW w:w="90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3424F8A3" w14:textId="77777777" w:rsidR="001614AC" w:rsidRDefault="004468F9">
            <w:pPr>
              <w:keepNext/>
              <w:spacing w:before="55" w:after="30" w:line="288" w:lineRule="auto"/>
              <w:jc w:val="right"/>
            </w:pPr>
            <w:r>
              <w:rPr>
                <w:rFonts w:ascii="Arial" w:eastAsia="Arial" w:hAnsi="Arial" w:cs="Arial"/>
                <w:color w:val="000000"/>
                <w:sz w:val="18"/>
              </w:rPr>
              <w:t>477.9 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09635504" w14:textId="77777777" w:rsidR="001614AC" w:rsidRDefault="001614AC">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42C13F16" w14:textId="77777777" w:rsidR="001614AC" w:rsidRDefault="001614AC">
            <w:pPr>
              <w:keepNext/>
            </w:pPr>
          </w:p>
        </w:tc>
        <w:tc>
          <w:tcPr>
            <w:tcW w:w="90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0A9E1785" w14:textId="77777777" w:rsidR="001614AC" w:rsidRDefault="004468F9">
            <w:pPr>
              <w:keepNext/>
              <w:spacing w:before="55" w:after="30" w:line="288" w:lineRule="auto"/>
              <w:jc w:val="right"/>
            </w:pPr>
            <w:r>
              <w:rPr>
                <w:rFonts w:ascii="Arial" w:eastAsia="Arial" w:hAnsi="Arial" w:cs="Arial"/>
                <w:color w:val="000000"/>
                <w:sz w:val="18"/>
              </w:rPr>
              <w:t>490.4 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6DF90BB3" w14:textId="77777777" w:rsidR="001614AC" w:rsidRDefault="001614AC">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0642CFB0" w14:textId="77777777" w:rsidR="001614AC" w:rsidRDefault="001614AC">
            <w:pPr>
              <w:keepNext/>
            </w:pPr>
          </w:p>
        </w:tc>
        <w:tc>
          <w:tcPr>
            <w:tcW w:w="117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4C263794" w14:textId="77777777" w:rsidR="001614AC" w:rsidRDefault="004468F9">
            <w:pPr>
              <w:keepNext/>
              <w:spacing w:before="55" w:after="30" w:line="288" w:lineRule="auto"/>
              <w:jc w:val="right"/>
            </w:pPr>
            <w:r>
              <w:rPr>
                <w:rFonts w:ascii="Arial" w:eastAsia="Arial" w:hAnsi="Arial" w:cs="Arial"/>
                <w:color w:val="000000"/>
                <w:sz w:val="18"/>
              </w:rPr>
              <w:t>(12.5)</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712EFBC9" w14:textId="77777777" w:rsidR="001614AC" w:rsidRDefault="001614AC">
            <w:pPr>
              <w:keepNext/>
              <w:spacing w:before="55" w:after="30" w:line="288" w:lineRule="auto"/>
              <w:jc w:val="right"/>
            </w:pPr>
          </w:p>
        </w:tc>
      </w:tr>
      <w:tr w:rsidR="001614AC" w14:paraId="69580FD1" w14:textId="77777777">
        <w:trPr>
          <w:cantSplit/>
        </w:trPr>
        <w:tc>
          <w:tcPr>
            <w:tcW w:w="2940" w:type="dxa"/>
            <w:tcBorders>
              <w:top w:val="single" w:sz="8" w:space="0" w:color="E9E9E9"/>
              <w:left w:val="nil"/>
              <w:bottom w:val="single" w:sz="8" w:space="0" w:color="E9E9E9"/>
              <w:right w:val="nil"/>
            </w:tcBorders>
            <w:tcMar>
              <w:top w:w="0" w:type="dxa"/>
              <w:left w:w="53" w:type="dxa"/>
              <w:bottom w:w="0" w:type="dxa"/>
              <w:right w:w="53" w:type="dxa"/>
            </w:tcMar>
            <w:vAlign w:val="bottom"/>
          </w:tcPr>
          <w:p w14:paraId="2E476399" w14:textId="77777777" w:rsidR="001614AC" w:rsidRDefault="004468F9">
            <w:pPr>
              <w:keepNext/>
              <w:spacing w:before="55" w:after="30" w:line="288" w:lineRule="auto"/>
            </w:pPr>
            <w:r>
              <w:rPr>
                <w:rFonts w:ascii="Arial" w:eastAsia="Arial" w:hAnsi="Arial" w:cs="Arial"/>
                <w:color w:val="000000"/>
                <w:sz w:val="18"/>
              </w:rPr>
              <w:t xml:space="preserve">(Increase) decrease in unearned premiums </w:t>
            </w:r>
          </w:p>
        </w:tc>
        <w:tc>
          <w:tcPr>
            <w:tcW w:w="105" w:type="dxa"/>
            <w:tcBorders>
              <w:top w:val="nil"/>
              <w:left w:val="nil"/>
              <w:bottom w:val="nil"/>
              <w:right w:val="nil"/>
            </w:tcBorders>
            <w:tcMar>
              <w:top w:w="0" w:type="dxa"/>
              <w:left w:w="0" w:type="dxa"/>
              <w:bottom w:w="0" w:type="dxa"/>
              <w:right w:w="0" w:type="dxa"/>
            </w:tcMar>
            <w:vAlign w:val="bottom"/>
          </w:tcPr>
          <w:p w14:paraId="03C4BE0D" w14:textId="77777777" w:rsidR="001614AC" w:rsidRDefault="001614AC">
            <w:pPr>
              <w:keepNext/>
            </w:pPr>
          </w:p>
        </w:tc>
        <w:tc>
          <w:tcPr>
            <w:tcW w:w="90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2DBBA78E" w14:textId="77777777" w:rsidR="001614AC" w:rsidRDefault="004468F9">
            <w:pPr>
              <w:keepNext/>
              <w:spacing w:before="55" w:after="30" w:line="288" w:lineRule="auto"/>
              <w:jc w:val="right"/>
            </w:pPr>
            <w:r>
              <w:rPr>
                <w:rFonts w:ascii="Arial" w:eastAsia="Arial" w:hAnsi="Arial" w:cs="Arial"/>
                <w:color w:val="000000"/>
                <w:sz w:val="18"/>
              </w:rPr>
              <w:t>16.1 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1317BA38" w14:textId="77777777" w:rsidR="001614AC" w:rsidRDefault="001614AC">
            <w:pPr>
              <w:keepNext/>
              <w:spacing w:before="55" w:after="30" w:line="288" w:lineRule="auto"/>
              <w:jc w:val="right"/>
            </w:pPr>
          </w:p>
        </w:tc>
        <w:tc>
          <w:tcPr>
            <w:tcW w:w="75" w:type="dxa"/>
            <w:tcBorders>
              <w:top w:val="nil"/>
              <w:left w:val="nil"/>
              <w:bottom w:val="nil"/>
              <w:right w:val="nil"/>
            </w:tcBorders>
            <w:tcMar>
              <w:top w:w="0" w:type="dxa"/>
              <w:left w:w="0" w:type="dxa"/>
              <w:bottom w:w="0" w:type="dxa"/>
              <w:right w:w="0" w:type="dxa"/>
            </w:tcMar>
            <w:vAlign w:val="bottom"/>
          </w:tcPr>
          <w:p w14:paraId="104FC2B3" w14:textId="77777777" w:rsidR="001614AC" w:rsidRDefault="001614AC">
            <w:pPr>
              <w:keepNext/>
            </w:pPr>
          </w:p>
        </w:tc>
        <w:tc>
          <w:tcPr>
            <w:tcW w:w="90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5EED0406" w14:textId="77777777" w:rsidR="001614AC" w:rsidRDefault="004468F9">
            <w:pPr>
              <w:keepNext/>
              <w:spacing w:before="55" w:after="30" w:line="288" w:lineRule="auto"/>
              <w:jc w:val="right"/>
            </w:pPr>
            <w:r>
              <w:rPr>
                <w:rFonts w:ascii="Arial" w:eastAsia="Arial" w:hAnsi="Arial" w:cs="Arial"/>
                <w:color w:val="000000"/>
                <w:sz w:val="18"/>
              </w:rPr>
              <w:t>18.1 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45C04075" w14:textId="77777777" w:rsidR="001614AC" w:rsidRDefault="001614AC">
            <w:pPr>
              <w:keepNext/>
              <w:spacing w:before="55" w:after="30" w:line="288" w:lineRule="auto"/>
              <w:jc w:val="right"/>
            </w:pPr>
          </w:p>
        </w:tc>
        <w:tc>
          <w:tcPr>
            <w:tcW w:w="75" w:type="dxa"/>
            <w:tcBorders>
              <w:top w:val="nil"/>
              <w:left w:val="nil"/>
              <w:bottom w:val="nil"/>
              <w:right w:val="nil"/>
            </w:tcBorders>
            <w:tcMar>
              <w:top w:w="0" w:type="dxa"/>
              <w:left w:w="0" w:type="dxa"/>
              <w:bottom w:w="0" w:type="dxa"/>
              <w:right w:w="0" w:type="dxa"/>
            </w:tcMar>
            <w:vAlign w:val="bottom"/>
          </w:tcPr>
          <w:p w14:paraId="7B75A004" w14:textId="77777777" w:rsidR="001614AC" w:rsidRDefault="001614AC">
            <w:pPr>
              <w:keepNext/>
            </w:pPr>
          </w:p>
        </w:tc>
        <w:tc>
          <w:tcPr>
            <w:tcW w:w="117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6A88BFA6" w14:textId="77777777" w:rsidR="001614AC" w:rsidRDefault="004468F9">
            <w:pPr>
              <w:keepNext/>
              <w:spacing w:before="55" w:after="30" w:line="288" w:lineRule="auto"/>
              <w:jc w:val="right"/>
            </w:pPr>
            <w:r>
              <w:rPr>
                <w:rFonts w:ascii="Arial" w:eastAsia="Arial" w:hAnsi="Arial" w:cs="Arial"/>
                <w:color w:val="000000"/>
                <w:sz w:val="18"/>
              </w:rPr>
              <w:t>(2.0)</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1B2D296F" w14:textId="77777777" w:rsidR="001614AC" w:rsidRDefault="001614AC">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2E9B50E8" w14:textId="77777777" w:rsidR="001614AC" w:rsidRDefault="001614AC">
            <w:pPr>
              <w:keepNext/>
            </w:pPr>
          </w:p>
        </w:tc>
        <w:tc>
          <w:tcPr>
            <w:tcW w:w="90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177B95FF" w14:textId="77777777" w:rsidR="001614AC" w:rsidRDefault="004468F9">
            <w:pPr>
              <w:keepNext/>
              <w:spacing w:before="55" w:after="30" w:line="288" w:lineRule="auto"/>
              <w:jc w:val="right"/>
            </w:pPr>
            <w:r>
              <w:rPr>
                <w:rFonts w:ascii="Arial" w:eastAsia="Arial" w:hAnsi="Arial" w:cs="Arial"/>
                <w:color w:val="000000"/>
                <w:sz w:val="18"/>
              </w:rPr>
              <w:t>33.8 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7B361693" w14:textId="77777777" w:rsidR="001614AC" w:rsidRDefault="001614AC">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650CF56B" w14:textId="77777777" w:rsidR="001614AC" w:rsidRDefault="001614AC">
            <w:pPr>
              <w:keepNext/>
            </w:pPr>
          </w:p>
        </w:tc>
        <w:tc>
          <w:tcPr>
            <w:tcW w:w="90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3D2FF8FE" w14:textId="77777777" w:rsidR="001614AC" w:rsidRDefault="004468F9">
            <w:pPr>
              <w:keepNext/>
              <w:spacing w:before="55" w:after="30" w:line="288" w:lineRule="auto"/>
              <w:jc w:val="right"/>
            </w:pPr>
            <w:r>
              <w:rPr>
                <w:rFonts w:ascii="Arial" w:eastAsia="Arial" w:hAnsi="Arial" w:cs="Arial"/>
                <w:color w:val="000000"/>
                <w:sz w:val="18"/>
              </w:rPr>
              <w:t>32.2 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746FEA0F" w14:textId="77777777" w:rsidR="001614AC" w:rsidRDefault="001614AC">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04732DB9" w14:textId="77777777" w:rsidR="001614AC" w:rsidRDefault="001614AC">
            <w:pPr>
              <w:keepNext/>
            </w:pPr>
          </w:p>
        </w:tc>
        <w:tc>
          <w:tcPr>
            <w:tcW w:w="117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51ADD7D1" w14:textId="77777777" w:rsidR="001614AC" w:rsidRDefault="004468F9">
            <w:pPr>
              <w:keepNext/>
              <w:spacing w:before="55" w:after="30" w:line="288" w:lineRule="auto"/>
              <w:jc w:val="right"/>
            </w:pPr>
            <w:r>
              <w:rPr>
                <w:rFonts w:ascii="Arial" w:eastAsia="Arial" w:hAnsi="Arial" w:cs="Arial"/>
                <w:color w:val="000000"/>
                <w:sz w:val="18"/>
              </w:rPr>
              <w:t>1.6 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153D3CF4" w14:textId="77777777" w:rsidR="001614AC" w:rsidRDefault="001614AC">
            <w:pPr>
              <w:keepNext/>
              <w:spacing w:before="55" w:after="30" w:line="288" w:lineRule="auto"/>
              <w:jc w:val="right"/>
            </w:pPr>
          </w:p>
        </w:tc>
      </w:tr>
      <w:tr w:rsidR="001614AC" w14:paraId="2B755592" w14:textId="77777777">
        <w:trPr>
          <w:cantSplit/>
        </w:trPr>
        <w:tc>
          <w:tcPr>
            <w:tcW w:w="2940" w:type="dxa"/>
            <w:tcBorders>
              <w:top w:val="single" w:sz="8" w:space="0" w:color="E9E9E9"/>
              <w:left w:val="nil"/>
              <w:bottom w:val="single" w:sz="8" w:space="0" w:color="E9E9E9"/>
              <w:right w:val="nil"/>
            </w:tcBorders>
            <w:tcMar>
              <w:top w:w="0" w:type="dxa"/>
              <w:left w:w="53" w:type="dxa"/>
              <w:bottom w:w="0" w:type="dxa"/>
              <w:right w:w="53" w:type="dxa"/>
            </w:tcMar>
            <w:vAlign w:val="bottom"/>
          </w:tcPr>
          <w:p w14:paraId="7263A116" w14:textId="77777777" w:rsidR="001614AC" w:rsidRDefault="004468F9">
            <w:pPr>
              <w:keepNext/>
              <w:spacing w:before="55" w:after="30" w:line="288" w:lineRule="auto"/>
            </w:pPr>
            <w:r>
              <w:rPr>
                <w:rFonts w:ascii="Arial" w:eastAsia="Arial" w:hAnsi="Arial" w:cs="Arial"/>
                <w:color w:val="000000"/>
                <w:sz w:val="18"/>
              </w:rPr>
              <w:t xml:space="preserve">Net premiums earned </w:t>
            </w:r>
          </w:p>
        </w:tc>
        <w:tc>
          <w:tcPr>
            <w:tcW w:w="105" w:type="dxa"/>
            <w:tcBorders>
              <w:top w:val="nil"/>
              <w:left w:val="nil"/>
              <w:bottom w:val="nil"/>
              <w:right w:val="nil"/>
            </w:tcBorders>
            <w:tcMar>
              <w:top w:w="0" w:type="dxa"/>
              <w:left w:w="0" w:type="dxa"/>
              <w:bottom w:w="0" w:type="dxa"/>
              <w:right w:w="0" w:type="dxa"/>
            </w:tcMar>
            <w:vAlign w:val="bottom"/>
          </w:tcPr>
          <w:p w14:paraId="7327B2DD" w14:textId="77777777" w:rsidR="001614AC" w:rsidRDefault="001614AC">
            <w:pPr>
              <w:keepNext/>
            </w:pPr>
          </w:p>
        </w:tc>
        <w:tc>
          <w:tcPr>
            <w:tcW w:w="90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5505BB73" w14:textId="77777777" w:rsidR="001614AC" w:rsidRDefault="004468F9">
            <w:pPr>
              <w:keepNext/>
              <w:spacing w:before="55" w:after="30" w:line="288" w:lineRule="auto"/>
              <w:jc w:val="right"/>
            </w:pPr>
            <w:r>
              <w:rPr>
                <w:rFonts w:ascii="Arial" w:eastAsia="Arial" w:hAnsi="Arial" w:cs="Arial"/>
                <w:color w:val="000000"/>
                <w:sz w:val="18"/>
              </w:rPr>
              <w:t>247.1 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57F50BA9" w14:textId="77777777" w:rsidR="001614AC" w:rsidRDefault="001614AC">
            <w:pPr>
              <w:keepNext/>
              <w:spacing w:before="55" w:after="30" w:line="288" w:lineRule="auto"/>
              <w:jc w:val="right"/>
            </w:pPr>
          </w:p>
        </w:tc>
        <w:tc>
          <w:tcPr>
            <w:tcW w:w="75" w:type="dxa"/>
            <w:tcBorders>
              <w:top w:val="nil"/>
              <w:left w:val="nil"/>
              <w:bottom w:val="nil"/>
              <w:right w:val="nil"/>
            </w:tcBorders>
            <w:tcMar>
              <w:top w:w="0" w:type="dxa"/>
              <w:left w:w="0" w:type="dxa"/>
              <w:bottom w:w="0" w:type="dxa"/>
              <w:right w:w="0" w:type="dxa"/>
            </w:tcMar>
            <w:vAlign w:val="bottom"/>
          </w:tcPr>
          <w:p w14:paraId="6ECD26E9" w14:textId="77777777" w:rsidR="001614AC" w:rsidRDefault="001614AC">
            <w:pPr>
              <w:keepNext/>
            </w:pPr>
          </w:p>
        </w:tc>
        <w:tc>
          <w:tcPr>
            <w:tcW w:w="90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4F5AB4A6" w14:textId="77777777" w:rsidR="001614AC" w:rsidRDefault="004468F9">
            <w:pPr>
              <w:keepNext/>
              <w:spacing w:before="55" w:after="30" w:line="288" w:lineRule="auto"/>
              <w:jc w:val="right"/>
            </w:pPr>
            <w:r>
              <w:rPr>
                <w:rFonts w:ascii="Arial" w:eastAsia="Arial" w:hAnsi="Arial" w:cs="Arial"/>
                <w:color w:val="000000"/>
                <w:sz w:val="18"/>
              </w:rPr>
              <w:t>247.6 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65D135D2" w14:textId="77777777" w:rsidR="001614AC" w:rsidRDefault="001614AC">
            <w:pPr>
              <w:keepNext/>
              <w:spacing w:before="55" w:after="30" w:line="288" w:lineRule="auto"/>
              <w:jc w:val="right"/>
            </w:pPr>
          </w:p>
        </w:tc>
        <w:tc>
          <w:tcPr>
            <w:tcW w:w="75" w:type="dxa"/>
            <w:tcBorders>
              <w:top w:val="nil"/>
              <w:left w:val="nil"/>
              <w:bottom w:val="nil"/>
              <w:right w:val="nil"/>
            </w:tcBorders>
            <w:tcMar>
              <w:top w:w="0" w:type="dxa"/>
              <w:left w:w="0" w:type="dxa"/>
              <w:bottom w:w="0" w:type="dxa"/>
              <w:right w:w="0" w:type="dxa"/>
            </w:tcMar>
            <w:vAlign w:val="bottom"/>
          </w:tcPr>
          <w:p w14:paraId="260A9A40" w14:textId="77777777" w:rsidR="001614AC" w:rsidRDefault="001614AC">
            <w:pPr>
              <w:keepNext/>
            </w:pPr>
          </w:p>
        </w:tc>
        <w:tc>
          <w:tcPr>
            <w:tcW w:w="117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7FCC3E5F" w14:textId="77777777" w:rsidR="001614AC" w:rsidRDefault="004468F9">
            <w:pPr>
              <w:keepNext/>
              <w:spacing w:before="55" w:after="30" w:line="288" w:lineRule="auto"/>
              <w:jc w:val="right"/>
            </w:pPr>
            <w:r>
              <w:rPr>
                <w:rFonts w:ascii="Arial" w:eastAsia="Arial" w:hAnsi="Arial" w:cs="Arial"/>
                <w:color w:val="000000"/>
                <w:sz w:val="18"/>
              </w:rPr>
              <w:t>(0.5)</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5981BA65" w14:textId="77777777" w:rsidR="001614AC" w:rsidRDefault="001614AC">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60D8A681" w14:textId="77777777" w:rsidR="001614AC" w:rsidRDefault="001614AC">
            <w:pPr>
              <w:keepNext/>
            </w:pPr>
          </w:p>
        </w:tc>
        <w:tc>
          <w:tcPr>
            <w:tcW w:w="90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72789FB1" w14:textId="77777777" w:rsidR="001614AC" w:rsidRDefault="004468F9">
            <w:pPr>
              <w:keepNext/>
              <w:spacing w:before="55" w:after="30" w:line="288" w:lineRule="auto"/>
              <w:jc w:val="right"/>
            </w:pPr>
            <w:r>
              <w:rPr>
                <w:rFonts w:ascii="Arial" w:eastAsia="Arial" w:hAnsi="Arial" w:cs="Arial"/>
                <w:color w:val="000000"/>
                <w:sz w:val="18"/>
              </w:rPr>
              <w:t>511.8 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18933AAC" w14:textId="77777777" w:rsidR="001614AC" w:rsidRDefault="001614AC">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633E8537" w14:textId="77777777" w:rsidR="001614AC" w:rsidRDefault="001614AC">
            <w:pPr>
              <w:keepNext/>
            </w:pPr>
          </w:p>
        </w:tc>
        <w:tc>
          <w:tcPr>
            <w:tcW w:w="90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708979AD" w14:textId="77777777" w:rsidR="001614AC" w:rsidRDefault="004468F9">
            <w:pPr>
              <w:keepNext/>
              <w:spacing w:before="55" w:after="30" w:line="288" w:lineRule="auto"/>
              <w:jc w:val="right"/>
            </w:pPr>
            <w:r>
              <w:rPr>
                <w:rFonts w:ascii="Arial" w:eastAsia="Arial" w:hAnsi="Arial" w:cs="Arial"/>
                <w:color w:val="000000"/>
                <w:sz w:val="18"/>
              </w:rPr>
              <w:t>522.6 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650DD4DC" w14:textId="77777777" w:rsidR="001614AC" w:rsidRDefault="001614AC">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5EABF53B" w14:textId="77777777" w:rsidR="001614AC" w:rsidRDefault="001614AC">
            <w:pPr>
              <w:keepNext/>
            </w:pPr>
          </w:p>
        </w:tc>
        <w:tc>
          <w:tcPr>
            <w:tcW w:w="117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05EBB533" w14:textId="77777777" w:rsidR="001614AC" w:rsidRDefault="004468F9">
            <w:pPr>
              <w:keepNext/>
              <w:spacing w:before="55" w:after="30" w:line="288" w:lineRule="auto"/>
              <w:jc w:val="right"/>
            </w:pPr>
            <w:r>
              <w:rPr>
                <w:rFonts w:ascii="Arial" w:eastAsia="Arial" w:hAnsi="Arial" w:cs="Arial"/>
                <w:color w:val="000000"/>
                <w:sz w:val="18"/>
              </w:rPr>
              <w:t>(10.8)</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3E93140F" w14:textId="77777777" w:rsidR="001614AC" w:rsidRDefault="001614AC">
            <w:pPr>
              <w:keepNext/>
              <w:spacing w:before="55" w:after="30" w:line="288" w:lineRule="auto"/>
              <w:jc w:val="right"/>
            </w:pPr>
          </w:p>
        </w:tc>
      </w:tr>
      <w:tr w:rsidR="001614AC" w14:paraId="67793CA9" w14:textId="77777777">
        <w:trPr>
          <w:cantSplit/>
        </w:trPr>
        <w:tc>
          <w:tcPr>
            <w:tcW w:w="2940" w:type="dxa"/>
            <w:tcBorders>
              <w:top w:val="single" w:sz="8" w:space="0" w:color="E9E9E9"/>
              <w:left w:val="nil"/>
              <w:bottom w:val="single" w:sz="8" w:space="0" w:color="E9E9E9"/>
              <w:right w:val="nil"/>
            </w:tcBorders>
            <w:tcMar>
              <w:top w:w="0" w:type="dxa"/>
              <w:left w:w="53" w:type="dxa"/>
              <w:bottom w:w="0" w:type="dxa"/>
              <w:right w:w="53" w:type="dxa"/>
            </w:tcMar>
            <w:vAlign w:val="bottom"/>
          </w:tcPr>
          <w:p w14:paraId="4F609EE0" w14:textId="77777777" w:rsidR="001614AC" w:rsidRDefault="004468F9">
            <w:pPr>
              <w:keepNext/>
              <w:spacing w:before="55" w:after="30" w:line="288" w:lineRule="auto"/>
            </w:pPr>
            <w:r>
              <w:rPr>
                <w:rFonts w:ascii="Arial" w:eastAsia="Arial" w:hAnsi="Arial" w:cs="Arial"/>
                <w:color w:val="000000"/>
                <w:sz w:val="18"/>
              </w:rPr>
              <w:t>Services revenue</w:t>
            </w:r>
          </w:p>
        </w:tc>
        <w:tc>
          <w:tcPr>
            <w:tcW w:w="105" w:type="dxa"/>
            <w:tcBorders>
              <w:top w:val="nil"/>
              <w:left w:val="nil"/>
              <w:bottom w:val="nil"/>
              <w:right w:val="nil"/>
            </w:tcBorders>
            <w:tcMar>
              <w:top w:w="0" w:type="dxa"/>
              <w:left w:w="0" w:type="dxa"/>
              <w:bottom w:w="0" w:type="dxa"/>
              <w:right w:w="0" w:type="dxa"/>
            </w:tcMar>
            <w:vAlign w:val="bottom"/>
          </w:tcPr>
          <w:p w14:paraId="48BBD33D" w14:textId="77777777" w:rsidR="001614AC" w:rsidRDefault="001614AC">
            <w:pPr>
              <w:keepNext/>
            </w:pPr>
          </w:p>
        </w:tc>
        <w:tc>
          <w:tcPr>
            <w:tcW w:w="90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68A39929" w14:textId="77777777" w:rsidR="001614AC" w:rsidRDefault="004468F9">
            <w:pPr>
              <w:keepNext/>
              <w:spacing w:before="55" w:after="30" w:line="288" w:lineRule="auto"/>
              <w:jc w:val="right"/>
            </w:pPr>
            <w:r>
              <w:rPr>
                <w:rFonts w:ascii="Arial" w:eastAsia="Arial" w:hAnsi="Arial" w:cs="Arial"/>
                <w:color w:val="000000"/>
                <w:sz w:val="18"/>
              </w:rPr>
              <w:t>3.7 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6737971A" w14:textId="77777777" w:rsidR="001614AC" w:rsidRDefault="001614AC">
            <w:pPr>
              <w:keepNext/>
              <w:spacing w:before="55" w:after="30" w:line="288" w:lineRule="auto"/>
              <w:jc w:val="right"/>
            </w:pPr>
          </w:p>
        </w:tc>
        <w:tc>
          <w:tcPr>
            <w:tcW w:w="75" w:type="dxa"/>
            <w:tcBorders>
              <w:top w:val="nil"/>
              <w:left w:val="nil"/>
              <w:bottom w:val="nil"/>
              <w:right w:val="nil"/>
            </w:tcBorders>
            <w:tcMar>
              <w:top w:w="0" w:type="dxa"/>
              <w:left w:w="0" w:type="dxa"/>
              <w:bottom w:w="0" w:type="dxa"/>
              <w:right w:w="0" w:type="dxa"/>
            </w:tcMar>
            <w:vAlign w:val="bottom"/>
          </w:tcPr>
          <w:p w14:paraId="5AACBF26" w14:textId="77777777" w:rsidR="001614AC" w:rsidRDefault="001614AC">
            <w:pPr>
              <w:keepNext/>
            </w:pPr>
          </w:p>
        </w:tc>
        <w:tc>
          <w:tcPr>
            <w:tcW w:w="90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302DF490" w14:textId="77777777" w:rsidR="001614AC" w:rsidRDefault="004468F9">
            <w:pPr>
              <w:keepNext/>
              <w:spacing w:before="55" w:after="30" w:line="288" w:lineRule="auto"/>
              <w:jc w:val="right"/>
            </w:pPr>
            <w:r>
              <w:rPr>
                <w:rFonts w:ascii="Arial" w:eastAsia="Arial" w:hAnsi="Arial" w:cs="Arial"/>
                <w:color w:val="000000"/>
                <w:sz w:val="18"/>
              </w:rPr>
              <w:t>3.9 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6E0C1765" w14:textId="77777777" w:rsidR="001614AC" w:rsidRDefault="001614AC">
            <w:pPr>
              <w:keepNext/>
              <w:spacing w:before="55" w:after="30" w:line="288" w:lineRule="auto"/>
              <w:jc w:val="right"/>
            </w:pPr>
          </w:p>
        </w:tc>
        <w:tc>
          <w:tcPr>
            <w:tcW w:w="75" w:type="dxa"/>
            <w:tcBorders>
              <w:top w:val="nil"/>
              <w:left w:val="nil"/>
              <w:bottom w:val="nil"/>
              <w:right w:val="nil"/>
            </w:tcBorders>
            <w:tcMar>
              <w:top w:w="0" w:type="dxa"/>
              <w:left w:w="0" w:type="dxa"/>
              <w:bottom w:w="0" w:type="dxa"/>
              <w:right w:w="0" w:type="dxa"/>
            </w:tcMar>
            <w:vAlign w:val="bottom"/>
          </w:tcPr>
          <w:p w14:paraId="60EA6AC9" w14:textId="77777777" w:rsidR="001614AC" w:rsidRDefault="001614AC">
            <w:pPr>
              <w:keepNext/>
            </w:pPr>
          </w:p>
        </w:tc>
        <w:tc>
          <w:tcPr>
            <w:tcW w:w="117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1C0F8CD8" w14:textId="77777777" w:rsidR="001614AC" w:rsidRDefault="004468F9">
            <w:pPr>
              <w:keepNext/>
              <w:spacing w:before="55" w:after="30" w:line="288" w:lineRule="auto"/>
              <w:jc w:val="right"/>
            </w:pPr>
            <w:r>
              <w:rPr>
                <w:rFonts w:ascii="Arial" w:eastAsia="Arial" w:hAnsi="Arial" w:cs="Arial"/>
                <w:color w:val="000000"/>
                <w:sz w:val="18"/>
              </w:rPr>
              <w:t>(0.2)</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1B9AFC8F" w14:textId="77777777" w:rsidR="001614AC" w:rsidRDefault="001614AC">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23D7B55F" w14:textId="77777777" w:rsidR="001614AC" w:rsidRDefault="001614AC">
            <w:pPr>
              <w:keepNext/>
            </w:pPr>
          </w:p>
        </w:tc>
        <w:tc>
          <w:tcPr>
            <w:tcW w:w="90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2555B290" w14:textId="77777777" w:rsidR="001614AC" w:rsidRDefault="004468F9">
            <w:pPr>
              <w:keepNext/>
              <w:spacing w:before="55" w:after="30" w:line="288" w:lineRule="auto"/>
              <w:jc w:val="right"/>
            </w:pPr>
            <w:r>
              <w:rPr>
                <w:rFonts w:ascii="Arial" w:eastAsia="Arial" w:hAnsi="Arial" w:cs="Arial"/>
                <w:color w:val="000000"/>
                <w:sz w:val="18"/>
              </w:rPr>
              <w:t>8.1 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63B008DD" w14:textId="77777777" w:rsidR="001614AC" w:rsidRDefault="001614AC">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7350FC38" w14:textId="77777777" w:rsidR="001614AC" w:rsidRDefault="001614AC">
            <w:pPr>
              <w:keepNext/>
            </w:pPr>
          </w:p>
        </w:tc>
        <w:tc>
          <w:tcPr>
            <w:tcW w:w="90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04E8ECCE" w14:textId="77777777" w:rsidR="001614AC" w:rsidRDefault="004468F9">
            <w:pPr>
              <w:keepNext/>
              <w:spacing w:before="55" w:after="30" w:line="288" w:lineRule="auto"/>
              <w:jc w:val="right"/>
            </w:pPr>
            <w:r>
              <w:rPr>
                <w:rFonts w:ascii="Arial" w:eastAsia="Arial" w:hAnsi="Arial" w:cs="Arial"/>
                <w:color w:val="000000"/>
                <w:sz w:val="18"/>
              </w:rPr>
              <w:t>7.1 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76D14312" w14:textId="77777777" w:rsidR="001614AC" w:rsidRDefault="001614AC">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5506F822" w14:textId="77777777" w:rsidR="001614AC" w:rsidRDefault="001614AC">
            <w:pPr>
              <w:keepNext/>
            </w:pPr>
          </w:p>
        </w:tc>
        <w:tc>
          <w:tcPr>
            <w:tcW w:w="117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076A0E17" w14:textId="77777777" w:rsidR="001614AC" w:rsidRDefault="004468F9">
            <w:pPr>
              <w:keepNext/>
              <w:spacing w:before="55" w:after="30" w:line="288" w:lineRule="auto"/>
              <w:jc w:val="right"/>
            </w:pPr>
            <w:r>
              <w:rPr>
                <w:rFonts w:ascii="Arial" w:eastAsia="Arial" w:hAnsi="Arial" w:cs="Arial"/>
                <w:color w:val="000000"/>
                <w:sz w:val="18"/>
              </w:rPr>
              <w:t>1.0 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0AAB44C0" w14:textId="77777777" w:rsidR="001614AC" w:rsidRDefault="001614AC">
            <w:pPr>
              <w:keepNext/>
              <w:spacing w:before="55" w:after="30" w:line="288" w:lineRule="auto"/>
              <w:jc w:val="right"/>
            </w:pPr>
          </w:p>
        </w:tc>
      </w:tr>
      <w:tr w:rsidR="001614AC" w14:paraId="67DA327D" w14:textId="77777777">
        <w:trPr>
          <w:cantSplit/>
        </w:trPr>
        <w:tc>
          <w:tcPr>
            <w:tcW w:w="2940" w:type="dxa"/>
            <w:tcBorders>
              <w:top w:val="single" w:sz="8" w:space="0" w:color="E9E9E9"/>
              <w:left w:val="nil"/>
              <w:bottom w:val="single" w:sz="8" w:space="0" w:color="E9E9E9"/>
              <w:right w:val="nil"/>
            </w:tcBorders>
            <w:tcMar>
              <w:top w:w="0" w:type="dxa"/>
              <w:left w:w="53" w:type="dxa"/>
              <w:bottom w:w="0" w:type="dxa"/>
              <w:right w:w="53" w:type="dxa"/>
            </w:tcMar>
            <w:vAlign w:val="bottom"/>
          </w:tcPr>
          <w:p w14:paraId="3119011A" w14:textId="77777777" w:rsidR="001614AC" w:rsidRDefault="004468F9">
            <w:pPr>
              <w:keepNext/>
              <w:spacing w:before="55" w:after="30" w:line="288" w:lineRule="auto"/>
            </w:pPr>
            <w:r>
              <w:rPr>
                <w:rFonts w:ascii="Arial" w:eastAsia="Arial" w:hAnsi="Arial" w:cs="Arial"/>
                <w:color w:val="000000"/>
                <w:sz w:val="18"/>
              </w:rPr>
              <w:t>Net investment income</w:t>
            </w:r>
          </w:p>
        </w:tc>
        <w:tc>
          <w:tcPr>
            <w:tcW w:w="105" w:type="dxa"/>
            <w:tcBorders>
              <w:top w:val="nil"/>
              <w:left w:val="nil"/>
              <w:bottom w:val="nil"/>
              <w:right w:val="nil"/>
            </w:tcBorders>
            <w:tcMar>
              <w:top w:w="0" w:type="dxa"/>
              <w:left w:w="0" w:type="dxa"/>
              <w:bottom w:w="0" w:type="dxa"/>
              <w:right w:w="0" w:type="dxa"/>
            </w:tcMar>
            <w:vAlign w:val="bottom"/>
          </w:tcPr>
          <w:p w14:paraId="274C16E4" w14:textId="77777777" w:rsidR="001614AC" w:rsidRDefault="001614AC">
            <w:pPr>
              <w:keepNext/>
            </w:pPr>
          </w:p>
        </w:tc>
        <w:tc>
          <w:tcPr>
            <w:tcW w:w="90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2D16F781" w14:textId="77777777" w:rsidR="001614AC" w:rsidRDefault="004468F9">
            <w:pPr>
              <w:keepNext/>
              <w:spacing w:before="55" w:after="30" w:line="288" w:lineRule="auto"/>
              <w:jc w:val="right"/>
            </w:pPr>
            <w:r>
              <w:rPr>
                <w:rFonts w:ascii="Arial" w:eastAsia="Arial" w:hAnsi="Arial" w:cs="Arial"/>
                <w:color w:val="000000"/>
                <w:sz w:val="18"/>
              </w:rPr>
              <w:t>32.8 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6521DF0F" w14:textId="77777777" w:rsidR="001614AC" w:rsidRDefault="001614AC">
            <w:pPr>
              <w:keepNext/>
              <w:spacing w:before="55" w:after="30" w:line="288" w:lineRule="auto"/>
              <w:jc w:val="right"/>
            </w:pPr>
          </w:p>
        </w:tc>
        <w:tc>
          <w:tcPr>
            <w:tcW w:w="75" w:type="dxa"/>
            <w:tcBorders>
              <w:top w:val="nil"/>
              <w:left w:val="nil"/>
              <w:bottom w:val="nil"/>
              <w:right w:val="nil"/>
            </w:tcBorders>
            <w:tcMar>
              <w:top w:w="0" w:type="dxa"/>
              <w:left w:w="0" w:type="dxa"/>
              <w:bottom w:w="0" w:type="dxa"/>
              <w:right w:w="0" w:type="dxa"/>
            </w:tcMar>
            <w:vAlign w:val="bottom"/>
          </w:tcPr>
          <w:p w14:paraId="5F77426D" w14:textId="77777777" w:rsidR="001614AC" w:rsidRDefault="001614AC">
            <w:pPr>
              <w:keepNext/>
            </w:pPr>
          </w:p>
        </w:tc>
        <w:tc>
          <w:tcPr>
            <w:tcW w:w="90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7D3C32B9" w14:textId="77777777" w:rsidR="001614AC" w:rsidRDefault="004468F9">
            <w:pPr>
              <w:keepNext/>
              <w:spacing w:before="55" w:after="30" w:line="288" w:lineRule="auto"/>
              <w:jc w:val="right"/>
            </w:pPr>
            <w:r>
              <w:rPr>
                <w:rFonts w:ascii="Arial" w:eastAsia="Arial" w:hAnsi="Arial" w:cs="Arial"/>
                <w:color w:val="000000"/>
                <w:sz w:val="18"/>
              </w:rPr>
              <w:t>34.7 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0972EF54" w14:textId="77777777" w:rsidR="001614AC" w:rsidRDefault="001614AC">
            <w:pPr>
              <w:keepNext/>
              <w:spacing w:before="55" w:after="30" w:line="288" w:lineRule="auto"/>
              <w:jc w:val="right"/>
            </w:pPr>
          </w:p>
        </w:tc>
        <w:tc>
          <w:tcPr>
            <w:tcW w:w="75" w:type="dxa"/>
            <w:tcBorders>
              <w:top w:val="nil"/>
              <w:left w:val="nil"/>
              <w:bottom w:val="nil"/>
              <w:right w:val="nil"/>
            </w:tcBorders>
            <w:tcMar>
              <w:top w:w="0" w:type="dxa"/>
              <w:left w:w="0" w:type="dxa"/>
              <w:bottom w:w="0" w:type="dxa"/>
              <w:right w:w="0" w:type="dxa"/>
            </w:tcMar>
            <w:vAlign w:val="bottom"/>
          </w:tcPr>
          <w:p w14:paraId="19541068" w14:textId="77777777" w:rsidR="001614AC" w:rsidRDefault="001614AC">
            <w:pPr>
              <w:keepNext/>
            </w:pPr>
          </w:p>
        </w:tc>
        <w:tc>
          <w:tcPr>
            <w:tcW w:w="117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490623AC" w14:textId="77777777" w:rsidR="001614AC" w:rsidRDefault="004468F9">
            <w:pPr>
              <w:keepNext/>
              <w:spacing w:before="55" w:after="30" w:line="288" w:lineRule="auto"/>
              <w:jc w:val="right"/>
            </w:pPr>
            <w:r>
              <w:rPr>
                <w:rFonts w:ascii="Arial" w:eastAsia="Arial" w:hAnsi="Arial" w:cs="Arial"/>
                <w:color w:val="000000"/>
                <w:sz w:val="18"/>
              </w:rPr>
              <w:t>(1.9)</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0B9358AD" w14:textId="77777777" w:rsidR="001614AC" w:rsidRDefault="001614AC">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2EBD9A7F" w14:textId="77777777" w:rsidR="001614AC" w:rsidRDefault="001614AC">
            <w:pPr>
              <w:keepNext/>
            </w:pPr>
          </w:p>
        </w:tc>
        <w:tc>
          <w:tcPr>
            <w:tcW w:w="90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3ADCD613" w14:textId="77777777" w:rsidR="001614AC" w:rsidRDefault="004468F9">
            <w:pPr>
              <w:keepNext/>
              <w:spacing w:before="55" w:after="30" w:line="288" w:lineRule="auto"/>
              <w:jc w:val="right"/>
            </w:pPr>
            <w:r>
              <w:rPr>
                <w:rFonts w:ascii="Arial" w:eastAsia="Arial" w:hAnsi="Arial" w:cs="Arial"/>
                <w:color w:val="000000"/>
                <w:sz w:val="18"/>
              </w:rPr>
              <w:t>66.9 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450D6BDF" w14:textId="77777777" w:rsidR="001614AC" w:rsidRDefault="001614AC">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2EF0231A" w14:textId="77777777" w:rsidR="001614AC" w:rsidRDefault="001614AC">
            <w:pPr>
              <w:keepNext/>
            </w:pPr>
          </w:p>
        </w:tc>
        <w:tc>
          <w:tcPr>
            <w:tcW w:w="90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4D7F7529" w14:textId="77777777" w:rsidR="001614AC" w:rsidRDefault="004468F9">
            <w:pPr>
              <w:keepNext/>
              <w:spacing w:before="55" w:after="30" w:line="288" w:lineRule="auto"/>
              <w:jc w:val="right"/>
            </w:pPr>
            <w:r>
              <w:rPr>
                <w:rFonts w:ascii="Arial" w:eastAsia="Arial" w:hAnsi="Arial" w:cs="Arial"/>
                <w:color w:val="000000"/>
                <w:sz w:val="18"/>
              </w:rPr>
              <w:t>70.9 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2DBE8222" w14:textId="77777777" w:rsidR="001614AC" w:rsidRDefault="001614AC">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00931CD6" w14:textId="77777777" w:rsidR="001614AC" w:rsidRDefault="001614AC">
            <w:pPr>
              <w:keepNext/>
            </w:pPr>
          </w:p>
        </w:tc>
        <w:tc>
          <w:tcPr>
            <w:tcW w:w="117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26C5DFFC" w14:textId="77777777" w:rsidR="001614AC" w:rsidRDefault="004468F9">
            <w:pPr>
              <w:keepNext/>
              <w:spacing w:before="55" w:after="30" w:line="288" w:lineRule="auto"/>
              <w:jc w:val="right"/>
            </w:pPr>
            <w:r>
              <w:rPr>
                <w:rFonts w:ascii="Arial" w:eastAsia="Arial" w:hAnsi="Arial" w:cs="Arial"/>
                <w:color w:val="000000"/>
                <w:sz w:val="18"/>
              </w:rPr>
              <w:t>(4.0)</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102EA0C4" w14:textId="77777777" w:rsidR="001614AC" w:rsidRDefault="001614AC">
            <w:pPr>
              <w:keepNext/>
              <w:spacing w:before="55" w:after="30" w:line="288" w:lineRule="auto"/>
              <w:jc w:val="right"/>
            </w:pPr>
          </w:p>
        </w:tc>
      </w:tr>
      <w:tr w:rsidR="001614AC" w14:paraId="08B7E38F" w14:textId="77777777">
        <w:trPr>
          <w:cantSplit/>
        </w:trPr>
        <w:tc>
          <w:tcPr>
            <w:tcW w:w="2940" w:type="dxa"/>
            <w:tcBorders>
              <w:top w:val="single" w:sz="8" w:space="0" w:color="E9E9E9"/>
              <w:left w:val="nil"/>
              <w:bottom w:val="single" w:sz="8" w:space="0" w:color="E9E9E9"/>
              <w:right w:val="nil"/>
            </w:tcBorders>
            <w:tcMar>
              <w:top w:w="0" w:type="dxa"/>
              <w:left w:w="53" w:type="dxa"/>
              <w:bottom w:w="0" w:type="dxa"/>
              <w:right w:w="53" w:type="dxa"/>
            </w:tcMar>
            <w:vAlign w:val="bottom"/>
          </w:tcPr>
          <w:p w14:paraId="38CFDF35" w14:textId="77777777" w:rsidR="001614AC" w:rsidRDefault="004468F9">
            <w:pPr>
              <w:keepNext/>
              <w:spacing w:before="55" w:after="30" w:line="288" w:lineRule="auto"/>
            </w:pPr>
            <w:r>
              <w:rPr>
                <w:rFonts w:ascii="Arial" w:eastAsia="Arial" w:hAnsi="Arial" w:cs="Arial"/>
                <w:color w:val="000000"/>
                <w:sz w:val="18"/>
              </w:rPr>
              <w:t>Provision for losses</w:t>
            </w:r>
          </w:p>
        </w:tc>
        <w:tc>
          <w:tcPr>
            <w:tcW w:w="105" w:type="dxa"/>
            <w:tcBorders>
              <w:top w:val="nil"/>
              <w:left w:val="nil"/>
              <w:bottom w:val="nil"/>
              <w:right w:val="nil"/>
            </w:tcBorders>
            <w:tcMar>
              <w:top w:w="0" w:type="dxa"/>
              <w:left w:w="0" w:type="dxa"/>
              <w:bottom w:w="0" w:type="dxa"/>
              <w:right w:w="0" w:type="dxa"/>
            </w:tcMar>
            <w:vAlign w:val="bottom"/>
          </w:tcPr>
          <w:p w14:paraId="19B2C4BB" w14:textId="77777777" w:rsidR="001614AC" w:rsidRDefault="001614AC">
            <w:pPr>
              <w:keepNext/>
            </w:pPr>
          </w:p>
        </w:tc>
        <w:tc>
          <w:tcPr>
            <w:tcW w:w="90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7A31F08E" w14:textId="77777777" w:rsidR="001614AC" w:rsidRDefault="004468F9">
            <w:pPr>
              <w:keepNext/>
              <w:spacing w:before="55" w:after="30" w:line="288" w:lineRule="auto"/>
              <w:jc w:val="right"/>
            </w:pPr>
            <w:r>
              <w:rPr>
                <w:rFonts w:ascii="Arial" w:eastAsia="Arial" w:hAnsi="Arial" w:cs="Arial"/>
                <w:color w:val="000000"/>
                <w:sz w:val="18"/>
              </w:rPr>
              <w:t>3.3 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68E66162" w14:textId="77777777" w:rsidR="001614AC" w:rsidRDefault="001614AC">
            <w:pPr>
              <w:keepNext/>
              <w:spacing w:before="55" w:after="30" w:line="288" w:lineRule="auto"/>
              <w:jc w:val="right"/>
            </w:pPr>
          </w:p>
        </w:tc>
        <w:tc>
          <w:tcPr>
            <w:tcW w:w="75" w:type="dxa"/>
            <w:tcBorders>
              <w:top w:val="nil"/>
              <w:left w:val="nil"/>
              <w:bottom w:val="nil"/>
              <w:right w:val="nil"/>
            </w:tcBorders>
            <w:tcMar>
              <w:top w:w="0" w:type="dxa"/>
              <w:left w:w="0" w:type="dxa"/>
              <w:bottom w:w="0" w:type="dxa"/>
              <w:right w:w="0" w:type="dxa"/>
            </w:tcMar>
            <w:vAlign w:val="bottom"/>
          </w:tcPr>
          <w:p w14:paraId="6932D8B9" w14:textId="77777777" w:rsidR="001614AC" w:rsidRDefault="001614AC">
            <w:pPr>
              <w:keepNext/>
            </w:pPr>
          </w:p>
        </w:tc>
        <w:tc>
          <w:tcPr>
            <w:tcW w:w="90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5EB10F2A" w14:textId="77777777" w:rsidR="001614AC" w:rsidRDefault="004468F9">
            <w:pPr>
              <w:keepNext/>
              <w:spacing w:before="55" w:after="30" w:line="288" w:lineRule="auto"/>
              <w:jc w:val="right"/>
            </w:pPr>
            <w:r>
              <w:rPr>
                <w:rFonts w:ascii="Arial" w:eastAsia="Arial" w:hAnsi="Arial" w:cs="Arial"/>
                <w:color w:val="000000"/>
                <w:sz w:val="18"/>
              </w:rPr>
              <w:t>304.0 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499FB5EB" w14:textId="77777777" w:rsidR="001614AC" w:rsidRDefault="001614AC">
            <w:pPr>
              <w:keepNext/>
              <w:spacing w:before="55" w:after="30" w:line="288" w:lineRule="auto"/>
              <w:jc w:val="right"/>
            </w:pPr>
          </w:p>
        </w:tc>
        <w:tc>
          <w:tcPr>
            <w:tcW w:w="75" w:type="dxa"/>
            <w:tcBorders>
              <w:top w:val="nil"/>
              <w:left w:val="nil"/>
              <w:bottom w:val="nil"/>
              <w:right w:val="nil"/>
            </w:tcBorders>
            <w:tcMar>
              <w:top w:w="0" w:type="dxa"/>
              <w:left w:w="0" w:type="dxa"/>
              <w:bottom w:w="0" w:type="dxa"/>
              <w:right w:w="0" w:type="dxa"/>
            </w:tcMar>
            <w:vAlign w:val="bottom"/>
          </w:tcPr>
          <w:p w14:paraId="0F12D549" w14:textId="77777777" w:rsidR="001614AC" w:rsidRDefault="001614AC">
            <w:pPr>
              <w:keepNext/>
            </w:pPr>
          </w:p>
        </w:tc>
        <w:tc>
          <w:tcPr>
            <w:tcW w:w="117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608D0DFC" w14:textId="77777777" w:rsidR="001614AC" w:rsidRDefault="004468F9">
            <w:pPr>
              <w:keepNext/>
              <w:spacing w:before="55" w:after="30" w:line="288" w:lineRule="auto"/>
              <w:jc w:val="right"/>
            </w:pPr>
            <w:r>
              <w:rPr>
                <w:rFonts w:ascii="Arial" w:eastAsia="Arial" w:hAnsi="Arial" w:cs="Arial"/>
                <w:color w:val="000000"/>
                <w:sz w:val="18"/>
              </w:rPr>
              <w:t>300.7 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1E5E6CCB" w14:textId="77777777" w:rsidR="001614AC" w:rsidRDefault="001614AC">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27805EF8" w14:textId="77777777" w:rsidR="001614AC" w:rsidRDefault="001614AC">
            <w:pPr>
              <w:keepNext/>
            </w:pPr>
          </w:p>
        </w:tc>
        <w:tc>
          <w:tcPr>
            <w:tcW w:w="90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02C824EB" w14:textId="77777777" w:rsidR="001614AC" w:rsidRDefault="004468F9">
            <w:pPr>
              <w:keepNext/>
              <w:spacing w:before="55" w:after="30" w:line="288" w:lineRule="auto"/>
              <w:jc w:val="right"/>
            </w:pPr>
            <w:r>
              <w:rPr>
                <w:rFonts w:ascii="Arial" w:eastAsia="Arial" w:hAnsi="Arial" w:cs="Arial"/>
                <w:color w:val="000000"/>
                <w:sz w:val="18"/>
              </w:rPr>
              <w:t>49.2 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533CF029" w14:textId="77777777" w:rsidR="001614AC" w:rsidRDefault="001614AC">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63D635DA" w14:textId="77777777" w:rsidR="001614AC" w:rsidRDefault="001614AC">
            <w:pPr>
              <w:keepNext/>
            </w:pPr>
          </w:p>
        </w:tc>
        <w:tc>
          <w:tcPr>
            <w:tcW w:w="90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2BDCDEB0" w14:textId="77777777" w:rsidR="001614AC" w:rsidRDefault="004468F9">
            <w:pPr>
              <w:keepNext/>
              <w:spacing w:before="55" w:after="30" w:line="288" w:lineRule="auto"/>
              <w:jc w:val="right"/>
            </w:pPr>
            <w:r>
              <w:rPr>
                <w:rFonts w:ascii="Arial" w:eastAsia="Arial" w:hAnsi="Arial" w:cs="Arial"/>
                <w:color w:val="000000"/>
                <w:sz w:val="18"/>
              </w:rPr>
              <w:t>339.3 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5357CE64" w14:textId="77777777" w:rsidR="001614AC" w:rsidRDefault="001614AC">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6A95C4F7" w14:textId="77777777" w:rsidR="001614AC" w:rsidRDefault="001614AC">
            <w:pPr>
              <w:keepNext/>
            </w:pPr>
          </w:p>
        </w:tc>
        <w:tc>
          <w:tcPr>
            <w:tcW w:w="117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0EB2347D" w14:textId="77777777" w:rsidR="001614AC" w:rsidRDefault="004468F9">
            <w:pPr>
              <w:keepNext/>
              <w:spacing w:before="55" w:after="30" w:line="288" w:lineRule="auto"/>
              <w:jc w:val="right"/>
            </w:pPr>
            <w:r>
              <w:rPr>
                <w:rFonts w:ascii="Arial" w:eastAsia="Arial" w:hAnsi="Arial" w:cs="Arial"/>
                <w:color w:val="000000"/>
                <w:sz w:val="18"/>
              </w:rPr>
              <w:t>290.1 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65946371" w14:textId="77777777" w:rsidR="001614AC" w:rsidRDefault="001614AC">
            <w:pPr>
              <w:keepNext/>
              <w:spacing w:before="55" w:after="30" w:line="288" w:lineRule="auto"/>
              <w:jc w:val="right"/>
            </w:pPr>
          </w:p>
        </w:tc>
      </w:tr>
      <w:tr w:rsidR="001614AC" w14:paraId="47F6A9B5" w14:textId="77777777">
        <w:trPr>
          <w:cantSplit/>
        </w:trPr>
        <w:tc>
          <w:tcPr>
            <w:tcW w:w="2940" w:type="dxa"/>
            <w:tcBorders>
              <w:top w:val="single" w:sz="8" w:space="0" w:color="E9E9E9"/>
              <w:left w:val="nil"/>
              <w:bottom w:val="single" w:sz="8" w:space="0" w:color="E9E9E9"/>
              <w:right w:val="nil"/>
            </w:tcBorders>
            <w:tcMar>
              <w:top w:w="0" w:type="dxa"/>
              <w:left w:w="53" w:type="dxa"/>
              <w:bottom w:w="0" w:type="dxa"/>
              <w:right w:w="53" w:type="dxa"/>
            </w:tcMar>
            <w:vAlign w:val="bottom"/>
          </w:tcPr>
          <w:p w14:paraId="11A1A1F2" w14:textId="77777777" w:rsidR="001614AC" w:rsidRDefault="004468F9">
            <w:pPr>
              <w:keepNext/>
              <w:spacing w:before="55" w:after="30" w:line="288" w:lineRule="auto"/>
            </w:pPr>
            <w:r>
              <w:rPr>
                <w:rFonts w:ascii="Arial" w:eastAsia="Arial" w:hAnsi="Arial" w:cs="Arial"/>
                <w:color w:val="000000"/>
                <w:sz w:val="18"/>
              </w:rPr>
              <w:t>Policy acquisition costs</w:t>
            </w:r>
          </w:p>
        </w:tc>
        <w:tc>
          <w:tcPr>
            <w:tcW w:w="105" w:type="dxa"/>
            <w:tcBorders>
              <w:top w:val="nil"/>
              <w:left w:val="nil"/>
              <w:bottom w:val="nil"/>
              <w:right w:val="nil"/>
            </w:tcBorders>
            <w:tcMar>
              <w:top w:w="0" w:type="dxa"/>
              <w:left w:w="0" w:type="dxa"/>
              <w:bottom w:w="0" w:type="dxa"/>
              <w:right w:w="0" w:type="dxa"/>
            </w:tcMar>
            <w:vAlign w:val="bottom"/>
          </w:tcPr>
          <w:p w14:paraId="00CE6ED9" w14:textId="77777777" w:rsidR="001614AC" w:rsidRDefault="001614AC">
            <w:pPr>
              <w:keepNext/>
            </w:pPr>
          </w:p>
        </w:tc>
        <w:tc>
          <w:tcPr>
            <w:tcW w:w="90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0A7F3B93" w14:textId="77777777" w:rsidR="001614AC" w:rsidRDefault="004468F9">
            <w:pPr>
              <w:keepNext/>
              <w:spacing w:before="55" w:after="30" w:line="288" w:lineRule="auto"/>
              <w:jc w:val="right"/>
            </w:pPr>
            <w:r>
              <w:rPr>
                <w:rFonts w:ascii="Arial" w:eastAsia="Arial" w:hAnsi="Arial" w:cs="Arial"/>
                <w:color w:val="000000"/>
                <w:sz w:val="18"/>
              </w:rPr>
              <w:t>4.8 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4E1D277B" w14:textId="77777777" w:rsidR="001614AC" w:rsidRDefault="001614AC">
            <w:pPr>
              <w:keepNext/>
              <w:spacing w:before="55" w:after="30" w:line="288" w:lineRule="auto"/>
              <w:jc w:val="right"/>
            </w:pPr>
          </w:p>
        </w:tc>
        <w:tc>
          <w:tcPr>
            <w:tcW w:w="75" w:type="dxa"/>
            <w:tcBorders>
              <w:top w:val="nil"/>
              <w:left w:val="nil"/>
              <w:bottom w:val="nil"/>
              <w:right w:val="nil"/>
            </w:tcBorders>
            <w:tcMar>
              <w:top w:w="0" w:type="dxa"/>
              <w:left w:w="0" w:type="dxa"/>
              <w:bottom w:w="0" w:type="dxa"/>
              <w:right w:w="0" w:type="dxa"/>
            </w:tcMar>
            <w:vAlign w:val="bottom"/>
          </w:tcPr>
          <w:p w14:paraId="4F807E0D" w14:textId="77777777" w:rsidR="001614AC" w:rsidRDefault="001614AC">
            <w:pPr>
              <w:keepNext/>
            </w:pPr>
          </w:p>
        </w:tc>
        <w:tc>
          <w:tcPr>
            <w:tcW w:w="90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0F708B26" w14:textId="77777777" w:rsidR="001614AC" w:rsidRDefault="004468F9">
            <w:pPr>
              <w:keepNext/>
              <w:spacing w:before="55" w:after="30" w:line="288" w:lineRule="auto"/>
              <w:jc w:val="right"/>
            </w:pPr>
            <w:r>
              <w:rPr>
                <w:rFonts w:ascii="Arial" w:eastAsia="Arial" w:hAnsi="Arial" w:cs="Arial"/>
                <w:color w:val="000000"/>
                <w:sz w:val="18"/>
              </w:rPr>
              <w:t>6.0 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6B96DCC9" w14:textId="77777777" w:rsidR="001614AC" w:rsidRDefault="001614AC">
            <w:pPr>
              <w:keepNext/>
              <w:spacing w:before="55" w:after="30" w:line="288" w:lineRule="auto"/>
              <w:jc w:val="right"/>
            </w:pPr>
          </w:p>
        </w:tc>
        <w:tc>
          <w:tcPr>
            <w:tcW w:w="75" w:type="dxa"/>
            <w:tcBorders>
              <w:top w:val="nil"/>
              <w:left w:val="nil"/>
              <w:bottom w:val="nil"/>
              <w:right w:val="nil"/>
            </w:tcBorders>
            <w:tcMar>
              <w:top w:w="0" w:type="dxa"/>
              <w:left w:w="0" w:type="dxa"/>
              <w:bottom w:w="0" w:type="dxa"/>
              <w:right w:w="0" w:type="dxa"/>
            </w:tcMar>
            <w:vAlign w:val="bottom"/>
          </w:tcPr>
          <w:p w14:paraId="15A0FCC3" w14:textId="77777777" w:rsidR="001614AC" w:rsidRDefault="001614AC">
            <w:pPr>
              <w:keepNext/>
            </w:pPr>
          </w:p>
        </w:tc>
        <w:tc>
          <w:tcPr>
            <w:tcW w:w="117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5C0D947D" w14:textId="77777777" w:rsidR="001614AC" w:rsidRDefault="004468F9">
            <w:pPr>
              <w:keepNext/>
              <w:spacing w:before="55" w:after="30" w:line="288" w:lineRule="auto"/>
              <w:jc w:val="right"/>
            </w:pPr>
            <w:r>
              <w:rPr>
                <w:rFonts w:ascii="Arial" w:eastAsia="Arial" w:hAnsi="Arial" w:cs="Arial"/>
                <w:color w:val="000000"/>
                <w:sz w:val="18"/>
              </w:rPr>
              <w:t>1.2 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10065C79" w14:textId="77777777" w:rsidR="001614AC" w:rsidRDefault="001614AC">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5F16585C" w14:textId="77777777" w:rsidR="001614AC" w:rsidRDefault="001614AC">
            <w:pPr>
              <w:keepNext/>
            </w:pPr>
          </w:p>
        </w:tc>
        <w:tc>
          <w:tcPr>
            <w:tcW w:w="90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7748A96B" w14:textId="77777777" w:rsidR="001614AC" w:rsidRDefault="004468F9">
            <w:pPr>
              <w:keepNext/>
              <w:spacing w:before="55" w:after="30" w:line="288" w:lineRule="auto"/>
              <w:jc w:val="right"/>
            </w:pPr>
            <w:r>
              <w:rPr>
                <w:rFonts w:ascii="Arial" w:eastAsia="Arial" w:hAnsi="Arial" w:cs="Arial"/>
                <w:color w:val="000000"/>
                <w:sz w:val="18"/>
              </w:rPr>
              <w:t>13.8 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39987292" w14:textId="77777777" w:rsidR="001614AC" w:rsidRDefault="001614AC">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287018E4" w14:textId="77777777" w:rsidR="001614AC" w:rsidRDefault="001614AC">
            <w:pPr>
              <w:keepNext/>
            </w:pPr>
          </w:p>
        </w:tc>
        <w:tc>
          <w:tcPr>
            <w:tcW w:w="90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6F77B21A" w14:textId="77777777" w:rsidR="001614AC" w:rsidRDefault="004468F9">
            <w:pPr>
              <w:keepNext/>
              <w:spacing w:before="55" w:after="30" w:line="288" w:lineRule="auto"/>
              <w:jc w:val="right"/>
            </w:pPr>
            <w:r>
              <w:rPr>
                <w:rFonts w:ascii="Arial" w:eastAsia="Arial" w:hAnsi="Arial" w:cs="Arial"/>
                <w:color w:val="000000"/>
                <w:sz w:val="18"/>
              </w:rPr>
              <w:t>13.4 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5DF87007" w14:textId="77777777" w:rsidR="001614AC" w:rsidRDefault="001614AC">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1EEE9BA1" w14:textId="77777777" w:rsidR="001614AC" w:rsidRDefault="001614AC">
            <w:pPr>
              <w:keepNext/>
            </w:pPr>
          </w:p>
        </w:tc>
        <w:tc>
          <w:tcPr>
            <w:tcW w:w="117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42D53639" w14:textId="77777777" w:rsidR="001614AC" w:rsidRDefault="004468F9">
            <w:pPr>
              <w:keepNext/>
              <w:spacing w:before="55" w:after="30" w:line="288" w:lineRule="auto"/>
              <w:jc w:val="right"/>
            </w:pPr>
            <w:r>
              <w:rPr>
                <w:rFonts w:ascii="Arial" w:eastAsia="Arial" w:hAnsi="Arial" w:cs="Arial"/>
                <w:color w:val="000000"/>
                <w:sz w:val="18"/>
              </w:rPr>
              <w:t>(0.4)</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088DEE2B" w14:textId="77777777" w:rsidR="001614AC" w:rsidRDefault="001614AC">
            <w:pPr>
              <w:keepNext/>
              <w:spacing w:before="55" w:after="30" w:line="288" w:lineRule="auto"/>
              <w:jc w:val="right"/>
            </w:pPr>
          </w:p>
        </w:tc>
      </w:tr>
      <w:tr w:rsidR="001614AC" w14:paraId="44CC7085" w14:textId="77777777">
        <w:trPr>
          <w:cantSplit/>
        </w:trPr>
        <w:tc>
          <w:tcPr>
            <w:tcW w:w="2940" w:type="dxa"/>
            <w:tcBorders>
              <w:top w:val="single" w:sz="8" w:space="0" w:color="E9E9E9"/>
              <w:left w:val="nil"/>
              <w:bottom w:val="single" w:sz="8" w:space="0" w:color="E9E9E9"/>
              <w:right w:val="nil"/>
            </w:tcBorders>
            <w:tcMar>
              <w:top w:w="0" w:type="dxa"/>
              <w:left w:w="53" w:type="dxa"/>
              <w:bottom w:w="0" w:type="dxa"/>
              <w:right w:w="53" w:type="dxa"/>
            </w:tcMar>
            <w:vAlign w:val="bottom"/>
          </w:tcPr>
          <w:p w14:paraId="5CD96689" w14:textId="77777777" w:rsidR="001614AC" w:rsidRDefault="004468F9">
            <w:pPr>
              <w:keepNext/>
              <w:spacing w:before="55" w:after="30" w:line="288" w:lineRule="auto"/>
            </w:pPr>
            <w:r>
              <w:rPr>
                <w:rFonts w:ascii="Arial" w:eastAsia="Arial" w:hAnsi="Arial" w:cs="Arial"/>
                <w:color w:val="000000"/>
                <w:sz w:val="18"/>
              </w:rPr>
              <w:t>Cost of services</w:t>
            </w:r>
          </w:p>
        </w:tc>
        <w:tc>
          <w:tcPr>
            <w:tcW w:w="105" w:type="dxa"/>
            <w:tcBorders>
              <w:top w:val="nil"/>
              <w:left w:val="nil"/>
              <w:bottom w:val="nil"/>
              <w:right w:val="nil"/>
            </w:tcBorders>
            <w:tcMar>
              <w:top w:w="0" w:type="dxa"/>
              <w:left w:w="0" w:type="dxa"/>
              <w:bottom w:w="0" w:type="dxa"/>
              <w:right w:w="0" w:type="dxa"/>
            </w:tcMar>
            <w:vAlign w:val="bottom"/>
          </w:tcPr>
          <w:p w14:paraId="1B3F712F" w14:textId="77777777" w:rsidR="001614AC" w:rsidRDefault="001614AC">
            <w:pPr>
              <w:keepNext/>
            </w:pPr>
          </w:p>
        </w:tc>
        <w:tc>
          <w:tcPr>
            <w:tcW w:w="90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6BE5E2A0" w14:textId="77777777" w:rsidR="001614AC" w:rsidRDefault="004468F9">
            <w:pPr>
              <w:keepNext/>
              <w:spacing w:before="55" w:after="30" w:line="288" w:lineRule="auto"/>
              <w:jc w:val="right"/>
            </w:pPr>
            <w:r>
              <w:rPr>
                <w:rFonts w:ascii="Arial" w:eastAsia="Arial" w:hAnsi="Arial" w:cs="Arial"/>
                <w:color w:val="000000"/>
                <w:sz w:val="18"/>
              </w:rPr>
              <w:t>3.2 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6D340A0F" w14:textId="77777777" w:rsidR="001614AC" w:rsidRDefault="001614AC">
            <w:pPr>
              <w:keepNext/>
              <w:spacing w:before="55" w:after="30" w:line="288" w:lineRule="auto"/>
              <w:jc w:val="right"/>
            </w:pPr>
          </w:p>
        </w:tc>
        <w:tc>
          <w:tcPr>
            <w:tcW w:w="75" w:type="dxa"/>
            <w:tcBorders>
              <w:top w:val="nil"/>
              <w:left w:val="nil"/>
              <w:bottom w:val="nil"/>
              <w:right w:val="nil"/>
            </w:tcBorders>
            <w:tcMar>
              <w:top w:w="0" w:type="dxa"/>
              <w:left w:w="0" w:type="dxa"/>
              <w:bottom w:w="0" w:type="dxa"/>
              <w:right w:w="0" w:type="dxa"/>
            </w:tcMar>
            <w:vAlign w:val="bottom"/>
          </w:tcPr>
          <w:p w14:paraId="0072DE0F" w14:textId="77777777" w:rsidR="001614AC" w:rsidRDefault="001614AC">
            <w:pPr>
              <w:keepNext/>
            </w:pPr>
          </w:p>
        </w:tc>
        <w:tc>
          <w:tcPr>
            <w:tcW w:w="90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51BD9B9F" w14:textId="77777777" w:rsidR="001614AC" w:rsidRDefault="004468F9">
            <w:pPr>
              <w:keepNext/>
              <w:spacing w:before="55" w:after="30" w:line="288" w:lineRule="auto"/>
              <w:jc w:val="right"/>
            </w:pPr>
            <w:r>
              <w:rPr>
                <w:rFonts w:ascii="Arial" w:eastAsia="Arial" w:hAnsi="Arial" w:cs="Arial"/>
                <w:color w:val="000000"/>
                <w:sz w:val="18"/>
              </w:rPr>
              <w:t>2.1 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7208091D" w14:textId="77777777" w:rsidR="001614AC" w:rsidRDefault="001614AC">
            <w:pPr>
              <w:keepNext/>
              <w:spacing w:before="55" w:after="30" w:line="288" w:lineRule="auto"/>
              <w:jc w:val="right"/>
            </w:pPr>
          </w:p>
        </w:tc>
        <w:tc>
          <w:tcPr>
            <w:tcW w:w="75" w:type="dxa"/>
            <w:tcBorders>
              <w:top w:val="nil"/>
              <w:left w:val="nil"/>
              <w:bottom w:val="nil"/>
              <w:right w:val="nil"/>
            </w:tcBorders>
            <w:tcMar>
              <w:top w:w="0" w:type="dxa"/>
              <w:left w:w="0" w:type="dxa"/>
              <w:bottom w:w="0" w:type="dxa"/>
              <w:right w:w="0" w:type="dxa"/>
            </w:tcMar>
            <w:vAlign w:val="bottom"/>
          </w:tcPr>
          <w:p w14:paraId="3952877C" w14:textId="77777777" w:rsidR="001614AC" w:rsidRDefault="001614AC">
            <w:pPr>
              <w:keepNext/>
            </w:pPr>
          </w:p>
        </w:tc>
        <w:tc>
          <w:tcPr>
            <w:tcW w:w="117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2E2473E5" w14:textId="77777777" w:rsidR="001614AC" w:rsidRDefault="004468F9">
            <w:pPr>
              <w:keepNext/>
              <w:spacing w:before="55" w:after="30" w:line="288" w:lineRule="auto"/>
              <w:jc w:val="right"/>
            </w:pPr>
            <w:r>
              <w:rPr>
                <w:rFonts w:ascii="Arial" w:eastAsia="Arial" w:hAnsi="Arial" w:cs="Arial"/>
                <w:color w:val="000000"/>
                <w:sz w:val="18"/>
              </w:rPr>
              <w:t>(1.1)</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477ED57C" w14:textId="77777777" w:rsidR="001614AC" w:rsidRDefault="001614AC">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67D0BFD9" w14:textId="77777777" w:rsidR="001614AC" w:rsidRDefault="001614AC">
            <w:pPr>
              <w:keepNext/>
            </w:pPr>
          </w:p>
        </w:tc>
        <w:tc>
          <w:tcPr>
            <w:tcW w:w="90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4E5CE4D0" w14:textId="77777777" w:rsidR="001614AC" w:rsidRDefault="004468F9">
            <w:pPr>
              <w:keepNext/>
              <w:spacing w:before="55" w:after="30" w:line="288" w:lineRule="auto"/>
              <w:jc w:val="right"/>
            </w:pPr>
            <w:r>
              <w:rPr>
                <w:rFonts w:ascii="Arial" w:eastAsia="Arial" w:hAnsi="Arial" w:cs="Arial"/>
                <w:color w:val="000000"/>
                <w:sz w:val="18"/>
              </w:rPr>
              <w:t>6.4 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5CC2D880" w14:textId="77777777" w:rsidR="001614AC" w:rsidRDefault="001614AC">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39F897A4" w14:textId="77777777" w:rsidR="001614AC" w:rsidRDefault="001614AC">
            <w:pPr>
              <w:keepNext/>
            </w:pPr>
          </w:p>
        </w:tc>
        <w:tc>
          <w:tcPr>
            <w:tcW w:w="90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10DE530F" w14:textId="77777777" w:rsidR="001614AC" w:rsidRDefault="004468F9">
            <w:pPr>
              <w:keepNext/>
              <w:spacing w:before="55" w:after="30" w:line="288" w:lineRule="auto"/>
              <w:jc w:val="right"/>
            </w:pPr>
            <w:r>
              <w:rPr>
                <w:rFonts w:ascii="Arial" w:eastAsia="Arial" w:hAnsi="Arial" w:cs="Arial"/>
                <w:color w:val="000000"/>
                <w:sz w:val="18"/>
              </w:rPr>
              <w:t>3.9 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3C25302E" w14:textId="77777777" w:rsidR="001614AC" w:rsidRDefault="001614AC">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79B6245B" w14:textId="77777777" w:rsidR="001614AC" w:rsidRDefault="001614AC">
            <w:pPr>
              <w:keepNext/>
            </w:pPr>
          </w:p>
        </w:tc>
        <w:tc>
          <w:tcPr>
            <w:tcW w:w="117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5B9DBA7B" w14:textId="77777777" w:rsidR="001614AC" w:rsidRDefault="004468F9">
            <w:pPr>
              <w:keepNext/>
              <w:spacing w:before="55" w:after="30" w:line="288" w:lineRule="auto"/>
              <w:jc w:val="right"/>
            </w:pPr>
            <w:r>
              <w:rPr>
                <w:rFonts w:ascii="Arial" w:eastAsia="Arial" w:hAnsi="Arial" w:cs="Arial"/>
                <w:color w:val="000000"/>
                <w:sz w:val="18"/>
              </w:rPr>
              <w:t>(2.5)</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4D07F19A" w14:textId="77777777" w:rsidR="001614AC" w:rsidRDefault="001614AC">
            <w:pPr>
              <w:keepNext/>
              <w:spacing w:before="55" w:after="30" w:line="288" w:lineRule="auto"/>
              <w:jc w:val="right"/>
            </w:pPr>
          </w:p>
        </w:tc>
      </w:tr>
      <w:tr w:rsidR="001614AC" w14:paraId="4B45F8E7" w14:textId="77777777">
        <w:trPr>
          <w:cantSplit/>
        </w:trPr>
        <w:tc>
          <w:tcPr>
            <w:tcW w:w="2940" w:type="dxa"/>
            <w:tcBorders>
              <w:top w:val="single" w:sz="8" w:space="0" w:color="E9E9E9"/>
              <w:left w:val="nil"/>
              <w:bottom w:val="single" w:sz="8" w:space="0" w:color="E9E9E9"/>
              <w:right w:val="nil"/>
            </w:tcBorders>
            <w:tcMar>
              <w:top w:w="0" w:type="dxa"/>
              <w:left w:w="53" w:type="dxa"/>
              <w:bottom w:w="0" w:type="dxa"/>
              <w:right w:w="53" w:type="dxa"/>
            </w:tcMar>
            <w:vAlign w:val="bottom"/>
          </w:tcPr>
          <w:p w14:paraId="72057468" w14:textId="77777777" w:rsidR="001614AC" w:rsidRDefault="004468F9">
            <w:pPr>
              <w:keepNext/>
              <w:spacing w:before="55" w:after="30" w:line="288" w:lineRule="auto"/>
              <w:rPr>
                <w:rFonts w:ascii="Arial" w:eastAsia="Arial" w:hAnsi="Arial" w:cs="Arial"/>
                <w:sz w:val="18"/>
              </w:rPr>
            </w:pPr>
            <w:r>
              <w:rPr>
                <w:rFonts w:ascii="Arial" w:eastAsia="Arial" w:hAnsi="Arial" w:cs="Arial"/>
                <w:sz w:val="18"/>
              </w:rPr>
              <w:t>Other operating expenses</w:t>
            </w:r>
            <w:r>
              <w:rPr>
                <w:rFonts w:ascii="Arial" w:eastAsia="Arial" w:hAnsi="Arial" w:cs="Arial"/>
                <w:sz w:val="18"/>
                <w:vertAlign w:val="superscript"/>
              </w:rPr>
              <w:t xml:space="preserve"> (2) </w:t>
            </w:r>
          </w:p>
        </w:tc>
        <w:tc>
          <w:tcPr>
            <w:tcW w:w="105" w:type="dxa"/>
            <w:tcBorders>
              <w:top w:val="nil"/>
              <w:left w:val="nil"/>
              <w:bottom w:val="nil"/>
              <w:right w:val="nil"/>
            </w:tcBorders>
            <w:tcMar>
              <w:top w:w="0" w:type="dxa"/>
              <w:left w:w="0" w:type="dxa"/>
              <w:bottom w:w="0" w:type="dxa"/>
              <w:right w:w="0" w:type="dxa"/>
            </w:tcMar>
            <w:vAlign w:val="bottom"/>
          </w:tcPr>
          <w:p w14:paraId="564FAEAB" w14:textId="77777777" w:rsidR="001614AC" w:rsidRDefault="001614AC">
            <w:pPr>
              <w:keepNext/>
            </w:pPr>
          </w:p>
        </w:tc>
        <w:tc>
          <w:tcPr>
            <w:tcW w:w="90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49ECBDBF" w14:textId="77777777" w:rsidR="001614AC" w:rsidRDefault="004468F9">
            <w:pPr>
              <w:keepNext/>
              <w:spacing w:before="55" w:after="30" w:line="288" w:lineRule="auto"/>
              <w:jc w:val="right"/>
            </w:pPr>
            <w:r>
              <w:rPr>
                <w:rFonts w:ascii="Arial" w:eastAsia="Arial" w:hAnsi="Arial" w:cs="Arial"/>
                <w:color w:val="000000"/>
                <w:sz w:val="18"/>
              </w:rPr>
              <w:t>60.4 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1A382A3F" w14:textId="77777777" w:rsidR="001614AC" w:rsidRDefault="001614AC">
            <w:pPr>
              <w:keepNext/>
              <w:spacing w:before="55" w:after="30" w:line="288" w:lineRule="auto"/>
              <w:jc w:val="right"/>
            </w:pPr>
          </w:p>
        </w:tc>
        <w:tc>
          <w:tcPr>
            <w:tcW w:w="75" w:type="dxa"/>
            <w:tcBorders>
              <w:top w:val="nil"/>
              <w:left w:val="nil"/>
              <w:bottom w:val="nil"/>
              <w:right w:val="nil"/>
            </w:tcBorders>
            <w:tcMar>
              <w:top w:w="0" w:type="dxa"/>
              <w:left w:w="0" w:type="dxa"/>
              <w:bottom w:w="0" w:type="dxa"/>
              <w:right w:w="0" w:type="dxa"/>
            </w:tcMar>
            <w:vAlign w:val="bottom"/>
          </w:tcPr>
          <w:p w14:paraId="77B96EE7" w14:textId="77777777" w:rsidR="001614AC" w:rsidRDefault="001614AC">
            <w:pPr>
              <w:keepNext/>
            </w:pPr>
          </w:p>
        </w:tc>
        <w:tc>
          <w:tcPr>
            <w:tcW w:w="90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1FE080B7" w14:textId="77777777" w:rsidR="001614AC" w:rsidRDefault="004468F9">
            <w:pPr>
              <w:keepNext/>
              <w:spacing w:before="55" w:after="30" w:line="288" w:lineRule="auto"/>
              <w:jc w:val="right"/>
            </w:pPr>
            <w:r>
              <w:rPr>
                <w:rFonts w:ascii="Arial" w:eastAsia="Arial" w:hAnsi="Arial" w:cs="Arial"/>
                <w:color w:val="000000"/>
                <w:sz w:val="18"/>
              </w:rPr>
              <w:t>43.9 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02B6BC6F" w14:textId="77777777" w:rsidR="001614AC" w:rsidRDefault="001614AC">
            <w:pPr>
              <w:keepNext/>
              <w:spacing w:before="55" w:after="30" w:line="288" w:lineRule="auto"/>
              <w:jc w:val="right"/>
            </w:pPr>
          </w:p>
        </w:tc>
        <w:tc>
          <w:tcPr>
            <w:tcW w:w="75" w:type="dxa"/>
            <w:tcBorders>
              <w:top w:val="nil"/>
              <w:left w:val="nil"/>
              <w:bottom w:val="nil"/>
              <w:right w:val="nil"/>
            </w:tcBorders>
            <w:tcMar>
              <w:top w:w="0" w:type="dxa"/>
              <w:left w:w="0" w:type="dxa"/>
              <w:bottom w:w="0" w:type="dxa"/>
              <w:right w:w="0" w:type="dxa"/>
            </w:tcMar>
            <w:vAlign w:val="bottom"/>
          </w:tcPr>
          <w:p w14:paraId="37679A88" w14:textId="77777777" w:rsidR="001614AC" w:rsidRDefault="001614AC">
            <w:pPr>
              <w:keepNext/>
            </w:pPr>
          </w:p>
        </w:tc>
        <w:tc>
          <w:tcPr>
            <w:tcW w:w="117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1CA033B2" w14:textId="77777777" w:rsidR="001614AC" w:rsidRDefault="004468F9">
            <w:pPr>
              <w:keepNext/>
              <w:spacing w:before="55" w:after="30" w:line="288" w:lineRule="auto"/>
              <w:jc w:val="right"/>
            </w:pPr>
            <w:r>
              <w:rPr>
                <w:rFonts w:ascii="Arial" w:eastAsia="Arial" w:hAnsi="Arial" w:cs="Arial"/>
                <w:color w:val="000000"/>
                <w:sz w:val="18"/>
              </w:rPr>
              <w:t>(16.5)</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48EBE770" w14:textId="77777777" w:rsidR="001614AC" w:rsidRDefault="001614AC">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1D1AA13C" w14:textId="77777777" w:rsidR="001614AC" w:rsidRDefault="001614AC">
            <w:pPr>
              <w:keepNext/>
            </w:pPr>
          </w:p>
        </w:tc>
        <w:tc>
          <w:tcPr>
            <w:tcW w:w="90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21A843B4" w14:textId="77777777" w:rsidR="001614AC" w:rsidRDefault="004468F9">
            <w:pPr>
              <w:keepNext/>
              <w:spacing w:before="55" w:after="30" w:line="288" w:lineRule="auto"/>
              <w:jc w:val="right"/>
            </w:pPr>
            <w:r>
              <w:rPr>
                <w:rFonts w:ascii="Arial" w:eastAsia="Arial" w:hAnsi="Arial" w:cs="Arial"/>
                <w:color w:val="000000"/>
                <w:sz w:val="18"/>
              </w:rPr>
              <w:t>110.8 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4F3A201D" w14:textId="77777777" w:rsidR="001614AC" w:rsidRDefault="001614AC">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03EEDC92" w14:textId="77777777" w:rsidR="001614AC" w:rsidRDefault="001614AC">
            <w:pPr>
              <w:keepNext/>
            </w:pPr>
          </w:p>
        </w:tc>
        <w:tc>
          <w:tcPr>
            <w:tcW w:w="90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7D906CF5" w14:textId="77777777" w:rsidR="001614AC" w:rsidRDefault="004468F9">
            <w:pPr>
              <w:keepNext/>
              <w:spacing w:before="55" w:after="30" w:line="288" w:lineRule="auto"/>
              <w:jc w:val="right"/>
            </w:pPr>
            <w:r>
              <w:rPr>
                <w:rFonts w:ascii="Arial" w:eastAsia="Arial" w:hAnsi="Arial" w:cs="Arial"/>
                <w:color w:val="000000"/>
                <w:sz w:val="18"/>
              </w:rPr>
              <w:t>96.7 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28B0DB61" w14:textId="77777777" w:rsidR="001614AC" w:rsidRDefault="001614AC">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23DCF321" w14:textId="77777777" w:rsidR="001614AC" w:rsidRDefault="001614AC">
            <w:pPr>
              <w:keepNext/>
            </w:pPr>
          </w:p>
        </w:tc>
        <w:tc>
          <w:tcPr>
            <w:tcW w:w="117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6E67F920" w14:textId="77777777" w:rsidR="001614AC" w:rsidRDefault="004468F9">
            <w:pPr>
              <w:keepNext/>
              <w:spacing w:before="55" w:after="30" w:line="288" w:lineRule="auto"/>
              <w:jc w:val="right"/>
            </w:pPr>
            <w:r>
              <w:rPr>
                <w:rFonts w:ascii="Arial" w:eastAsia="Arial" w:hAnsi="Arial" w:cs="Arial"/>
                <w:color w:val="000000"/>
                <w:sz w:val="18"/>
              </w:rPr>
              <w:t>(14.1)</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25CD2D0C" w14:textId="77777777" w:rsidR="001614AC" w:rsidRDefault="001614AC">
            <w:pPr>
              <w:keepNext/>
              <w:spacing w:before="55" w:after="30" w:line="288" w:lineRule="auto"/>
              <w:jc w:val="right"/>
            </w:pPr>
          </w:p>
        </w:tc>
      </w:tr>
      <w:tr w:rsidR="001614AC" w14:paraId="674B6103" w14:textId="77777777">
        <w:trPr>
          <w:cantSplit/>
        </w:trPr>
        <w:tc>
          <w:tcPr>
            <w:tcW w:w="2940" w:type="dxa"/>
            <w:tcBorders>
              <w:top w:val="single" w:sz="8" w:space="0" w:color="E9E9E9"/>
              <w:left w:val="nil"/>
              <w:bottom w:val="single" w:sz="8" w:space="0" w:color="E9E9E9"/>
              <w:right w:val="nil"/>
            </w:tcBorders>
            <w:tcMar>
              <w:top w:w="0" w:type="dxa"/>
              <w:left w:w="53" w:type="dxa"/>
              <w:bottom w:w="0" w:type="dxa"/>
              <w:right w:w="53" w:type="dxa"/>
            </w:tcMar>
            <w:vAlign w:val="bottom"/>
          </w:tcPr>
          <w:p w14:paraId="566AA410" w14:textId="77777777" w:rsidR="001614AC" w:rsidRDefault="004468F9">
            <w:pPr>
              <w:spacing w:before="55" w:after="30" w:line="288" w:lineRule="auto"/>
            </w:pPr>
            <w:r>
              <w:rPr>
                <w:rFonts w:ascii="Arial" w:eastAsia="Arial" w:hAnsi="Arial" w:cs="Arial"/>
                <w:color w:val="000000"/>
                <w:sz w:val="18"/>
              </w:rPr>
              <w:t>Interest expense</w:t>
            </w:r>
          </w:p>
        </w:tc>
        <w:tc>
          <w:tcPr>
            <w:tcW w:w="105" w:type="dxa"/>
            <w:tcBorders>
              <w:top w:val="nil"/>
              <w:left w:val="nil"/>
              <w:bottom w:val="nil"/>
              <w:right w:val="nil"/>
            </w:tcBorders>
            <w:tcMar>
              <w:top w:w="0" w:type="dxa"/>
              <w:left w:w="0" w:type="dxa"/>
              <w:bottom w:w="0" w:type="dxa"/>
              <w:right w:w="0" w:type="dxa"/>
            </w:tcMar>
            <w:vAlign w:val="bottom"/>
          </w:tcPr>
          <w:p w14:paraId="5424D41A" w14:textId="77777777" w:rsidR="001614AC" w:rsidRDefault="001614AC"/>
        </w:tc>
        <w:tc>
          <w:tcPr>
            <w:tcW w:w="90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23E9BE91" w14:textId="77777777" w:rsidR="001614AC" w:rsidRDefault="004468F9">
            <w:pPr>
              <w:spacing w:before="55" w:after="30" w:line="288" w:lineRule="auto"/>
              <w:jc w:val="right"/>
            </w:pPr>
            <w:r>
              <w:rPr>
                <w:rFonts w:ascii="Arial" w:eastAsia="Arial" w:hAnsi="Arial" w:cs="Arial"/>
                <w:color w:val="000000"/>
                <w:sz w:val="18"/>
              </w:rPr>
              <w:t>21.1 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59408156" w14:textId="77777777" w:rsidR="001614AC" w:rsidRDefault="001614AC">
            <w:pPr>
              <w:spacing w:before="55" w:after="30" w:line="288" w:lineRule="auto"/>
              <w:jc w:val="right"/>
            </w:pPr>
          </w:p>
        </w:tc>
        <w:tc>
          <w:tcPr>
            <w:tcW w:w="75" w:type="dxa"/>
            <w:tcBorders>
              <w:top w:val="nil"/>
              <w:left w:val="nil"/>
              <w:bottom w:val="nil"/>
              <w:right w:val="nil"/>
            </w:tcBorders>
            <w:tcMar>
              <w:top w:w="0" w:type="dxa"/>
              <w:left w:w="0" w:type="dxa"/>
              <w:bottom w:w="0" w:type="dxa"/>
              <w:right w:w="0" w:type="dxa"/>
            </w:tcMar>
            <w:vAlign w:val="bottom"/>
          </w:tcPr>
          <w:p w14:paraId="1AAEB715" w14:textId="77777777" w:rsidR="001614AC" w:rsidRDefault="001614AC"/>
        </w:tc>
        <w:tc>
          <w:tcPr>
            <w:tcW w:w="90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3BB25741" w14:textId="77777777" w:rsidR="001614AC" w:rsidRDefault="004468F9">
            <w:pPr>
              <w:spacing w:before="55" w:after="30" w:line="288" w:lineRule="auto"/>
              <w:jc w:val="right"/>
            </w:pPr>
            <w:r>
              <w:rPr>
                <w:rFonts w:ascii="Arial" w:eastAsia="Arial" w:hAnsi="Arial" w:cs="Arial"/>
                <w:color w:val="000000"/>
                <w:sz w:val="18"/>
              </w:rPr>
              <w:t>16.7 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43CA1C0D" w14:textId="77777777" w:rsidR="001614AC" w:rsidRDefault="001614AC">
            <w:pPr>
              <w:spacing w:before="55" w:after="30" w:line="288" w:lineRule="auto"/>
              <w:jc w:val="right"/>
            </w:pPr>
          </w:p>
        </w:tc>
        <w:tc>
          <w:tcPr>
            <w:tcW w:w="75" w:type="dxa"/>
            <w:tcBorders>
              <w:top w:val="nil"/>
              <w:left w:val="nil"/>
              <w:bottom w:val="nil"/>
              <w:right w:val="nil"/>
            </w:tcBorders>
            <w:tcMar>
              <w:top w:w="0" w:type="dxa"/>
              <w:left w:w="0" w:type="dxa"/>
              <w:bottom w:w="0" w:type="dxa"/>
              <w:right w:w="0" w:type="dxa"/>
            </w:tcMar>
            <w:vAlign w:val="bottom"/>
          </w:tcPr>
          <w:p w14:paraId="3BA2E47B" w14:textId="77777777" w:rsidR="001614AC" w:rsidRDefault="001614AC"/>
        </w:tc>
        <w:tc>
          <w:tcPr>
            <w:tcW w:w="117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732420A4" w14:textId="77777777" w:rsidR="001614AC" w:rsidRDefault="004468F9">
            <w:pPr>
              <w:spacing w:before="55" w:after="30" w:line="288" w:lineRule="auto"/>
              <w:jc w:val="right"/>
            </w:pPr>
            <w:r>
              <w:rPr>
                <w:rFonts w:ascii="Arial" w:eastAsia="Arial" w:hAnsi="Arial" w:cs="Arial"/>
                <w:color w:val="000000"/>
                <w:sz w:val="18"/>
              </w:rPr>
              <w:t>(4.4)</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4C052B3D" w14:textId="77777777" w:rsidR="001614AC" w:rsidRDefault="001614AC">
            <w:pPr>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7D58A025" w14:textId="77777777" w:rsidR="001614AC" w:rsidRDefault="001614AC"/>
        </w:tc>
        <w:tc>
          <w:tcPr>
            <w:tcW w:w="90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4C04953D" w14:textId="77777777" w:rsidR="001614AC" w:rsidRDefault="004468F9">
            <w:pPr>
              <w:spacing w:before="55" w:after="30" w:line="288" w:lineRule="auto"/>
              <w:jc w:val="right"/>
            </w:pPr>
            <w:r>
              <w:rPr>
                <w:rFonts w:ascii="Arial" w:eastAsia="Arial" w:hAnsi="Arial" w:cs="Arial"/>
                <w:color w:val="000000"/>
                <w:sz w:val="18"/>
              </w:rPr>
              <w:t>42.2 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66DE3148" w14:textId="77777777" w:rsidR="001614AC" w:rsidRDefault="001614AC">
            <w:pPr>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7515751D" w14:textId="77777777" w:rsidR="001614AC" w:rsidRDefault="001614AC"/>
        </w:tc>
        <w:tc>
          <w:tcPr>
            <w:tcW w:w="90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533AD132" w14:textId="77777777" w:rsidR="001614AC" w:rsidRDefault="004468F9">
            <w:pPr>
              <w:spacing w:before="55" w:after="30" w:line="288" w:lineRule="auto"/>
              <w:jc w:val="right"/>
            </w:pPr>
            <w:r>
              <w:rPr>
                <w:rFonts w:ascii="Arial" w:eastAsia="Arial" w:hAnsi="Arial" w:cs="Arial"/>
                <w:color w:val="000000"/>
                <w:sz w:val="18"/>
              </w:rPr>
              <w:t>28.9 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12784827" w14:textId="77777777" w:rsidR="001614AC" w:rsidRDefault="001614AC">
            <w:pPr>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2B74C39B" w14:textId="77777777" w:rsidR="001614AC" w:rsidRDefault="001614AC"/>
        </w:tc>
        <w:tc>
          <w:tcPr>
            <w:tcW w:w="117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3980D711" w14:textId="77777777" w:rsidR="001614AC" w:rsidRDefault="004468F9">
            <w:pPr>
              <w:spacing w:before="55" w:after="30" w:line="288" w:lineRule="auto"/>
              <w:jc w:val="right"/>
            </w:pPr>
            <w:r>
              <w:rPr>
                <w:rFonts w:ascii="Arial" w:eastAsia="Arial" w:hAnsi="Arial" w:cs="Arial"/>
                <w:color w:val="000000"/>
                <w:sz w:val="18"/>
              </w:rPr>
              <w:t>(13.3)</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1EC78523" w14:textId="77777777" w:rsidR="001614AC" w:rsidRDefault="001614AC">
            <w:pPr>
              <w:spacing w:before="55" w:after="30" w:line="288" w:lineRule="auto"/>
              <w:jc w:val="right"/>
            </w:pPr>
          </w:p>
        </w:tc>
      </w:tr>
    </w:tbl>
    <w:p w14:paraId="51D58D00" w14:textId="77777777" w:rsidR="001614AC" w:rsidRDefault="004468F9" w:rsidP="004468F9">
      <w:pPr>
        <w:numPr>
          <w:ilvl w:val="0"/>
          <w:numId w:val="34"/>
        </w:numPr>
        <w:spacing w:line="288" w:lineRule="auto"/>
        <w:ind w:left="360"/>
        <w:rPr>
          <w:rFonts w:ascii="Arial" w:eastAsia="Arial" w:hAnsi="Arial" w:cs="Arial"/>
          <w:b/>
          <w:color w:val="64615D"/>
          <w:sz w:val="16"/>
        </w:rPr>
      </w:pPr>
      <w:r>
        <w:rPr>
          <w:rFonts w:ascii="Arial" w:eastAsia="Arial" w:hAnsi="Arial" w:cs="Arial"/>
          <w:color w:val="64615D"/>
          <w:sz w:val="16"/>
        </w:rPr>
        <w:t>Our senior management uses adjusted pretax operating income (loss) as our primary measure to evaluate the fundamental financial performance of each of the Company’s business segments. See Note 4 of Notes to Unaudited Condensed Consolidated Financial Sta</w:t>
      </w:r>
      <w:r>
        <w:rPr>
          <w:rFonts w:ascii="Arial" w:eastAsia="Arial" w:hAnsi="Arial" w:cs="Arial"/>
          <w:color w:val="64615D"/>
          <w:sz w:val="16"/>
        </w:rPr>
        <w:t>tements.</w:t>
      </w:r>
    </w:p>
    <w:p w14:paraId="088F1BD6" w14:textId="77777777" w:rsidR="001614AC" w:rsidRDefault="004468F9" w:rsidP="004468F9">
      <w:pPr>
        <w:numPr>
          <w:ilvl w:val="0"/>
          <w:numId w:val="34"/>
        </w:numPr>
        <w:spacing w:line="288" w:lineRule="auto"/>
        <w:ind w:left="360"/>
        <w:rPr>
          <w:rFonts w:ascii="Arial" w:eastAsia="Arial" w:hAnsi="Arial" w:cs="Arial"/>
          <w:b/>
          <w:color w:val="64615D"/>
          <w:sz w:val="16"/>
        </w:rPr>
      </w:pPr>
      <w:r>
        <w:rPr>
          <w:rFonts w:ascii="Arial" w:eastAsia="Arial" w:hAnsi="Arial" w:cs="Arial"/>
          <w:color w:val="64615D"/>
          <w:sz w:val="16"/>
        </w:rPr>
        <w:t>Includes allocation of corporate operating expenses of $33.0 million and $60.9 million for the three and six months ended June 30, 2021, respectively, and $25.4 million and $54.6 million for the same periods in 2020. See Note 4</w:t>
      </w:r>
      <w:r>
        <w:rPr>
          <w:rFonts w:ascii="Arial" w:eastAsia="Arial" w:hAnsi="Arial" w:cs="Arial"/>
          <w:color w:val="64615D"/>
          <w:sz w:val="16"/>
        </w:rPr>
        <w:t xml:space="preserve"> of Notes to Unaudited Condensed Consolidated Financial Statements for more information about our allocation of corporate operating expenses to segments.</w:t>
      </w:r>
    </w:p>
    <w:p w14:paraId="752B8441" w14:textId="77777777" w:rsidR="001614AC" w:rsidRDefault="004468F9">
      <w:pPr>
        <w:spacing w:before="200" w:after="100" w:line="288" w:lineRule="auto"/>
        <w:ind w:firstLine="450"/>
        <w:rPr>
          <w:rFonts w:ascii="Arial" w:eastAsia="Arial" w:hAnsi="Arial" w:cs="Arial"/>
          <w:b/>
          <w:i/>
          <w:color w:val="64615D"/>
          <w:sz w:val="18"/>
          <w:shd w:val="clear" w:color="auto" w:fill="FFFF00"/>
        </w:rPr>
      </w:pPr>
      <w:r>
        <w:rPr>
          <w:rFonts w:ascii="Arial" w:eastAsia="Arial" w:hAnsi="Arial" w:cs="Arial"/>
          <w:b/>
          <w:i/>
          <w:sz w:val="18"/>
        </w:rPr>
        <w:t xml:space="preserve">Adjusted Pretax Operating Income (Loss). </w:t>
      </w:r>
      <w:r>
        <w:rPr>
          <w:rFonts w:ascii="Arial" w:eastAsia="Arial" w:hAnsi="Arial" w:cs="Arial"/>
          <w:sz w:val="18"/>
        </w:rPr>
        <w:t>Our Mortgage segment’s adjusted pretax operating income for the three and six months ended June 30, 2021, compared to adjusted pretax operating loss for the same period in 2020, primarily reflects a decrease in provision for losses. Partially offsetting th</w:t>
      </w:r>
      <w:r>
        <w:rPr>
          <w:rFonts w:ascii="Arial" w:eastAsia="Arial" w:hAnsi="Arial" w:cs="Arial"/>
          <w:sz w:val="18"/>
        </w:rPr>
        <w:t xml:space="preserve">is item is: (i) an increase in other operating expenses and (ii) an increase in interest expense. Our Mortgage segment’s adjusted pretax operating income for the six months ended June 30, 2021 as compared to the same period in 2020, was also impacted by a </w:t>
      </w:r>
      <w:r>
        <w:rPr>
          <w:rFonts w:ascii="Arial" w:eastAsia="Arial" w:hAnsi="Arial" w:cs="Arial"/>
          <w:sz w:val="18"/>
        </w:rPr>
        <w:t>decrease in net premiums earned. See “</w:t>
      </w:r>
      <w:r>
        <w:rPr>
          <w:rFonts w:ascii="Arial" w:eastAsia="Arial" w:hAnsi="Arial" w:cs="Arial"/>
          <w:i/>
          <w:sz w:val="18"/>
        </w:rPr>
        <w:t>—Net Premiums Written and Earned</w:t>
      </w:r>
      <w:r>
        <w:rPr>
          <w:rFonts w:ascii="Arial" w:eastAsia="Arial" w:hAnsi="Arial" w:cs="Arial"/>
          <w:sz w:val="18"/>
        </w:rPr>
        <w:t>” and “</w:t>
      </w:r>
      <w:r>
        <w:rPr>
          <w:rFonts w:ascii="Arial" w:eastAsia="Arial" w:hAnsi="Arial" w:cs="Arial"/>
          <w:i/>
          <w:sz w:val="18"/>
        </w:rPr>
        <w:t>—Provision for Losses</w:t>
      </w:r>
      <w:r>
        <w:rPr>
          <w:rFonts w:ascii="Arial" w:eastAsia="Arial" w:hAnsi="Arial" w:cs="Arial"/>
          <w:sz w:val="18"/>
        </w:rPr>
        <w:t>” below for more information about our net premiums earned and provision for losses, respectively.</w:t>
      </w:r>
    </w:p>
    <w:p w14:paraId="217DB590" w14:textId="77777777" w:rsidR="001614AC" w:rsidRDefault="004468F9">
      <w:pPr>
        <w:spacing w:before="100" w:after="100" w:line="288" w:lineRule="auto"/>
        <w:ind w:firstLine="450"/>
        <w:rPr>
          <w:rFonts w:ascii="Calibri" w:eastAsia="Calibri" w:hAnsi="Calibri" w:cs="Calibri"/>
          <w:b/>
          <w:color w:val="64615D"/>
          <w:sz w:val="28"/>
          <w:shd w:val="clear" w:color="auto" w:fill="FFFF00"/>
        </w:rPr>
      </w:pPr>
      <w:r>
        <w:rPr>
          <w:rFonts w:ascii="Arial" w:eastAsia="Arial" w:hAnsi="Arial" w:cs="Arial"/>
          <w:b/>
          <w:i/>
          <w:sz w:val="18"/>
        </w:rPr>
        <w:t>Net Premiums Written and Earned.</w:t>
      </w:r>
      <w:r>
        <w:rPr>
          <w:rFonts w:ascii="Arial" w:eastAsia="Arial" w:hAnsi="Arial" w:cs="Arial"/>
          <w:sz w:val="18"/>
        </w:rPr>
        <w:t> Net premiums written for t</w:t>
      </w:r>
      <w:r>
        <w:rPr>
          <w:rFonts w:ascii="Arial" w:eastAsia="Arial" w:hAnsi="Arial" w:cs="Arial"/>
          <w:sz w:val="18"/>
        </w:rPr>
        <w:t>he three months ended June 30, 2021 increased, while net premiums written for the six months ended June 30, 2021 decreased, compared to the same periods in 2020. Higher ceded losses recorded in both the three and six months ended June 30, 2020, resulted in</w:t>
      </w:r>
      <w:r>
        <w:rPr>
          <w:rFonts w:ascii="Arial" w:eastAsia="Arial" w:hAnsi="Arial" w:cs="Arial"/>
          <w:sz w:val="18"/>
        </w:rPr>
        <w:t xml:space="preserve"> elevated ceded premiums due to a reduction in accrued profit commissions, which lowered net premiums written in those periods. The subsequent improvement in accrued profit commissions in 2021 was partially offset for the three months ended June 30, 2021, </w:t>
      </w:r>
      <w:r>
        <w:rPr>
          <w:rFonts w:ascii="Arial" w:eastAsia="Arial" w:hAnsi="Arial" w:cs="Arial"/>
          <w:sz w:val="18"/>
        </w:rPr>
        <w:t>and more than offset for the six months ended June 30, 2021, by lower direct premium rates on our IIF portfolio compared to the same periods in 2020, as well as a lower proportion of Single Premium Policies.</w:t>
      </w:r>
    </w:p>
    <w:p w14:paraId="6EAB2A34" w14:textId="77777777" w:rsidR="001614AC" w:rsidRDefault="004468F9">
      <w:pPr>
        <w:keepNext/>
        <w:spacing w:before="100" w:after="100" w:line="288" w:lineRule="auto"/>
        <w:ind w:firstLine="450"/>
        <w:rPr>
          <w:rFonts w:ascii="Arial" w:eastAsia="Arial" w:hAnsi="Arial" w:cs="Arial"/>
          <w:b/>
          <w:color w:val="64615D"/>
          <w:sz w:val="18"/>
        </w:rPr>
      </w:pPr>
      <w:r>
        <w:rPr>
          <w:rFonts w:ascii="Arial" w:eastAsia="Arial" w:hAnsi="Arial" w:cs="Arial"/>
          <w:sz w:val="18"/>
        </w:rPr>
        <w:lastRenderedPageBreak/>
        <w:t xml:space="preserve">The table below provides additional information </w:t>
      </w:r>
      <w:r>
        <w:rPr>
          <w:rFonts w:ascii="Arial" w:eastAsia="Arial" w:hAnsi="Arial" w:cs="Arial"/>
          <w:sz w:val="18"/>
        </w:rPr>
        <w:t>about the components of mortgage insurance net premiums earned for the periods indicated, including the effects of our reinsurance programs.</w:t>
      </w:r>
    </w:p>
    <w:tbl>
      <w:tblPr>
        <w:tblW w:w="102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54"/>
        <w:gridCol w:w="107"/>
        <w:gridCol w:w="163"/>
        <w:gridCol w:w="760"/>
        <w:gridCol w:w="102"/>
        <w:gridCol w:w="107"/>
        <w:gridCol w:w="163"/>
        <w:gridCol w:w="760"/>
        <w:gridCol w:w="102"/>
        <w:gridCol w:w="107"/>
        <w:gridCol w:w="163"/>
        <w:gridCol w:w="760"/>
        <w:gridCol w:w="102"/>
        <w:gridCol w:w="107"/>
        <w:gridCol w:w="163"/>
        <w:gridCol w:w="760"/>
        <w:gridCol w:w="102"/>
      </w:tblGrid>
      <w:tr w:rsidR="001614AC" w14:paraId="1EFE10B7" w14:textId="77777777">
        <w:trPr>
          <w:cantSplit/>
        </w:trPr>
        <w:tc>
          <w:tcPr>
            <w:tcW w:w="10080" w:type="dxa"/>
            <w:gridSpan w:val="17"/>
            <w:tcBorders>
              <w:top w:val="nil"/>
              <w:left w:val="nil"/>
              <w:bottom w:val="single" w:sz="12" w:space="0" w:color="99AAB6"/>
              <w:right w:val="nil"/>
            </w:tcBorders>
            <w:tcMar>
              <w:top w:w="0" w:type="dxa"/>
              <w:left w:w="53" w:type="dxa"/>
              <w:bottom w:w="0" w:type="dxa"/>
              <w:right w:w="53" w:type="dxa"/>
            </w:tcMar>
            <w:vAlign w:val="bottom"/>
          </w:tcPr>
          <w:p w14:paraId="377F0560" w14:textId="77777777" w:rsidR="001614AC" w:rsidRDefault="004468F9">
            <w:pPr>
              <w:keepNext/>
              <w:spacing w:before="75" w:after="30" w:line="288" w:lineRule="auto"/>
            </w:pPr>
            <w:r>
              <w:rPr>
                <w:rFonts w:ascii="Arial" w:eastAsia="Arial" w:hAnsi="Arial" w:cs="Arial"/>
                <w:b/>
                <w:color w:val="000000"/>
                <w:sz w:val="20"/>
              </w:rPr>
              <w:t>Net premiums earned</w:t>
            </w:r>
          </w:p>
        </w:tc>
      </w:tr>
      <w:tr w:rsidR="001614AC" w14:paraId="4F898824" w14:textId="77777777">
        <w:trPr>
          <w:cantSplit/>
          <w:trHeight w:hRule="exact" w:val="135"/>
        </w:trPr>
        <w:tc>
          <w:tcPr>
            <w:tcW w:w="5640" w:type="dxa"/>
            <w:tcBorders>
              <w:top w:val="nil"/>
              <w:left w:val="nil"/>
              <w:bottom w:val="nil"/>
              <w:right w:val="nil"/>
            </w:tcBorders>
            <w:tcMar>
              <w:top w:w="0" w:type="dxa"/>
              <w:left w:w="0" w:type="dxa"/>
              <w:bottom w:w="0" w:type="dxa"/>
              <w:right w:w="0" w:type="dxa"/>
            </w:tcMar>
            <w:vAlign w:val="bottom"/>
          </w:tcPr>
          <w:p w14:paraId="13D3F1FB" w14:textId="77777777" w:rsidR="001614AC" w:rsidRDefault="001614AC">
            <w:pPr>
              <w:keepNext/>
            </w:pPr>
          </w:p>
        </w:tc>
        <w:tc>
          <w:tcPr>
            <w:tcW w:w="105" w:type="dxa"/>
            <w:tcBorders>
              <w:top w:val="single" w:sz="12" w:space="0" w:color="99AAB6"/>
              <w:left w:val="nil"/>
              <w:bottom w:val="nil"/>
              <w:right w:val="nil"/>
            </w:tcBorders>
            <w:tcMar>
              <w:top w:w="0" w:type="dxa"/>
              <w:left w:w="0" w:type="dxa"/>
              <w:bottom w:w="0" w:type="dxa"/>
              <w:right w:w="0" w:type="dxa"/>
            </w:tcMar>
            <w:vAlign w:val="bottom"/>
          </w:tcPr>
          <w:p w14:paraId="44F6F82F" w14:textId="77777777" w:rsidR="001614AC" w:rsidRDefault="001614AC">
            <w:pPr>
              <w:keepNext/>
            </w:pPr>
          </w:p>
        </w:tc>
        <w:tc>
          <w:tcPr>
            <w:tcW w:w="1005" w:type="dxa"/>
            <w:gridSpan w:val="3"/>
            <w:tcBorders>
              <w:top w:val="single" w:sz="12" w:space="0" w:color="99AAB6"/>
              <w:left w:val="nil"/>
              <w:bottom w:val="nil"/>
              <w:right w:val="nil"/>
            </w:tcBorders>
            <w:tcMar>
              <w:top w:w="0" w:type="dxa"/>
              <w:left w:w="0" w:type="dxa"/>
              <w:bottom w:w="0" w:type="dxa"/>
              <w:right w:w="0" w:type="dxa"/>
            </w:tcMar>
            <w:vAlign w:val="bottom"/>
          </w:tcPr>
          <w:p w14:paraId="519C0049" w14:textId="77777777" w:rsidR="001614AC" w:rsidRDefault="001614AC">
            <w:pPr>
              <w:keepNext/>
            </w:pPr>
          </w:p>
        </w:tc>
        <w:tc>
          <w:tcPr>
            <w:tcW w:w="105" w:type="dxa"/>
            <w:tcBorders>
              <w:top w:val="single" w:sz="12" w:space="0" w:color="99AAB6"/>
              <w:left w:val="nil"/>
              <w:bottom w:val="nil"/>
              <w:right w:val="nil"/>
            </w:tcBorders>
            <w:tcMar>
              <w:top w:w="0" w:type="dxa"/>
              <w:left w:w="0" w:type="dxa"/>
              <w:bottom w:w="0" w:type="dxa"/>
              <w:right w:w="0" w:type="dxa"/>
            </w:tcMar>
            <w:vAlign w:val="bottom"/>
          </w:tcPr>
          <w:p w14:paraId="68C3C8DC" w14:textId="77777777" w:rsidR="001614AC" w:rsidRDefault="001614AC">
            <w:pPr>
              <w:keepNext/>
            </w:pPr>
          </w:p>
        </w:tc>
        <w:tc>
          <w:tcPr>
            <w:tcW w:w="1005" w:type="dxa"/>
            <w:gridSpan w:val="3"/>
            <w:tcBorders>
              <w:top w:val="single" w:sz="12" w:space="0" w:color="99AAB6"/>
              <w:left w:val="nil"/>
              <w:bottom w:val="nil"/>
              <w:right w:val="nil"/>
            </w:tcBorders>
            <w:tcMar>
              <w:top w:w="0" w:type="dxa"/>
              <w:left w:w="0" w:type="dxa"/>
              <w:bottom w:w="0" w:type="dxa"/>
              <w:right w:w="0" w:type="dxa"/>
            </w:tcMar>
            <w:vAlign w:val="bottom"/>
          </w:tcPr>
          <w:p w14:paraId="39FD7FAE" w14:textId="77777777" w:rsidR="001614AC" w:rsidRDefault="001614AC">
            <w:pPr>
              <w:keepNext/>
            </w:pPr>
          </w:p>
        </w:tc>
        <w:tc>
          <w:tcPr>
            <w:tcW w:w="105" w:type="dxa"/>
            <w:tcBorders>
              <w:top w:val="single" w:sz="12" w:space="0" w:color="99AAB6"/>
              <w:left w:val="nil"/>
              <w:bottom w:val="nil"/>
              <w:right w:val="nil"/>
            </w:tcBorders>
            <w:tcMar>
              <w:top w:w="0" w:type="dxa"/>
              <w:left w:w="0" w:type="dxa"/>
              <w:bottom w:w="0" w:type="dxa"/>
              <w:right w:w="0" w:type="dxa"/>
            </w:tcMar>
            <w:vAlign w:val="bottom"/>
          </w:tcPr>
          <w:p w14:paraId="4D18154B" w14:textId="77777777" w:rsidR="001614AC" w:rsidRDefault="001614AC">
            <w:pPr>
              <w:keepNext/>
            </w:pPr>
          </w:p>
        </w:tc>
        <w:tc>
          <w:tcPr>
            <w:tcW w:w="1005" w:type="dxa"/>
            <w:gridSpan w:val="3"/>
            <w:tcBorders>
              <w:top w:val="single" w:sz="12" w:space="0" w:color="99AAB6"/>
              <w:left w:val="nil"/>
              <w:bottom w:val="nil"/>
              <w:right w:val="nil"/>
            </w:tcBorders>
            <w:tcMar>
              <w:top w:w="0" w:type="dxa"/>
              <w:left w:w="0" w:type="dxa"/>
              <w:bottom w:w="0" w:type="dxa"/>
              <w:right w:w="0" w:type="dxa"/>
            </w:tcMar>
            <w:vAlign w:val="bottom"/>
          </w:tcPr>
          <w:p w14:paraId="2FF5CB58" w14:textId="77777777" w:rsidR="001614AC" w:rsidRDefault="001614AC">
            <w:pPr>
              <w:keepNext/>
            </w:pPr>
          </w:p>
        </w:tc>
        <w:tc>
          <w:tcPr>
            <w:tcW w:w="105" w:type="dxa"/>
            <w:tcBorders>
              <w:top w:val="single" w:sz="12" w:space="0" w:color="99AAB6"/>
              <w:left w:val="nil"/>
              <w:bottom w:val="nil"/>
              <w:right w:val="nil"/>
            </w:tcBorders>
            <w:tcMar>
              <w:top w:w="0" w:type="dxa"/>
              <w:left w:w="0" w:type="dxa"/>
              <w:bottom w:w="0" w:type="dxa"/>
              <w:right w:w="0" w:type="dxa"/>
            </w:tcMar>
            <w:vAlign w:val="bottom"/>
          </w:tcPr>
          <w:p w14:paraId="0386B46E" w14:textId="77777777" w:rsidR="001614AC" w:rsidRDefault="001614AC">
            <w:pPr>
              <w:keepNext/>
            </w:pPr>
          </w:p>
        </w:tc>
        <w:tc>
          <w:tcPr>
            <w:tcW w:w="1005" w:type="dxa"/>
            <w:gridSpan w:val="3"/>
            <w:tcBorders>
              <w:top w:val="single" w:sz="12" w:space="0" w:color="99AAB6"/>
              <w:left w:val="nil"/>
              <w:bottom w:val="nil"/>
              <w:right w:val="nil"/>
            </w:tcBorders>
            <w:tcMar>
              <w:top w:w="0" w:type="dxa"/>
              <w:left w:w="0" w:type="dxa"/>
              <w:bottom w:w="0" w:type="dxa"/>
              <w:right w:w="0" w:type="dxa"/>
            </w:tcMar>
            <w:vAlign w:val="bottom"/>
          </w:tcPr>
          <w:p w14:paraId="61C4A20C" w14:textId="77777777" w:rsidR="001614AC" w:rsidRDefault="001614AC">
            <w:pPr>
              <w:keepNext/>
            </w:pPr>
          </w:p>
        </w:tc>
      </w:tr>
      <w:tr w:rsidR="001614AC" w14:paraId="4CE19311" w14:textId="77777777">
        <w:trPr>
          <w:cantSplit/>
        </w:trPr>
        <w:tc>
          <w:tcPr>
            <w:tcW w:w="5640" w:type="dxa"/>
            <w:tcBorders>
              <w:top w:val="nil"/>
              <w:left w:val="nil"/>
              <w:bottom w:val="single" w:sz="8" w:space="0" w:color="FFFFFF"/>
              <w:right w:val="nil"/>
            </w:tcBorders>
            <w:tcMar>
              <w:top w:w="0" w:type="dxa"/>
              <w:left w:w="0" w:type="dxa"/>
              <w:bottom w:w="0" w:type="dxa"/>
              <w:right w:w="0" w:type="dxa"/>
            </w:tcMar>
            <w:vAlign w:val="bottom"/>
          </w:tcPr>
          <w:p w14:paraId="6A38A87D" w14:textId="77777777" w:rsidR="001614AC" w:rsidRDefault="001614AC">
            <w:pPr>
              <w:keepNext/>
            </w:pPr>
          </w:p>
        </w:tc>
        <w:tc>
          <w:tcPr>
            <w:tcW w:w="105" w:type="dxa"/>
            <w:tcBorders>
              <w:top w:val="nil"/>
              <w:left w:val="nil"/>
              <w:bottom w:val="nil"/>
              <w:right w:val="nil"/>
            </w:tcBorders>
            <w:tcMar>
              <w:top w:w="0" w:type="dxa"/>
              <w:left w:w="0" w:type="dxa"/>
              <w:bottom w:w="0" w:type="dxa"/>
              <w:right w:w="0" w:type="dxa"/>
            </w:tcMar>
            <w:vAlign w:val="bottom"/>
          </w:tcPr>
          <w:p w14:paraId="1AA4B454" w14:textId="77777777" w:rsidR="001614AC" w:rsidRDefault="001614AC">
            <w:pPr>
              <w:keepNext/>
            </w:pPr>
          </w:p>
        </w:tc>
        <w:tc>
          <w:tcPr>
            <w:tcW w:w="2115" w:type="dxa"/>
            <w:gridSpan w:val="7"/>
            <w:tcBorders>
              <w:top w:val="nil"/>
              <w:left w:val="nil"/>
              <w:bottom w:val="single" w:sz="8" w:space="0" w:color="FFFFFF"/>
              <w:right w:val="nil"/>
            </w:tcBorders>
            <w:tcMar>
              <w:top w:w="0" w:type="dxa"/>
              <w:left w:w="53" w:type="dxa"/>
              <w:bottom w:w="0" w:type="dxa"/>
              <w:right w:w="53" w:type="dxa"/>
            </w:tcMar>
            <w:vAlign w:val="bottom"/>
          </w:tcPr>
          <w:p w14:paraId="3BA6CA17" w14:textId="77777777" w:rsidR="001614AC" w:rsidRDefault="004468F9">
            <w:pPr>
              <w:keepNext/>
              <w:spacing w:before="75" w:line="288" w:lineRule="auto"/>
              <w:jc w:val="center"/>
            </w:pPr>
            <w:r>
              <w:rPr>
                <w:rFonts w:ascii="Arial" w:eastAsia="Arial" w:hAnsi="Arial" w:cs="Arial"/>
                <w:b/>
                <w:color w:val="00BAB3"/>
                <w:sz w:val="18"/>
              </w:rPr>
              <w:t>Three Months Ended</w:t>
            </w:r>
          </w:p>
          <w:p w14:paraId="08A3AA74" w14:textId="77777777" w:rsidR="001614AC" w:rsidRDefault="004468F9">
            <w:pPr>
              <w:spacing w:after="30" w:line="288" w:lineRule="auto"/>
              <w:jc w:val="center"/>
            </w:pPr>
            <w:r>
              <w:rPr>
                <w:rFonts w:ascii="Arial" w:eastAsia="Arial" w:hAnsi="Arial" w:cs="Arial"/>
                <w:b/>
                <w:color w:val="00BAB3"/>
                <w:sz w:val="18"/>
              </w:rPr>
              <w:t>June 30,</w:t>
            </w:r>
          </w:p>
        </w:tc>
        <w:tc>
          <w:tcPr>
            <w:tcW w:w="105" w:type="dxa"/>
            <w:tcBorders>
              <w:top w:val="nil"/>
              <w:left w:val="nil"/>
              <w:bottom w:val="single" w:sz="8" w:space="0" w:color="FFFFFF"/>
              <w:right w:val="nil"/>
            </w:tcBorders>
            <w:tcMar>
              <w:top w:w="0" w:type="dxa"/>
              <w:left w:w="0" w:type="dxa"/>
              <w:bottom w:w="0" w:type="dxa"/>
              <w:right w:w="0" w:type="dxa"/>
            </w:tcMar>
            <w:vAlign w:val="bottom"/>
          </w:tcPr>
          <w:p w14:paraId="09CECC4E" w14:textId="77777777" w:rsidR="001614AC" w:rsidRDefault="001614AC">
            <w:pPr>
              <w:keepNext/>
            </w:pPr>
          </w:p>
        </w:tc>
        <w:tc>
          <w:tcPr>
            <w:tcW w:w="2115" w:type="dxa"/>
            <w:gridSpan w:val="7"/>
            <w:tcBorders>
              <w:top w:val="nil"/>
              <w:left w:val="nil"/>
              <w:bottom w:val="nil"/>
              <w:right w:val="nil"/>
            </w:tcBorders>
            <w:tcMar>
              <w:top w:w="0" w:type="dxa"/>
              <w:left w:w="53" w:type="dxa"/>
              <w:bottom w:w="0" w:type="dxa"/>
              <w:right w:w="53" w:type="dxa"/>
            </w:tcMar>
            <w:vAlign w:val="bottom"/>
          </w:tcPr>
          <w:p w14:paraId="5D808D99" w14:textId="77777777" w:rsidR="001614AC" w:rsidRDefault="004468F9">
            <w:pPr>
              <w:keepNext/>
              <w:spacing w:before="75" w:line="288" w:lineRule="auto"/>
              <w:jc w:val="center"/>
            </w:pPr>
            <w:r>
              <w:rPr>
                <w:rFonts w:ascii="Arial" w:eastAsia="Arial" w:hAnsi="Arial" w:cs="Arial"/>
                <w:b/>
                <w:color w:val="00BAB3"/>
                <w:sz w:val="18"/>
              </w:rPr>
              <w:t>Six Months Ended</w:t>
            </w:r>
          </w:p>
          <w:p w14:paraId="27C50871" w14:textId="77777777" w:rsidR="001614AC" w:rsidRDefault="004468F9">
            <w:pPr>
              <w:spacing w:after="30" w:line="288" w:lineRule="auto"/>
              <w:jc w:val="center"/>
            </w:pPr>
            <w:r>
              <w:rPr>
                <w:rFonts w:ascii="Arial" w:eastAsia="Arial" w:hAnsi="Arial" w:cs="Arial"/>
                <w:b/>
                <w:color w:val="00BAB3"/>
                <w:sz w:val="18"/>
              </w:rPr>
              <w:t>June 30,</w:t>
            </w:r>
          </w:p>
        </w:tc>
      </w:tr>
      <w:tr w:rsidR="001614AC" w14:paraId="31A8E3E9" w14:textId="77777777">
        <w:trPr>
          <w:cantSplit/>
        </w:trPr>
        <w:tc>
          <w:tcPr>
            <w:tcW w:w="5640" w:type="dxa"/>
            <w:tcBorders>
              <w:top w:val="single" w:sz="8" w:space="0" w:color="FFFFFF"/>
              <w:left w:val="nil"/>
              <w:bottom w:val="single" w:sz="8" w:space="0" w:color="C7C9C7"/>
              <w:right w:val="nil"/>
            </w:tcBorders>
            <w:tcMar>
              <w:top w:w="0" w:type="dxa"/>
              <w:left w:w="53" w:type="dxa"/>
              <w:bottom w:w="0" w:type="dxa"/>
              <w:right w:w="53" w:type="dxa"/>
            </w:tcMar>
            <w:vAlign w:val="bottom"/>
          </w:tcPr>
          <w:p w14:paraId="04D3DFFA" w14:textId="77777777" w:rsidR="001614AC" w:rsidRDefault="004468F9">
            <w:pPr>
              <w:keepNext/>
              <w:spacing w:before="55" w:after="30" w:line="288" w:lineRule="auto"/>
            </w:pPr>
            <w:r>
              <w:rPr>
                <w:rFonts w:ascii="Arial" w:eastAsia="Arial" w:hAnsi="Arial" w:cs="Arial"/>
                <w:color w:val="8B8886"/>
                <w:sz w:val="16"/>
              </w:rPr>
              <w:t xml:space="preserve">(In thousands, </w:t>
            </w:r>
            <w:r>
              <w:rPr>
                <w:rFonts w:ascii="Arial" w:eastAsia="Arial" w:hAnsi="Arial" w:cs="Arial"/>
                <w:color w:val="8B8886"/>
                <w:sz w:val="16"/>
              </w:rPr>
              <w:t>except as otherwise indicated)</w:t>
            </w:r>
          </w:p>
        </w:tc>
        <w:tc>
          <w:tcPr>
            <w:tcW w:w="105" w:type="dxa"/>
            <w:tcBorders>
              <w:top w:val="nil"/>
              <w:left w:val="nil"/>
              <w:bottom w:val="single" w:sz="8" w:space="0" w:color="C7C9C7"/>
              <w:right w:val="nil"/>
            </w:tcBorders>
            <w:tcMar>
              <w:top w:w="0" w:type="dxa"/>
              <w:left w:w="0" w:type="dxa"/>
              <w:bottom w:w="0" w:type="dxa"/>
              <w:right w:w="0" w:type="dxa"/>
            </w:tcMar>
            <w:vAlign w:val="bottom"/>
          </w:tcPr>
          <w:p w14:paraId="4F442368" w14:textId="77777777" w:rsidR="001614AC" w:rsidRDefault="001614AC">
            <w:pPr>
              <w:keepNext/>
            </w:pPr>
          </w:p>
        </w:tc>
        <w:tc>
          <w:tcPr>
            <w:tcW w:w="1005" w:type="dxa"/>
            <w:gridSpan w:val="3"/>
            <w:tcBorders>
              <w:top w:val="nil"/>
              <w:left w:val="nil"/>
              <w:bottom w:val="single" w:sz="8" w:space="0" w:color="C7C9C7"/>
              <w:right w:val="nil"/>
            </w:tcBorders>
            <w:shd w:val="clear" w:color="auto" w:fill="E6F8F8"/>
            <w:tcMar>
              <w:top w:w="0" w:type="dxa"/>
              <w:left w:w="53" w:type="dxa"/>
              <w:bottom w:w="0" w:type="dxa"/>
              <w:right w:w="53" w:type="dxa"/>
            </w:tcMar>
            <w:vAlign w:val="bottom"/>
          </w:tcPr>
          <w:p w14:paraId="040F1F5B" w14:textId="77777777" w:rsidR="001614AC" w:rsidRDefault="004468F9">
            <w:pPr>
              <w:keepNext/>
              <w:spacing w:before="55" w:after="30" w:line="288" w:lineRule="auto"/>
              <w:jc w:val="center"/>
            </w:pPr>
            <w:r>
              <w:rPr>
                <w:rFonts w:ascii="Arial" w:eastAsia="Arial" w:hAnsi="Arial" w:cs="Arial"/>
                <w:b/>
                <w:color w:val="00BAB3"/>
                <w:sz w:val="18"/>
              </w:rPr>
              <w:t>2021</w:t>
            </w:r>
          </w:p>
        </w:tc>
        <w:tc>
          <w:tcPr>
            <w:tcW w:w="105" w:type="dxa"/>
            <w:tcBorders>
              <w:top w:val="single" w:sz="8" w:space="0" w:color="FFFFFF"/>
              <w:left w:val="nil"/>
              <w:bottom w:val="single" w:sz="8" w:space="0" w:color="C7C9C7"/>
              <w:right w:val="nil"/>
            </w:tcBorders>
            <w:tcMar>
              <w:top w:w="0" w:type="dxa"/>
              <w:left w:w="0" w:type="dxa"/>
              <w:bottom w:w="0" w:type="dxa"/>
              <w:right w:w="0" w:type="dxa"/>
            </w:tcMar>
            <w:vAlign w:val="bottom"/>
          </w:tcPr>
          <w:p w14:paraId="53329FFA" w14:textId="77777777" w:rsidR="001614AC" w:rsidRDefault="001614AC">
            <w:pPr>
              <w:keepNext/>
            </w:pPr>
          </w:p>
        </w:tc>
        <w:tc>
          <w:tcPr>
            <w:tcW w:w="1005" w:type="dxa"/>
            <w:gridSpan w:val="3"/>
            <w:tcBorders>
              <w:top w:val="single" w:sz="8" w:space="0" w:color="FFFFFF"/>
              <w:left w:val="nil"/>
              <w:bottom w:val="single" w:sz="8" w:space="0" w:color="C7C9C7"/>
              <w:right w:val="nil"/>
            </w:tcBorders>
            <w:shd w:val="clear" w:color="auto" w:fill="F4F4F4"/>
            <w:tcMar>
              <w:top w:w="0" w:type="dxa"/>
              <w:left w:w="53" w:type="dxa"/>
              <w:bottom w:w="0" w:type="dxa"/>
              <w:right w:w="53" w:type="dxa"/>
            </w:tcMar>
            <w:vAlign w:val="bottom"/>
          </w:tcPr>
          <w:p w14:paraId="58302351" w14:textId="77777777" w:rsidR="001614AC" w:rsidRDefault="004468F9">
            <w:pPr>
              <w:keepNext/>
              <w:spacing w:before="55" w:after="30" w:line="288" w:lineRule="auto"/>
              <w:jc w:val="center"/>
            </w:pPr>
            <w:r>
              <w:rPr>
                <w:rFonts w:ascii="Arial" w:eastAsia="Arial" w:hAnsi="Arial" w:cs="Arial"/>
                <w:b/>
                <w:color w:val="00BAB3"/>
                <w:sz w:val="18"/>
              </w:rPr>
              <w:t>2020</w:t>
            </w:r>
          </w:p>
        </w:tc>
        <w:tc>
          <w:tcPr>
            <w:tcW w:w="105" w:type="dxa"/>
            <w:tcBorders>
              <w:top w:val="single" w:sz="8" w:space="0" w:color="FFFFFF"/>
              <w:left w:val="nil"/>
              <w:bottom w:val="single" w:sz="8" w:space="0" w:color="C7C9C7"/>
              <w:right w:val="nil"/>
            </w:tcBorders>
            <w:tcMar>
              <w:top w:w="0" w:type="dxa"/>
              <w:left w:w="0" w:type="dxa"/>
              <w:bottom w:w="0" w:type="dxa"/>
              <w:right w:w="0" w:type="dxa"/>
            </w:tcMar>
            <w:vAlign w:val="bottom"/>
          </w:tcPr>
          <w:p w14:paraId="49C7D109" w14:textId="77777777" w:rsidR="001614AC" w:rsidRDefault="001614AC">
            <w:pPr>
              <w:keepNext/>
            </w:pPr>
          </w:p>
        </w:tc>
        <w:tc>
          <w:tcPr>
            <w:tcW w:w="1005" w:type="dxa"/>
            <w:gridSpan w:val="3"/>
            <w:tcBorders>
              <w:top w:val="single" w:sz="8" w:space="0" w:color="FFFFFF"/>
              <w:left w:val="nil"/>
              <w:bottom w:val="single" w:sz="8" w:space="0" w:color="C7C9C7"/>
              <w:right w:val="nil"/>
            </w:tcBorders>
            <w:shd w:val="clear" w:color="auto" w:fill="E6F8F8"/>
            <w:tcMar>
              <w:top w:w="0" w:type="dxa"/>
              <w:left w:w="53" w:type="dxa"/>
              <w:bottom w:w="0" w:type="dxa"/>
              <w:right w:w="53" w:type="dxa"/>
            </w:tcMar>
            <w:vAlign w:val="bottom"/>
          </w:tcPr>
          <w:p w14:paraId="11AB34B8" w14:textId="77777777" w:rsidR="001614AC" w:rsidRDefault="004468F9">
            <w:pPr>
              <w:keepNext/>
              <w:spacing w:before="55" w:after="30" w:line="288" w:lineRule="auto"/>
              <w:jc w:val="center"/>
            </w:pPr>
            <w:r>
              <w:rPr>
                <w:rFonts w:ascii="Arial" w:eastAsia="Arial" w:hAnsi="Arial" w:cs="Arial"/>
                <w:b/>
                <w:color w:val="00BAB3"/>
                <w:sz w:val="18"/>
              </w:rPr>
              <w:t>2021</w:t>
            </w:r>
          </w:p>
        </w:tc>
        <w:tc>
          <w:tcPr>
            <w:tcW w:w="105" w:type="dxa"/>
            <w:tcBorders>
              <w:top w:val="single" w:sz="8" w:space="0" w:color="FFFFFF"/>
              <w:left w:val="nil"/>
              <w:bottom w:val="single" w:sz="8" w:space="0" w:color="C7C9C7"/>
              <w:right w:val="nil"/>
            </w:tcBorders>
            <w:tcMar>
              <w:top w:w="0" w:type="dxa"/>
              <w:left w:w="0" w:type="dxa"/>
              <w:bottom w:w="0" w:type="dxa"/>
              <w:right w:w="0" w:type="dxa"/>
            </w:tcMar>
            <w:vAlign w:val="bottom"/>
          </w:tcPr>
          <w:p w14:paraId="70122047" w14:textId="77777777" w:rsidR="001614AC" w:rsidRDefault="001614AC">
            <w:pPr>
              <w:keepNext/>
            </w:pPr>
          </w:p>
        </w:tc>
        <w:tc>
          <w:tcPr>
            <w:tcW w:w="1005" w:type="dxa"/>
            <w:gridSpan w:val="3"/>
            <w:tcBorders>
              <w:top w:val="single" w:sz="8" w:space="0" w:color="FFFFFF"/>
              <w:left w:val="nil"/>
              <w:bottom w:val="single" w:sz="8" w:space="0" w:color="C7C9C7"/>
              <w:right w:val="nil"/>
            </w:tcBorders>
            <w:shd w:val="clear" w:color="auto" w:fill="F4F4F4"/>
            <w:tcMar>
              <w:top w:w="0" w:type="dxa"/>
              <w:left w:w="53" w:type="dxa"/>
              <w:bottom w:w="0" w:type="dxa"/>
              <w:right w:w="53" w:type="dxa"/>
            </w:tcMar>
            <w:vAlign w:val="bottom"/>
          </w:tcPr>
          <w:p w14:paraId="026D2ECB" w14:textId="77777777" w:rsidR="001614AC" w:rsidRDefault="004468F9">
            <w:pPr>
              <w:keepNext/>
              <w:spacing w:before="55" w:after="30" w:line="288" w:lineRule="auto"/>
              <w:jc w:val="center"/>
            </w:pPr>
            <w:r>
              <w:rPr>
                <w:rFonts w:ascii="Arial" w:eastAsia="Arial" w:hAnsi="Arial" w:cs="Arial"/>
                <w:b/>
                <w:color w:val="00BAB3"/>
                <w:sz w:val="18"/>
              </w:rPr>
              <w:t>2020</w:t>
            </w:r>
          </w:p>
        </w:tc>
      </w:tr>
      <w:tr w:rsidR="001614AC" w14:paraId="10D7935B" w14:textId="77777777">
        <w:trPr>
          <w:cantSplit/>
        </w:trPr>
        <w:tc>
          <w:tcPr>
            <w:tcW w:w="5640" w:type="dxa"/>
            <w:tcBorders>
              <w:top w:val="single" w:sz="8" w:space="0" w:color="C7C9C7"/>
              <w:left w:val="nil"/>
              <w:bottom w:val="single" w:sz="8" w:space="0" w:color="E9E9E9"/>
              <w:right w:val="nil"/>
            </w:tcBorders>
            <w:tcMar>
              <w:top w:w="0" w:type="dxa"/>
              <w:left w:w="53" w:type="dxa"/>
              <w:bottom w:w="0" w:type="dxa"/>
              <w:right w:w="53" w:type="dxa"/>
            </w:tcMar>
            <w:vAlign w:val="bottom"/>
          </w:tcPr>
          <w:p w14:paraId="373C2409" w14:textId="77777777" w:rsidR="001614AC" w:rsidRDefault="004468F9">
            <w:pPr>
              <w:keepNext/>
              <w:spacing w:before="55" w:after="30" w:line="288" w:lineRule="auto"/>
            </w:pPr>
            <w:r>
              <w:rPr>
                <w:rFonts w:ascii="Arial" w:eastAsia="Arial" w:hAnsi="Arial" w:cs="Arial"/>
                <w:color w:val="000000"/>
                <w:sz w:val="18"/>
              </w:rPr>
              <w:t>Direct</w:t>
            </w:r>
          </w:p>
        </w:tc>
        <w:tc>
          <w:tcPr>
            <w:tcW w:w="105" w:type="dxa"/>
            <w:tcBorders>
              <w:top w:val="single" w:sz="8" w:space="0" w:color="C7C9C7"/>
              <w:left w:val="nil"/>
              <w:bottom w:val="nil"/>
              <w:right w:val="nil"/>
            </w:tcBorders>
            <w:tcMar>
              <w:top w:w="0" w:type="dxa"/>
              <w:left w:w="0" w:type="dxa"/>
              <w:bottom w:w="0" w:type="dxa"/>
              <w:right w:w="0" w:type="dxa"/>
            </w:tcMar>
            <w:vAlign w:val="bottom"/>
          </w:tcPr>
          <w:p w14:paraId="193F3534" w14:textId="77777777" w:rsidR="001614AC" w:rsidRDefault="001614AC">
            <w:pPr>
              <w:keepNext/>
            </w:pPr>
          </w:p>
        </w:tc>
        <w:tc>
          <w:tcPr>
            <w:tcW w:w="1005" w:type="dxa"/>
            <w:gridSpan w:val="3"/>
            <w:tcBorders>
              <w:top w:val="single" w:sz="8" w:space="0" w:color="C7C9C7"/>
              <w:left w:val="nil"/>
              <w:bottom w:val="single" w:sz="8" w:space="0" w:color="E9E9E9"/>
              <w:right w:val="nil"/>
            </w:tcBorders>
            <w:tcMar>
              <w:top w:w="0" w:type="dxa"/>
              <w:left w:w="0" w:type="dxa"/>
              <w:bottom w:w="0" w:type="dxa"/>
              <w:right w:w="0" w:type="dxa"/>
            </w:tcMar>
            <w:vAlign w:val="bottom"/>
          </w:tcPr>
          <w:p w14:paraId="28E8CDC1" w14:textId="77777777" w:rsidR="001614AC" w:rsidRDefault="001614AC">
            <w:pPr>
              <w:keepNext/>
            </w:pPr>
          </w:p>
        </w:tc>
        <w:tc>
          <w:tcPr>
            <w:tcW w:w="105" w:type="dxa"/>
            <w:tcBorders>
              <w:top w:val="single" w:sz="8" w:space="0" w:color="C7C9C7"/>
              <w:left w:val="nil"/>
              <w:bottom w:val="nil"/>
              <w:right w:val="nil"/>
            </w:tcBorders>
            <w:tcMar>
              <w:top w:w="0" w:type="dxa"/>
              <w:left w:w="0" w:type="dxa"/>
              <w:bottom w:w="0" w:type="dxa"/>
              <w:right w:w="0" w:type="dxa"/>
            </w:tcMar>
            <w:vAlign w:val="bottom"/>
          </w:tcPr>
          <w:p w14:paraId="062A31FE" w14:textId="77777777" w:rsidR="001614AC" w:rsidRDefault="001614AC">
            <w:pPr>
              <w:keepNext/>
            </w:pPr>
          </w:p>
        </w:tc>
        <w:tc>
          <w:tcPr>
            <w:tcW w:w="1005" w:type="dxa"/>
            <w:gridSpan w:val="3"/>
            <w:tcBorders>
              <w:top w:val="single" w:sz="8" w:space="0" w:color="C7C9C7"/>
              <w:left w:val="nil"/>
              <w:bottom w:val="single" w:sz="8" w:space="0" w:color="E9E9E9"/>
              <w:right w:val="nil"/>
            </w:tcBorders>
            <w:tcMar>
              <w:top w:w="0" w:type="dxa"/>
              <w:left w:w="0" w:type="dxa"/>
              <w:bottom w:w="0" w:type="dxa"/>
              <w:right w:w="0" w:type="dxa"/>
            </w:tcMar>
            <w:vAlign w:val="bottom"/>
          </w:tcPr>
          <w:p w14:paraId="1BCC9EB0" w14:textId="77777777" w:rsidR="001614AC" w:rsidRDefault="001614AC">
            <w:pPr>
              <w:keepNext/>
            </w:pPr>
          </w:p>
        </w:tc>
        <w:tc>
          <w:tcPr>
            <w:tcW w:w="105" w:type="dxa"/>
            <w:tcBorders>
              <w:top w:val="single" w:sz="8" w:space="0" w:color="C7C9C7"/>
              <w:left w:val="nil"/>
              <w:bottom w:val="nil"/>
              <w:right w:val="nil"/>
            </w:tcBorders>
            <w:tcMar>
              <w:top w:w="0" w:type="dxa"/>
              <w:left w:w="0" w:type="dxa"/>
              <w:bottom w:w="0" w:type="dxa"/>
              <w:right w:w="0" w:type="dxa"/>
            </w:tcMar>
            <w:vAlign w:val="bottom"/>
          </w:tcPr>
          <w:p w14:paraId="13F08F5F" w14:textId="77777777" w:rsidR="001614AC" w:rsidRDefault="001614AC">
            <w:pPr>
              <w:keepNext/>
            </w:pPr>
          </w:p>
        </w:tc>
        <w:tc>
          <w:tcPr>
            <w:tcW w:w="1005" w:type="dxa"/>
            <w:gridSpan w:val="3"/>
            <w:tcBorders>
              <w:top w:val="single" w:sz="8" w:space="0" w:color="C7C9C7"/>
              <w:left w:val="nil"/>
              <w:bottom w:val="single" w:sz="8" w:space="0" w:color="E9E9E9"/>
              <w:right w:val="nil"/>
            </w:tcBorders>
            <w:tcMar>
              <w:top w:w="0" w:type="dxa"/>
              <w:left w:w="0" w:type="dxa"/>
              <w:bottom w:w="0" w:type="dxa"/>
              <w:right w:w="0" w:type="dxa"/>
            </w:tcMar>
            <w:vAlign w:val="bottom"/>
          </w:tcPr>
          <w:p w14:paraId="0EB8E34A" w14:textId="77777777" w:rsidR="001614AC" w:rsidRDefault="001614AC">
            <w:pPr>
              <w:keepNext/>
            </w:pPr>
          </w:p>
        </w:tc>
        <w:tc>
          <w:tcPr>
            <w:tcW w:w="105" w:type="dxa"/>
            <w:tcBorders>
              <w:top w:val="single" w:sz="8" w:space="0" w:color="C7C9C7"/>
              <w:left w:val="nil"/>
              <w:bottom w:val="nil"/>
              <w:right w:val="nil"/>
            </w:tcBorders>
            <w:tcMar>
              <w:top w:w="0" w:type="dxa"/>
              <w:left w:w="0" w:type="dxa"/>
              <w:bottom w:w="0" w:type="dxa"/>
              <w:right w:w="0" w:type="dxa"/>
            </w:tcMar>
            <w:vAlign w:val="bottom"/>
          </w:tcPr>
          <w:p w14:paraId="65F45510" w14:textId="77777777" w:rsidR="001614AC" w:rsidRDefault="001614AC">
            <w:pPr>
              <w:keepNext/>
            </w:pPr>
          </w:p>
        </w:tc>
        <w:tc>
          <w:tcPr>
            <w:tcW w:w="1005" w:type="dxa"/>
            <w:gridSpan w:val="3"/>
            <w:tcBorders>
              <w:top w:val="single" w:sz="8" w:space="0" w:color="C7C9C7"/>
              <w:left w:val="nil"/>
              <w:bottom w:val="single" w:sz="8" w:space="0" w:color="E9E9E9"/>
              <w:right w:val="nil"/>
            </w:tcBorders>
            <w:tcMar>
              <w:top w:w="0" w:type="dxa"/>
              <w:left w:w="0" w:type="dxa"/>
              <w:bottom w:w="0" w:type="dxa"/>
              <w:right w:w="0" w:type="dxa"/>
            </w:tcMar>
            <w:vAlign w:val="bottom"/>
          </w:tcPr>
          <w:p w14:paraId="69703614" w14:textId="77777777" w:rsidR="001614AC" w:rsidRDefault="001614AC">
            <w:pPr>
              <w:keepNext/>
            </w:pPr>
          </w:p>
        </w:tc>
      </w:tr>
      <w:tr w:rsidR="001614AC" w14:paraId="6D9506E9" w14:textId="77777777">
        <w:trPr>
          <w:cantSplit/>
        </w:trPr>
        <w:tc>
          <w:tcPr>
            <w:tcW w:w="5640" w:type="dxa"/>
            <w:tcBorders>
              <w:top w:val="single" w:sz="8" w:space="0" w:color="E9E9E9"/>
              <w:left w:val="nil"/>
              <w:bottom w:val="single" w:sz="8" w:space="0" w:color="E9E9E9"/>
              <w:right w:val="nil"/>
            </w:tcBorders>
            <w:tcMar>
              <w:top w:w="0" w:type="dxa"/>
              <w:left w:w="53" w:type="dxa"/>
              <w:bottom w:w="0" w:type="dxa"/>
              <w:right w:w="53" w:type="dxa"/>
            </w:tcMar>
            <w:vAlign w:val="bottom"/>
          </w:tcPr>
          <w:p w14:paraId="393CC7BA" w14:textId="77777777" w:rsidR="001614AC" w:rsidRDefault="004468F9">
            <w:pPr>
              <w:keepNext/>
              <w:spacing w:before="55" w:after="30" w:line="288" w:lineRule="auto"/>
              <w:ind w:left="240"/>
            </w:pPr>
            <w:r>
              <w:rPr>
                <w:rFonts w:ascii="Arial" w:eastAsia="Arial" w:hAnsi="Arial" w:cs="Arial"/>
                <w:color w:val="000000"/>
                <w:sz w:val="18"/>
              </w:rPr>
              <w:t>Premiums earned, excluding revenue from cancellations</w:t>
            </w:r>
          </w:p>
        </w:tc>
        <w:tc>
          <w:tcPr>
            <w:tcW w:w="105" w:type="dxa"/>
            <w:tcBorders>
              <w:top w:val="nil"/>
              <w:left w:val="nil"/>
              <w:bottom w:val="nil"/>
              <w:right w:val="nil"/>
            </w:tcBorders>
            <w:tcMar>
              <w:top w:w="0" w:type="dxa"/>
              <w:left w:w="0" w:type="dxa"/>
              <w:bottom w:w="0" w:type="dxa"/>
              <w:right w:w="0" w:type="dxa"/>
            </w:tcMar>
            <w:vAlign w:val="bottom"/>
          </w:tcPr>
          <w:p w14:paraId="6BC6F0DA" w14:textId="77777777" w:rsidR="001614AC" w:rsidRDefault="001614AC">
            <w:pPr>
              <w:keepNext/>
            </w:pPr>
          </w:p>
        </w:tc>
        <w:tc>
          <w:tcPr>
            <w:tcW w:w="160" w:type="dxa"/>
            <w:tcBorders>
              <w:top w:val="single" w:sz="8" w:space="0" w:color="E9E9E9"/>
              <w:left w:val="nil"/>
              <w:bottom w:val="single" w:sz="8" w:space="0" w:color="E9E9E9"/>
              <w:right w:val="nil"/>
            </w:tcBorders>
            <w:tcMar>
              <w:top w:w="0" w:type="dxa"/>
              <w:left w:w="53" w:type="dxa"/>
              <w:bottom w:w="0" w:type="dxa"/>
              <w:right w:w="0" w:type="dxa"/>
            </w:tcMar>
            <w:vAlign w:val="bottom"/>
          </w:tcPr>
          <w:p w14:paraId="4A12C392" w14:textId="77777777" w:rsidR="001614AC" w:rsidRDefault="004468F9">
            <w:pPr>
              <w:keepNext/>
              <w:spacing w:before="55" w:after="30" w:line="288" w:lineRule="auto"/>
            </w:pPr>
            <w:r>
              <w:rPr>
                <w:rFonts w:ascii="Arial" w:eastAsia="Arial" w:hAnsi="Arial" w:cs="Arial"/>
                <w:color w:val="000000"/>
                <w:sz w:val="18"/>
              </w:rPr>
              <w:t>$</w:t>
            </w:r>
          </w:p>
        </w:tc>
        <w:tc>
          <w:tcPr>
            <w:tcW w:w="745" w:type="dxa"/>
            <w:tcBorders>
              <w:top w:val="single" w:sz="8" w:space="0" w:color="E9E9E9"/>
              <w:left w:val="nil"/>
              <w:bottom w:val="single" w:sz="8" w:space="0" w:color="E9E9E9"/>
              <w:right w:val="nil"/>
            </w:tcBorders>
            <w:tcMar>
              <w:top w:w="0" w:type="dxa"/>
              <w:left w:w="0" w:type="dxa"/>
              <w:bottom w:w="0" w:type="dxa"/>
              <w:right w:w="0" w:type="dxa"/>
            </w:tcMar>
            <w:vAlign w:val="bottom"/>
          </w:tcPr>
          <w:p w14:paraId="4CE592ED" w14:textId="77777777" w:rsidR="001614AC" w:rsidRDefault="004468F9">
            <w:pPr>
              <w:keepNext/>
              <w:spacing w:before="55" w:after="30" w:line="288" w:lineRule="auto"/>
              <w:jc w:val="right"/>
            </w:pPr>
            <w:r>
              <w:rPr>
                <w:rFonts w:ascii="Arial" w:eastAsia="Arial" w:hAnsi="Arial" w:cs="Arial"/>
                <w:color w:val="000000"/>
                <w:sz w:val="18"/>
              </w:rPr>
              <w:t>243,077 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1E42749A" w14:textId="77777777" w:rsidR="001614AC" w:rsidRDefault="001614AC">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767FFE00" w14:textId="77777777" w:rsidR="001614AC" w:rsidRDefault="001614AC">
            <w:pPr>
              <w:keepNext/>
            </w:pPr>
          </w:p>
        </w:tc>
        <w:tc>
          <w:tcPr>
            <w:tcW w:w="160" w:type="dxa"/>
            <w:tcBorders>
              <w:top w:val="single" w:sz="8" w:space="0" w:color="E9E9E9"/>
              <w:left w:val="nil"/>
              <w:bottom w:val="single" w:sz="8" w:space="0" w:color="E9E9E9"/>
              <w:right w:val="nil"/>
            </w:tcBorders>
            <w:tcMar>
              <w:top w:w="0" w:type="dxa"/>
              <w:left w:w="53" w:type="dxa"/>
              <w:bottom w:w="0" w:type="dxa"/>
              <w:right w:w="0" w:type="dxa"/>
            </w:tcMar>
            <w:vAlign w:val="bottom"/>
          </w:tcPr>
          <w:p w14:paraId="27403FD6" w14:textId="77777777" w:rsidR="001614AC" w:rsidRDefault="004468F9">
            <w:pPr>
              <w:keepNext/>
              <w:spacing w:before="55" w:after="30" w:line="288" w:lineRule="auto"/>
            </w:pPr>
            <w:r>
              <w:rPr>
                <w:rFonts w:ascii="Arial" w:eastAsia="Arial" w:hAnsi="Arial" w:cs="Arial"/>
                <w:color w:val="000000"/>
                <w:sz w:val="18"/>
              </w:rPr>
              <w:t>$</w:t>
            </w:r>
          </w:p>
        </w:tc>
        <w:tc>
          <w:tcPr>
            <w:tcW w:w="745" w:type="dxa"/>
            <w:tcBorders>
              <w:top w:val="single" w:sz="8" w:space="0" w:color="E9E9E9"/>
              <w:left w:val="nil"/>
              <w:bottom w:val="single" w:sz="8" w:space="0" w:color="E9E9E9"/>
              <w:right w:val="nil"/>
            </w:tcBorders>
            <w:tcMar>
              <w:top w:w="0" w:type="dxa"/>
              <w:left w:w="0" w:type="dxa"/>
              <w:bottom w:w="0" w:type="dxa"/>
              <w:right w:w="0" w:type="dxa"/>
            </w:tcMar>
            <w:vAlign w:val="bottom"/>
          </w:tcPr>
          <w:p w14:paraId="66DDB5B4" w14:textId="77777777" w:rsidR="001614AC" w:rsidRDefault="004468F9">
            <w:pPr>
              <w:keepNext/>
              <w:spacing w:before="55" w:after="30" w:line="288" w:lineRule="auto"/>
              <w:jc w:val="right"/>
            </w:pPr>
            <w:r>
              <w:rPr>
                <w:rFonts w:ascii="Arial" w:eastAsia="Arial" w:hAnsi="Arial" w:cs="Arial"/>
                <w:color w:val="000000"/>
                <w:sz w:val="18"/>
              </w:rPr>
              <w:t>263,468 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6290A6BC" w14:textId="77777777" w:rsidR="001614AC" w:rsidRDefault="001614AC">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62596D29" w14:textId="77777777" w:rsidR="001614AC" w:rsidRDefault="001614AC">
            <w:pPr>
              <w:keepNext/>
            </w:pPr>
          </w:p>
        </w:tc>
        <w:tc>
          <w:tcPr>
            <w:tcW w:w="160" w:type="dxa"/>
            <w:tcBorders>
              <w:top w:val="single" w:sz="8" w:space="0" w:color="E9E9E9"/>
              <w:left w:val="nil"/>
              <w:bottom w:val="single" w:sz="8" w:space="0" w:color="E9E9E9"/>
              <w:right w:val="nil"/>
            </w:tcBorders>
            <w:tcMar>
              <w:top w:w="0" w:type="dxa"/>
              <w:left w:w="53" w:type="dxa"/>
              <w:bottom w:w="0" w:type="dxa"/>
              <w:right w:w="0" w:type="dxa"/>
            </w:tcMar>
            <w:vAlign w:val="bottom"/>
          </w:tcPr>
          <w:p w14:paraId="1BBDA932" w14:textId="77777777" w:rsidR="001614AC" w:rsidRDefault="004468F9">
            <w:pPr>
              <w:keepNext/>
              <w:spacing w:before="55" w:after="30" w:line="288" w:lineRule="auto"/>
            </w:pPr>
            <w:r>
              <w:rPr>
                <w:rFonts w:ascii="Arial" w:eastAsia="Arial" w:hAnsi="Arial" w:cs="Arial"/>
                <w:color w:val="000000"/>
                <w:sz w:val="18"/>
              </w:rPr>
              <w:t>$</w:t>
            </w:r>
          </w:p>
        </w:tc>
        <w:tc>
          <w:tcPr>
            <w:tcW w:w="745" w:type="dxa"/>
            <w:tcBorders>
              <w:top w:val="single" w:sz="8" w:space="0" w:color="E9E9E9"/>
              <w:left w:val="nil"/>
              <w:bottom w:val="single" w:sz="8" w:space="0" w:color="E9E9E9"/>
              <w:right w:val="nil"/>
            </w:tcBorders>
            <w:tcMar>
              <w:top w:w="0" w:type="dxa"/>
              <w:left w:w="0" w:type="dxa"/>
              <w:bottom w:w="0" w:type="dxa"/>
              <w:right w:w="0" w:type="dxa"/>
            </w:tcMar>
            <w:vAlign w:val="bottom"/>
          </w:tcPr>
          <w:p w14:paraId="56109AD6" w14:textId="77777777" w:rsidR="001614AC" w:rsidRDefault="004468F9">
            <w:pPr>
              <w:keepNext/>
              <w:spacing w:before="55" w:after="30" w:line="288" w:lineRule="auto"/>
              <w:jc w:val="right"/>
            </w:pPr>
            <w:r>
              <w:rPr>
                <w:rFonts w:ascii="Arial" w:eastAsia="Arial" w:hAnsi="Arial" w:cs="Arial"/>
                <w:color w:val="000000"/>
                <w:sz w:val="18"/>
              </w:rPr>
              <w:t>499,982 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5610DC02" w14:textId="77777777" w:rsidR="001614AC" w:rsidRDefault="001614AC">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5FD51184" w14:textId="77777777" w:rsidR="001614AC" w:rsidRDefault="001614AC">
            <w:pPr>
              <w:keepNext/>
            </w:pPr>
          </w:p>
        </w:tc>
        <w:tc>
          <w:tcPr>
            <w:tcW w:w="160" w:type="dxa"/>
            <w:tcBorders>
              <w:top w:val="single" w:sz="8" w:space="0" w:color="E9E9E9"/>
              <w:left w:val="nil"/>
              <w:bottom w:val="single" w:sz="8" w:space="0" w:color="E9E9E9"/>
              <w:right w:val="nil"/>
            </w:tcBorders>
            <w:tcMar>
              <w:top w:w="0" w:type="dxa"/>
              <w:left w:w="53" w:type="dxa"/>
              <w:bottom w:w="0" w:type="dxa"/>
              <w:right w:w="0" w:type="dxa"/>
            </w:tcMar>
            <w:vAlign w:val="bottom"/>
          </w:tcPr>
          <w:p w14:paraId="0C0DD829" w14:textId="77777777" w:rsidR="001614AC" w:rsidRDefault="004468F9">
            <w:pPr>
              <w:keepNext/>
              <w:spacing w:before="55" w:after="30" w:line="288" w:lineRule="auto"/>
            </w:pPr>
            <w:r>
              <w:rPr>
                <w:rFonts w:ascii="Arial" w:eastAsia="Arial" w:hAnsi="Arial" w:cs="Arial"/>
                <w:color w:val="000000"/>
                <w:sz w:val="18"/>
              </w:rPr>
              <w:t>$</w:t>
            </w:r>
          </w:p>
        </w:tc>
        <w:tc>
          <w:tcPr>
            <w:tcW w:w="745" w:type="dxa"/>
            <w:tcBorders>
              <w:top w:val="single" w:sz="8" w:space="0" w:color="E9E9E9"/>
              <w:left w:val="nil"/>
              <w:bottom w:val="single" w:sz="8" w:space="0" w:color="E9E9E9"/>
              <w:right w:val="nil"/>
            </w:tcBorders>
            <w:tcMar>
              <w:top w:w="0" w:type="dxa"/>
              <w:left w:w="0" w:type="dxa"/>
              <w:bottom w:w="0" w:type="dxa"/>
              <w:right w:w="0" w:type="dxa"/>
            </w:tcMar>
            <w:vAlign w:val="bottom"/>
          </w:tcPr>
          <w:p w14:paraId="0A2A6341" w14:textId="77777777" w:rsidR="001614AC" w:rsidRDefault="004468F9">
            <w:pPr>
              <w:keepNext/>
              <w:spacing w:before="55" w:after="30" w:line="288" w:lineRule="auto"/>
              <w:jc w:val="right"/>
            </w:pPr>
            <w:r>
              <w:rPr>
                <w:rFonts w:ascii="Arial" w:eastAsia="Arial" w:hAnsi="Arial" w:cs="Arial"/>
                <w:color w:val="000000"/>
                <w:sz w:val="18"/>
              </w:rPr>
              <w:t>538,115 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172E7D99" w14:textId="77777777" w:rsidR="001614AC" w:rsidRDefault="001614AC">
            <w:pPr>
              <w:keepNext/>
              <w:spacing w:before="55" w:after="30" w:line="288" w:lineRule="auto"/>
              <w:jc w:val="right"/>
            </w:pPr>
          </w:p>
        </w:tc>
      </w:tr>
      <w:tr w:rsidR="001614AC" w14:paraId="0FF626B9" w14:textId="77777777">
        <w:trPr>
          <w:cantSplit/>
        </w:trPr>
        <w:tc>
          <w:tcPr>
            <w:tcW w:w="5640" w:type="dxa"/>
            <w:tcBorders>
              <w:top w:val="single" w:sz="8" w:space="0" w:color="E9E9E9"/>
              <w:left w:val="nil"/>
              <w:bottom w:val="single" w:sz="8" w:space="0" w:color="FFFFFF"/>
              <w:right w:val="nil"/>
            </w:tcBorders>
            <w:tcMar>
              <w:top w:w="0" w:type="dxa"/>
              <w:left w:w="53" w:type="dxa"/>
              <w:bottom w:w="0" w:type="dxa"/>
              <w:right w:w="53" w:type="dxa"/>
            </w:tcMar>
            <w:vAlign w:val="bottom"/>
          </w:tcPr>
          <w:p w14:paraId="0936F88E" w14:textId="77777777" w:rsidR="001614AC" w:rsidRDefault="004468F9">
            <w:pPr>
              <w:keepNext/>
              <w:spacing w:before="55" w:after="30" w:line="288" w:lineRule="auto"/>
              <w:ind w:left="240"/>
            </w:pPr>
            <w:r>
              <w:rPr>
                <w:rFonts w:ascii="Arial" w:eastAsia="Arial" w:hAnsi="Arial" w:cs="Arial"/>
                <w:color w:val="000000"/>
                <w:sz w:val="18"/>
              </w:rPr>
              <w:t>Single Premium Policy cancellations</w:t>
            </w:r>
          </w:p>
        </w:tc>
        <w:tc>
          <w:tcPr>
            <w:tcW w:w="105" w:type="dxa"/>
            <w:tcBorders>
              <w:top w:val="nil"/>
              <w:left w:val="nil"/>
              <w:bottom w:val="single" w:sz="8" w:space="0" w:color="FFFFFF"/>
              <w:right w:val="nil"/>
            </w:tcBorders>
            <w:tcMar>
              <w:top w:w="0" w:type="dxa"/>
              <w:left w:w="0" w:type="dxa"/>
              <w:bottom w:w="0" w:type="dxa"/>
              <w:right w:w="0" w:type="dxa"/>
            </w:tcMar>
            <w:vAlign w:val="bottom"/>
          </w:tcPr>
          <w:p w14:paraId="1CEA263F" w14:textId="77777777" w:rsidR="001614AC" w:rsidRDefault="001614AC">
            <w:pPr>
              <w:keepNext/>
            </w:pPr>
          </w:p>
        </w:tc>
        <w:tc>
          <w:tcPr>
            <w:tcW w:w="905" w:type="dxa"/>
            <w:gridSpan w:val="2"/>
            <w:tcBorders>
              <w:top w:val="single" w:sz="8" w:space="0" w:color="E9E9E9"/>
              <w:left w:val="nil"/>
              <w:bottom w:val="single" w:sz="8" w:space="0" w:color="C7C9C7"/>
              <w:right w:val="nil"/>
            </w:tcBorders>
            <w:tcMar>
              <w:top w:w="0" w:type="dxa"/>
              <w:left w:w="53" w:type="dxa"/>
              <w:bottom w:w="0" w:type="dxa"/>
              <w:right w:w="0" w:type="dxa"/>
            </w:tcMar>
            <w:vAlign w:val="bottom"/>
          </w:tcPr>
          <w:p w14:paraId="5DC9FD60" w14:textId="77777777" w:rsidR="001614AC" w:rsidRDefault="004468F9">
            <w:pPr>
              <w:keepNext/>
              <w:spacing w:before="55" w:after="30" w:line="288" w:lineRule="auto"/>
              <w:jc w:val="right"/>
            </w:pPr>
            <w:r>
              <w:rPr>
                <w:rFonts w:ascii="Arial" w:eastAsia="Arial" w:hAnsi="Arial" w:cs="Arial"/>
                <w:color w:val="000000"/>
                <w:sz w:val="18"/>
              </w:rPr>
              <w:t>31,592 </w:t>
            </w:r>
          </w:p>
        </w:tc>
        <w:tc>
          <w:tcPr>
            <w:tcW w:w="100" w:type="dxa"/>
            <w:tcBorders>
              <w:top w:val="single" w:sz="8" w:space="0" w:color="E9E9E9"/>
              <w:left w:val="nil"/>
              <w:bottom w:val="single" w:sz="8" w:space="0" w:color="C7C9C7"/>
              <w:right w:val="nil"/>
            </w:tcBorders>
            <w:tcMar>
              <w:top w:w="0" w:type="dxa"/>
              <w:left w:w="0" w:type="dxa"/>
              <w:bottom w:w="0" w:type="dxa"/>
              <w:right w:w="15" w:type="dxa"/>
            </w:tcMar>
            <w:vAlign w:val="bottom"/>
          </w:tcPr>
          <w:p w14:paraId="290A3873" w14:textId="77777777" w:rsidR="001614AC" w:rsidRDefault="001614AC">
            <w:pPr>
              <w:keepNext/>
              <w:spacing w:before="55" w:after="30" w:line="288" w:lineRule="auto"/>
              <w:jc w:val="right"/>
            </w:pPr>
          </w:p>
        </w:tc>
        <w:tc>
          <w:tcPr>
            <w:tcW w:w="105" w:type="dxa"/>
            <w:tcBorders>
              <w:top w:val="nil"/>
              <w:left w:val="nil"/>
              <w:bottom w:val="single" w:sz="8" w:space="0" w:color="FFFFFF"/>
              <w:right w:val="nil"/>
            </w:tcBorders>
            <w:tcMar>
              <w:top w:w="0" w:type="dxa"/>
              <w:left w:w="0" w:type="dxa"/>
              <w:bottom w:w="0" w:type="dxa"/>
              <w:right w:w="0" w:type="dxa"/>
            </w:tcMar>
            <w:vAlign w:val="bottom"/>
          </w:tcPr>
          <w:p w14:paraId="08244ED3" w14:textId="77777777" w:rsidR="001614AC" w:rsidRDefault="001614AC">
            <w:pPr>
              <w:keepNext/>
            </w:pPr>
          </w:p>
        </w:tc>
        <w:tc>
          <w:tcPr>
            <w:tcW w:w="905" w:type="dxa"/>
            <w:gridSpan w:val="2"/>
            <w:tcBorders>
              <w:top w:val="single" w:sz="8" w:space="0" w:color="E9E9E9"/>
              <w:left w:val="nil"/>
              <w:bottom w:val="single" w:sz="8" w:space="0" w:color="C7C9C7"/>
              <w:right w:val="nil"/>
            </w:tcBorders>
            <w:tcMar>
              <w:top w:w="0" w:type="dxa"/>
              <w:left w:w="53" w:type="dxa"/>
              <w:bottom w:w="0" w:type="dxa"/>
              <w:right w:w="0" w:type="dxa"/>
            </w:tcMar>
            <w:vAlign w:val="bottom"/>
          </w:tcPr>
          <w:p w14:paraId="73F0AD38" w14:textId="77777777" w:rsidR="001614AC" w:rsidRDefault="004468F9">
            <w:pPr>
              <w:keepNext/>
              <w:spacing w:before="55" w:after="30" w:line="288" w:lineRule="auto"/>
              <w:jc w:val="right"/>
            </w:pPr>
            <w:r>
              <w:rPr>
                <w:rFonts w:ascii="Arial" w:eastAsia="Arial" w:hAnsi="Arial" w:cs="Arial"/>
                <w:color w:val="000000"/>
                <w:sz w:val="18"/>
              </w:rPr>
              <w:t>50,023 </w:t>
            </w:r>
          </w:p>
        </w:tc>
        <w:tc>
          <w:tcPr>
            <w:tcW w:w="100" w:type="dxa"/>
            <w:tcBorders>
              <w:top w:val="single" w:sz="8" w:space="0" w:color="E9E9E9"/>
              <w:left w:val="nil"/>
              <w:bottom w:val="single" w:sz="8" w:space="0" w:color="C7C9C7"/>
              <w:right w:val="nil"/>
            </w:tcBorders>
            <w:tcMar>
              <w:top w:w="0" w:type="dxa"/>
              <w:left w:w="0" w:type="dxa"/>
              <w:bottom w:w="0" w:type="dxa"/>
              <w:right w:w="15" w:type="dxa"/>
            </w:tcMar>
            <w:vAlign w:val="bottom"/>
          </w:tcPr>
          <w:p w14:paraId="733242DD" w14:textId="77777777" w:rsidR="001614AC" w:rsidRDefault="001614AC">
            <w:pPr>
              <w:keepNext/>
              <w:spacing w:before="55" w:after="30" w:line="288" w:lineRule="auto"/>
              <w:jc w:val="right"/>
            </w:pPr>
          </w:p>
        </w:tc>
        <w:tc>
          <w:tcPr>
            <w:tcW w:w="105" w:type="dxa"/>
            <w:tcBorders>
              <w:top w:val="nil"/>
              <w:left w:val="nil"/>
              <w:bottom w:val="single" w:sz="8" w:space="0" w:color="FFFFFF"/>
              <w:right w:val="nil"/>
            </w:tcBorders>
            <w:tcMar>
              <w:top w:w="0" w:type="dxa"/>
              <w:left w:w="0" w:type="dxa"/>
              <w:bottom w:w="0" w:type="dxa"/>
              <w:right w:w="0" w:type="dxa"/>
            </w:tcMar>
            <w:vAlign w:val="bottom"/>
          </w:tcPr>
          <w:p w14:paraId="6A3C0C7F" w14:textId="77777777" w:rsidR="001614AC" w:rsidRDefault="001614AC">
            <w:pPr>
              <w:keepNext/>
            </w:pPr>
          </w:p>
        </w:tc>
        <w:tc>
          <w:tcPr>
            <w:tcW w:w="905" w:type="dxa"/>
            <w:gridSpan w:val="2"/>
            <w:tcBorders>
              <w:top w:val="single" w:sz="8" w:space="0" w:color="E9E9E9"/>
              <w:left w:val="nil"/>
              <w:bottom w:val="single" w:sz="8" w:space="0" w:color="C7C9C7"/>
              <w:right w:val="nil"/>
            </w:tcBorders>
            <w:tcMar>
              <w:top w:w="0" w:type="dxa"/>
              <w:left w:w="53" w:type="dxa"/>
              <w:bottom w:w="0" w:type="dxa"/>
              <w:right w:w="0" w:type="dxa"/>
            </w:tcMar>
            <w:vAlign w:val="bottom"/>
          </w:tcPr>
          <w:p w14:paraId="1CB859DA" w14:textId="77777777" w:rsidR="001614AC" w:rsidRDefault="004468F9">
            <w:pPr>
              <w:keepNext/>
              <w:spacing w:before="55" w:after="30" w:line="288" w:lineRule="auto"/>
              <w:jc w:val="right"/>
            </w:pPr>
            <w:r>
              <w:rPr>
                <w:rFonts w:ascii="Arial" w:eastAsia="Arial" w:hAnsi="Arial" w:cs="Arial"/>
                <w:color w:val="000000"/>
                <w:sz w:val="18"/>
              </w:rPr>
              <w:t>70,102 </w:t>
            </w:r>
          </w:p>
        </w:tc>
        <w:tc>
          <w:tcPr>
            <w:tcW w:w="100" w:type="dxa"/>
            <w:tcBorders>
              <w:top w:val="single" w:sz="8" w:space="0" w:color="E9E9E9"/>
              <w:left w:val="nil"/>
              <w:bottom w:val="single" w:sz="8" w:space="0" w:color="C7C9C7"/>
              <w:right w:val="nil"/>
            </w:tcBorders>
            <w:tcMar>
              <w:top w:w="0" w:type="dxa"/>
              <w:left w:w="0" w:type="dxa"/>
              <w:bottom w:w="0" w:type="dxa"/>
              <w:right w:w="15" w:type="dxa"/>
            </w:tcMar>
            <w:vAlign w:val="bottom"/>
          </w:tcPr>
          <w:p w14:paraId="675BC161" w14:textId="77777777" w:rsidR="001614AC" w:rsidRDefault="001614AC">
            <w:pPr>
              <w:keepNext/>
              <w:spacing w:before="55" w:after="30" w:line="288" w:lineRule="auto"/>
              <w:jc w:val="right"/>
            </w:pPr>
          </w:p>
        </w:tc>
        <w:tc>
          <w:tcPr>
            <w:tcW w:w="105" w:type="dxa"/>
            <w:tcBorders>
              <w:top w:val="nil"/>
              <w:left w:val="nil"/>
              <w:bottom w:val="single" w:sz="8" w:space="0" w:color="FFFFFF"/>
              <w:right w:val="nil"/>
            </w:tcBorders>
            <w:tcMar>
              <w:top w:w="0" w:type="dxa"/>
              <w:left w:w="0" w:type="dxa"/>
              <w:bottom w:w="0" w:type="dxa"/>
              <w:right w:w="0" w:type="dxa"/>
            </w:tcMar>
            <w:vAlign w:val="bottom"/>
          </w:tcPr>
          <w:p w14:paraId="4616A77D" w14:textId="77777777" w:rsidR="001614AC" w:rsidRDefault="001614AC">
            <w:pPr>
              <w:keepNext/>
            </w:pPr>
          </w:p>
        </w:tc>
        <w:tc>
          <w:tcPr>
            <w:tcW w:w="905" w:type="dxa"/>
            <w:gridSpan w:val="2"/>
            <w:tcBorders>
              <w:top w:val="single" w:sz="8" w:space="0" w:color="E9E9E9"/>
              <w:left w:val="nil"/>
              <w:bottom w:val="single" w:sz="8" w:space="0" w:color="C7C9C7"/>
              <w:right w:val="nil"/>
            </w:tcBorders>
            <w:tcMar>
              <w:top w:w="0" w:type="dxa"/>
              <w:left w:w="53" w:type="dxa"/>
              <w:bottom w:w="0" w:type="dxa"/>
              <w:right w:w="0" w:type="dxa"/>
            </w:tcMar>
            <w:vAlign w:val="bottom"/>
          </w:tcPr>
          <w:p w14:paraId="6E244CE9" w14:textId="77777777" w:rsidR="001614AC" w:rsidRDefault="004468F9">
            <w:pPr>
              <w:keepNext/>
              <w:spacing w:before="55" w:after="30" w:line="288" w:lineRule="auto"/>
              <w:jc w:val="right"/>
            </w:pPr>
            <w:r>
              <w:rPr>
                <w:rFonts w:ascii="Arial" w:eastAsia="Arial" w:hAnsi="Arial" w:cs="Arial"/>
                <w:color w:val="000000"/>
                <w:sz w:val="18"/>
              </w:rPr>
              <w:t>74,156 </w:t>
            </w:r>
          </w:p>
        </w:tc>
        <w:tc>
          <w:tcPr>
            <w:tcW w:w="100" w:type="dxa"/>
            <w:tcBorders>
              <w:top w:val="single" w:sz="8" w:space="0" w:color="E9E9E9"/>
              <w:left w:val="nil"/>
              <w:bottom w:val="single" w:sz="8" w:space="0" w:color="C7C9C7"/>
              <w:right w:val="nil"/>
            </w:tcBorders>
            <w:tcMar>
              <w:top w:w="0" w:type="dxa"/>
              <w:left w:w="0" w:type="dxa"/>
              <w:bottom w:w="0" w:type="dxa"/>
              <w:right w:w="15" w:type="dxa"/>
            </w:tcMar>
            <w:vAlign w:val="bottom"/>
          </w:tcPr>
          <w:p w14:paraId="01A77312" w14:textId="77777777" w:rsidR="001614AC" w:rsidRDefault="001614AC">
            <w:pPr>
              <w:keepNext/>
              <w:spacing w:before="55" w:after="30" w:line="288" w:lineRule="auto"/>
              <w:jc w:val="right"/>
            </w:pPr>
          </w:p>
        </w:tc>
      </w:tr>
      <w:tr w:rsidR="001614AC" w14:paraId="35B17AD2" w14:textId="77777777">
        <w:trPr>
          <w:cantSplit/>
        </w:trPr>
        <w:tc>
          <w:tcPr>
            <w:tcW w:w="5640" w:type="dxa"/>
            <w:tcBorders>
              <w:top w:val="single" w:sz="8" w:space="0" w:color="FFFFFF"/>
              <w:left w:val="nil"/>
              <w:bottom w:val="single" w:sz="8" w:space="0" w:color="FFFFFF"/>
              <w:right w:val="nil"/>
            </w:tcBorders>
            <w:shd w:val="clear" w:color="auto" w:fill="F4F4F4"/>
            <w:tcMar>
              <w:top w:w="0" w:type="dxa"/>
              <w:left w:w="53" w:type="dxa"/>
              <w:bottom w:w="0" w:type="dxa"/>
              <w:right w:w="53" w:type="dxa"/>
            </w:tcMar>
            <w:vAlign w:val="bottom"/>
          </w:tcPr>
          <w:p w14:paraId="71384EFD" w14:textId="77777777" w:rsidR="001614AC" w:rsidRDefault="004468F9">
            <w:pPr>
              <w:keepNext/>
              <w:spacing w:before="55" w:after="30" w:line="288" w:lineRule="auto"/>
              <w:ind w:left="240"/>
            </w:pPr>
            <w:r>
              <w:rPr>
                <w:rFonts w:ascii="Arial" w:eastAsia="Arial" w:hAnsi="Arial" w:cs="Arial"/>
                <w:color w:val="000000"/>
                <w:sz w:val="18"/>
              </w:rPr>
              <w:t>Direct premiums</w:t>
            </w:r>
          </w:p>
        </w:tc>
        <w:tc>
          <w:tcPr>
            <w:tcW w:w="105" w:type="dxa"/>
            <w:tcBorders>
              <w:top w:val="single" w:sz="8" w:space="0" w:color="FFFFFF"/>
              <w:left w:val="nil"/>
              <w:bottom w:val="single" w:sz="8" w:space="0" w:color="FFFFFF"/>
              <w:right w:val="nil"/>
            </w:tcBorders>
            <w:shd w:val="clear" w:color="auto" w:fill="F4F4F4"/>
            <w:tcMar>
              <w:top w:w="0" w:type="dxa"/>
              <w:left w:w="0" w:type="dxa"/>
              <w:bottom w:w="0" w:type="dxa"/>
              <w:right w:w="0" w:type="dxa"/>
            </w:tcMar>
            <w:vAlign w:val="bottom"/>
          </w:tcPr>
          <w:p w14:paraId="183B25B4" w14:textId="77777777" w:rsidR="001614AC" w:rsidRDefault="001614AC">
            <w:pPr>
              <w:keepNext/>
            </w:pPr>
          </w:p>
        </w:tc>
        <w:tc>
          <w:tcPr>
            <w:tcW w:w="905" w:type="dxa"/>
            <w:gridSpan w:val="2"/>
            <w:tcBorders>
              <w:top w:val="single" w:sz="8" w:space="0" w:color="C7C9C7"/>
              <w:left w:val="nil"/>
              <w:bottom w:val="single" w:sz="8" w:space="0" w:color="C7C9C7"/>
              <w:right w:val="nil"/>
            </w:tcBorders>
            <w:shd w:val="clear" w:color="auto" w:fill="F4F4F4"/>
            <w:tcMar>
              <w:top w:w="0" w:type="dxa"/>
              <w:left w:w="53" w:type="dxa"/>
              <w:bottom w:w="0" w:type="dxa"/>
              <w:right w:w="0" w:type="dxa"/>
            </w:tcMar>
            <w:vAlign w:val="bottom"/>
          </w:tcPr>
          <w:p w14:paraId="302227E8" w14:textId="77777777" w:rsidR="001614AC" w:rsidRDefault="004468F9">
            <w:pPr>
              <w:keepNext/>
              <w:spacing w:before="55" w:after="30" w:line="288" w:lineRule="auto"/>
              <w:jc w:val="right"/>
            </w:pPr>
            <w:r>
              <w:rPr>
                <w:rFonts w:ascii="Arial" w:eastAsia="Arial" w:hAnsi="Arial" w:cs="Arial"/>
                <w:color w:val="000000"/>
                <w:sz w:val="18"/>
              </w:rPr>
              <w:t>274,669 </w:t>
            </w:r>
          </w:p>
        </w:tc>
        <w:tc>
          <w:tcPr>
            <w:tcW w:w="100" w:type="dxa"/>
            <w:tcBorders>
              <w:top w:val="single" w:sz="8" w:space="0" w:color="C7C9C7"/>
              <w:left w:val="nil"/>
              <w:bottom w:val="single" w:sz="8" w:space="0" w:color="C7C9C7"/>
              <w:right w:val="nil"/>
            </w:tcBorders>
            <w:shd w:val="clear" w:color="auto" w:fill="F4F4F4"/>
            <w:tcMar>
              <w:top w:w="0" w:type="dxa"/>
              <w:left w:w="0" w:type="dxa"/>
              <w:bottom w:w="0" w:type="dxa"/>
              <w:right w:w="15" w:type="dxa"/>
            </w:tcMar>
            <w:vAlign w:val="bottom"/>
          </w:tcPr>
          <w:p w14:paraId="2961CDFE" w14:textId="77777777" w:rsidR="001614AC" w:rsidRDefault="001614AC">
            <w:pPr>
              <w:keepNext/>
              <w:spacing w:before="55" w:after="30" w:line="288" w:lineRule="auto"/>
              <w:jc w:val="right"/>
            </w:pPr>
          </w:p>
        </w:tc>
        <w:tc>
          <w:tcPr>
            <w:tcW w:w="105" w:type="dxa"/>
            <w:tcBorders>
              <w:top w:val="single" w:sz="8" w:space="0" w:color="FFFFFF"/>
              <w:left w:val="nil"/>
              <w:bottom w:val="single" w:sz="8" w:space="0" w:color="FFFFFF"/>
              <w:right w:val="nil"/>
            </w:tcBorders>
            <w:shd w:val="clear" w:color="auto" w:fill="F4F4F4"/>
            <w:tcMar>
              <w:top w:w="0" w:type="dxa"/>
              <w:left w:w="0" w:type="dxa"/>
              <w:bottom w:w="0" w:type="dxa"/>
              <w:right w:w="0" w:type="dxa"/>
            </w:tcMar>
            <w:vAlign w:val="bottom"/>
          </w:tcPr>
          <w:p w14:paraId="28285387" w14:textId="77777777" w:rsidR="001614AC" w:rsidRDefault="001614AC">
            <w:pPr>
              <w:keepNext/>
            </w:pPr>
          </w:p>
        </w:tc>
        <w:tc>
          <w:tcPr>
            <w:tcW w:w="905" w:type="dxa"/>
            <w:gridSpan w:val="2"/>
            <w:tcBorders>
              <w:top w:val="single" w:sz="8" w:space="0" w:color="C7C9C7"/>
              <w:left w:val="nil"/>
              <w:bottom w:val="single" w:sz="8" w:space="0" w:color="C7C9C7"/>
              <w:right w:val="nil"/>
            </w:tcBorders>
            <w:shd w:val="clear" w:color="auto" w:fill="F4F4F4"/>
            <w:tcMar>
              <w:top w:w="0" w:type="dxa"/>
              <w:left w:w="53" w:type="dxa"/>
              <w:bottom w:w="0" w:type="dxa"/>
              <w:right w:w="0" w:type="dxa"/>
            </w:tcMar>
            <w:vAlign w:val="bottom"/>
          </w:tcPr>
          <w:p w14:paraId="2E193C1C" w14:textId="77777777" w:rsidR="001614AC" w:rsidRDefault="004468F9">
            <w:pPr>
              <w:keepNext/>
              <w:spacing w:before="55" w:after="30" w:line="288" w:lineRule="auto"/>
              <w:jc w:val="right"/>
            </w:pPr>
            <w:r>
              <w:rPr>
                <w:rFonts w:ascii="Arial" w:eastAsia="Arial" w:hAnsi="Arial" w:cs="Arial"/>
                <w:color w:val="000000"/>
                <w:sz w:val="18"/>
              </w:rPr>
              <w:t>313,491 </w:t>
            </w:r>
          </w:p>
        </w:tc>
        <w:tc>
          <w:tcPr>
            <w:tcW w:w="100" w:type="dxa"/>
            <w:tcBorders>
              <w:top w:val="single" w:sz="8" w:space="0" w:color="C7C9C7"/>
              <w:left w:val="nil"/>
              <w:bottom w:val="single" w:sz="8" w:space="0" w:color="C7C9C7"/>
              <w:right w:val="nil"/>
            </w:tcBorders>
            <w:shd w:val="clear" w:color="auto" w:fill="F4F4F4"/>
            <w:tcMar>
              <w:top w:w="0" w:type="dxa"/>
              <w:left w:w="0" w:type="dxa"/>
              <w:bottom w:w="0" w:type="dxa"/>
              <w:right w:w="15" w:type="dxa"/>
            </w:tcMar>
            <w:vAlign w:val="bottom"/>
          </w:tcPr>
          <w:p w14:paraId="1923BE63" w14:textId="77777777" w:rsidR="001614AC" w:rsidRDefault="001614AC">
            <w:pPr>
              <w:keepNext/>
              <w:spacing w:before="55" w:after="30" w:line="288" w:lineRule="auto"/>
              <w:jc w:val="right"/>
            </w:pPr>
          </w:p>
        </w:tc>
        <w:tc>
          <w:tcPr>
            <w:tcW w:w="105" w:type="dxa"/>
            <w:tcBorders>
              <w:top w:val="single" w:sz="8" w:space="0" w:color="FFFFFF"/>
              <w:left w:val="nil"/>
              <w:bottom w:val="single" w:sz="8" w:space="0" w:color="FFFFFF"/>
              <w:right w:val="nil"/>
            </w:tcBorders>
            <w:shd w:val="clear" w:color="auto" w:fill="F4F4F4"/>
            <w:tcMar>
              <w:top w:w="0" w:type="dxa"/>
              <w:left w:w="0" w:type="dxa"/>
              <w:bottom w:w="0" w:type="dxa"/>
              <w:right w:w="0" w:type="dxa"/>
            </w:tcMar>
            <w:vAlign w:val="bottom"/>
          </w:tcPr>
          <w:p w14:paraId="0B4BA8FF" w14:textId="77777777" w:rsidR="001614AC" w:rsidRDefault="001614AC">
            <w:pPr>
              <w:keepNext/>
            </w:pPr>
          </w:p>
        </w:tc>
        <w:tc>
          <w:tcPr>
            <w:tcW w:w="905" w:type="dxa"/>
            <w:gridSpan w:val="2"/>
            <w:tcBorders>
              <w:top w:val="single" w:sz="8" w:space="0" w:color="C7C9C7"/>
              <w:left w:val="nil"/>
              <w:bottom w:val="single" w:sz="8" w:space="0" w:color="C7C9C7"/>
              <w:right w:val="nil"/>
            </w:tcBorders>
            <w:shd w:val="clear" w:color="auto" w:fill="F4F4F4"/>
            <w:tcMar>
              <w:top w:w="0" w:type="dxa"/>
              <w:left w:w="53" w:type="dxa"/>
              <w:bottom w:w="0" w:type="dxa"/>
              <w:right w:w="0" w:type="dxa"/>
            </w:tcMar>
            <w:vAlign w:val="bottom"/>
          </w:tcPr>
          <w:p w14:paraId="709EE79F" w14:textId="77777777" w:rsidR="001614AC" w:rsidRDefault="004468F9">
            <w:pPr>
              <w:keepNext/>
              <w:spacing w:before="55" w:after="30" w:line="288" w:lineRule="auto"/>
              <w:jc w:val="right"/>
            </w:pPr>
            <w:r>
              <w:rPr>
                <w:rFonts w:ascii="Arial" w:eastAsia="Arial" w:hAnsi="Arial" w:cs="Arial"/>
                <w:color w:val="000000"/>
                <w:sz w:val="18"/>
              </w:rPr>
              <w:t>570,084 </w:t>
            </w:r>
          </w:p>
        </w:tc>
        <w:tc>
          <w:tcPr>
            <w:tcW w:w="100" w:type="dxa"/>
            <w:tcBorders>
              <w:top w:val="single" w:sz="8" w:space="0" w:color="C7C9C7"/>
              <w:left w:val="nil"/>
              <w:bottom w:val="single" w:sz="8" w:space="0" w:color="C7C9C7"/>
              <w:right w:val="nil"/>
            </w:tcBorders>
            <w:shd w:val="clear" w:color="auto" w:fill="F4F4F4"/>
            <w:tcMar>
              <w:top w:w="0" w:type="dxa"/>
              <w:left w:w="0" w:type="dxa"/>
              <w:bottom w:w="0" w:type="dxa"/>
              <w:right w:w="15" w:type="dxa"/>
            </w:tcMar>
            <w:vAlign w:val="bottom"/>
          </w:tcPr>
          <w:p w14:paraId="1B28A651" w14:textId="77777777" w:rsidR="001614AC" w:rsidRDefault="001614AC">
            <w:pPr>
              <w:keepNext/>
              <w:spacing w:before="55" w:after="30" w:line="288" w:lineRule="auto"/>
              <w:jc w:val="right"/>
            </w:pPr>
          </w:p>
        </w:tc>
        <w:tc>
          <w:tcPr>
            <w:tcW w:w="105" w:type="dxa"/>
            <w:tcBorders>
              <w:top w:val="single" w:sz="8" w:space="0" w:color="FFFFFF"/>
              <w:left w:val="nil"/>
              <w:bottom w:val="single" w:sz="8" w:space="0" w:color="FFFFFF"/>
              <w:right w:val="nil"/>
            </w:tcBorders>
            <w:shd w:val="clear" w:color="auto" w:fill="F4F4F4"/>
            <w:tcMar>
              <w:top w:w="0" w:type="dxa"/>
              <w:left w:w="0" w:type="dxa"/>
              <w:bottom w:w="0" w:type="dxa"/>
              <w:right w:w="0" w:type="dxa"/>
            </w:tcMar>
            <w:vAlign w:val="bottom"/>
          </w:tcPr>
          <w:p w14:paraId="0181261B" w14:textId="77777777" w:rsidR="001614AC" w:rsidRDefault="001614AC">
            <w:pPr>
              <w:keepNext/>
            </w:pPr>
          </w:p>
        </w:tc>
        <w:tc>
          <w:tcPr>
            <w:tcW w:w="905" w:type="dxa"/>
            <w:gridSpan w:val="2"/>
            <w:tcBorders>
              <w:top w:val="single" w:sz="8" w:space="0" w:color="C7C9C7"/>
              <w:left w:val="nil"/>
              <w:bottom w:val="single" w:sz="8" w:space="0" w:color="C7C9C7"/>
              <w:right w:val="nil"/>
            </w:tcBorders>
            <w:shd w:val="clear" w:color="auto" w:fill="F4F4F4"/>
            <w:tcMar>
              <w:top w:w="0" w:type="dxa"/>
              <w:left w:w="53" w:type="dxa"/>
              <w:bottom w:w="0" w:type="dxa"/>
              <w:right w:w="0" w:type="dxa"/>
            </w:tcMar>
            <w:vAlign w:val="bottom"/>
          </w:tcPr>
          <w:p w14:paraId="529F8185" w14:textId="77777777" w:rsidR="001614AC" w:rsidRDefault="004468F9">
            <w:pPr>
              <w:keepNext/>
              <w:spacing w:before="55" w:after="30" w:line="288" w:lineRule="auto"/>
              <w:jc w:val="right"/>
            </w:pPr>
            <w:r>
              <w:rPr>
                <w:rFonts w:ascii="Arial" w:eastAsia="Arial" w:hAnsi="Arial" w:cs="Arial"/>
                <w:color w:val="000000"/>
                <w:sz w:val="18"/>
              </w:rPr>
              <w:t>612,271 </w:t>
            </w:r>
          </w:p>
        </w:tc>
        <w:tc>
          <w:tcPr>
            <w:tcW w:w="100" w:type="dxa"/>
            <w:tcBorders>
              <w:top w:val="single" w:sz="8" w:space="0" w:color="C7C9C7"/>
              <w:left w:val="nil"/>
              <w:bottom w:val="single" w:sz="8" w:space="0" w:color="C7C9C7"/>
              <w:right w:val="nil"/>
            </w:tcBorders>
            <w:shd w:val="clear" w:color="auto" w:fill="F4F4F4"/>
            <w:tcMar>
              <w:top w:w="0" w:type="dxa"/>
              <w:left w:w="0" w:type="dxa"/>
              <w:bottom w:w="0" w:type="dxa"/>
              <w:right w:w="15" w:type="dxa"/>
            </w:tcMar>
            <w:vAlign w:val="bottom"/>
          </w:tcPr>
          <w:p w14:paraId="4C38AF7F" w14:textId="77777777" w:rsidR="001614AC" w:rsidRDefault="001614AC">
            <w:pPr>
              <w:keepNext/>
              <w:spacing w:before="55" w:after="30" w:line="288" w:lineRule="auto"/>
              <w:jc w:val="right"/>
            </w:pPr>
          </w:p>
        </w:tc>
      </w:tr>
      <w:tr w:rsidR="001614AC" w14:paraId="2F04A595" w14:textId="77777777">
        <w:trPr>
          <w:cantSplit/>
        </w:trPr>
        <w:tc>
          <w:tcPr>
            <w:tcW w:w="5640" w:type="dxa"/>
            <w:tcBorders>
              <w:top w:val="single" w:sz="8" w:space="0" w:color="FFFFFF"/>
              <w:left w:val="nil"/>
              <w:bottom w:val="single" w:sz="8" w:space="0" w:color="E9E9E9"/>
              <w:right w:val="nil"/>
            </w:tcBorders>
            <w:tcMar>
              <w:top w:w="0" w:type="dxa"/>
              <w:left w:w="53" w:type="dxa"/>
              <w:bottom w:w="0" w:type="dxa"/>
              <w:right w:w="53" w:type="dxa"/>
            </w:tcMar>
            <w:vAlign w:val="bottom"/>
          </w:tcPr>
          <w:p w14:paraId="74C1A267" w14:textId="77777777" w:rsidR="001614AC" w:rsidRDefault="004468F9">
            <w:pPr>
              <w:keepNext/>
              <w:spacing w:before="55" w:after="30" w:line="288" w:lineRule="auto"/>
              <w:rPr>
                <w:rFonts w:ascii="Arial" w:eastAsia="Arial" w:hAnsi="Arial" w:cs="Arial"/>
                <w:sz w:val="18"/>
              </w:rPr>
            </w:pPr>
            <w:r>
              <w:rPr>
                <w:rFonts w:ascii="Arial" w:eastAsia="Arial" w:hAnsi="Arial" w:cs="Arial"/>
                <w:sz w:val="18"/>
              </w:rPr>
              <w:t xml:space="preserve">Assumed </w:t>
            </w:r>
            <w:r>
              <w:rPr>
                <w:rFonts w:ascii="Arial" w:eastAsia="Arial" w:hAnsi="Arial" w:cs="Arial"/>
                <w:sz w:val="18"/>
                <w:vertAlign w:val="superscript"/>
              </w:rPr>
              <w:t xml:space="preserve">(1) </w:t>
            </w:r>
          </w:p>
        </w:tc>
        <w:tc>
          <w:tcPr>
            <w:tcW w:w="105" w:type="dxa"/>
            <w:tcBorders>
              <w:top w:val="single" w:sz="8" w:space="0" w:color="FFFFFF"/>
              <w:left w:val="nil"/>
              <w:bottom w:val="nil"/>
              <w:right w:val="nil"/>
            </w:tcBorders>
            <w:tcMar>
              <w:top w:w="0" w:type="dxa"/>
              <w:left w:w="0" w:type="dxa"/>
              <w:bottom w:w="0" w:type="dxa"/>
              <w:right w:w="0" w:type="dxa"/>
            </w:tcMar>
            <w:vAlign w:val="bottom"/>
          </w:tcPr>
          <w:p w14:paraId="43803AA2" w14:textId="77777777" w:rsidR="001614AC" w:rsidRDefault="001614AC">
            <w:pPr>
              <w:keepNext/>
            </w:pPr>
          </w:p>
        </w:tc>
        <w:tc>
          <w:tcPr>
            <w:tcW w:w="905" w:type="dxa"/>
            <w:gridSpan w:val="2"/>
            <w:tcBorders>
              <w:top w:val="single" w:sz="8" w:space="0" w:color="C7C9C7"/>
              <w:left w:val="nil"/>
              <w:bottom w:val="single" w:sz="8" w:space="0" w:color="C7C9C7"/>
              <w:right w:val="nil"/>
            </w:tcBorders>
            <w:tcMar>
              <w:top w:w="0" w:type="dxa"/>
              <w:left w:w="53" w:type="dxa"/>
              <w:bottom w:w="0" w:type="dxa"/>
              <w:right w:w="0" w:type="dxa"/>
            </w:tcMar>
            <w:vAlign w:val="bottom"/>
          </w:tcPr>
          <w:p w14:paraId="29564460" w14:textId="77777777" w:rsidR="001614AC" w:rsidRDefault="004468F9">
            <w:pPr>
              <w:keepNext/>
              <w:spacing w:before="55" w:after="30" w:line="288" w:lineRule="auto"/>
              <w:jc w:val="right"/>
            </w:pPr>
            <w:r>
              <w:rPr>
                <w:rFonts w:ascii="Arial" w:eastAsia="Arial" w:hAnsi="Arial" w:cs="Arial"/>
                <w:color w:val="000000"/>
                <w:sz w:val="18"/>
              </w:rPr>
              <w:t>1,615 </w:t>
            </w:r>
          </w:p>
        </w:tc>
        <w:tc>
          <w:tcPr>
            <w:tcW w:w="100" w:type="dxa"/>
            <w:tcBorders>
              <w:top w:val="single" w:sz="8" w:space="0" w:color="C7C9C7"/>
              <w:left w:val="nil"/>
              <w:bottom w:val="single" w:sz="8" w:space="0" w:color="C7C9C7"/>
              <w:right w:val="nil"/>
            </w:tcBorders>
            <w:tcMar>
              <w:top w:w="0" w:type="dxa"/>
              <w:left w:w="0" w:type="dxa"/>
              <w:bottom w:w="0" w:type="dxa"/>
              <w:right w:w="15" w:type="dxa"/>
            </w:tcMar>
            <w:vAlign w:val="bottom"/>
          </w:tcPr>
          <w:p w14:paraId="6D89E373" w14:textId="77777777" w:rsidR="001614AC" w:rsidRDefault="001614AC">
            <w:pPr>
              <w:keepNext/>
              <w:spacing w:before="55" w:after="30" w:line="288" w:lineRule="auto"/>
              <w:jc w:val="right"/>
            </w:pPr>
          </w:p>
        </w:tc>
        <w:tc>
          <w:tcPr>
            <w:tcW w:w="105" w:type="dxa"/>
            <w:tcBorders>
              <w:top w:val="single" w:sz="8" w:space="0" w:color="FFFFFF"/>
              <w:left w:val="nil"/>
              <w:bottom w:val="nil"/>
              <w:right w:val="nil"/>
            </w:tcBorders>
            <w:tcMar>
              <w:top w:w="0" w:type="dxa"/>
              <w:left w:w="0" w:type="dxa"/>
              <w:bottom w:w="0" w:type="dxa"/>
              <w:right w:w="0" w:type="dxa"/>
            </w:tcMar>
            <w:vAlign w:val="bottom"/>
          </w:tcPr>
          <w:p w14:paraId="5DE7A50B" w14:textId="77777777" w:rsidR="001614AC" w:rsidRDefault="001614AC">
            <w:pPr>
              <w:keepNext/>
            </w:pPr>
          </w:p>
        </w:tc>
        <w:tc>
          <w:tcPr>
            <w:tcW w:w="905" w:type="dxa"/>
            <w:gridSpan w:val="2"/>
            <w:tcBorders>
              <w:top w:val="single" w:sz="8" w:space="0" w:color="C7C9C7"/>
              <w:left w:val="nil"/>
              <w:bottom w:val="single" w:sz="8" w:space="0" w:color="C7C9C7"/>
              <w:right w:val="nil"/>
            </w:tcBorders>
            <w:tcMar>
              <w:top w:w="0" w:type="dxa"/>
              <w:left w:w="53" w:type="dxa"/>
              <w:bottom w:w="0" w:type="dxa"/>
              <w:right w:w="0" w:type="dxa"/>
            </w:tcMar>
            <w:vAlign w:val="bottom"/>
          </w:tcPr>
          <w:p w14:paraId="1AB370FD" w14:textId="77777777" w:rsidR="001614AC" w:rsidRDefault="004468F9">
            <w:pPr>
              <w:keepNext/>
              <w:spacing w:before="55" w:after="30" w:line="288" w:lineRule="auto"/>
              <w:jc w:val="right"/>
            </w:pPr>
            <w:r>
              <w:rPr>
                <w:rFonts w:ascii="Arial" w:eastAsia="Arial" w:hAnsi="Arial" w:cs="Arial"/>
                <w:color w:val="000000"/>
                <w:sz w:val="18"/>
              </w:rPr>
              <w:t>3,197 </w:t>
            </w:r>
          </w:p>
        </w:tc>
        <w:tc>
          <w:tcPr>
            <w:tcW w:w="100" w:type="dxa"/>
            <w:tcBorders>
              <w:top w:val="single" w:sz="8" w:space="0" w:color="C7C9C7"/>
              <w:left w:val="nil"/>
              <w:bottom w:val="single" w:sz="8" w:space="0" w:color="C7C9C7"/>
              <w:right w:val="nil"/>
            </w:tcBorders>
            <w:tcMar>
              <w:top w:w="0" w:type="dxa"/>
              <w:left w:w="0" w:type="dxa"/>
              <w:bottom w:w="0" w:type="dxa"/>
              <w:right w:w="15" w:type="dxa"/>
            </w:tcMar>
            <w:vAlign w:val="bottom"/>
          </w:tcPr>
          <w:p w14:paraId="71025327" w14:textId="77777777" w:rsidR="001614AC" w:rsidRDefault="001614AC">
            <w:pPr>
              <w:keepNext/>
              <w:spacing w:before="55" w:after="30" w:line="288" w:lineRule="auto"/>
              <w:jc w:val="right"/>
            </w:pPr>
          </w:p>
        </w:tc>
        <w:tc>
          <w:tcPr>
            <w:tcW w:w="105" w:type="dxa"/>
            <w:tcBorders>
              <w:top w:val="single" w:sz="8" w:space="0" w:color="FFFFFF"/>
              <w:left w:val="nil"/>
              <w:bottom w:val="single" w:sz="8" w:space="0" w:color="FFFFFF"/>
              <w:right w:val="nil"/>
            </w:tcBorders>
            <w:tcMar>
              <w:top w:w="0" w:type="dxa"/>
              <w:left w:w="0" w:type="dxa"/>
              <w:bottom w:w="0" w:type="dxa"/>
              <w:right w:w="0" w:type="dxa"/>
            </w:tcMar>
            <w:vAlign w:val="bottom"/>
          </w:tcPr>
          <w:p w14:paraId="013CF6AF" w14:textId="77777777" w:rsidR="001614AC" w:rsidRDefault="001614AC">
            <w:pPr>
              <w:keepNext/>
            </w:pPr>
          </w:p>
        </w:tc>
        <w:tc>
          <w:tcPr>
            <w:tcW w:w="905" w:type="dxa"/>
            <w:gridSpan w:val="2"/>
            <w:tcBorders>
              <w:top w:val="single" w:sz="8" w:space="0" w:color="C7C9C7"/>
              <w:left w:val="nil"/>
              <w:bottom w:val="single" w:sz="8" w:space="0" w:color="C7C9C7"/>
              <w:right w:val="nil"/>
            </w:tcBorders>
            <w:tcMar>
              <w:top w:w="0" w:type="dxa"/>
              <w:left w:w="53" w:type="dxa"/>
              <w:bottom w:w="0" w:type="dxa"/>
              <w:right w:w="0" w:type="dxa"/>
            </w:tcMar>
            <w:vAlign w:val="bottom"/>
          </w:tcPr>
          <w:p w14:paraId="1AD04043" w14:textId="77777777" w:rsidR="001614AC" w:rsidRDefault="004468F9">
            <w:pPr>
              <w:keepNext/>
              <w:spacing w:before="55" w:after="30" w:line="288" w:lineRule="auto"/>
              <w:jc w:val="right"/>
            </w:pPr>
            <w:r>
              <w:rPr>
                <w:rFonts w:ascii="Arial" w:eastAsia="Arial" w:hAnsi="Arial" w:cs="Arial"/>
                <w:color w:val="000000"/>
                <w:sz w:val="18"/>
              </w:rPr>
              <w:t>3,913 </w:t>
            </w:r>
          </w:p>
        </w:tc>
        <w:tc>
          <w:tcPr>
            <w:tcW w:w="100" w:type="dxa"/>
            <w:tcBorders>
              <w:top w:val="single" w:sz="8" w:space="0" w:color="C7C9C7"/>
              <w:left w:val="nil"/>
              <w:bottom w:val="single" w:sz="8" w:space="0" w:color="C7C9C7"/>
              <w:right w:val="nil"/>
            </w:tcBorders>
            <w:tcMar>
              <w:top w:w="0" w:type="dxa"/>
              <w:left w:w="0" w:type="dxa"/>
              <w:bottom w:w="0" w:type="dxa"/>
              <w:right w:w="15" w:type="dxa"/>
            </w:tcMar>
            <w:vAlign w:val="bottom"/>
          </w:tcPr>
          <w:p w14:paraId="423E1605" w14:textId="77777777" w:rsidR="001614AC" w:rsidRDefault="001614AC">
            <w:pPr>
              <w:keepNext/>
              <w:spacing w:before="55" w:after="30" w:line="288" w:lineRule="auto"/>
              <w:jc w:val="right"/>
            </w:pPr>
          </w:p>
        </w:tc>
        <w:tc>
          <w:tcPr>
            <w:tcW w:w="105" w:type="dxa"/>
            <w:tcBorders>
              <w:top w:val="single" w:sz="8" w:space="0" w:color="FFFFFF"/>
              <w:left w:val="nil"/>
              <w:bottom w:val="nil"/>
              <w:right w:val="nil"/>
            </w:tcBorders>
            <w:tcMar>
              <w:top w:w="0" w:type="dxa"/>
              <w:left w:w="0" w:type="dxa"/>
              <w:bottom w:w="0" w:type="dxa"/>
              <w:right w:w="0" w:type="dxa"/>
            </w:tcMar>
            <w:vAlign w:val="bottom"/>
          </w:tcPr>
          <w:p w14:paraId="62DF8E53" w14:textId="77777777" w:rsidR="001614AC" w:rsidRDefault="001614AC">
            <w:pPr>
              <w:keepNext/>
            </w:pPr>
          </w:p>
        </w:tc>
        <w:tc>
          <w:tcPr>
            <w:tcW w:w="905" w:type="dxa"/>
            <w:gridSpan w:val="2"/>
            <w:tcBorders>
              <w:top w:val="single" w:sz="8" w:space="0" w:color="C7C9C7"/>
              <w:left w:val="nil"/>
              <w:bottom w:val="single" w:sz="8" w:space="0" w:color="C7C9C7"/>
              <w:right w:val="nil"/>
            </w:tcBorders>
            <w:tcMar>
              <w:top w:w="0" w:type="dxa"/>
              <w:left w:w="53" w:type="dxa"/>
              <w:bottom w:w="0" w:type="dxa"/>
              <w:right w:w="0" w:type="dxa"/>
            </w:tcMar>
            <w:vAlign w:val="bottom"/>
          </w:tcPr>
          <w:p w14:paraId="3563F9D8" w14:textId="77777777" w:rsidR="001614AC" w:rsidRDefault="004468F9">
            <w:pPr>
              <w:keepNext/>
              <w:spacing w:before="55" w:after="30" w:line="288" w:lineRule="auto"/>
              <w:jc w:val="right"/>
            </w:pPr>
            <w:r>
              <w:rPr>
                <w:rFonts w:ascii="Arial" w:eastAsia="Arial" w:hAnsi="Arial" w:cs="Arial"/>
                <w:color w:val="000000"/>
                <w:sz w:val="18"/>
              </w:rPr>
              <w:t>6,653 </w:t>
            </w:r>
          </w:p>
        </w:tc>
        <w:tc>
          <w:tcPr>
            <w:tcW w:w="100" w:type="dxa"/>
            <w:tcBorders>
              <w:top w:val="single" w:sz="8" w:space="0" w:color="C7C9C7"/>
              <w:left w:val="nil"/>
              <w:bottom w:val="single" w:sz="8" w:space="0" w:color="C7C9C7"/>
              <w:right w:val="nil"/>
            </w:tcBorders>
            <w:tcMar>
              <w:top w:w="0" w:type="dxa"/>
              <w:left w:w="0" w:type="dxa"/>
              <w:bottom w:w="0" w:type="dxa"/>
              <w:right w:w="15" w:type="dxa"/>
            </w:tcMar>
            <w:vAlign w:val="bottom"/>
          </w:tcPr>
          <w:p w14:paraId="57749854" w14:textId="77777777" w:rsidR="001614AC" w:rsidRDefault="001614AC">
            <w:pPr>
              <w:keepNext/>
              <w:spacing w:before="55" w:after="30" w:line="288" w:lineRule="auto"/>
              <w:jc w:val="right"/>
            </w:pPr>
          </w:p>
        </w:tc>
      </w:tr>
      <w:tr w:rsidR="001614AC" w14:paraId="7AC361D1" w14:textId="77777777">
        <w:trPr>
          <w:cantSplit/>
        </w:trPr>
        <w:tc>
          <w:tcPr>
            <w:tcW w:w="5640" w:type="dxa"/>
            <w:tcBorders>
              <w:top w:val="single" w:sz="8" w:space="0" w:color="E9E9E9"/>
              <w:left w:val="nil"/>
              <w:bottom w:val="single" w:sz="8" w:space="0" w:color="E9E9E9"/>
              <w:right w:val="nil"/>
            </w:tcBorders>
            <w:tcMar>
              <w:top w:w="0" w:type="dxa"/>
              <w:left w:w="53" w:type="dxa"/>
              <w:bottom w:w="0" w:type="dxa"/>
              <w:right w:w="53" w:type="dxa"/>
            </w:tcMar>
            <w:vAlign w:val="bottom"/>
          </w:tcPr>
          <w:p w14:paraId="60512184" w14:textId="77777777" w:rsidR="001614AC" w:rsidRDefault="004468F9">
            <w:pPr>
              <w:keepNext/>
              <w:spacing w:before="55" w:after="30" w:line="288" w:lineRule="auto"/>
            </w:pPr>
            <w:r>
              <w:rPr>
                <w:rFonts w:ascii="Arial" w:eastAsia="Arial" w:hAnsi="Arial" w:cs="Arial"/>
                <w:color w:val="000000"/>
                <w:sz w:val="18"/>
              </w:rPr>
              <w:t>Ceded</w:t>
            </w:r>
          </w:p>
        </w:tc>
        <w:tc>
          <w:tcPr>
            <w:tcW w:w="105" w:type="dxa"/>
            <w:tcBorders>
              <w:top w:val="nil"/>
              <w:left w:val="nil"/>
              <w:bottom w:val="nil"/>
              <w:right w:val="nil"/>
            </w:tcBorders>
            <w:tcMar>
              <w:top w:w="0" w:type="dxa"/>
              <w:left w:w="0" w:type="dxa"/>
              <w:bottom w:w="0" w:type="dxa"/>
              <w:right w:w="0" w:type="dxa"/>
            </w:tcMar>
            <w:vAlign w:val="bottom"/>
          </w:tcPr>
          <w:p w14:paraId="237F9D5F" w14:textId="77777777" w:rsidR="001614AC" w:rsidRDefault="001614AC">
            <w:pPr>
              <w:keepNext/>
            </w:pPr>
          </w:p>
        </w:tc>
        <w:tc>
          <w:tcPr>
            <w:tcW w:w="1005" w:type="dxa"/>
            <w:gridSpan w:val="3"/>
            <w:tcBorders>
              <w:top w:val="single" w:sz="8" w:space="0" w:color="C7C9C7"/>
              <w:left w:val="nil"/>
              <w:bottom w:val="single" w:sz="8" w:space="0" w:color="E9E9E9"/>
              <w:right w:val="nil"/>
            </w:tcBorders>
            <w:tcMar>
              <w:top w:w="0" w:type="dxa"/>
              <w:left w:w="0" w:type="dxa"/>
              <w:bottom w:w="0" w:type="dxa"/>
              <w:right w:w="0" w:type="dxa"/>
            </w:tcMar>
            <w:vAlign w:val="bottom"/>
          </w:tcPr>
          <w:p w14:paraId="71C505DF" w14:textId="77777777" w:rsidR="001614AC" w:rsidRDefault="001614AC">
            <w:pPr>
              <w:keepNext/>
            </w:pPr>
          </w:p>
        </w:tc>
        <w:tc>
          <w:tcPr>
            <w:tcW w:w="105" w:type="dxa"/>
            <w:tcBorders>
              <w:top w:val="nil"/>
              <w:left w:val="nil"/>
              <w:bottom w:val="nil"/>
              <w:right w:val="nil"/>
            </w:tcBorders>
            <w:tcMar>
              <w:top w:w="0" w:type="dxa"/>
              <w:left w:w="0" w:type="dxa"/>
              <w:bottom w:w="0" w:type="dxa"/>
              <w:right w:w="0" w:type="dxa"/>
            </w:tcMar>
            <w:vAlign w:val="bottom"/>
          </w:tcPr>
          <w:p w14:paraId="2E7F3D57" w14:textId="77777777" w:rsidR="001614AC" w:rsidRDefault="001614AC">
            <w:pPr>
              <w:keepNext/>
            </w:pPr>
          </w:p>
        </w:tc>
        <w:tc>
          <w:tcPr>
            <w:tcW w:w="1005" w:type="dxa"/>
            <w:gridSpan w:val="3"/>
            <w:tcBorders>
              <w:top w:val="single" w:sz="8" w:space="0" w:color="C7C9C7"/>
              <w:left w:val="nil"/>
              <w:bottom w:val="single" w:sz="8" w:space="0" w:color="E9E9E9"/>
              <w:right w:val="nil"/>
            </w:tcBorders>
            <w:tcMar>
              <w:top w:w="0" w:type="dxa"/>
              <w:left w:w="0" w:type="dxa"/>
              <w:bottom w:w="0" w:type="dxa"/>
              <w:right w:w="0" w:type="dxa"/>
            </w:tcMar>
            <w:vAlign w:val="bottom"/>
          </w:tcPr>
          <w:p w14:paraId="6260F9DC" w14:textId="77777777" w:rsidR="001614AC" w:rsidRDefault="001614AC">
            <w:pPr>
              <w:keepNext/>
            </w:pPr>
          </w:p>
        </w:tc>
        <w:tc>
          <w:tcPr>
            <w:tcW w:w="105" w:type="dxa"/>
            <w:tcBorders>
              <w:top w:val="single" w:sz="8" w:space="0" w:color="FFFFFF"/>
              <w:left w:val="nil"/>
              <w:bottom w:val="nil"/>
              <w:right w:val="nil"/>
            </w:tcBorders>
            <w:tcMar>
              <w:top w:w="0" w:type="dxa"/>
              <w:left w:w="0" w:type="dxa"/>
              <w:bottom w:w="0" w:type="dxa"/>
              <w:right w:w="0" w:type="dxa"/>
            </w:tcMar>
            <w:vAlign w:val="bottom"/>
          </w:tcPr>
          <w:p w14:paraId="3D5E6329" w14:textId="77777777" w:rsidR="001614AC" w:rsidRDefault="001614AC">
            <w:pPr>
              <w:keepNext/>
            </w:pPr>
          </w:p>
        </w:tc>
        <w:tc>
          <w:tcPr>
            <w:tcW w:w="1005" w:type="dxa"/>
            <w:gridSpan w:val="3"/>
            <w:tcBorders>
              <w:top w:val="single" w:sz="8" w:space="0" w:color="C7C9C7"/>
              <w:left w:val="nil"/>
              <w:bottom w:val="single" w:sz="8" w:space="0" w:color="E9E9E9"/>
              <w:right w:val="nil"/>
            </w:tcBorders>
            <w:tcMar>
              <w:top w:w="0" w:type="dxa"/>
              <w:left w:w="0" w:type="dxa"/>
              <w:bottom w:w="0" w:type="dxa"/>
              <w:right w:w="0" w:type="dxa"/>
            </w:tcMar>
            <w:vAlign w:val="bottom"/>
          </w:tcPr>
          <w:p w14:paraId="690EE77F" w14:textId="77777777" w:rsidR="001614AC" w:rsidRDefault="001614AC">
            <w:pPr>
              <w:keepNext/>
            </w:pPr>
          </w:p>
        </w:tc>
        <w:tc>
          <w:tcPr>
            <w:tcW w:w="105" w:type="dxa"/>
            <w:tcBorders>
              <w:top w:val="nil"/>
              <w:left w:val="nil"/>
              <w:bottom w:val="nil"/>
              <w:right w:val="nil"/>
            </w:tcBorders>
            <w:tcMar>
              <w:top w:w="0" w:type="dxa"/>
              <w:left w:w="0" w:type="dxa"/>
              <w:bottom w:w="0" w:type="dxa"/>
              <w:right w:w="0" w:type="dxa"/>
            </w:tcMar>
            <w:vAlign w:val="bottom"/>
          </w:tcPr>
          <w:p w14:paraId="7BD3D78A" w14:textId="77777777" w:rsidR="001614AC" w:rsidRDefault="001614AC">
            <w:pPr>
              <w:keepNext/>
            </w:pPr>
          </w:p>
        </w:tc>
        <w:tc>
          <w:tcPr>
            <w:tcW w:w="1005" w:type="dxa"/>
            <w:gridSpan w:val="3"/>
            <w:tcBorders>
              <w:top w:val="single" w:sz="8" w:space="0" w:color="C7C9C7"/>
              <w:left w:val="nil"/>
              <w:bottom w:val="single" w:sz="8" w:space="0" w:color="E9E9E9"/>
              <w:right w:val="nil"/>
            </w:tcBorders>
            <w:tcMar>
              <w:top w:w="0" w:type="dxa"/>
              <w:left w:w="0" w:type="dxa"/>
              <w:bottom w:w="0" w:type="dxa"/>
              <w:right w:w="0" w:type="dxa"/>
            </w:tcMar>
            <w:vAlign w:val="bottom"/>
          </w:tcPr>
          <w:p w14:paraId="0900B243" w14:textId="77777777" w:rsidR="001614AC" w:rsidRDefault="001614AC">
            <w:pPr>
              <w:keepNext/>
            </w:pPr>
          </w:p>
        </w:tc>
      </w:tr>
      <w:tr w:rsidR="001614AC" w14:paraId="39B4D419" w14:textId="77777777">
        <w:trPr>
          <w:cantSplit/>
        </w:trPr>
        <w:tc>
          <w:tcPr>
            <w:tcW w:w="5640" w:type="dxa"/>
            <w:tcBorders>
              <w:top w:val="single" w:sz="8" w:space="0" w:color="E9E9E9"/>
              <w:left w:val="nil"/>
              <w:bottom w:val="single" w:sz="8" w:space="0" w:color="E9E9E9"/>
              <w:right w:val="nil"/>
            </w:tcBorders>
            <w:tcMar>
              <w:top w:w="0" w:type="dxa"/>
              <w:left w:w="53" w:type="dxa"/>
              <w:bottom w:w="0" w:type="dxa"/>
              <w:right w:w="53" w:type="dxa"/>
            </w:tcMar>
            <w:vAlign w:val="bottom"/>
          </w:tcPr>
          <w:p w14:paraId="348C98F2" w14:textId="77777777" w:rsidR="001614AC" w:rsidRDefault="004468F9">
            <w:pPr>
              <w:keepNext/>
              <w:spacing w:before="55" w:after="30" w:line="288" w:lineRule="auto"/>
              <w:ind w:left="240"/>
            </w:pPr>
            <w:r>
              <w:rPr>
                <w:rFonts w:ascii="Arial" w:eastAsia="Arial" w:hAnsi="Arial" w:cs="Arial"/>
                <w:color w:val="000000"/>
                <w:sz w:val="18"/>
              </w:rPr>
              <w:t>Premiums earned, excluding revenue from cancellations</w:t>
            </w:r>
          </w:p>
        </w:tc>
        <w:tc>
          <w:tcPr>
            <w:tcW w:w="105" w:type="dxa"/>
            <w:tcBorders>
              <w:top w:val="nil"/>
              <w:left w:val="nil"/>
              <w:bottom w:val="nil"/>
              <w:right w:val="nil"/>
            </w:tcBorders>
            <w:tcMar>
              <w:top w:w="0" w:type="dxa"/>
              <w:left w:w="0" w:type="dxa"/>
              <w:bottom w:w="0" w:type="dxa"/>
              <w:right w:w="0" w:type="dxa"/>
            </w:tcMar>
            <w:vAlign w:val="bottom"/>
          </w:tcPr>
          <w:p w14:paraId="10D445DF" w14:textId="77777777" w:rsidR="001614AC" w:rsidRDefault="001614AC">
            <w:pPr>
              <w:keepNext/>
            </w:pPr>
          </w:p>
        </w:tc>
        <w:tc>
          <w:tcPr>
            <w:tcW w:w="90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3A893A34" w14:textId="77777777" w:rsidR="001614AC" w:rsidRDefault="004468F9">
            <w:pPr>
              <w:keepNext/>
              <w:spacing w:before="55" w:after="30" w:line="288" w:lineRule="auto"/>
              <w:jc w:val="right"/>
            </w:pPr>
            <w:r>
              <w:rPr>
                <w:rFonts w:ascii="Arial" w:eastAsia="Arial" w:hAnsi="Arial" w:cs="Arial"/>
                <w:color w:val="000000"/>
                <w:sz w:val="18"/>
              </w:rPr>
              <w:t>(27,324)</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3D8AAD97" w14:textId="77777777" w:rsidR="001614AC" w:rsidRDefault="001614AC">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0C324563" w14:textId="77777777" w:rsidR="001614AC" w:rsidRDefault="001614AC">
            <w:pPr>
              <w:keepNext/>
            </w:pPr>
          </w:p>
        </w:tc>
        <w:tc>
          <w:tcPr>
            <w:tcW w:w="90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7F9C9E09" w14:textId="77777777" w:rsidR="001614AC" w:rsidRDefault="004468F9">
            <w:pPr>
              <w:keepNext/>
              <w:spacing w:before="55" w:after="30" w:line="288" w:lineRule="auto"/>
              <w:jc w:val="right"/>
            </w:pPr>
            <w:r>
              <w:rPr>
                <w:rFonts w:ascii="Arial" w:eastAsia="Arial" w:hAnsi="Arial" w:cs="Arial"/>
                <w:color w:val="000000"/>
                <w:sz w:val="18"/>
              </w:rPr>
              <w:t>(26,493)</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3667AC84" w14:textId="77777777" w:rsidR="001614AC" w:rsidRDefault="001614AC">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42521780" w14:textId="77777777" w:rsidR="001614AC" w:rsidRDefault="001614AC">
            <w:pPr>
              <w:keepNext/>
            </w:pPr>
          </w:p>
        </w:tc>
        <w:tc>
          <w:tcPr>
            <w:tcW w:w="90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625C5148" w14:textId="77777777" w:rsidR="001614AC" w:rsidRDefault="004468F9">
            <w:pPr>
              <w:keepNext/>
              <w:spacing w:before="55" w:after="30" w:line="288" w:lineRule="auto"/>
              <w:jc w:val="right"/>
            </w:pPr>
            <w:r>
              <w:rPr>
                <w:rFonts w:ascii="Arial" w:eastAsia="Arial" w:hAnsi="Arial" w:cs="Arial"/>
                <w:color w:val="000000"/>
                <w:sz w:val="18"/>
              </w:rPr>
              <w:t>(52,697)</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0AA71173" w14:textId="77777777" w:rsidR="001614AC" w:rsidRDefault="001614AC">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46551788" w14:textId="77777777" w:rsidR="001614AC" w:rsidRDefault="001614AC">
            <w:pPr>
              <w:keepNext/>
            </w:pPr>
          </w:p>
        </w:tc>
        <w:tc>
          <w:tcPr>
            <w:tcW w:w="90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4974A36F" w14:textId="77777777" w:rsidR="001614AC" w:rsidRDefault="004468F9">
            <w:pPr>
              <w:keepNext/>
              <w:spacing w:before="55" w:after="30" w:line="288" w:lineRule="auto"/>
              <w:jc w:val="right"/>
            </w:pPr>
            <w:r>
              <w:rPr>
                <w:rFonts w:ascii="Arial" w:eastAsia="Arial" w:hAnsi="Arial" w:cs="Arial"/>
                <w:color w:val="000000"/>
                <w:sz w:val="18"/>
              </w:rPr>
              <w:t>(55,102)</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1AAEA9CD" w14:textId="77777777" w:rsidR="001614AC" w:rsidRDefault="001614AC">
            <w:pPr>
              <w:keepNext/>
              <w:spacing w:before="55" w:after="30" w:line="288" w:lineRule="auto"/>
              <w:jc w:val="right"/>
            </w:pPr>
          </w:p>
        </w:tc>
      </w:tr>
      <w:tr w:rsidR="001614AC" w14:paraId="43075D43" w14:textId="77777777">
        <w:trPr>
          <w:cantSplit/>
        </w:trPr>
        <w:tc>
          <w:tcPr>
            <w:tcW w:w="5640" w:type="dxa"/>
            <w:tcBorders>
              <w:top w:val="single" w:sz="8" w:space="0" w:color="E9E9E9"/>
              <w:left w:val="nil"/>
              <w:bottom w:val="single" w:sz="8" w:space="0" w:color="E9E9E9"/>
              <w:right w:val="nil"/>
            </w:tcBorders>
            <w:tcMar>
              <w:top w:w="0" w:type="dxa"/>
              <w:left w:w="53" w:type="dxa"/>
              <w:bottom w:w="0" w:type="dxa"/>
              <w:right w:w="53" w:type="dxa"/>
            </w:tcMar>
            <w:vAlign w:val="bottom"/>
          </w:tcPr>
          <w:p w14:paraId="69398684" w14:textId="77777777" w:rsidR="001614AC" w:rsidRDefault="004468F9">
            <w:pPr>
              <w:keepNext/>
              <w:spacing w:before="55" w:after="30" w:line="288" w:lineRule="auto"/>
              <w:ind w:left="240"/>
              <w:rPr>
                <w:rFonts w:ascii="Arial" w:eastAsia="Arial" w:hAnsi="Arial" w:cs="Arial"/>
                <w:sz w:val="18"/>
              </w:rPr>
            </w:pPr>
            <w:r>
              <w:rPr>
                <w:rFonts w:ascii="Arial" w:eastAsia="Arial" w:hAnsi="Arial" w:cs="Arial"/>
                <w:sz w:val="18"/>
              </w:rPr>
              <w:t>Singl</w:t>
            </w:r>
            <w:r>
              <w:rPr>
                <w:rFonts w:ascii="Arial" w:eastAsia="Arial" w:hAnsi="Arial" w:cs="Arial"/>
                <w:sz w:val="18"/>
              </w:rPr>
              <w:t>e Premium Policy cancellations</w:t>
            </w:r>
            <w:r>
              <w:rPr>
                <w:rFonts w:ascii="Arial" w:eastAsia="Arial" w:hAnsi="Arial" w:cs="Arial"/>
                <w:sz w:val="18"/>
                <w:vertAlign w:val="superscript"/>
              </w:rPr>
              <w:t xml:space="preserve"> (2) </w:t>
            </w:r>
          </w:p>
        </w:tc>
        <w:tc>
          <w:tcPr>
            <w:tcW w:w="105" w:type="dxa"/>
            <w:tcBorders>
              <w:top w:val="nil"/>
              <w:left w:val="nil"/>
              <w:bottom w:val="nil"/>
              <w:right w:val="nil"/>
            </w:tcBorders>
            <w:tcMar>
              <w:top w:w="0" w:type="dxa"/>
              <w:left w:w="0" w:type="dxa"/>
              <w:bottom w:w="0" w:type="dxa"/>
              <w:right w:w="0" w:type="dxa"/>
            </w:tcMar>
            <w:vAlign w:val="bottom"/>
          </w:tcPr>
          <w:p w14:paraId="5EEA6213" w14:textId="77777777" w:rsidR="001614AC" w:rsidRDefault="001614AC">
            <w:pPr>
              <w:keepNext/>
            </w:pPr>
          </w:p>
        </w:tc>
        <w:tc>
          <w:tcPr>
            <w:tcW w:w="90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60C150DC" w14:textId="77777777" w:rsidR="001614AC" w:rsidRDefault="004468F9">
            <w:pPr>
              <w:keepNext/>
              <w:spacing w:before="55" w:after="30" w:line="288" w:lineRule="auto"/>
              <w:jc w:val="right"/>
            </w:pPr>
            <w:r>
              <w:rPr>
                <w:rFonts w:ascii="Arial" w:eastAsia="Arial" w:hAnsi="Arial" w:cs="Arial"/>
                <w:color w:val="000000"/>
                <w:sz w:val="18"/>
              </w:rPr>
              <w:t>(9,036)</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7347FF94" w14:textId="77777777" w:rsidR="001614AC" w:rsidRDefault="001614AC">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2C24D40B" w14:textId="77777777" w:rsidR="001614AC" w:rsidRDefault="001614AC">
            <w:pPr>
              <w:keepNext/>
            </w:pPr>
          </w:p>
        </w:tc>
        <w:tc>
          <w:tcPr>
            <w:tcW w:w="90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1BE76677" w14:textId="77777777" w:rsidR="001614AC" w:rsidRDefault="004468F9">
            <w:pPr>
              <w:keepNext/>
              <w:spacing w:before="55" w:after="30" w:line="288" w:lineRule="auto"/>
              <w:jc w:val="right"/>
            </w:pPr>
            <w:r>
              <w:rPr>
                <w:rFonts w:ascii="Arial" w:eastAsia="Arial" w:hAnsi="Arial" w:cs="Arial"/>
                <w:color w:val="000000"/>
                <w:sz w:val="18"/>
              </w:rPr>
              <w:t>(14,424)</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1752AD1D" w14:textId="77777777" w:rsidR="001614AC" w:rsidRDefault="001614AC">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59C7E8C2" w14:textId="77777777" w:rsidR="001614AC" w:rsidRDefault="001614AC">
            <w:pPr>
              <w:keepNext/>
            </w:pPr>
          </w:p>
        </w:tc>
        <w:tc>
          <w:tcPr>
            <w:tcW w:w="90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65392F4B" w14:textId="77777777" w:rsidR="001614AC" w:rsidRDefault="004468F9">
            <w:pPr>
              <w:keepNext/>
              <w:spacing w:before="55" w:after="30" w:line="288" w:lineRule="auto"/>
              <w:jc w:val="right"/>
            </w:pPr>
            <w:r>
              <w:rPr>
                <w:rFonts w:ascii="Arial" w:eastAsia="Arial" w:hAnsi="Arial" w:cs="Arial"/>
                <w:color w:val="000000"/>
                <w:sz w:val="18"/>
              </w:rPr>
              <w:t>(20,145)</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5DD841C3" w14:textId="77777777" w:rsidR="001614AC" w:rsidRDefault="001614AC">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4C5FB6CC" w14:textId="77777777" w:rsidR="001614AC" w:rsidRDefault="001614AC">
            <w:pPr>
              <w:keepNext/>
            </w:pPr>
          </w:p>
        </w:tc>
        <w:tc>
          <w:tcPr>
            <w:tcW w:w="90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0EF48B9A" w14:textId="77777777" w:rsidR="001614AC" w:rsidRDefault="004468F9">
            <w:pPr>
              <w:keepNext/>
              <w:spacing w:before="55" w:after="30" w:line="288" w:lineRule="auto"/>
              <w:jc w:val="right"/>
            </w:pPr>
            <w:r>
              <w:rPr>
                <w:rFonts w:ascii="Arial" w:eastAsia="Arial" w:hAnsi="Arial" w:cs="Arial"/>
                <w:color w:val="000000"/>
                <w:sz w:val="18"/>
              </w:rPr>
              <w:t>(21,607)</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569C3E1A" w14:textId="77777777" w:rsidR="001614AC" w:rsidRDefault="001614AC">
            <w:pPr>
              <w:keepNext/>
              <w:spacing w:before="55" w:after="30" w:line="288" w:lineRule="auto"/>
              <w:jc w:val="right"/>
            </w:pPr>
          </w:p>
        </w:tc>
      </w:tr>
      <w:tr w:rsidR="001614AC" w14:paraId="06915CFC" w14:textId="77777777">
        <w:trPr>
          <w:cantSplit/>
        </w:trPr>
        <w:tc>
          <w:tcPr>
            <w:tcW w:w="5640" w:type="dxa"/>
            <w:tcBorders>
              <w:top w:val="single" w:sz="8" w:space="0" w:color="E9E9E9"/>
              <w:left w:val="nil"/>
              <w:bottom w:val="single" w:sz="8" w:space="0" w:color="FFFFFF"/>
              <w:right w:val="nil"/>
            </w:tcBorders>
            <w:tcMar>
              <w:top w:w="0" w:type="dxa"/>
              <w:left w:w="53" w:type="dxa"/>
              <w:bottom w:w="0" w:type="dxa"/>
              <w:right w:w="53" w:type="dxa"/>
            </w:tcMar>
            <w:vAlign w:val="bottom"/>
          </w:tcPr>
          <w:p w14:paraId="0C91A9D0" w14:textId="77777777" w:rsidR="001614AC" w:rsidRDefault="004468F9">
            <w:pPr>
              <w:keepNext/>
              <w:spacing w:before="55" w:after="30" w:line="288" w:lineRule="auto"/>
              <w:ind w:left="240"/>
              <w:rPr>
                <w:rFonts w:ascii="Arial" w:eastAsia="Arial" w:hAnsi="Arial" w:cs="Arial"/>
                <w:sz w:val="18"/>
              </w:rPr>
            </w:pPr>
            <w:r>
              <w:rPr>
                <w:rFonts w:ascii="Arial" w:eastAsia="Arial" w:hAnsi="Arial" w:cs="Arial"/>
                <w:sz w:val="18"/>
              </w:rPr>
              <w:t>Profit commission—other</w:t>
            </w:r>
            <w:r>
              <w:rPr>
                <w:rFonts w:ascii="Arial" w:eastAsia="Arial" w:hAnsi="Arial" w:cs="Arial"/>
                <w:sz w:val="18"/>
                <w:vertAlign w:val="superscript"/>
              </w:rPr>
              <w:t xml:space="preserve"> (3) </w:t>
            </w:r>
          </w:p>
        </w:tc>
        <w:tc>
          <w:tcPr>
            <w:tcW w:w="105" w:type="dxa"/>
            <w:tcBorders>
              <w:top w:val="nil"/>
              <w:left w:val="nil"/>
              <w:bottom w:val="single" w:sz="8" w:space="0" w:color="FFFFFF"/>
              <w:right w:val="nil"/>
            </w:tcBorders>
            <w:tcMar>
              <w:top w:w="0" w:type="dxa"/>
              <w:left w:w="0" w:type="dxa"/>
              <w:bottom w:w="0" w:type="dxa"/>
              <w:right w:w="0" w:type="dxa"/>
            </w:tcMar>
            <w:vAlign w:val="bottom"/>
          </w:tcPr>
          <w:p w14:paraId="4B2C3534" w14:textId="77777777" w:rsidR="001614AC" w:rsidRDefault="001614AC">
            <w:pPr>
              <w:keepNext/>
            </w:pPr>
          </w:p>
        </w:tc>
        <w:tc>
          <w:tcPr>
            <w:tcW w:w="905" w:type="dxa"/>
            <w:gridSpan w:val="2"/>
            <w:tcBorders>
              <w:top w:val="single" w:sz="8" w:space="0" w:color="E9E9E9"/>
              <w:left w:val="nil"/>
              <w:bottom w:val="single" w:sz="8" w:space="0" w:color="C7C9C7"/>
              <w:right w:val="nil"/>
            </w:tcBorders>
            <w:tcMar>
              <w:top w:w="0" w:type="dxa"/>
              <w:left w:w="53" w:type="dxa"/>
              <w:bottom w:w="0" w:type="dxa"/>
              <w:right w:w="0" w:type="dxa"/>
            </w:tcMar>
            <w:vAlign w:val="bottom"/>
          </w:tcPr>
          <w:p w14:paraId="7A01DEE8" w14:textId="77777777" w:rsidR="001614AC" w:rsidRDefault="004468F9">
            <w:pPr>
              <w:keepNext/>
              <w:spacing w:before="55" w:after="30" w:line="288" w:lineRule="auto"/>
              <w:jc w:val="right"/>
            </w:pPr>
            <w:r>
              <w:rPr>
                <w:rFonts w:ascii="Arial" w:eastAsia="Arial" w:hAnsi="Arial" w:cs="Arial"/>
                <w:color w:val="000000"/>
                <w:sz w:val="18"/>
              </w:rPr>
              <w:t>7,162 </w:t>
            </w:r>
          </w:p>
        </w:tc>
        <w:tc>
          <w:tcPr>
            <w:tcW w:w="100" w:type="dxa"/>
            <w:tcBorders>
              <w:top w:val="single" w:sz="8" w:space="0" w:color="E9E9E9"/>
              <w:left w:val="nil"/>
              <w:bottom w:val="single" w:sz="8" w:space="0" w:color="C7C9C7"/>
              <w:right w:val="nil"/>
            </w:tcBorders>
            <w:tcMar>
              <w:top w:w="0" w:type="dxa"/>
              <w:left w:w="0" w:type="dxa"/>
              <w:bottom w:w="0" w:type="dxa"/>
              <w:right w:w="15" w:type="dxa"/>
            </w:tcMar>
            <w:vAlign w:val="bottom"/>
          </w:tcPr>
          <w:p w14:paraId="34D17460" w14:textId="77777777" w:rsidR="001614AC" w:rsidRDefault="001614AC">
            <w:pPr>
              <w:keepNext/>
              <w:spacing w:before="55" w:after="30" w:line="288" w:lineRule="auto"/>
              <w:jc w:val="right"/>
            </w:pPr>
          </w:p>
        </w:tc>
        <w:tc>
          <w:tcPr>
            <w:tcW w:w="105" w:type="dxa"/>
            <w:tcBorders>
              <w:top w:val="nil"/>
              <w:left w:val="nil"/>
              <w:bottom w:val="single" w:sz="8" w:space="0" w:color="FFFFFF"/>
              <w:right w:val="nil"/>
            </w:tcBorders>
            <w:tcMar>
              <w:top w:w="0" w:type="dxa"/>
              <w:left w:w="0" w:type="dxa"/>
              <w:bottom w:w="0" w:type="dxa"/>
              <w:right w:w="0" w:type="dxa"/>
            </w:tcMar>
            <w:vAlign w:val="bottom"/>
          </w:tcPr>
          <w:p w14:paraId="626A57B9" w14:textId="77777777" w:rsidR="001614AC" w:rsidRDefault="001614AC">
            <w:pPr>
              <w:keepNext/>
            </w:pPr>
          </w:p>
        </w:tc>
        <w:tc>
          <w:tcPr>
            <w:tcW w:w="905" w:type="dxa"/>
            <w:gridSpan w:val="2"/>
            <w:tcBorders>
              <w:top w:val="single" w:sz="8" w:space="0" w:color="E9E9E9"/>
              <w:left w:val="nil"/>
              <w:bottom w:val="single" w:sz="8" w:space="0" w:color="C7C9C7"/>
              <w:right w:val="nil"/>
            </w:tcBorders>
            <w:tcMar>
              <w:top w:w="0" w:type="dxa"/>
              <w:left w:w="53" w:type="dxa"/>
              <w:bottom w:w="0" w:type="dxa"/>
              <w:right w:w="0" w:type="dxa"/>
            </w:tcMar>
            <w:vAlign w:val="bottom"/>
          </w:tcPr>
          <w:p w14:paraId="24B42DAC" w14:textId="77777777" w:rsidR="001614AC" w:rsidRDefault="004468F9">
            <w:pPr>
              <w:keepNext/>
              <w:spacing w:before="55" w:after="30" w:line="288" w:lineRule="auto"/>
              <w:jc w:val="right"/>
            </w:pPr>
            <w:r>
              <w:rPr>
                <w:rFonts w:ascii="Arial" w:eastAsia="Arial" w:hAnsi="Arial" w:cs="Arial"/>
                <w:color w:val="000000"/>
                <w:sz w:val="18"/>
              </w:rPr>
              <w:t>(28,175)</w:t>
            </w:r>
          </w:p>
        </w:tc>
        <w:tc>
          <w:tcPr>
            <w:tcW w:w="100" w:type="dxa"/>
            <w:tcBorders>
              <w:top w:val="single" w:sz="8" w:space="0" w:color="E9E9E9"/>
              <w:left w:val="nil"/>
              <w:bottom w:val="single" w:sz="8" w:space="0" w:color="C7C9C7"/>
              <w:right w:val="nil"/>
            </w:tcBorders>
            <w:tcMar>
              <w:top w:w="0" w:type="dxa"/>
              <w:left w:w="0" w:type="dxa"/>
              <w:bottom w:w="0" w:type="dxa"/>
              <w:right w:w="15" w:type="dxa"/>
            </w:tcMar>
            <w:vAlign w:val="bottom"/>
          </w:tcPr>
          <w:p w14:paraId="2F48F4AE" w14:textId="77777777" w:rsidR="001614AC" w:rsidRDefault="001614AC">
            <w:pPr>
              <w:keepNext/>
              <w:spacing w:before="55" w:after="30" w:line="288" w:lineRule="auto"/>
              <w:jc w:val="right"/>
            </w:pPr>
          </w:p>
        </w:tc>
        <w:tc>
          <w:tcPr>
            <w:tcW w:w="105" w:type="dxa"/>
            <w:tcBorders>
              <w:top w:val="nil"/>
              <w:left w:val="nil"/>
              <w:bottom w:val="single" w:sz="8" w:space="0" w:color="FFFFFF"/>
              <w:right w:val="nil"/>
            </w:tcBorders>
            <w:tcMar>
              <w:top w:w="0" w:type="dxa"/>
              <w:left w:w="0" w:type="dxa"/>
              <w:bottom w:w="0" w:type="dxa"/>
              <w:right w:w="0" w:type="dxa"/>
            </w:tcMar>
            <w:vAlign w:val="bottom"/>
          </w:tcPr>
          <w:p w14:paraId="1CDF7ED8" w14:textId="77777777" w:rsidR="001614AC" w:rsidRDefault="001614AC">
            <w:pPr>
              <w:keepNext/>
            </w:pPr>
          </w:p>
        </w:tc>
        <w:tc>
          <w:tcPr>
            <w:tcW w:w="905" w:type="dxa"/>
            <w:gridSpan w:val="2"/>
            <w:tcBorders>
              <w:top w:val="single" w:sz="8" w:space="0" w:color="E9E9E9"/>
              <w:left w:val="nil"/>
              <w:bottom w:val="single" w:sz="8" w:space="0" w:color="C7C9C7"/>
              <w:right w:val="nil"/>
            </w:tcBorders>
            <w:tcMar>
              <w:top w:w="0" w:type="dxa"/>
              <w:left w:w="53" w:type="dxa"/>
              <w:bottom w:w="0" w:type="dxa"/>
              <w:right w:w="0" w:type="dxa"/>
            </w:tcMar>
            <w:vAlign w:val="bottom"/>
          </w:tcPr>
          <w:p w14:paraId="4511F0D2" w14:textId="77777777" w:rsidR="001614AC" w:rsidRDefault="004468F9">
            <w:pPr>
              <w:keepNext/>
              <w:spacing w:before="55" w:after="30" w:line="288" w:lineRule="auto"/>
              <w:jc w:val="right"/>
            </w:pPr>
            <w:r>
              <w:rPr>
                <w:rFonts w:ascii="Arial" w:eastAsia="Arial" w:hAnsi="Arial" w:cs="Arial"/>
                <w:color w:val="000000"/>
                <w:sz w:val="18"/>
              </w:rPr>
              <w:t>10,595 </w:t>
            </w:r>
          </w:p>
        </w:tc>
        <w:tc>
          <w:tcPr>
            <w:tcW w:w="100" w:type="dxa"/>
            <w:tcBorders>
              <w:top w:val="single" w:sz="8" w:space="0" w:color="E9E9E9"/>
              <w:left w:val="nil"/>
              <w:bottom w:val="single" w:sz="8" w:space="0" w:color="C7C9C7"/>
              <w:right w:val="nil"/>
            </w:tcBorders>
            <w:tcMar>
              <w:top w:w="0" w:type="dxa"/>
              <w:left w:w="0" w:type="dxa"/>
              <w:bottom w:w="0" w:type="dxa"/>
              <w:right w:w="15" w:type="dxa"/>
            </w:tcMar>
            <w:vAlign w:val="bottom"/>
          </w:tcPr>
          <w:p w14:paraId="5C5085A6" w14:textId="77777777" w:rsidR="001614AC" w:rsidRDefault="001614AC">
            <w:pPr>
              <w:keepNext/>
              <w:spacing w:before="55" w:after="30" w:line="288" w:lineRule="auto"/>
              <w:jc w:val="right"/>
            </w:pPr>
          </w:p>
        </w:tc>
        <w:tc>
          <w:tcPr>
            <w:tcW w:w="105" w:type="dxa"/>
            <w:tcBorders>
              <w:top w:val="nil"/>
              <w:left w:val="nil"/>
              <w:bottom w:val="single" w:sz="8" w:space="0" w:color="FFFFFF"/>
              <w:right w:val="nil"/>
            </w:tcBorders>
            <w:tcMar>
              <w:top w:w="0" w:type="dxa"/>
              <w:left w:w="0" w:type="dxa"/>
              <w:bottom w:w="0" w:type="dxa"/>
              <w:right w:w="0" w:type="dxa"/>
            </w:tcMar>
            <w:vAlign w:val="bottom"/>
          </w:tcPr>
          <w:p w14:paraId="18241796" w14:textId="77777777" w:rsidR="001614AC" w:rsidRDefault="001614AC">
            <w:pPr>
              <w:keepNext/>
            </w:pPr>
          </w:p>
        </w:tc>
        <w:tc>
          <w:tcPr>
            <w:tcW w:w="905" w:type="dxa"/>
            <w:gridSpan w:val="2"/>
            <w:tcBorders>
              <w:top w:val="single" w:sz="8" w:space="0" w:color="E9E9E9"/>
              <w:left w:val="nil"/>
              <w:bottom w:val="single" w:sz="8" w:space="0" w:color="C7C9C7"/>
              <w:right w:val="nil"/>
            </w:tcBorders>
            <w:tcMar>
              <w:top w:w="0" w:type="dxa"/>
              <w:left w:w="53" w:type="dxa"/>
              <w:bottom w:w="0" w:type="dxa"/>
              <w:right w:w="0" w:type="dxa"/>
            </w:tcMar>
            <w:vAlign w:val="bottom"/>
          </w:tcPr>
          <w:p w14:paraId="3BA986A5" w14:textId="77777777" w:rsidR="001614AC" w:rsidRDefault="004468F9">
            <w:pPr>
              <w:keepNext/>
              <w:spacing w:before="55" w:after="30" w:line="288" w:lineRule="auto"/>
              <w:jc w:val="right"/>
            </w:pPr>
            <w:r>
              <w:rPr>
                <w:rFonts w:ascii="Arial" w:eastAsia="Arial" w:hAnsi="Arial" w:cs="Arial"/>
                <w:color w:val="000000"/>
                <w:sz w:val="18"/>
              </w:rPr>
              <w:t>(19,620)</w:t>
            </w:r>
          </w:p>
        </w:tc>
        <w:tc>
          <w:tcPr>
            <w:tcW w:w="100" w:type="dxa"/>
            <w:tcBorders>
              <w:top w:val="single" w:sz="8" w:space="0" w:color="E9E9E9"/>
              <w:left w:val="nil"/>
              <w:bottom w:val="single" w:sz="8" w:space="0" w:color="C7C9C7"/>
              <w:right w:val="nil"/>
            </w:tcBorders>
            <w:tcMar>
              <w:top w:w="0" w:type="dxa"/>
              <w:left w:w="0" w:type="dxa"/>
              <w:bottom w:w="0" w:type="dxa"/>
              <w:right w:w="15" w:type="dxa"/>
            </w:tcMar>
            <w:vAlign w:val="bottom"/>
          </w:tcPr>
          <w:p w14:paraId="719F47C6" w14:textId="77777777" w:rsidR="001614AC" w:rsidRDefault="001614AC">
            <w:pPr>
              <w:keepNext/>
              <w:spacing w:before="55" w:after="30" w:line="288" w:lineRule="auto"/>
              <w:jc w:val="right"/>
            </w:pPr>
          </w:p>
        </w:tc>
      </w:tr>
      <w:tr w:rsidR="001614AC" w14:paraId="380157BF" w14:textId="77777777">
        <w:trPr>
          <w:cantSplit/>
        </w:trPr>
        <w:tc>
          <w:tcPr>
            <w:tcW w:w="5640" w:type="dxa"/>
            <w:tcBorders>
              <w:top w:val="single" w:sz="8" w:space="0" w:color="FFFFFF"/>
              <w:left w:val="nil"/>
              <w:bottom w:val="single" w:sz="8" w:space="0" w:color="FFFFFF"/>
              <w:right w:val="nil"/>
            </w:tcBorders>
            <w:shd w:val="clear" w:color="auto" w:fill="F4F4F4"/>
            <w:tcMar>
              <w:top w:w="0" w:type="dxa"/>
              <w:left w:w="53" w:type="dxa"/>
              <w:bottom w:w="0" w:type="dxa"/>
              <w:right w:w="53" w:type="dxa"/>
            </w:tcMar>
            <w:vAlign w:val="bottom"/>
          </w:tcPr>
          <w:p w14:paraId="11A8F250" w14:textId="77777777" w:rsidR="001614AC" w:rsidRDefault="004468F9">
            <w:pPr>
              <w:keepNext/>
              <w:spacing w:before="55" w:after="30" w:line="288" w:lineRule="auto"/>
              <w:ind w:left="240"/>
            </w:pPr>
            <w:r>
              <w:rPr>
                <w:rFonts w:ascii="Arial" w:eastAsia="Arial" w:hAnsi="Arial" w:cs="Arial"/>
                <w:color w:val="000000"/>
                <w:sz w:val="18"/>
              </w:rPr>
              <w:t>Ceded premiums</w:t>
            </w:r>
          </w:p>
        </w:tc>
        <w:tc>
          <w:tcPr>
            <w:tcW w:w="105" w:type="dxa"/>
            <w:tcBorders>
              <w:top w:val="single" w:sz="8" w:space="0" w:color="FFFFFF"/>
              <w:left w:val="nil"/>
              <w:bottom w:val="single" w:sz="8" w:space="0" w:color="FFFFFF"/>
              <w:right w:val="nil"/>
            </w:tcBorders>
            <w:shd w:val="clear" w:color="auto" w:fill="F4F4F4"/>
            <w:tcMar>
              <w:top w:w="0" w:type="dxa"/>
              <w:left w:w="0" w:type="dxa"/>
              <w:bottom w:w="0" w:type="dxa"/>
              <w:right w:w="0" w:type="dxa"/>
            </w:tcMar>
            <w:vAlign w:val="bottom"/>
          </w:tcPr>
          <w:p w14:paraId="19649479" w14:textId="77777777" w:rsidR="001614AC" w:rsidRDefault="001614AC">
            <w:pPr>
              <w:keepNext/>
            </w:pPr>
          </w:p>
        </w:tc>
        <w:tc>
          <w:tcPr>
            <w:tcW w:w="905" w:type="dxa"/>
            <w:gridSpan w:val="2"/>
            <w:tcBorders>
              <w:top w:val="single" w:sz="8" w:space="0" w:color="C7C9C7"/>
              <w:left w:val="nil"/>
              <w:bottom w:val="single" w:sz="8" w:space="0" w:color="C7C9C7"/>
              <w:right w:val="nil"/>
            </w:tcBorders>
            <w:shd w:val="clear" w:color="auto" w:fill="F4F4F4"/>
            <w:tcMar>
              <w:top w:w="0" w:type="dxa"/>
              <w:left w:w="53" w:type="dxa"/>
              <w:bottom w:w="0" w:type="dxa"/>
              <w:right w:w="0" w:type="dxa"/>
            </w:tcMar>
            <w:vAlign w:val="bottom"/>
          </w:tcPr>
          <w:p w14:paraId="42A09C48" w14:textId="77777777" w:rsidR="001614AC" w:rsidRDefault="004468F9">
            <w:pPr>
              <w:keepNext/>
              <w:spacing w:before="55" w:after="30" w:line="288" w:lineRule="auto"/>
              <w:jc w:val="right"/>
            </w:pPr>
            <w:r>
              <w:rPr>
                <w:rFonts w:ascii="Arial" w:eastAsia="Arial" w:hAnsi="Arial" w:cs="Arial"/>
                <w:color w:val="000000"/>
                <w:sz w:val="18"/>
              </w:rPr>
              <w:t>(29,198)</w:t>
            </w:r>
          </w:p>
        </w:tc>
        <w:tc>
          <w:tcPr>
            <w:tcW w:w="100" w:type="dxa"/>
            <w:tcBorders>
              <w:top w:val="single" w:sz="8" w:space="0" w:color="C7C9C7"/>
              <w:left w:val="nil"/>
              <w:bottom w:val="single" w:sz="8" w:space="0" w:color="C7C9C7"/>
              <w:right w:val="nil"/>
            </w:tcBorders>
            <w:shd w:val="clear" w:color="auto" w:fill="F4F4F4"/>
            <w:tcMar>
              <w:top w:w="0" w:type="dxa"/>
              <w:left w:w="0" w:type="dxa"/>
              <w:bottom w:w="0" w:type="dxa"/>
              <w:right w:w="15" w:type="dxa"/>
            </w:tcMar>
            <w:vAlign w:val="bottom"/>
          </w:tcPr>
          <w:p w14:paraId="26984415" w14:textId="77777777" w:rsidR="001614AC" w:rsidRDefault="001614AC">
            <w:pPr>
              <w:keepNext/>
              <w:spacing w:before="55" w:after="30" w:line="288" w:lineRule="auto"/>
              <w:jc w:val="right"/>
            </w:pPr>
          </w:p>
        </w:tc>
        <w:tc>
          <w:tcPr>
            <w:tcW w:w="105" w:type="dxa"/>
            <w:tcBorders>
              <w:top w:val="single" w:sz="8" w:space="0" w:color="FFFFFF"/>
              <w:left w:val="nil"/>
              <w:bottom w:val="single" w:sz="8" w:space="0" w:color="FFFFFF"/>
              <w:right w:val="nil"/>
            </w:tcBorders>
            <w:shd w:val="clear" w:color="auto" w:fill="F4F4F4"/>
            <w:tcMar>
              <w:top w:w="0" w:type="dxa"/>
              <w:left w:w="0" w:type="dxa"/>
              <w:bottom w:w="0" w:type="dxa"/>
              <w:right w:w="0" w:type="dxa"/>
            </w:tcMar>
            <w:vAlign w:val="bottom"/>
          </w:tcPr>
          <w:p w14:paraId="3A78AFDF" w14:textId="77777777" w:rsidR="001614AC" w:rsidRDefault="001614AC">
            <w:pPr>
              <w:keepNext/>
            </w:pPr>
          </w:p>
        </w:tc>
        <w:tc>
          <w:tcPr>
            <w:tcW w:w="905" w:type="dxa"/>
            <w:gridSpan w:val="2"/>
            <w:tcBorders>
              <w:top w:val="single" w:sz="8" w:space="0" w:color="C7C9C7"/>
              <w:left w:val="nil"/>
              <w:bottom w:val="single" w:sz="8" w:space="0" w:color="C7C9C7"/>
              <w:right w:val="nil"/>
            </w:tcBorders>
            <w:shd w:val="clear" w:color="auto" w:fill="F4F4F4"/>
            <w:tcMar>
              <w:top w:w="0" w:type="dxa"/>
              <w:left w:w="53" w:type="dxa"/>
              <w:bottom w:w="0" w:type="dxa"/>
              <w:right w:w="0" w:type="dxa"/>
            </w:tcMar>
            <w:vAlign w:val="bottom"/>
          </w:tcPr>
          <w:p w14:paraId="42FFDA79" w14:textId="77777777" w:rsidR="001614AC" w:rsidRDefault="004468F9">
            <w:pPr>
              <w:keepNext/>
              <w:spacing w:before="55" w:after="30" w:line="288" w:lineRule="auto"/>
              <w:jc w:val="right"/>
            </w:pPr>
            <w:r>
              <w:rPr>
                <w:rFonts w:ascii="Arial" w:eastAsia="Arial" w:hAnsi="Arial" w:cs="Arial"/>
                <w:color w:val="000000"/>
                <w:sz w:val="18"/>
              </w:rPr>
              <w:t>(69,092)</w:t>
            </w:r>
          </w:p>
        </w:tc>
        <w:tc>
          <w:tcPr>
            <w:tcW w:w="100" w:type="dxa"/>
            <w:tcBorders>
              <w:top w:val="single" w:sz="8" w:space="0" w:color="C7C9C7"/>
              <w:left w:val="nil"/>
              <w:bottom w:val="single" w:sz="8" w:space="0" w:color="C7C9C7"/>
              <w:right w:val="nil"/>
            </w:tcBorders>
            <w:shd w:val="clear" w:color="auto" w:fill="F4F4F4"/>
            <w:tcMar>
              <w:top w:w="0" w:type="dxa"/>
              <w:left w:w="0" w:type="dxa"/>
              <w:bottom w:w="0" w:type="dxa"/>
              <w:right w:w="15" w:type="dxa"/>
            </w:tcMar>
            <w:vAlign w:val="bottom"/>
          </w:tcPr>
          <w:p w14:paraId="6C6D3357" w14:textId="77777777" w:rsidR="001614AC" w:rsidRDefault="001614AC">
            <w:pPr>
              <w:keepNext/>
              <w:spacing w:before="55" w:after="30" w:line="288" w:lineRule="auto"/>
              <w:jc w:val="right"/>
            </w:pPr>
          </w:p>
        </w:tc>
        <w:tc>
          <w:tcPr>
            <w:tcW w:w="105" w:type="dxa"/>
            <w:tcBorders>
              <w:top w:val="single" w:sz="8" w:space="0" w:color="FFFFFF"/>
              <w:left w:val="nil"/>
              <w:bottom w:val="single" w:sz="8" w:space="0" w:color="FFFFFF"/>
              <w:right w:val="nil"/>
            </w:tcBorders>
            <w:shd w:val="clear" w:color="auto" w:fill="F4F4F4"/>
            <w:tcMar>
              <w:top w:w="0" w:type="dxa"/>
              <w:left w:w="0" w:type="dxa"/>
              <w:bottom w:w="0" w:type="dxa"/>
              <w:right w:w="0" w:type="dxa"/>
            </w:tcMar>
            <w:vAlign w:val="bottom"/>
          </w:tcPr>
          <w:p w14:paraId="34577336" w14:textId="77777777" w:rsidR="001614AC" w:rsidRDefault="001614AC">
            <w:pPr>
              <w:keepNext/>
            </w:pPr>
          </w:p>
        </w:tc>
        <w:tc>
          <w:tcPr>
            <w:tcW w:w="905" w:type="dxa"/>
            <w:gridSpan w:val="2"/>
            <w:tcBorders>
              <w:top w:val="single" w:sz="8" w:space="0" w:color="C7C9C7"/>
              <w:left w:val="nil"/>
              <w:bottom w:val="single" w:sz="8" w:space="0" w:color="C7C9C7"/>
              <w:right w:val="nil"/>
            </w:tcBorders>
            <w:shd w:val="clear" w:color="auto" w:fill="F4F4F4"/>
            <w:tcMar>
              <w:top w:w="0" w:type="dxa"/>
              <w:left w:w="53" w:type="dxa"/>
              <w:bottom w:w="0" w:type="dxa"/>
              <w:right w:w="0" w:type="dxa"/>
            </w:tcMar>
            <w:vAlign w:val="bottom"/>
          </w:tcPr>
          <w:p w14:paraId="19EBB9F5" w14:textId="77777777" w:rsidR="001614AC" w:rsidRDefault="004468F9">
            <w:pPr>
              <w:keepNext/>
              <w:spacing w:before="55" w:after="30" w:line="288" w:lineRule="auto"/>
              <w:jc w:val="right"/>
            </w:pPr>
            <w:r>
              <w:rPr>
                <w:rFonts w:ascii="Arial" w:eastAsia="Arial" w:hAnsi="Arial" w:cs="Arial"/>
                <w:color w:val="000000"/>
                <w:sz w:val="18"/>
              </w:rPr>
              <w:t>(62,247)</w:t>
            </w:r>
          </w:p>
        </w:tc>
        <w:tc>
          <w:tcPr>
            <w:tcW w:w="100" w:type="dxa"/>
            <w:tcBorders>
              <w:top w:val="single" w:sz="8" w:space="0" w:color="C7C9C7"/>
              <w:left w:val="nil"/>
              <w:bottom w:val="single" w:sz="8" w:space="0" w:color="C7C9C7"/>
              <w:right w:val="nil"/>
            </w:tcBorders>
            <w:shd w:val="clear" w:color="auto" w:fill="F4F4F4"/>
            <w:tcMar>
              <w:top w:w="0" w:type="dxa"/>
              <w:left w:w="0" w:type="dxa"/>
              <w:bottom w:w="0" w:type="dxa"/>
              <w:right w:w="15" w:type="dxa"/>
            </w:tcMar>
            <w:vAlign w:val="bottom"/>
          </w:tcPr>
          <w:p w14:paraId="0349AF98" w14:textId="77777777" w:rsidR="001614AC" w:rsidRDefault="001614AC">
            <w:pPr>
              <w:keepNext/>
              <w:spacing w:before="55" w:after="30" w:line="288" w:lineRule="auto"/>
              <w:jc w:val="right"/>
            </w:pPr>
          </w:p>
        </w:tc>
        <w:tc>
          <w:tcPr>
            <w:tcW w:w="105" w:type="dxa"/>
            <w:tcBorders>
              <w:top w:val="single" w:sz="8" w:space="0" w:color="FFFFFF"/>
              <w:left w:val="nil"/>
              <w:bottom w:val="single" w:sz="8" w:space="0" w:color="FFFFFF"/>
              <w:right w:val="nil"/>
            </w:tcBorders>
            <w:shd w:val="clear" w:color="auto" w:fill="F4F4F4"/>
            <w:tcMar>
              <w:top w:w="0" w:type="dxa"/>
              <w:left w:w="0" w:type="dxa"/>
              <w:bottom w:w="0" w:type="dxa"/>
              <w:right w:w="0" w:type="dxa"/>
            </w:tcMar>
            <w:vAlign w:val="bottom"/>
          </w:tcPr>
          <w:p w14:paraId="3CE2078D" w14:textId="77777777" w:rsidR="001614AC" w:rsidRDefault="001614AC">
            <w:pPr>
              <w:keepNext/>
            </w:pPr>
          </w:p>
        </w:tc>
        <w:tc>
          <w:tcPr>
            <w:tcW w:w="905" w:type="dxa"/>
            <w:gridSpan w:val="2"/>
            <w:tcBorders>
              <w:top w:val="single" w:sz="8" w:space="0" w:color="C7C9C7"/>
              <w:left w:val="nil"/>
              <w:bottom w:val="single" w:sz="8" w:space="0" w:color="C7C9C7"/>
              <w:right w:val="nil"/>
            </w:tcBorders>
            <w:shd w:val="clear" w:color="auto" w:fill="F4F4F4"/>
            <w:tcMar>
              <w:top w:w="0" w:type="dxa"/>
              <w:left w:w="53" w:type="dxa"/>
              <w:bottom w:w="0" w:type="dxa"/>
              <w:right w:w="0" w:type="dxa"/>
            </w:tcMar>
            <w:vAlign w:val="bottom"/>
          </w:tcPr>
          <w:p w14:paraId="464881F1" w14:textId="77777777" w:rsidR="001614AC" w:rsidRDefault="004468F9">
            <w:pPr>
              <w:keepNext/>
              <w:spacing w:before="55" w:after="30" w:line="288" w:lineRule="auto"/>
              <w:jc w:val="right"/>
            </w:pPr>
            <w:r>
              <w:rPr>
                <w:rFonts w:ascii="Arial" w:eastAsia="Arial" w:hAnsi="Arial" w:cs="Arial"/>
                <w:color w:val="000000"/>
                <w:sz w:val="18"/>
              </w:rPr>
              <w:t>(96,329)</w:t>
            </w:r>
          </w:p>
        </w:tc>
        <w:tc>
          <w:tcPr>
            <w:tcW w:w="100" w:type="dxa"/>
            <w:tcBorders>
              <w:top w:val="single" w:sz="8" w:space="0" w:color="C7C9C7"/>
              <w:left w:val="nil"/>
              <w:bottom w:val="single" w:sz="8" w:space="0" w:color="C7C9C7"/>
              <w:right w:val="nil"/>
            </w:tcBorders>
            <w:shd w:val="clear" w:color="auto" w:fill="F4F4F4"/>
            <w:tcMar>
              <w:top w:w="0" w:type="dxa"/>
              <w:left w:w="0" w:type="dxa"/>
              <w:bottom w:w="0" w:type="dxa"/>
              <w:right w:w="15" w:type="dxa"/>
            </w:tcMar>
            <w:vAlign w:val="bottom"/>
          </w:tcPr>
          <w:p w14:paraId="66ADE399" w14:textId="77777777" w:rsidR="001614AC" w:rsidRDefault="001614AC">
            <w:pPr>
              <w:keepNext/>
              <w:spacing w:before="55" w:after="30" w:line="288" w:lineRule="auto"/>
              <w:jc w:val="right"/>
            </w:pPr>
          </w:p>
        </w:tc>
      </w:tr>
      <w:tr w:rsidR="001614AC" w14:paraId="3A87EC38" w14:textId="77777777">
        <w:trPr>
          <w:cantSplit/>
        </w:trPr>
        <w:tc>
          <w:tcPr>
            <w:tcW w:w="5640" w:type="dxa"/>
            <w:tcBorders>
              <w:top w:val="single" w:sz="8" w:space="0" w:color="FFFFFF"/>
              <w:left w:val="nil"/>
              <w:bottom w:val="single" w:sz="8" w:space="0" w:color="FFFFFF"/>
              <w:right w:val="nil"/>
            </w:tcBorders>
            <w:shd w:val="clear" w:color="auto" w:fill="F4F4F4"/>
            <w:tcMar>
              <w:top w:w="0" w:type="dxa"/>
              <w:left w:w="53" w:type="dxa"/>
              <w:bottom w:w="0" w:type="dxa"/>
              <w:right w:w="53" w:type="dxa"/>
            </w:tcMar>
            <w:vAlign w:val="bottom"/>
          </w:tcPr>
          <w:p w14:paraId="26901B32" w14:textId="77777777" w:rsidR="001614AC" w:rsidRDefault="004468F9">
            <w:pPr>
              <w:keepNext/>
              <w:spacing w:before="55" w:after="30" w:line="288" w:lineRule="auto"/>
            </w:pPr>
            <w:r>
              <w:rPr>
                <w:rFonts w:ascii="Arial" w:eastAsia="Arial" w:hAnsi="Arial" w:cs="Arial"/>
                <w:color w:val="000000"/>
                <w:sz w:val="18"/>
              </w:rPr>
              <w:t xml:space="preserve">Total net premiums earned </w:t>
            </w:r>
          </w:p>
        </w:tc>
        <w:tc>
          <w:tcPr>
            <w:tcW w:w="105" w:type="dxa"/>
            <w:tcBorders>
              <w:top w:val="single" w:sz="8" w:space="0" w:color="FFFFFF"/>
              <w:left w:val="nil"/>
              <w:bottom w:val="single" w:sz="8" w:space="0" w:color="FFFFFF"/>
              <w:right w:val="nil"/>
            </w:tcBorders>
            <w:shd w:val="clear" w:color="auto" w:fill="F4F4F4"/>
            <w:tcMar>
              <w:top w:w="0" w:type="dxa"/>
              <w:left w:w="0" w:type="dxa"/>
              <w:bottom w:w="0" w:type="dxa"/>
              <w:right w:w="0" w:type="dxa"/>
            </w:tcMar>
            <w:vAlign w:val="bottom"/>
          </w:tcPr>
          <w:p w14:paraId="01701AB8" w14:textId="77777777" w:rsidR="001614AC" w:rsidRDefault="001614AC">
            <w:pPr>
              <w:keepNext/>
            </w:pPr>
          </w:p>
        </w:tc>
        <w:tc>
          <w:tcPr>
            <w:tcW w:w="160" w:type="dxa"/>
            <w:tcBorders>
              <w:top w:val="single" w:sz="8" w:space="0" w:color="C7C9C7"/>
              <w:left w:val="nil"/>
              <w:bottom w:val="double" w:sz="8" w:space="0" w:color="C7C9C7"/>
              <w:right w:val="nil"/>
            </w:tcBorders>
            <w:shd w:val="clear" w:color="auto" w:fill="F4F4F4"/>
            <w:tcMar>
              <w:top w:w="0" w:type="dxa"/>
              <w:left w:w="53" w:type="dxa"/>
              <w:bottom w:w="0" w:type="dxa"/>
              <w:right w:w="0" w:type="dxa"/>
            </w:tcMar>
            <w:vAlign w:val="bottom"/>
          </w:tcPr>
          <w:p w14:paraId="44BDB83F" w14:textId="77777777" w:rsidR="001614AC" w:rsidRDefault="004468F9">
            <w:pPr>
              <w:keepNext/>
              <w:spacing w:before="55" w:after="30" w:line="288" w:lineRule="auto"/>
            </w:pPr>
            <w:r>
              <w:rPr>
                <w:rFonts w:ascii="Arial" w:eastAsia="Arial" w:hAnsi="Arial" w:cs="Arial"/>
                <w:color w:val="000000"/>
                <w:sz w:val="18"/>
              </w:rPr>
              <w:t>$</w:t>
            </w:r>
          </w:p>
        </w:tc>
        <w:tc>
          <w:tcPr>
            <w:tcW w:w="745" w:type="dxa"/>
            <w:tcBorders>
              <w:top w:val="single" w:sz="8" w:space="0" w:color="C7C9C7"/>
              <w:left w:val="nil"/>
              <w:bottom w:val="double" w:sz="8" w:space="0" w:color="C7C9C7"/>
              <w:right w:val="nil"/>
            </w:tcBorders>
            <w:shd w:val="clear" w:color="auto" w:fill="F4F4F4"/>
            <w:tcMar>
              <w:top w:w="0" w:type="dxa"/>
              <w:left w:w="0" w:type="dxa"/>
              <w:bottom w:w="0" w:type="dxa"/>
              <w:right w:w="0" w:type="dxa"/>
            </w:tcMar>
            <w:vAlign w:val="bottom"/>
          </w:tcPr>
          <w:p w14:paraId="3D521398" w14:textId="77777777" w:rsidR="001614AC" w:rsidRDefault="004468F9">
            <w:pPr>
              <w:keepNext/>
              <w:spacing w:before="55" w:after="30" w:line="288" w:lineRule="auto"/>
              <w:jc w:val="right"/>
            </w:pPr>
            <w:r>
              <w:rPr>
                <w:rFonts w:ascii="Arial" w:eastAsia="Arial" w:hAnsi="Arial" w:cs="Arial"/>
                <w:color w:val="000000"/>
                <w:sz w:val="18"/>
              </w:rPr>
              <w:t>247,086 </w:t>
            </w:r>
          </w:p>
        </w:tc>
        <w:tc>
          <w:tcPr>
            <w:tcW w:w="100" w:type="dxa"/>
            <w:tcBorders>
              <w:top w:val="single" w:sz="8" w:space="0" w:color="C7C9C7"/>
              <w:left w:val="nil"/>
              <w:bottom w:val="double" w:sz="8" w:space="0" w:color="C7C9C7"/>
              <w:right w:val="nil"/>
            </w:tcBorders>
            <w:shd w:val="clear" w:color="auto" w:fill="F4F4F4"/>
            <w:tcMar>
              <w:top w:w="0" w:type="dxa"/>
              <w:left w:w="0" w:type="dxa"/>
              <w:bottom w:w="0" w:type="dxa"/>
              <w:right w:w="15" w:type="dxa"/>
            </w:tcMar>
            <w:vAlign w:val="bottom"/>
          </w:tcPr>
          <w:p w14:paraId="10C670D5" w14:textId="77777777" w:rsidR="001614AC" w:rsidRDefault="001614AC">
            <w:pPr>
              <w:keepNext/>
              <w:spacing w:before="55" w:after="30" w:line="288" w:lineRule="auto"/>
              <w:jc w:val="right"/>
            </w:pPr>
          </w:p>
        </w:tc>
        <w:tc>
          <w:tcPr>
            <w:tcW w:w="105" w:type="dxa"/>
            <w:tcBorders>
              <w:top w:val="single" w:sz="8" w:space="0" w:color="FFFFFF"/>
              <w:left w:val="nil"/>
              <w:bottom w:val="single" w:sz="8" w:space="0" w:color="FFFFFF"/>
              <w:right w:val="nil"/>
            </w:tcBorders>
            <w:shd w:val="clear" w:color="auto" w:fill="F4F4F4"/>
            <w:tcMar>
              <w:top w:w="0" w:type="dxa"/>
              <w:left w:w="0" w:type="dxa"/>
              <w:bottom w:w="0" w:type="dxa"/>
              <w:right w:w="0" w:type="dxa"/>
            </w:tcMar>
            <w:vAlign w:val="bottom"/>
          </w:tcPr>
          <w:p w14:paraId="27E36137" w14:textId="77777777" w:rsidR="001614AC" w:rsidRDefault="001614AC">
            <w:pPr>
              <w:keepNext/>
            </w:pPr>
          </w:p>
        </w:tc>
        <w:tc>
          <w:tcPr>
            <w:tcW w:w="160" w:type="dxa"/>
            <w:tcBorders>
              <w:top w:val="single" w:sz="8" w:space="0" w:color="C7C9C7"/>
              <w:left w:val="nil"/>
              <w:bottom w:val="double" w:sz="8" w:space="0" w:color="C7C9C7"/>
              <w:right w:val="nil"/>
            </w:tcBorders>
            <w:shd w:val="clear" w:color="auto" w:fill="F4F4F4"/>
            <w:tcMar>
              <w:top w:w="0" w:type="dxa"/>
              <w:left w:w="53" w:type="dxa"/>
              <w:bottom w:w="0" w:type="dxa"/>
              <w:right w:w="0" w:type="dxa"/>
            </w:tcMar>
            <w:vAlign w:val="bottom"/>
          </w:tcPr>
          <w:p w14:paraId="5915398B" w14:textId="77777777" w:rsidR="001614AC" w:rsidRDefault="004468F9">
            <w:pPr>
              <w:keepNext/>
              <w:spacing w:before="55" w:after="30" w:line="288" w:lineRule="auto"/>
            </w:pPr>
            <w:r>
              <w:rPr>
                <w:rFonts w:ascii="Arial" w:eastAsia="Arial" w:hAnsi="Arial" w:cs="Arial"/>
                <w:color w:val="000000"/>
                <w:sz w:val="18"/>
              </w:rPr>
              <w:t>$</w:t>
            </w:r>
          </w:p>
        </w:tc>
        <w:tc>
          <w:tcPr>
            <w:tcW w:w="745" w:type="dxa"/>
            <w:tcBorders>
              <w:top w:val="single" w:sz="8" w:space="0" w:color="C7C9C7"/>
              <w:left w:val="nil"/>
              <w:bottom w:val="double" w:sz="8" w:space="0" w:color="C7C9C7"/>
              <w:right w:val="nil"/>
            </w:tcBorders>
            <w:shd w:val="clear" w:color="auto" w:fill="F4F4F4"/>
            <w:tcMar>
              <w:top w:w="0" w:type="dxa"/>
              <w:left w:w="0" w:type="dxa"/>
              <w:bottom w:w="0" w:type="dxa"/>
              <w:right w:w="0" w:type="dxa"/>
            </w:tcMar>
            <w:vAlign w:val="bottom"/>
          </w:tcPr>
          <w:p w14:paraId="1E4D7D0A" w14:textId="77777777" w:rsidR="001614AC" w:rsidRDefault="004468F9">
            <w:pPr>
              <w:keepNext/>
              <w:spacing w:before="55" w:after="30" w:line="288" w:lineRule="auto"/>
              <w:jc w:val="right"/>
            </w:pPr>
            <w:r>
              <w:rPr>
                <w:rFonts w:ascii="Arial" w:eastAsia="Arial" w:hAnsi="Arial" w:cs="Arial"/>
                <w:color w:val="000000"/>
                <w:sz w:val="18"/>
              </w:rPr>
              <w:t>247,596 </w:t>
            </w:r>
          </w:p>
        </w:tc>
        <w:tc>
          <w:tcPr>
            <w:tcW w:w="100" w:type="dxa"/>
            <w:tcBorders>
              <w:top w:val="single" w:sz="8" w:space="0" w:color="C7C9C7"/>
              <w:left w:val="nil"/>
              <w:bottom w:val="double" w:sz="8" w:space="0" w:color="C7C9C7"/>
              <w:right w:val="nil"/>
            </w:tcBorders>
            <w:shd w:val="clear" w:color="auto" w:fill="F4F4F4"/>
            <w:tcMar>
              <w:top w:w="0" w:type="dxa"/>
              <w:left w:w="0" w:type="dxa"/>
              <w:bottom w:w="0" w:type="dxa"/>
              <w:right w:w="15" w:type="dxa"/>
            </w:tcMar>
            <w:vAlign w:val="bottom"/>
          </w:tcPr>
          <w:p w14:paraId="1DC29F8F" w14:textId="77777777" w:rsidR="001614AC" w:rsidRDefault="001614AC">
            <w:pPr>
              <w:keepNext/>
              <w:spacing w:before="55" w:after="30" w:line="288" w:lineRule="auto"/>
              <w:jc w:val="right"/>
            </w:pPr>
          </w:p>
        </w:tc>
        <w:tc>
          <w:tcPr>
            <w:tcW w:w="105" w:type="dxa"/>
            <w:tcBorders>
              <w:top w:val="single" w:sz="8" w:space="0" w:color="FFFFFF"/>
              <w:left w:val="nil"/>
              <w:bottom w:val="single" w:sz="8" w:space="0" w:color="FFFFFF"/>
              <w:right w:val="nil"/>
            </w:tcBorders>
            <w:shd w:val="clear" w:color="auto" w:fill="F4F4F4"/>
            <w:tcMar>
              <w:top w:w="0" w:type="dxa"/>
              <w:left w:w="0" w:type="dxa"/>
              <w:bottom w:w="0" w:type="dxa"/>
              <w:right w:w="0" w:type="dxa"/>
            </w:tcMar>
            <w:vAlign w:val="bottom"/>
          </w:tcPr>
          <w:p w14:paraId="4E6FE9E5" w14:textId="77777777" w:rsidR="001614AC" w:rsidRDefault="001614AC">
            <w:pPr>
              <w:keepNext/>
            </w:pPr>
          </w:p>
        </w:tc>
        <w:tc>
          <w:tcPr>
            <w:tcW w:w="160" w:type="dxa"/>
            <w:tcBorders>
              <w:top w:val="single" w:sz="8" w:space="0" w:color="C7C9C7"/>
              <w:left w:val="nil"/>
              <w:bottom w:val="double" w:sz="8" w:space="0" w:color="C7C9C7"/>
              <w:right w:val="nil"/>
            </w:tcBorders>
            <w:shd w:val="clear" w:color="auto" w:fill="F4F4F4"/>
            <w:tcMar>
              <w:top w:w="0" w:type="dxa"/>
              <w:left w:w="53" w:type="dxa"/>
              <w:bottom w:w="0" w:type="dxa"/>
              <w:right w:w="0" w:type="dxa"/>
            </w:tcMar>
            <w:vAlign w:val="bottom"/>
          </w:tcPr>
          <w:p w14:paraId="366CD1D4" w14:textId="77777777" w:rsidR="001614AC" w:rsidRDefault="004468F9">
            <w:pPr>
              <w:keepNext/>
              <w:spacing w:before="55" w:after="30" w:line="288" w:lineRule="auto"/>
            </w:pPr>
            <w:r>
              <w:rPr>
                <w:rFonts w:ascii="Arial" w:eastAsia="Arial" w:hAnsi="Arial" w:cs="Arial"/>
                <w:color w:val="000000"/>
                <w:sz w:val="18"/>
              </w:rPr>
              <w:t>$</w:t>
            </w:r>
          </w:p>
        </w:tc>
        <w:tc>
          <w:tcPr>
            <w:tcW w:w="745" w:type="dxa"/>
            <w:tcBorders>
              <w:top w:val="single" w:sz="8" w:space="0" w:color="C7C9C7"/>
              <w:left w:val="nil"/>
              <w:bottom w:val="double" w:sz="8" w:space="0" w:color="C7C9C7"/>
              <w:right w:val="nil"/>
            </w:tcBorders>
            <w:shd w:val="clear" w:color="auto" w:fill="F4F4F4"/>
            <w:tcMar>
              <w:top w:w="0" w:type="dxa"/>
              <w:left w:w="0" w:type="dxa"/>
              <w:bottom w:w="0" w:type="dxa"/>
              <w:right w:w="0" w:type="dxa"/>
            </w:tcMar>
            <w:vAlign w:val="bottom"/>
          </w:tcPr>
          <w:p w14:paraId="07BA917A" w14:textId="77777777" w:rsidR="001614AC" w:rsidRDefault="004468F9">
            <w:pPr>
              <w:keepNext/>
              <w:spacing w:before="55" w:after="30" w:line="288" w:lineRule="auto"/>
              <w:jc w:val="right"/>
            </w:pPr>
            <w:r>
              <w:rPr>
                <w:rFonts w:ascii="Arial" w:eastAsia="Arial" w:hAnsi="Arial" w:cs="Arial"/>
                <w:color w:val="000000"/>
                <w:sz w:val="18"/>
              </w:rPr>
              <w:t>511,750 </w:t>
            </w:r>
          </w:p>
        </w:tc>
        <w:tc>
          <w:tcPr>
            <w:tcW w:w="100" w:type="dxa"/>
            <w:tcBorders>
              <w:top w:val="single" w:sz="8" w:space="0" w:color="C7C9C7"/>
              <w:left w:val="nil"/>
              <w:bottom w:val="double" w:sz="8" w:space="0" w:color="C7C9C7"/>
              <w:right w:val="nil"/>
            </w:tcBorders>
            <w:shd w:val="clear" w:color="auto" w:fill="F4F4F4"/>
            <w:tcMar>
              <w:top w:w="0" w:type="dxa"/>
              <w:left w:w="0" w:type="dxa"/>
              <w:bottom w:w="0" w:type="dxa"/>
              <w:right w:w="15" w:type="dxa"/>
            </w:tcMar>
            <w:vAlign w:val="bottom"/>
          </w:tcPr>
          <w:p w14:paraId="1B6BB889" w14:textId="77777777" w:rsidR="001614AC" w:rsidRDefault="001614AC">
            <w:pPr>
              <w:keepNext/>
              <w:spacing w:before="55" w:after="30" w:line="288" w:lineRule="auto"/>
              <w:jc w:val="right"/>
            </w:pPr>
          </w:p>
        </w:tc>
        <w:tc>
          <w:tcPr>
            <w:tcW w:w="105" w:type="dxa"/>
            <w:tcBorders>
              <w:top w:val="single" w:sz="8" w:space="0" w:color="FFFFFF"/>
              <w:left w:val="nil"/>
              <w:bottom w:val="single" w:sz="8" w:space="0" w:color="FFFFFF"/>
              <w:right w:val="nil"/>
            </w:tcBorders>
            <w:shd w:val="clear" w:color="auto" w:fill="F4F4F4"/>
            <w:tcMar>
              <w:top w:w="0" w:type="dxa"/>
              <w:left w:w="0" w:type="dxa"/>
              <w:bottom w:w="0" w:type="dxa"/>
              <w:right w:w="0" w:type="dxa"/>
            </w:tcMar>
            <w:vAlign w:val="bottom"/>
          </w:tcPr>
          <w:p w14:paraId="0E9310A0" w14:textId="77777777" w:rsidR="001614AC" w:rsidRDefault="001614AC">
            <w:pPr>
              <w:keepNext/>
            </w:pPr>
          </w:p>
        </w:tc>
        <w:tc>
          <w:tcPr>
            <w:tcW w:w="160" w:type="dxa"/>
            <w:tcBorders>
              <w:top w:val="single" w:sz="8" w:space="0" w:color="C7C9C7"/>
              <w:left w:val="nil"/>
              <w:bottom w:val="double" w:sz="8" w:space="0" w:color="C7C9C7"/>
              <w:right w:val="nil"/>
            </w:tcBorders>
            <w:shd w:val="clear" w:color="auto" w:fill="F4F4F4"/>
            <w:tcMar>
              <w:top w:w="0" w:type="dxa"/>
              <w:left w:w="53" w:type="dxa"/>
              <w:bottom w:w="0" w:type="dxa"/>
              <w:right w:w="0" w:type="dxa"/>
            </w:tcMar>
            <w:vAlign w:val="bottom"/>
          </w:tcPr>
          <w:p w14:paraId="3AF18E16" w14:textId="77777777" w:rsidR="001614AC" w:rsidRDefault="004468F9">
            <w:pPr>
              <w:keepNext/>
              <w:spacing w:before="55" w:after="30" w:line="288" w:lineRule="auto"/>
            </w:pPr>
            <w:r>
              <w:rPr>
                <w:rFonts w:ascii="Arial" w:eastAsia="Arial" w:hAnsi="Arial" w:cs="Arial"/>
                <w:color w:val="000000"/>
                <w:sz w:val="18"/>
              </w:rPr>
              <w:t>$</w:t>
            </w:r>
          </w:p>
        </w:tc>
        <w:tc>
          <w:tcPr>
            <w:tcW w:w="745" w:type="dxa"/>
            <w:tcBorders>
              <w:top w:val="single" w:sz="8" w:space="0" w:color="C7C9C7"/>
              <w:left w:val="nil"/>
              <w:bottom w:val="double" w:sz="8" w:space="0" w:color="C7C9C7"/>
              <w:right w:val="nil"/>
            </w:tcBorders>
            <w:shd w:val="clear" w:color="auto" w:fill="F4F4F4"/>
            <w:tcMar>
              <w:top w:w="0" w:type="dxa"/>
              <w:left w:w="0" w:type="dxa"/>
              <w:bottom w:w="0" w:type="dxa"/>
              <w:right w:w="0" w:type="dxa"/>
            </w:tcMar>
            <w:vAlign w:val="bottom"/>
          </w:tcPr>
          <w:p w14:paraId="5FE4B22A" w14:textId="77777777" w:rsidR="001614AC" w:rsidRDefault="004468F9">
            <w:pPr>
              <w:keepNext/>
              <w:spacing w:before="55" w:after="30" w:line="288" w:lineRule="auto"/>
              <w:jc w:val="right"/>
            </w:pPr>
            <w:r>
              <w:rPr>
                <w:rFonts w:ascii="Arial" w:eastAsia="Arial" w:hAnsi="Arial" w:cs="Arial"/>
                <w:color w:val="000000"/>
                <w:sz w:val="18"/>
              </w:rPr>
              <w:t>522,595 </w:t>
            </w:r>
          </w:p>
        </w:tc>
        <w:tc>
          <w:tcPr>
            <w:tcW w:w="100" w:type="dxa"/>
            <w:tcBorders>
              <w:top w:val="single" w:sz="8" w:space="0" w:color="C7C9C7"/>
              <w:left w:val="nil"/>
              <w:bottom w:val="double" w:sz="8" w:space="0" w:color="C7C9C7"/>
              <w:right w:val="nil"/>
            </w:tcBorders>
            <w:shd w:val="clear" w:color="auto" w:fill="F4F4F4"/>
            <w:tcMar>
              <w:top w:w="0" w:type="dxa"/>
              <w:left w:w="0" w:type="dxa"/>
              <w:bottom w:w="0" w:type="dxa"/>
              <w:right w:w="15" w:type="dxa"/>
            </w:tcMar>
            <w:vAlign w:val="bottom"/>
          </w:tcPr>
          <w:p w14:paraId="6393DCBB" w14:textId="77777777" w:rsidR="001614AC" w:rsidRDefault="001614AC">
            <w:pPr>
              <w:keepNext/>
              <w:spacing w:before="55" w:after="30" w:line="288" w:lineRule="auto"/>
              <w:jc w:val="right"/>
            </w:pPr>
          </w:p>
        </w:tc>
      </w:tr>
      <w:tr w:rsidR="001614AC" w14:paraId="41F88330" w14:textId="77777777">
        <w:trPr>
          <w:cantSplit/>
        </w:trPr>
        <w:tc>
          <w:tcPr>
            <w:tcW w:w="5640" w:type="dxa"/>
            <w:tcBorders>
              <w:top w:val="single" w:sz="8" w:space="0" w:color="FFFFFF"/>
              <w:left w:val="nil"/>
              <w:bottom w:val="single" w:sz="8" w:space="0" w:color="E9E9E9"/>
              <w:right w:val="nil"/>
            </w:tcBorders>
            <w:tcMar>
              <w:top w:w="0" w:type="dxa"/>
              <w:left w:w="0" w:type="dxa"/>
              <w:bottom w:w="0" w:type="dxa"/>
              <w:right w:w="0" w:type="dxa"/>
            </w:tcMar>
            <w:vAlign w:val="bottom"/>
          </w:tcPr>
          <w:p w14:paraId="0B7DE49B" w14:textId="77777777" w:rsidR="001614AC" w:rsidRDefault="001614AC">
            <w:pPr>
              <w:keepNext/>
            </w:pPr>
          </w:p>
        </w:tc>
        <w:tc>
          <w:tcPr>
            <w:tcW w:w="105" w:type="dxa"/>
            <w:tcBorders>
              <w:top w:val="single" w:sz="8" w:space="0" w:color="FFFFFF"/>
              <w:left w:val="nil"/>
              <w:bottom w:val="nil"/>
              <w:right w:val="nil"/>
            </w:tcBorders>
            <w:tcMar>
              <w:top w:w="0" w:type="dxa"/>
              <w:left w:w="0" w:type="dxa"/>
              <w:bottom w:w="0" w:type="dxa"/>
              <w:right w:w="0" w:type="dxa"/>
            </w:tcMar>
            <w:vAlign w:val="bottom"/>
          </w:tcPr>
          <w:p w14:paraId="77B7D3FD" w14:textId="77777777" w:rsidR="001614AC" w:rsidRDefault="001614AC">
            <w:pPr>
              <w:keepNext/>
            </w:pPr>
          </w:p>
        </w:tc>
        <w:tc>
          <w:tcPr>
            <w:tcW w:w="1005" w:type="dxa"/>
            <w:gridSpan w:val="3"/>
            <w:tcBorders>
              <w:top w:val="double" w:sz="8" w:space="0" w:color="C7C9C7"/>
              <w:left w:val="nil"/>
              <w:bottom w:val="single" w:sz="8" w:space="0" w:color="E9E9E9"/>
              <w:right w:val="nil"/>
            </w:tcBorders>
            <w:tcMar>
              <w:top w:w="0" w:type="dxa"/>
              <w:left w:w="0" w:type="dxa"/>
              <w:bottom w:w="0" w:type="dxa"/>
              <w:right w:w="0" w:type="dxa"/>
            </w:tcMar>
            <w:vAlign w:val="bottom"/>
          </w:tcPr>
          <w:p w14:paraId="624C8E43" w14:textId="77777777" w:rsidR="001614AC" w:rsidRDefault="001614AC">
            <w:pPr>
              <w:keepNext/>
            </w:pPr>
          </w:p>
        </w:tc>
        <w:tc>
          <w:tcPr>
            <w:tcW w:w="105" w:type="dxa"/>
            <w:tcBorders>
              <w:top w:val="single" w:sz="8" w:space="0" w:color="FFFFFF"/>
              <w:left w:val="nil"/>
              <w:bottom w:val="nil"/>
              <w:right w:val="nil"/>
            </w:tcBorders>
            <w:tcMar>
              <w:top w:w="0" w:type="dxa"/>
              <w:left w:w="0" w:type="dxa"/>
              <w:bottom w:w="0" w:type="dxa"/>
              <w:right w:w="0" w:type="dxa"/>
            </w:tcMar>
            <w:vAlign w:val="bottom"/>
          </w:tcPr>
          <w:p w14:paraId="2DFA9C33" w14:textId="77777777" w:rsidR="001614AC" w:rsidRDefault="001614AC">
            <w:pPr>
              <w:keepNext/>
            </w:pPr>
          </w:p>
        </w:tc>
        <w:tc>
          <w:tcPr>
            <w:tcW w:w="1005" w:type="dxa"/>
            <w:gridSpan w:val="3"/>
            <w:tcBorders>
              <w:top w:val="double" w:sz="8" w:space="0" w:color="C7C9C7"/>
              <w:left w:val="nil"/>
              <w:bottom w:val="single" w:sz="8" w:space="0" w:color="E9E9E9"/>
              <w:right w:val="nil"/>
            </w:tcBorders>
            <w:tcMar>
              <w:top w:w="0" w:type="dxa"/>
              <w:left w:w="0" w:type="dxa"/>
              <w:bottom w:w="0" w:type="dxa"/>
              <w:right w:w="0" w:type="dxa"/>
            </w:tcMar>
            <w:vAlign w:val="bottom"/>
          </w:tcPr>
          <w:p w14:paraId="02470DAC" w14:textId="77777777" w:rsidR="001614AC" w:rsidRDefault="001614AC">
            <w:pPr>
              <w:keepNext/>
            </w:pPr>
          </w:p>
        </w:tc>
        <w:tc>
          <w:tcPr>
            <w:tcW w:w="105" w:type="dxa"/>
            <w:tcBorders>
              <w:top w:val="single" w:sz="8" w:space="0" w:color="FFFFFF"/>
              <w:left w:val="nil"/>
              <w:bottom w:val="nil"/>
              <w:right w:val="nil"/>
            </w:tcBorders>
            <w:tcMar>
              <w:top w:w="0" w:type="dxa"/>
              <w:left w:w="0" w:type="dxa"/>
              <w:bottom w:w="0" w:type="dxa"/>
              <w:right w:w="0" w:type="dxa"/>
            </w:tcMar>
            <w:vAlign w:val="bottom"/>
          </w:tcPr>
          <w:p w14:paraId="7AE43B59" w14:textId="77777777" w:rsidR="001614AC" w:rsidRDefault="001614AC">
            <w:pPr>
              <w:keepNext/>
            </w:pPr>
          </w:p>
        </w:tc>
        <w:tc>
          <w:tcPr>
            <w:tcW w:w="1005" w:type="dxa"/>
            <w:gridSpan w:val="3"/>
            <w:tcBorders>
              <w:top w:val="double" w:sz="8" w:space="0" w:color="C7C9C7"/>
              <w:left w:val="nil"/>
              <w:bottom w:val="single" w:sz="8" w:space="0" w:color="E9E9E9"/>
              <w:right w:val="nil"/>
            </w:tcBorders>
            <w:tcMar>
              <w:top w:w="0" w:type="dxa"/>
              <w:left w:w="0" w:type="dxa"/>
              <w:bottom w:w="0" w:type="dxa"/>
              <w:right w:w="0" w:type="dxa"/>
            </w:tcMar>
            <w:vAlign w:val="bottom"/>
          </w:tcPr>
          <w:p w14:paraId="20C5CA8F" w14:textId="77777777" w:rsidR="001614AC" w:rsidRDefault="001614AC">
            <w:pPr>
              <w:keepNext/>
            </w:pPr>
          </w:p>
        </w:tc>
        <w:tc>
          <w:tcPr>
            <w:tcW w:w="105" w:type="dxa"/>
            <w:tcBorders>
              <w:top w:val="single" w:sz="8" w:space="0" w:color="FFFFFF"/>
              <w:left w:val="nil"/>
              <w:bottom w:val="nil"/>
              <w:right w:val="nil"/>
            </w:tcBorders>
            <w:tcMar>
              <w:top w:w="0" w:type="dxa"/>
              <w:left w:w="0" w:type="dxa"/>
              <w:bottom w:w="0" w:type="dxa"/>
              <w:right w:w="0" w:type="dxa"/>
            </w:tcMar>
            <w:vAlign w:val="bottom"/>
          </w:tcPr>
          <w:p w14:paraId="5EF898DA" w14:textId="77777777" w:rsidR="001614AC" w:rsidRDefault="001614AC">
            <w:pPr>
              <w:keepNext/>
            </w:pPr>
          </w:p>
        </w:tc>
        <w:tc>
          <w:tcPr>
            <w:tcW w:w="1005" w:type="dxa"/>
            <w:gridSpan w:val="3"/>
            <w:tcBorders>
              <w:top w:val="double" w:sz="8" w:space="0" w:color="C7C9C7"/>
              <w:left w:val="nil"/>
              <w:bottom w:val="single" w:sz="8" w:space="0" w:color="E9E9E9"/>
              <w:right w:val="nil"/>
            </w:tcBorders>
            <w:tcMar>
              <w:top w:w="0" w:type="dxa"/>
              <w:left w:w="0" w:type="dxa"/>
              <w:bottom w:w="0" w:type="dxa"/>
              <w:right w:w="0" w:type="dxa"/>
            </w:tcMar>
            <w:vAlign w:val="bottom"/>
          </w:tcPr>
          <w:p w14:paraId="020CD949" w14:textId="77777777" w:rsidR="001614AC" w:rsidRDefault="001614AC">
            <w:pPr>
              <w:keepNext/>
            </w:pPr>
          </w:p>
        </w:tc>
      </w:tr>
      <w:tr w:rsidR="001614AC" w14:paraId="47EC4906" w14:textId="77777777">
        <w:trPr>
          <w:cantSplit/>
        </w:trPr>
        <w:tc>
          <w:tcPr>
            <w:tcW w:w="5640" w:type="dxa"/>
            <w:tcBorders>
              <w:top w:val="single" w:sz="8" w:space="0" w:color="E9E9E9"/>
              <w:left w:val="nil"/>
              <w:bottom w:val="single" w:sz="8" w:space="0" w:color="E9E9E9"/>
              <w:right w:val="nil"/>
            </w:tcBorders>
            <w:tcMar>
              <w:top w:w="0" w:type="dxa"/>
              <w:left w:w="53" w:type="dxa"/>
              <w:bottom w:w="0" w:type="dxa"/>
              <w:right w:w="53" w:type="dxa"/>
            </w:tcMar>
            <w:vAlign w:val="bottom"/>
          </w:tcPr>
          <w:p w14:paraId="75CD8EB8" w14:textId="77777777" w:rsidR="001614AC" w:rsidRDefault="004468F9">
            <w:pPr>
              <w:keepNext/>
              <w:spacing w:before="55" w:after="30" w:line="288" w:lineRule="auto"/>
              <w:rPr>
                <w:rFonts w:ascii="Arial" w:eastAsia="Arial" w:hAnsi="Arial" w:cs="Arial"/>
                <w:sz w:val="18"/>
              </w:rPr>
            </w:pPr>
            <w:r>
              <w:rPr>
                <w:rFonts w:ascii="Arial" w:eastAsia="Arial" w:hAnsi="Arial" w:cs="Arial"/>
                <w:sz w:val="18"/>
              </w:rPr>
              <w:t xml:space="preserve">Direct premium yield (in basis points) </w:t>
            </w:r>
            <w:r>
              <w:rPr>
                <w:rFonts w:ascii="Arial" w:eastAsia="Arial" w:hAnsi="Arial" w:cs="Arial"/>
                <w:sz w:val="18"/>
                <w:vertAlign w:val="superscript"/>
              </w:rPr>
              <w:t xml:space="preserve">(4) </w:t>
            </w:r>
          </w:p>
        </w:tc>
        <w:tc>
          <w:tcPr>
            <w:tcW w:w="105" w:type="dxa"/>
            <w:tcBorders>
              <w:top w:val="nil"/>
              <w:left w:val="nil"/>
              <w:bottom w:val="nil"/>
              <w:right w:val="nil"/>
            </w:tcBorders>
            <w:tcMar>
              <w:top w:w="0" w:type="dxa"/>
              <w:left w:w="0" w:type="dxa"/>
              <w:bottom w:w="0" w:type="dxa"/>
              <w:right w:w="0" w:type="dxa"/>
            </w:tcMar>
            <w:vAlign w:val="bottom"/>
          </w:tcPr>
          <w:p w14:paraId="69E92838" w14:textId="77777777" w:rsidR="001614AC" w:rsidRDefault="001614AC">
            <w:pPr>
              <w:keepNext/>
            </w:pPr>
          </w:p>
        </w:tc>
        <w:tc>
          <w:tcPr>
            <w:tcW w:w="90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30B8E474" w14:textId="77777777" w:rsidR="001614AC" w:rsidRDefault="004468F9">
            <w:pPr>
              <w:keepNext/>
              <w:spacing w:before="55" w:after="30" w:line="288" w:lineRule="auto"/>
              <w:jc w:val="right"/>
            </w:pPr>
            <w:r>
              <w:rPr>
                <w:rFonts w:ascii="Arial" w:eastAsia="Arial" w:hAnsi="Arial" w:cs="Arial"/>
                <w:color w:val="000000"/>
                <w:sz w:val="18"/>
              </w:rPr>
              <w:t>41.1 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40211680" w14:textId="77777777" w:rsidR="001614AC" w:rsidRDefault="001614AC">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5068F69A" w14:textId="77777777" w:rsidR="001614AC" w:rsidRDefault="001614AC">
            <w:pPr>
              <w:keepNext/>
            </w:pPr>
          </w:p>
        </w:tc>
        <w:tc>
          <w:tcPr>
            <w:tcW w:w="90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65C9646F" w14:textId="77777777" w:rsidR="001614AC" w:rsidRDefault="004468F9">
            <w:pPr>
              <w:keepNext/>
              <w:spacing w:before="55" w:after="30" w:line="288" w:lineRule="auto"/>
              <w:jc w:val="right"/>
            </w:pPr>
            <w:r>
              <w:rPr>
                <w:rFonts w:ascii="Arial" w:eastAsia="Arial" w:hAnsi="Arial" w:cs="Arial"/>
                <w:color w:val="000000"/>
                <w:sz w:val="18"/>
              </w:rPr>
              <w:t>44.3 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7A1EE524" w14:textId="77777777" w:rsidR="001614AC" w:rsidRDefault="001614AC">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0E4988B9" w14:textId="77777777" w:rsidR="001614AC" w:rsidRDefault="001614AC">
            <w:pPr>
              <w:keepNext/>
            </w:pPr>
          </w:p>
        </w:tc>
        <w:tc>
          <w:tcPr>
            <w:tcW w:w="90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360ED163" w14:textId="77777777" w:rsidR="001614AC" w:rsidRDefault="004468F9">
            <w:pPr>
              <w:keepNext/>
              <w:spacing w:before="55" w:after="30" w:line="288" w:lineRule="auto"/>
              <w:jc w:val="right"/>
            </w:pPr>
            <w:r>
              <w:rPr>
                <w:rFonts w:ascii="Arial" w:eastAsia="Arial" w:hAnsi="Arial" w:cs="Arial"/>
                <w:color w:val="000000"/>
                <w:sz w:val="18"/>
              </w:rPr>
              <w:t>41.7 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718394EF" w14:textId="77777777" w:rsidR="001614AC" w:rsidRDefault="001614AC">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5FF58A16" w14:textId="77777777" w:rsidR="001614AC" w:rsidRDefault="001614AC">
            <w:pPr>
              <w:keepNext/>
            </w:pPr>
          </w:p>
        </w:tc>
        <w:tc>
          <w:tcPr>
            <w:tcW w:w="90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69BF522B" w14:textId="77777777" w:rsidR="001614AC" w:rsidRDefault="004468F9">
            <w:pPr>
              <w:keepNext/>
              <w:spacing w:before="55" w:after="30" w:line="288" w:lineRule="auto"/>
              <w:jc w:val="right"/>
            </w:pPr>
            <w:r>
              <w:rPr>
                <w:rFonts w:ascii="Arial" w:eastAsia="Arial" w:hAnsi="Arial" w:cs="Arial"/>
                <w:color w:val="000000"/>
                <w:sz w:val="18"/>
              </w:rPr>
              <w:t>45.3 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6BC03634" w14:textId="77777777" w:rsidR="001614AC" w:rsidRDefault="001614AC">
            <w:pPr>
              <w:keepNext/>
              <w:spacing w:before="55" w:after="30" w:line="288" w:lineRule="auto"/>
              <w:jc w:val="right"/>
            </w:pPr>
          </w:p>
        </w:tc>
      </w:tr>
      <w:tr w:rsidR="001614AC" w14:paraId="638C3D8C" w14:textId="77777777">
        <w:trPr>
          <w:cantSplit/>
        </w:trPr>
        <w:tc>
          <w:tcPr>
            <w:tcW w:w="5640" w:type="dxa"/>
            <w:tcBorders>
              <w:top w:val="single" w:sz="8" w:space="0" w:color="E9E9E9"/>
              <w:left w:val="nil"/>
              <w:bottom w:val="single" w:sz="8" w:space="0" w:color="E9E9E9"/>
              <w:right w:val="nil"/>
            </w:tcBorders>
            <w:tcMar>
              <w:top w:w="0" w:type="dxa"/>
              <w:left w:w="53" w:type="dxa"/>
              <w:bottom w:w="0" w:type="dxa"/>
              <w:right w:w="53" w:type="dxa"/>
            </w:tcMar>
            <w:vAlign w:val="bottom"/>
          </w:tcPr>
          <w:p w14:paraId="4EBA46D1" w14:textId="77777777" w:rsidR="001614AC" w:rsidRDefault="004468F9">
            <w:pPr>
              <w:keepNext/>
              <w:spacing w:before="55" w:after="30" w:line="288" w:lineRule="auto"/>
              <w:rPr>
                <w:rFonts w:ascii="Arial" w:eastAsia="Arial" w:hAnsi="Arial" w:cs="Arial"/>
                <w:sz w:val="18"/>
              </w:rPr>
            </w:pPr>
            <w:r>
              <w:rPr>
                <w:rFonts w:ascii="Arial" w:eastAsia="Arial" w:hAnsi="Arial" w:cs="Arial"/>
                <w:sz w:val="18"/>
              </w:rPr>
              <w:t>Net premium yie</w:t>
            </w:r>
            <w:r>
              <w:rPr>
                <w:rFonts w:ascii="Arial" w:eastAsia="Arial" w:hAnsi="Arial" w:cs="Arial"/>
                <w:sz w:val="18"/>
              </w:rPr>
              <w:t xml:space="preserve">ld (in basis points) </w:t>
            </w:r>
            <w:r>
              <w:rPr>
                <w:rFonts w:ascii="Arial" w:eastAsia="Arial" w:hAnsi="Arial" w:cs="Arial"/>
                <w:sz w:val="18"/>
                <w:vertAlign w:val="superscript"/>
              </w:rPr>
              <w:t>(5)</w:t>
            </w:r>
          </w:p>
        </w:tc>
        <w:tc>
          <w:tcPr>
            <w:tcW w:w="105" w:type="dxa"/>
            <w:tcBorders>
              <w:top w:val="nil"/>
              <w:left w:val="nil"/>
              <w:bottom w:val="nil"/>
              <w:right w:val="nil"/>
            </w:tcBorders>
            <w:tcMar>
              <w:top w:w="0" w:type="dxa"/>
              <w:left w:w="0" w:type="dxa"/>
              <w:bottom w:w="0" w:type="dxa"/>
              <w:right w:w="0" w:type="dxa"/>
            </w:tcMar>
            <w:vAlign w:val="bottom"/>
          </w:tcPr>
          <w:p w14:paraId="5B3B9F62" w14:textId="77777777" w:rsidR="001614AC" w:rsidRDefault="001614AC">
            <w:pPr>
              <w:keepNext/>
            </w:pPr>
          </w:p>
        </w:tc>
        <w:tc>
          <w:tcPr>
            <w:tcW w:w="90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195E5C2E" w14:textId="77777777" w:rsidR="001614AC" w:rsidRDefault="004468F9">
            <w:pPr>
              <w:keepNext/>
              <w:spacing w:before="55" w:after="30" w:line="288" w:lineRule="auto"/>
              <w:jc w:val="right"/>
            </w:pPr>
            <w:r>
              <w:rPr>
                <w:rFonts w:ascii="Arial" w:eastAsia="Arial" w:hAnsi="Arial" w:cs="Arial"/>
                <w:color w:val="000000"/>
                <w:sz w:val="18"/>
              </w:rPr>
              <w:t>41.5 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54030190" w14:textId="77777777" w:rsidR="001614AC" w:rsidRDefault="001614AC">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125FDBA4" w14:textId="77777777" w:rsidR="001614AC" w:rsidRDefault="001614AC">
            <w:pPr>
              <w:keepNext/>
            </w:pPr>
          </w:p>
        </w:tc>
        <w:tc>
          <w:tcPr>
            <w:tcW w:w="90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0279CC64" w14:textId="77777777" w:rsidR="001614AC" w:rsidRDefault="004468F9">
            <w:pPr>
              <w:keepNext/>
              <w:spacing w:before="55" w:after="30" w:line="288" w:lineRule="auto"/>
              <w:jc w:val="right"/>
            </w:pPr>
            <w:r>
              <w:rPr>
                <w:rFonts w:ascii="Arial" w:eastAsia="Arial" w:hAnsi="Arial" w:cs="Arial"/>
                <w:color w:val="000000"/>
                <w:sz w:val="18"/>
              </w:rPr>
              <w:t>41.0 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15A2D972" w14:textId="77777777" w:rsidR="001614AC" w:rsidRDefault="001614AC">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237C97FA" w14:textId="77777777" w:rsidR="001614AC" w:rsidRDefault="001614AC">
            <w:pPr>
              <w:keepNext/>
            </w:pPr>
          </w:p>
        </w:tc>
        <w:tc>
          <w:tcPr>
            <w:tcW w:w="90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7DDF06B7" w14:textId="77777777" w:rsidR="001614AC" w:rsidRDefault="004468F9">
            <w:pPr>
              <w:keepNext/>
              <w:spacing w:before="55" w:after="30" w:line="288" w:lineRule="auto"/>
              <w:jc w:val="right"/>
            </w:pPr>
            <w:r>
              <w:rPr>
                <w:rFonts w:ascii="Arial" w:eastAsia="Arial" w:hAnsi="Arial" w:cs="Arial"/>
                <w:color w:val="000000"/>
                <w:sz w:val="18"/>
              </w:rPr>
              <w:t>42.3 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7011A3D2" w14:textId="77777777" w:rsidR="001614AC" w:rsidRDefault="001614AC">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6FC6AD8A" w14:textId="77777777" w:rsidR="001614AC" w:rsidRDefault="001614AC">
            <w:pPr>
              <w:keepNext/>
            </w:pPr>
          </w:p>
        </w:tc>
        <w:tc>
          <w:tcPr>
            <w:tcW w:w="90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33FC89E2" w14:textId="77777777" w:rsidR="001614AC" w:rsidRDefault="004468F9">
            <w:pPr>
              <w:keepNext/>
              <w:spacing w:before="55" w:after="30" w:line="288" w:lineRule="auto"/>
              <w:jc w:val="right"/>
            </w:pPr>
            <w:r>
              <w:rPr>
                <w:rFonts w:ascii="Arial" w:eastAsia="Arial" w:hAnsi="Arial" w:cs="Arial"/>
                <w:color w:val="000000"/>
                <w:sz w:val="18"/>
              </w:rPr>
              <w:t>43.4 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7A427B97" w14:textId="77777777" w:rsidR="001614AC" w:rsidRDefault="001614AC">
            <w:pPr>
              <w:keepNext/>
              <w:spacing w:before="55" w:after="30" w:line="288" w:lineRule="auto"/>
              <w:jc w:val="right"/>
            </w:pPr>
          </w:p>
        </w:tc>
      </w:tr>
      <w:tr w:rsidR="001614AC" w14:paraId="43230C82" w14:textId="77777777">
        <w:trPr>
          <w:cantSplit/>
        </w:trPr>
        <w:tc>
          <w:tcPr>
            <w:tcW w:w="5640" w:type="dxa"/>
            <w:tcBorders>
              <w:top w:val="single" w:sz="8" w:space="0" w:color="E9E9E9"/>
              <w:left w:val="nil"/>
              <w:bottom w:val="single" w:sz="8" w:space="0" w:color="E9E9E9"/>
              <w:right w:val="nil"/>
            </w:tcBorders>
            <w:tcMar>
              <w:top w:w="0" w:type="dxa"/>
              <w:left w:w="53" w:type="dxa"/>
              <w:bottom w:w="0" w:type="dxa"/>
              <w:right w:w="53" w:type="dxa"/>
            </w:tcMar>
            <w:vAlign w:val="bottom"/>
          </w:tcPr>
          <w:p w14:paraId="16222111" w14:textId="77777777" w:rsidR="001614AC" w:rsidRDefault="004468F9">
            <w:pPr>
              <w:spacing w:before="55" w:after="30" w:line="288" w:lineRule="auto"/>
            </w:pPr>
            <w:r>
              <w:rPr>
                <w:rFonts w:ascii="Arial" w:eastAsia="Arial" w:hAnsi="Arial" w:cs="Arial"/>
                <w:color w:val="000000"/>
                <w:sz w:val="18"/>
              </w:rPr>
              <w:t>Average primary IIF (in billions)</w:t>
            </w:r>
          </w:p>
        </w:tc>
        <w:tc>
          <w:tcPr>
            <w:tcW w:w="105" w:type="dxa"/>
            <w:tcBorders>
              <w:top w:val="nil"/>
              <w:left w:val="nil"/>
              <w:bottom w:val="nil"/>
              <w:right w:val="nil"/>
            </w:tcBorders>
            <w:tcMar>
              <w:top w:w="0" w:type="dxa"/>
              <w:left w:w="0" w:type="dxa"/>
              <w:bottom w:w="0" w:type="dxa"/>
              <w:right w:w="0" w:type="dxa"/>
            </w:tcMar>
            <w:vAlign w:val="bottom"/>
          </w:tcPr>
          <w:p w14:paraId="365B50A9" w14:textId="77777777" w:rsidR="001614AC" w:rsidRDefault="001614AC"/>
        </w:tc>
        <w:tc>
          <w:tcPr>
            <w:tcW w:w="160" w:type="dxa"/>
            <w:tcBorders>
              <w:top w:val="single" w:sz="8" w:space="0" w:color="E9E9E9"/>
              <w:left w:val="nil"/>
              <w:bottom w:val="single" w:sz="8" w:space="0" w:color="E9E9E9"/>
              <w:right w:val="nil"/>
            </w:tcBorders>
            <w:tcMar>
              <w:top w:w="0" w:type="dxa"/>
              <w:left w:w="53" w:type="dxa"/>
              <w:bottom w:w="0" w:type="dxa"/>
              <w:right w:w="0" w:type="dxa"/>
            </w:tcMar>
            <w:vAlign w:val="bottom"/>
          </w:tcPr>
          <w:p w14:paraId="683221CF" w14:textId="77777777" w:rsidR="001614AC" w:rsidRDefault="004468F9">
            <w:pPr>
              <w:spacing w:before="55" w:after="30" w:line="288" w:lineRule="auto"/>
            </w:pPr>
            <w:r>
              <w:rPr>
                <w:rFonts w:ascii="Arial" w:eastAsia="Arial" w:hAnsi="Arial" w:cs="Arial"/>
                <w:color w:val="000000"/>
                <w:sz w:val="18"/>
              </w:rPr>
              <w:t>$</w:t>
            </w:r>
          </w:p>
        </w:tc>
        <w:tc>
          <w:tcPr>
            <w:tcW w:w="745" w:type="dxa"/>
            <w:tcBorders>
              <w:top w:val="single" w:sz="8" w:space="0" w:color="E9E9E9"/>
              <w:left w:val="nil"/>
              <w:bottom w:val="single" w:sz="8" w:space="0" w:color="E9E9E9"/>
              <w:right w:val="nil"/>
            </w:tcBorders>
            <w:tcMar>
              <w:top w:w="0" w:type="dxa"/>
              <w:left w:w="0" w:type="dxa"/>
              <w:bottom w:w="0" w:type="dxa"/>
              <w:right w:w="0" w:type="dxa"/>
            </w:tcMar>
            <w:vAlign w:val="bottom"/>
          </w:tcPr>
          <w:p w14:paraId="6647E7CD" w14:textId="77777777" w:rsidR="001614AC" w:rsidRDefault="004468F9">
            <w:pPr>
              <w:spacing w:before="55" w:after="30" w:line="288" w:lineRule="auto"/>
              <w:jc w:val="right"/>
            </w:pPr>
            <w:r>
              <w:rPr>
                <w:rFonts w:ascii="Arial" w:eastAsia="Arial" w:hAnsi="Arial" w:cs="Arial"/>
                <w:color w:val="000000"/>
                <w:sz w:val="18"/>
              </w:rPr>
              <w:t>238.1 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6F9488FF" w14:textId="77777777" w:rsidR="001614AC" w:rsidRDefault="001614AC">
            <w:pPr>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3058A390" w14:textId="77777777" w:rsidR="001614AC" w:rsidRDefault="001614AC"/>
        </w:tc>
        <w:tc>
          <w:tcPr>
            <w:tcW w:w="160" w:type="dxa"/>
            <w:tcBorders>
              <w:top w:val="single" w:sz="8" w:space="0" w:color="E9E9E9"/>
              <w:left w:val="nil"/>
              <w:bottom w:val="single" w:sz="8" w:space="0" w:color="E9E9E9"/>
              <w:right w:val="nil"/>
            </w:tcBorders>
            <w:tcMar>
              <w:top w:w="0" w:type="dxa"/>
              <w:left w:w="53" w:type="dxa"/>
              <w:bottom w:w="0" w:type="dxa"/>
              <w:right w:w="0" w:type="dxa"/>
            </w:tcMar>
            <w:vAlign w:val="bottom"/>
          </w:tcPr>
          <w:p w14:paraId="538787C7" w14:textId="77777777" w:rsidR="001614AC" w:rsidRDefault="004468F9">
            <w:pPr>
              <w:spacing w:before="55" w:after="30" w:line="288" w:lineRule="auto"/>
            </w:pPr>
            <w:r>
              <w:rPr>
                <w:rFonts w:ascii="Arial" w:eastAsia="Arial" w:hAnsi="Arial" w:cs="Arial"/>
                <w:color w:val="000000"/>
                <w:sz w:val="18"/>
              </w:rPr>
              <w:t>$</w:t>
            </w:r>
          </w:p>
        </w:tc>
        <w:tc>
          <w:tcPr>
            <w:tcW w:w="745" w:type="dxa"/>
            <w:tcBorders>
              <w:top w:val="single" w:sz="8" w:space="0" w:color="E9E9E9"/>
              <w:left w:val="nil"/>
              <w:bottom w:val="single" w:sz="8" w:space="0" w:color="E9E9E9"/>
              <w:right w:val="nil"/>
            </w:tcBorders>
            <w:tcMar>
              <w:top w:w="0" w:type="dxa"/>
              <w:left w:w="0" w:type="dxa"/>
              <w:bottom w:w="0" w:type="dxa"/>
              <w:right w:w="0" w:type="dxa"/>
            </w:tcMar>
            <w:vAlign w:val="bottom"/>
          </w:tcPr>
          <w:p w14:paraId="1170CD8A" w14:textId="77777777" w:rsidR="001614AC" w:rsidRDefault="004468F9">
            <w:pPr>
              <w:spacing w:before="55" w:after="30" w:line="288" w:lineRule="auto"/>
              <w:jc w:val="right"/>
            </w:pPr>
            <w:r>
              <w:rPr>
                <w:rFonts w:ascii="Arial" w:eastAsia="Arial" w:hAnsi="Arial" w:cs="Arial"/>
                <w:color w:val="000000"/>
                <w:sz w:val="18"/>
              </w:rPr>
              <w:t>241.5 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2F89DE5B" w14:textId="77777777" w:rsidR="001614AC" w:rsidRDefault="001614AC">
            <w:pPr>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57241DE0" w14:textId="77777777" w:rsidR="001614AC" w:rsidRDefault="001614AC"/>
        </w:tc>
        <w:tc>
          <w:tcPr>
            <w:tcW w:w="160" w:type="dxa"/>
            <w:tcBorders>
              <w:top w:val="single" w:sz="8" w:space="0" w:color="E9E9E9"/>
              <w:left w:val="nil"/>
              <w:bottom w:val="single" w:sz="8" w:space="0" w:color="E9E9E9"/>
              <w:right w:val="nil"/>
            </w:tcBorders>
            <w:tcMar>
              <w:top w:w="0" w:type="dxa"/>
              <w:left w:w="53" w:type="dxa"/>
              <w:bottom w:w="0" w:type="dxa"/>
              <w:right w:w="0" w:type="dxa"/>
            </w:tcMar>
            <w:vAlign w:val="bottom"/>
          </w:tcPr>
          <w:p w14:paraId="1F9B0BE5" w14:textId="77777777" w:rsidR="001614AC" w:rsidRDefault="004468F9">
            <w:pPr>
              <w:spacing w:before="55" w:after="30" w:line="288" w:lineRule="auto"/>
            </w:pPr>
            <w:r>
              <w:rPr>
                <w:rFonts w:ascii="Arial" w:eastAsia="Arial" w:hAnsi="Arial" w:cs="Arial"/>
                <w:color w:val="000000"/>
                <w:sz w:val="18"/>
              </w:rPr>
              <w:t>$</w:t>
            </w:r>
          </w:p>
        </w:tc>
        <w:tc>
          <w:tcPr>
            <w:tcW w:w="745" w:type="dxa"/>
            <w:tcBorders>
              <w:top w:val="single" w:sz="8" w:space="0" w:color="E9E9E9"/>
              <w:left w:val="nil"/>
              <w:bottom w:val="single" w:sz="8" w:space="0" w:color="E9E9E9"/>
              <w:right w:val="nil"/>
            </w:tcBorders>
            <w:tcMar>
              <w:top w:w="0" w:type="dxa"/>
              <w:left w:w="0" w:type="dxa"/>
              <w:bottom w:w="0" w:type="dxa"/>
              <w:right w:w="0" w:type="dxa"/>
            </w:tcMar>
            <w:vAlign w:val="bottom"/>
          </w:tcPr>
          <w:p w14:paraId="1A240ACA" w14:textId="77777777" w:rsidR="001614AC" w:rsidRDefault="004468F9">
            <w:pPr>
              <w:spacing w:before="55" w:after="30" w:line="288" w:lineRule="auto"/>
              <w:jc w:val="right"/>
            </w:pPr>
            <w:r>
              <w:rPr>
                <w:rFonts w:ascii="Arial" w:eastAsia="Arial" w:hAnsi="Arial" w:cs="Arial"/>
                <w:color w:val="000000"/>
                <w:sz w:val="18"/>
              </w:rPr>
              <w:t>241.7 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73BE9C81" w14:textId="77777777" w:rsidR="001614AC" w:rsidRDefault="001614AC">
            <w:pPr>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7286F8BF" w14:textId="77777777" w:rsidR="001614AC" w:rsidRDefault="001614AC"/>
        </w:tc>
        <w:tc>
          <w:tcPr>
            <w:tcW w:w="160" w:type="dxa"/>
            <w:tcBorders>
              <w:top w:val="single" w:sz="8" w:space="0" w:color="E9E9E9"/>
              <w:left w:val="nil"/>
              <w:bottom w:val="single" w:sz="8" w:space="0" w:color="E9E9E9"/>
              <w:right w:val="nil"/>
            </w:tcBorders>
            <w:tcMar>
              <w:top w:w="0" w:type="dxa"/>
              <w:left w:w="53" w:type="dxa"/>
              <w:bottom w:w="0" w:type="dxa"/>
              <w:right w:w="0" w:type="dxa"/>
            </w:tcMar>
            <w:vAlign w:val="bottom"/>
          </w:tcPr>
          <w:p w14:paraId="3F01A934" w14:textId="77777777" w:rsidR="001614AC" w:rsidRDefault="004468F9">
            <w:pPr>
              <w:spacing w:before="55" w:after="30" w:line="288" w:lineRule="auto"/>
            </w:pPr>
            <w:r>
              <w:rPr>
                <w:rFonts w:ascii="Arial" w:eastAsia="Arial" w:hAnsi="Arial" w:cs="Arial"/>
                <w:color w:val="000000"/>
                <w:sz w:val="18"/>
              </w:rPr>
              <w:t>$</w:t>
            </w:r>
          </w:p>
        </w:tc>
        <w:tc>
          <w:tcPr>
            <w:tcW w:w="745" w:type="dxa"/>
            <w:tcBorders>
              <w:top w:val="single" w:sz="8" w:space="0" w:color="E9E9E9"/>
              <w:left w:val="nil"/>
              <w:bottom w:val="single" w:sz="8" w:space="0" w:color="E9E9E9"/>
              <w:right w:val="nil"/>
            </w:tcBorders>
            <w:tcMar>
              <w:top w:w="0" w:type="dxa"/>
              <w:left w:w="0" w:type="dxa"/>
              <w:bottom w:w="0" w:type="dxa"/>
              <w:right w:w="0" w:type="dxa"/>
            </w:tcMar>
            <w:vAlign w:val="bottom"/>
          </w:tcPr>
          <w:p w14:paraId="3DC5066F" w14:textId="77777777" w:rsidR="001614AC" w:rsidRDefault="004468F9">
            <w:pPr>
              <w:spacing w:before="55" w:after="30" w:line="288" w:lineRule="auto"/>
              <w:jc w:val="right"/>
            </w:pPr>
            <w:r>
              <w:rPr>
                <w:rFonts w:ascii="Arial" w:eastAsia="Arial" w:hAnsi="Arial" w:cs="Arial"/>
                <w:color w:val="000000"/>
                <w:sz w:val="18"/>
              </w:rPr>
              <w:t>240.9 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4A94A24C" w14:textId="77777777" w:rsidR="001614AC" w:rsidRDefault="001614AC">
            <w:pPr>
              <w:spacing w:before="55" w:after="30" w:line="288" w:lineRule="auto"/>
              <w:jc w:val="right"/>
            </w:pPr>
          </w:p>
        </w:tc>
      </w:tr>
    </w:tbl>
    <w:p w14:paraId="32A3BB55" w14:textId="77777777" w:rsidR="001614AC" w:rsidRDefault="004468F9" w:rsidP="004468F9">
      <w:pPr>
        <w:numPr>
          <w:ilvl w:val="0"/>
          <w:numId w:val="35"/>
        </w:numPr>
        <w:spacing w:line="288" w:lineRule="auto"/>
        <w:ind w:left="360"/>
        <w:rPr>
          <w:rFonts w:ascii="Arial" w:eastAsia="Arial" w:hAnsi="Arial" w:cs="Arial"/>
          <w:b/>
          <w:color w:val="64615D"/>
          <w:sz w:val="16"/>
          <w:shd w:val="clear" w:color="auto" w:fill="FFFFFF"/>
        </w:rPr>
      </w:pPr>
      <w:r>
        <w:rPr>
          <w:rFonts w:ascii="Arial" w:eastAsia="Arial" w:hAnsi="Arial" w:cs="Arial"/>
          <w:color w:val="64615D"/>
          <w:sz w:val="16"/>
        </w:rPr>
        <w:t>Primarily includes premiums earned from our participation in certain credit risk transfer prog</w:t>
      </w:r>
      <w:r>
        <w:rPr>
          <w:rFonts w:ascii="Arial" w:eastAsia="Arial" w:hAnsi="Arial" w:cs="Arial"/>
          <w:color w:val="64615D"/>
          <w:sz w:val="16"/>
        </w:rPr>
        <w:t>rams.</w:t>
      </w:r>
    </w:p>
    <w:p w14:paraId="4E567921" w14:textId="77777777" w:rsidR="001614AC" w:rsidRDefault="004468F9" w:rsidP="004468F9">
      <w:pPr>
        <w:numPr>
          <w:ilvl w:val="0"/>
          <w:numId w:val="35"/>
        </w:numPr>
        <w:spacing w:line="288" w:lineRule="auto"/>
        <w:ind w:left="360"/>
        <w:rPr>
          <w:rFonts w:ascii="Arial" w:eastAsia="Arial" w:hAnsi="Arial" w:cs="Arial"/>
          <w:b/>
          <w:color w:val="64615D"/>
          <w:sz w:val="16"/>
          <w:shd w:val="clear" w:color="auto" w:fill="FFFFFF"/>
        </w:rPr>
      </w:pPr>
      <w:r>
        <w:rPr>
          <w:rFonts w:ascii="Arial" w:eastAsia="Arial" w:hAnsi="Arial" w:cs="Arial"/>
          <w:color w:val="64615D"/>
          <w:sz w:val="16"/>
        </w:rPr>
        <w:t>Includes the impact of related profit commissions.</w:t>
      </w:r>
    </w:p>
    <w:p w14:paraId="6671CB3E" w14:textId="77777777" w:rsidR="001614AC" w:rsidRDefault="004468F9" w:rsidP="004468F9">
      <w:pPr>
        <w:numPr>
          <w:ilvl w:val="0"/>
          <w:numId w:val="35"/>
        </w:numPr>
        <w:spacing w:line="288" w:lineRule="auto"/>
        <w:ind w:left="360"/>
        <w:rPr>
          <w:rFonts w:ascii="Arial" w:eastAsia="Arial" w:hAnsi="Arial" w:cs="Arial"/>
          <w:b/>
          <w:color w:val="64615D"/>
          <w:sz w:val="16"/>
          <w:shd w:val="clear" w:color="auto" w:fill="FFFFFF"/>
        </w:rPr>
      </w:pPr>
      <w:r>
        <w:rPr>
          <w:rFonts w:ascii="Arial" w:eastAsia="Arial" w:hAnsi="Arial" w:cs="Arial"/>
          <w:color w:val="64615D"/>
          <w:sz w:val="16"/>
        </w:rPr>
        <w:t>Represents the profit commission on the Single Premium QSR Program, excluding the impact of Single Premium Policy cancellations.</w:t>
      </w:r>
    </w:p>
    <w:p w14:paraId="368EE4B6" w14:textId="77777777" w:rsidR="001614AC" w:rsidRDefault="004468F9" w:rsidP="004468F9">
      <w:pPr>
        <w:numPr>
          <w:ilvl w:val="0"/>
          <w:numId w:val="35"/>
        </w:numPr>
        <w:spacing w:line="288" w:lineRule="auto"/>
        <w:ind w:left="360"/>
        <w:rPr>
          <w:rFonts w:ascii="Arial" w:eastAsia="Arial" w:hAnsi="Arial" w:cs="Arial"/>
          <w:b/>
          <w:color w:val="64615D"/>
          <w:sz w:val="16"/>
          <w:shd w:val="clear" w:color="auto" w:fill="FFFFFF"/>
        </w:rPr>
      </w:pPr>
      <w:r>
        <w:rPr>
          <w:rFonts w:ascii="Arial" w:eastAsia="Arial" w:hAnsi="Arial" w:cs="Arial"/>
          <w:color w:val="64615D"/>
          <w:sz w:val="16"/>
        </w:rPr>
        <w:t>Calculated by dividing annualized direct premiums earned, including as</w:t>
      </w:r>
      <w:r>
        <w:rPr>
          <w:rFonts w:ascii="Arial" w:eastAsia="Arial" w:hAnsi="Arial" w:cs="Arial"/>
          <w:color w:val="64615D"/>
          <w:sz w:val="16"/>
        </w:rPr>
        <w:t>sumed revenue and excluding revenue from cancellations, by average primary IIF.</w:t>
      </w:r>
    </w:p>
    <w:p w14:paraId="22E8F622" w14:textId="77777777" w:rsidR="001614AC" w:rsidRDefault="004468F9" w:rsidP="004468F9">
      <w:pPr>
        <w:numPr>
          <w:ilvl w:val="0"/>
          <w:numId w:val="35"/>
        </w:numPr>
        <w:spacing w:line="288" w:lineRule="auto"/>
        <w:ind w:left="360"/>
        <w:rPr>
          <w:rFonts w:ascii="Arial" w:eastAsia="Arial" w:hAnsi="Arial" w:cs="Arial"/>
          <w:b/>
          <w:color w:val="64615D"/>
          <w:sz w:val="16"/>
          <w:shd w:val="clear" w:color="auto" w:fill="FFFFFF"/>
        </w:rPr>
      </w:pPr>
      <w:r>
        <w:rPr>
          <w:rFonts w:ascii="Arial" w:eastAsia="Arial" w:hAnsi="Arial" w:cs="Arial"/>
          <w:color w:val="64615D"/>
          <w:sz w:val="16"/>
        </w:rPr>
        <w:t xml:space="preserve">Calculated by dividing annualized net premiums earned by average primary IIF. </w:t>
      </w:r>
    </w:p>
    <w:p w14:paraId="5E372BEC" w14:textId="77777777" w:rsidR="001614AC" w:rsidRDefault="004468F9">
      <w:pPr>
        <w:spacing w:before="200" w:after="120" w:line="288" w:lineRule="auto"/>
        <w:ind w:firstLine="449"/>
        <w:rPr>
          <w:rFonts w:ascii="Arial" w:eastAsia="Arial" w:hAnsi="Arial" w:cs="Arial"/>
          <w:b/>
          <w:color w:val="4D6B80"/>
          <w:sz w:val="22"/>
          <w:shd w:val="clear" w:color="auto" w:fill="FFFF00"/>
        </w:rPr>
      </w:pPr>
      <w:r>
        <w:rPr>
          <w:rFonts w:ascii="Arial" w:eastAsia="Arial" w:hAnsi="Arial" w:cs="Arial"/>
          <w:sz w:val="18"/>
        </w:rPr>
        <w:t>Net premiums earned decreased for the three and six months ended June 30, 2021 compared to the sa</w:t>
      </w:r>
      <w:r>
        <w:rPr>
          <w:rFonts w:ascii="Arial" w:eastAsia="Arial" w:hAnsi="Arial" w:cs="Arial"/>
          <w:sz w:val="18"/>
        </w:rPr>
        <w:t>me periods in 2020, primarily due to: (i) a decrease in premiums earned on our in-force Single Premium Policies and Monthly Premium Policies and (ii) a decrease in the impact, net of reinsurance, from Single Premium Policy cancellations related to decrease</w:t>
      </w:r>
      <w:r>
        <w:rPr>
          <w:rFonts w:ascii="Arial" w:eastAsia="Arial" w:hAnsi="Arial" w:cs="Arial"/>
          <w:sz w:val="18"/>
        </w:rPr>
        <w:t>d refinance activity, as compared to the same period in 2020. These decreases were partially offset by a decrease in ceded premiums, which were elevated in 2020 due to reduced profit commissions as a result of higher ceded losses in 2020.</w:t>
      </w:r>
    </w:p>
    <w:p w14:paraId="059CF812" w14:textId="77777777" w:rsidR="001614AC" w:rsidRDefault="004468F9">
      <w:pPr>
        <w:spacing w:before="100" w:after="100" w:line="288" w:lineRule="auto"/>
        <w:ind w:firstLine="450"/>
        <w:rPr>
          <w:rFonts w:ascii="Arial" w:eastAsia="Arial" w:hAnsi="Arial" w:cs="Arial"/>
          <w:b/>
          <w:color w:val="64615D"/>
          <w:sz w:val="18"/>
          <w:shd w:val="clear" w:color="auto" w:fill="FFFFFF"/>
        </w:rPr>
      </w:pPr>
      <w:r>
        <w:rPr>
          <w:rFonts w:ascii="Arial" w:eastAsia="Arial" w:hAnsi="Arial" w:cs="Arial"/>
          <w:sz w:val="18"/>
        </w:rPr>
        <w:t>The level of mort</w:t>
      </w:r>
      <w:r>
        <w:rPr>
          <w:rFonts w:ascii="Arial" w:eastAsia="Arial" w:hAnsi="Arial" w:cs="Arial"/>
          <w:sz w:val="18"/>
        </w:rPr>
        <w:t>gage prepayments affects the revenue ultimately produced by our mortgage insurance business and is influenced by the mix of business we write. We believe that writing a mix of Single Premium Policies and Monthly Premium Policies has the potential to modera</w:t>
      </w:r>
      <w:r>
        <w:rPr>
          <w:rFonts w:ascii="Arial" w:eastAsia="Arial" w:hAnsi="Arial" w:cs="Arial"/>
          <w:sz w:val="18"/>
        </w:rPr>
        <w:t>te the overall impact on our results if actual prepayments are significantly different from expectations. However, the impact of this moderating effect is affected by the amount of reinsurance we obtain on portions of our portfolio, with the Single Premium</w:t>
      </w:r>
      <w:r>
        <w:rPr>
          <w:rFonts w:ascii="Arial" w:eastAsia="Arial" w:hAnsi="Arial" w:cs="Arial"/>
          <w:sz w:val="18"/>
        </w:rPr>
        <w:t xml:space="preserve"> QSR Program currently reducing the proportion of retained Single Premium Policies in our portfolio. See “Item 7. Management’s Discussion and Analysis of Financial Condition and Results of Operations</w:t>
      </w:r>
      <w:r>
        <w:rPr>
          <w:rFonts w:ascii="Arial" w:eastAsia="Arial" w:hAnsi="Arial" w:cs="Arial"/>
          <w:i/>
          <w:sz w:val="18"/>
        </w:rPr>
        <w:t>—</w:t>
      </w:r>
      <w:r>
        <w:rPr>
          <w:rFonts w:ascii="Arial" w:eastAsia="Arial" w:hAnsi="Arial" w:cs="Arial"/>
          <w:sz w:val="18"/>
        </w:rPr>
        <w:t>Key Factors Affecting Our Results</w:t>
      </w:r>
      <w:r>
        <w:rPr>
          <w:rFonts w:ascii="Arial" w:eastAsia="Arial" w:hAnsi="Arial" w:cs="Arial"/>
          <w:i/>
          <w:sz w:val="18"/>
        </w:rPr>
        <w:t>—</w:t>
      </w:r>
      <w:r>
        <w:rPr>
          <w:rFonts w:ascii="Arial" w:eastAsia="Arial" w:hAnsi="Arial" w:cs="Arial"/>
          <w:sz w:val="18"/>
        </w:rPr>
        <w:t>Mortgage—IIF and Relat</w:t>
      </w:r>
      <w:r>
        <w:rPr>
          <w:rFonts w:ascii="Arial" w:eastAsia="Arial" w:hAnsi="Arial" w:cs="Arial"/>
          <w:sz w:val="18"/>
        </w:rPr>
        <w:t>ed Drivers” in our 2020 Form 10-K for more information.</w:t>
      </w:r>
    </w:p>
    <w:p w14:paraId="71E57D43" w14:textId="77777777" w:rsidR="001614AC" w:rsidRDefault="004468F9">
      <w:pPr>
        <w:keepNext/>
        <w:spacing w:before="100" w:after="100" w:line="288" w:lineRule="auto"/>
        <w:ind w:firstLine="450"/>
        <w:rPr>
          <w:rFonts w:ascii="Arial" w:eastAsia="Arial" w:hAnsi="Arial" w:cs="Arial"/>
          <w:b/>
          <w:i/>
          <w:color w:val="64615D"/>
          <w:sz w:val="18"/>
          <w:shd w:val="clear" w:color="auto" w:fill="B6B6B6"/>
        </w:rPr>
      </w:pPr>
      <w:r>
        <w:rPr>
          <w:rFonts w:ascii="Arial" w:eastAsia="Arial" w:hAnsi="Arial" w:cs="Arial"/>
          <w:sz w:val="18"/>
        </w:rPr>
        <w:lastRenderedPageBreak/>
        <w:t>The following table provides information related to the premium impact of our reinsurance transactions. See Note 8 of Notes to Unaudited Condensed Consolidated Financial Statements for more information about our reinsurance programs.</w:t>
      </w:r>
    </w:p>
    <w:tbl>
      <w:tblPr>
        <w:tblW w:w="102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57"/>
        <w:gridCol w:w="104"/>
        <w:gridCol w:w="160"/>
        <w:gridCol w:w="742"/>
        <w:gridCol w:w="176"/>
        <w:gridCol w:w="103"/>
        <w:gridCol w:w="160"/>
        <w:gridCol w:w="742"/>
        <w:gridCol w:w="176"/>
        <w:gridCol w:w="103"/>
        <w:gridCol w:w="160"/>
        <w:gridCol w:w="742"/>
        <w:gridCol w:w="176"/>
        <w:gridCol w:w="103"/>
        <w:gridCol w:w="160"/>
        <w:gridCol w:w="742"/>
        <w:gridCol w:w="176"/>
      </w:tblGrid>
      <w:tr w:rsidR="001614AC" w14:paraId="7B494F1B" w14:textId="77777777">
        <w:trPr>
          <w:cantSplit/>
        </w:trPr>
        <w:tc>
          <w:tcPr>
            <w:tcW w:w="10080" w:type="dxa"/>
            <w:gridSpan w:val="17"/>
            <w:tcBorders>
              <w:top w:val="nil"/>
              <w:left w:val="nil"/>
              <w:bottom w:val="single" w:sz="12" w:space="0" w:color="99AAB6"/>
              <w:right w:val="nil"/>
            </w:tcBorders>
            <w:tcMar>
              <w:top w:w="0" w:type="dxa"/>
              <w:left w:w="53" w:type="dxa"/>
              <w:bottom w:w="0" w:type="dxa"/>
              <w:right w:w="53" w:type="dxa"/>
            </w:tcMar>
            <w:vAlign w:val="bottom"/>
          </w:tcPr>
          <w:p w14:paraId="0C03726C" w14:textId="77777777" w:rsidR="001614AC" w:rsidRDefault="004468F9">
            <w:pPr>
              <w:keepNext/>
              <w:spacing w:before="75" w:after="30" w:line="288" w:lineRule="auto"/>
            </w:pPr>
            <w:r>
              <w:rPr>
                <w:rFonts w:ascii="Arial" w:eastAsia="Arial" w:hAnsi="Arial" w:cs="Arial"/>
                <w:b/>
                <w:color w:val="000000"/>
                <w:sz w:val="20"/>
              </w:rPr>
              <w:t>Ceded premiums earned</w:t>
            </w:r>
          </w:p>
        </w:tc>
      </w:tr>
      <w:tr w:rsidR="001614AC" w14:paraId="3EB96F47" w14:textId="77777777">
        <w:trPr>
          <w:cantSplit/>
          <w:trHeight w:hRule="exact" w:val="135"/>
        </w:trPr>
        <w:tc>
          <w:tcPr>
            <w:tcW w:w="5640" w:type="dxa"/>
            <w:tcBorders>
              <w:top w:val="nil"/>
              <w:left w:val="nil"/>
              <w:bottom w:val="nil"/>
              <w:right w:val="nil"/>
            </w:tcBorders>
            <w:tcMar>
              <w:top w:w="0" w:type="dxa"/>
              <w:left w:w="0" w:type="dxa"/>
              <w:bottom w:w="0" w:type="dxa"/>
              <w:right w:w="0" w:type="dxa"/>
            </w:tcMar>
            <w:vAlign w:val="bottom"/>
          </w:tcPr>
          <w:p w14:paraId="466CAFA7" w14:textId="77777777" w:rsidR="001614AC" w:rsidRDefault="001614AC">
            <w:pPr>
              <w:keepNext/>
            </w:pPr>
          </w:p>
        </w:tc>
        <w:tc>
          <w:tcPr>
            <w:tcW w:w="105" w:type="dxa"/>
            <w:tcBorders>
              <w:top w:val="single" w:sz="12" w:space="0" w:color="99AAB6"/>
              <w:left w:val="nil"/>
              <w:bottom w:val="nil"/>
              <w:right w:val="nil"/>
            </w:tcBorders>
            <w:tcMar>
              <w:top w:w="0" w:type="dxa"/>
              <w:left w:w="0" w:type="dxa"/>
              <w:bottom w:w="0" w:type="dxa"/>
              <w:right w:w="0" w:type="dxa"/>
            </w:tcMar>
            <w:vAlign w:val="bottom"/>
          </w:tcPr>
          <w:p w14:paraId="529B626C" w14:textId="77777777" w:rsidR="001614AC" w:rsidRDefault="001614AC">
            <w:pPr>
              <w:keepNext/>
            </w:pPr>
          </w:p>
        </w:tc>
        <w:tc>
          <w:tcPr>
            <w:tcW w:w="1005" w:type="dxa"/>
            <w:gridSpan w:val="3"/>
            <w:tcBorders>
              <w:top w:val="single" w:sz="12" w:space="0" w:color="99AAB6"/>
              <w:left w:val="nil"/>
              <w:bottom w:val="nil"/>
              <w:right w:val="nil"/>
            </w:tcBorders>
            <w:tcMar>
              <w:top w:w="0" w:type="dxa"/>
              <w:left w:w="0" w:type="dxa"/>
              <w:bottom w:w="0" w:type="dxa"/>
              <w:right w:w="0" w:type="dxa"/>
            </w:tcMar>
            <w:vAlign w:val="bottom"/>
          </w:tcPr>
          <w:p w14:paraId="2E1BB163" w14:textId="77777777" w:rsidR="001614AC" w:rsidRDefault="001614AC">
            <w:pPr>
              <w:keepNext/>
            </w:pPr>
          </w:p>
        </w:tc>
        <w:tc>
          <w:tcPr>
            <w:tcW w:w="105" w:type="dxa"/>
            <w:tcBorders>
              <w:top w:val="single" w:sz="12" w:space="0" w:color="99AAB6"/>
              <w:left w:val="nil"/>
              <w:bottom w:val="nil"/>
              <w:right w:val="nil"/>
            </w:tcBorders>
            <w:tcMar>
              <w:top w:w="0" w:type="dxa"/>
              <w:left w:w="0" w:type="dxa"/>
              <w:bottom w:w="0" w:type="dxa"/>
              <w:right w:w="0" w:type="dxa"/>
            </w:tcMar>
            <w:vAlign w:val="bottom"/>
          </w:tcPr>
          <w:p w14:paraId="7770E8DF" w14:textId="77777777" w:rsidR="001614AC" w:rsidRDefault="001614AC">
            <w:pPr>
              <w:keepNext/>
            </w:pPr>
          </w:p>
        </w:tc>
        <w:tc>
          <w:tcPr>
            <w:tcW w:w="1005" w:type="dxa"/>
            <w:gridSpan w:val="3"/>
            <w:tcBorders>
              <w:top w:val="single" w:sz="12" w:space="0" w:color="99AAB6"/>
              <w:left w:val="nil"/>
              <w:bottom w:val="nil"/>
              <w:right w:val="nil"/>
            </w:tcBorders>
            <w:tcMar>
              <w:top w:w="0" w:type="dxa"/>
              <w:left w:w="0" w:type="dxa"/>
              <w:bottom w:w="0" w:type="dxa"/>
              <w:right w:w="0" w:type="dxa"/>
            </w:tcMar>
            <w:vAlign w:val="bottom"/>
          </w:tcPr>
          <w:p w14:paraId="41A29EE9" w14:textId="77777777" w:rsidR="001614AC" w:rsidRDefault="001614AC">
            <w:pPr>
              <w:keepNext/>
            </w:pPr>
          </w:p>
        </w:tc>
        <w:tc>
          <w:tcPr>
            <w:tcW w:w="105" w:type="dxa"/>
            <w:tcBorders>
              <w:top w:val="single" w:sz="12" w:space="0" w:color="99AAB6"/>
              <w:left w:val="nil"/>
              <w:bottom w:val="nil"/>
              <w:right w:val="nil"/>
            </w:tcBorders>
            <w:tcMar>
              <w:top w:w="0" w:type="dxa"/>
              <w:left w:w="0" w:type="dxa"/>
              <w:bottom w:w="0" w:type="dxa"/>
              <w:right w:w="0" w:type="dxa"/>
            </w:tcMar>
            <w:vAlign w:val="bottom"/>
          </w:tcPr>
          <w:p w14:paraId="16B719B4" w14:textId="77777777" w:rsidR="001614AC" w:rsidRDefault="001614AC">
            <w:pPr>
              <w:keepNext/>
            </w:pPr>
          </w:p>
        </w:tc>
        <w:tc>
          <w:tcPr>
            <w:tcW w:w="1005" w:type="dxa"/>
            <w:gridSpan w:val="3"/>
            <w:tcBorders>
              <w:top w:val="single" w:sz="12" w:space="0" w:color="99AAB6"/>
              <w:left w:val="nil"/>
              <w:bottom w:val="nil"/>
              <w:right w:val="nil"/>
            </w:tcBorders>
            <w:tcMar>
              <w:top w:w="0" w:type="dxa"/>
              <w:left w:w="0" w:type="dxa"/>
              <w:bottom w:w="0" w:type="dxa"/>
              <w:right w:w="0" w:type="dxa"/>
            </w:tcMar>
            <w:vAlign w:val="bottom"/>
          </w:tcPr>
          <w:p w14:paraId="0961C5B1" w14:textId="77777777" w:rsidR="001614AC" w:rsidRDefault="001614AC">
            <w:pPr>
              <w:keepNext/>
            </w:pPr>
          </w:p>
        </w:tc>
        <w:tc>
          <w:tcPr>
            <w:tcW w:w="105" w:type="dxa"/>
            <w:tcBorders>
              <w:top w:val="single" w:sz="12" w:space="0" w:color="99AAB6"/>
              <w:left w:val="nil"/>
              <w:bottom w:val="nil"/>
              <w:right w:val="nil"/>
            </w:tcBorders>
            <w:tcMar>
              <w:top w:w="0" w:type="dxa"/>
              <w:left w:w="0" w:type="dxa"/>
              <w:bottom w:w="0" w:type="dxa"/>
              <w:right w:w="0" w:type="dxa"/>
            </w:tcMar>
            <w:vAlign w:val="bottom"/>
          </w:tcPr>
          <w:p w14:paraId="06E9CCBA" w14:textId="77777777" w:rsidR="001614AC" w:rsidRDefault="001614AC">
            <w:pPr>
              <w:keepNext/>
            </w:pPr>
          </w:p>
        </w:tc>
        <w:tc>
          <w:tcPr>
            <w:tcW w:w="1005" w:type="dxa"/>
            <w:gridSpan w:val="3"/>
            <w:tcBorders>
              <w:top w:val="single" w:sz="12" w:space="0" w:color="99AAB6"/>
              <w:left w:val="nil"/>
              <w:bottom w:val="nil"/>
              <w:right w:val="nil"/>
            </w:tcBorders>
            <w:tcMar>
              <w:top w:w="0" w:type="dxa"/>
              <w:left w:w="0" w:type="dxa"/>
              <w:bottom w:w="0" w:type="dxa"/>
              <w:right w:w="0" w:type="dxa"/>
            </w:tcMar>
            <w:vAlign w:val="bottom"/>
          </w:tcPr>
          <w:p w14:paraId="525FC29A" w14:textId="77777777" w:rsidR="001614AC" w:rsidRDefault="001614AC">
            <w:pPr>
              <w:keepNext/>
            </w:pPr>
          </w:p>
        </w:tc>
      </w:tr>
      <w:tr w:rsidR="001614AC" w14:paraId="08C7A887" w14:textId="77777777">
        <w:trPr>
          <w:cantSplit/>
        </w:trPr>
        <w:tc>
          <w:tcPr>
            <w:tcW w:w="5640" w:type="dxa"/>
            <w:tcBorders>
              <w:top w:val="nil"/>
              <w:left w:val="nil"/>
              <w:bottom w:val="nil"/>
              <w:right w:val="nil"/>
            </w:tcBorders>
            <w:tcMar>
              <w:top w:w="0" w:type="dxa"/>
              <w:left w:w="0" w:type="dxa"/>
              <w:bottom w:w="0" w:type="dxa"/>
              <w:right w:w="0" w:type="dxa"/>
            </w:tcMar>
            <w:vAlign w:val="bottom"/>
          </w:tcPr>
          <w:p w14:paraId="6AEECEC2" w14:textId="77777777" w:rsidR="001614AC" w:rsidRDefault="001614AC">
            <w:pPr>
              <w:keepNext/>
            </w:pPr>
          </w:p>
        </w:tc>
        <w:tc>
          <w:tcPr>
            <w:tcW w:w="105" w:type="dxa"/>
            <w:tcBorders>
              <w:top w:val="nil"/>
              <w:left w:val="nil"/>
              <w:bottom w:val="nil"/>
              <w:right w:val="nil"/>
            </w:tcBorders>
            <w:tcMar>
              <w:top w:w="0" w:type="dxa"/>
              <w:left w:w="0" w:type="dxa"/>
              <w:bottom w:w="0" w:type="dxa"/>
              <w:right w:w="0" w:type="dxa"/>
            </w:tcMar>
            <w:vAlign w:val="bottom"/>
          </w:tcPr>
          <w:p w14:paraId="667ECBC1" w14:textId="77777777" w:rsidR="001614AC" w:rsidRDefault="001614AC">
            <w:pPr>
              <w:keepNext/>
            </w:pPr>
          </w:p>
        </w:tc>
        <w:tc>
          <w:tcPr>
            <w:tcW w:w="2115" w:type="dxa"/>
            <w:gridSpan w:val="7"/>
            <w:tcBorders>
              <w:top w:val="nil"/>
              <w:left w:val="nil"/>
              <w:bottom w:val="single" w:sz="8" w:space="0" w:color="FFFFFF"/>
              <w:right w:val="nil"/>
            </w:tcBorders>
            <w:tcMar>
              <w:top w:w="0" w:type="dxa"/>
              <w:left w:w="53" w:type="dxa"/>
              <w:bottom w:w="0" w:type="dxa"/>
              <w:right w:w="53" w:type="dxa"/>
            </w:tcMar>
            <w:vAlign w:val="bottom"/>
          </w:tcPr>
          <w:p w14:paraId="295B9EE1" w14:textId="77777777" w:rsidR="001614AC" w:rsidRDefault="004468F9">
            <w:pPr>
              <w:keepNext/>
              <w:spacing w:before="75" w:line="288" w:lineRule="auto"/>
              <w:jc w:val="center"/>
            </w:pPr>
            <w:r>
              <w:rPr>
                <w:rFonts w:ascii="Arial" w:eastAsia="Arial" w:hAnsi="Arial" w:cs="Arial"/>
                <w:b/>
                <w:color w:val="00BAB3"/>
                <w:sz w:val="18"/>
              </w:rPr>
              <w:t>Three Months Ended</w:t>
            </w:r>
          </w:p>
          <w:p w14:paraId="3AEAE991" w14:textId="77777777" w:rsidR="001614AC" w:rsidRDefault="004468F9">
            <w:pPr>
              <w:spacing w:after="30" w:line="288" w:lineRule="auto"/>
              <w:jc w:val="center"/>
            </w:pPr>
            <w:r>
              <w:rPr>
                <w:rFonts w:ascii="Arial" w:eastAsia="Arial" w:hAnsi="Arial" w:cs="Arial"/>
                <w:b/>
                <w:color w:val="00BAB3"/>
                <w:sz w:val="18"/>
              </w:rPr>
              <w:t>June 30,</w:t>
            </w:r>
          </w:p>
        </w:tc>
        <w:tc>
          <w:tcPr>
            <w:tcW w:w="105" w:type="dxa"/>
            <w:tcBorders>
              <w:top w:val="nil"/>
              <w:left w:val="nil"/>
              <w:bottom w:val="single" w:sz="8" w:space="0" w:color="FFFFFF"/>
              <w:right w:val="nil"/>
            </w:tcBorders>
            <w:tcMar>
              <w:top w:w="0" w:type="dxa"/>
              <w:left w:w="0" w:type="dxa"/>
              <w:bottom w:w="0" w:type="dxa"/>
              <w:right w:w="0" w:type="dxa"/>
            </w:tcMar>
            <w:vAlign w:val="bottom"/>
          </w:tcPr>
          <w:p w14:paraId="610F329F" w14:textId="77777777" w:rsidR="001614AC" w:rsidRDefault="001614AC">
            <w:pPr>
              <w:keepNext/>
            </w:pPr>
          </w:p>
        </w:tc>
        <w:tc>
          <w:tcPr>
            <w:tcW w:w="2115" w:type="dxa"/>
            <w:gridSpan w:val="7"/>
            <w:tcBorders>
              <w:top w:val="nil"/>
              <w:left w:val="nil"/>
              <w:bottom w:val="nil"/>
              <w:right w:val="nil"/>
            </w:tcBorders>
            <w:tcMar>
              <w:top w:w="0" w:type="dxa"/>
              <w:left w:w="53" w:type="dxa"/>
              <w:bottom w:w="0" w:type="dxa"/>
              <w:right w:w="53" w:type="dxa"/>
            </w:tcMar>
            <w:vAlign w:val="bottom"/>
          </w:tcPr>
          <w:p w14:paraId="1F15DA86" w14:textId="77777777" w:rsidR="001614AC" w:rsidRDefault="004468F9">
            <w:pPr>
              <w:keepNext/>
              <w:spacing w:before="75" w:line="288" w:lineRule="auto"/>
              <w:jc w:val="center"/>
            </w:pPr>
            <w:r>
              <w:rPr>
                <w:rFonts w:ascii="Arial" w:eastAsia="Arial" w:hAnsi="Arial" w:cs="Arial"/>
                <w:b/>
                <w:color w:val="00BAB3"/>
                <w:sz w:val="18"/>
              </w:rPr>
              <w:t>Six Months Ended</w:t>
            </w:r>
          </w:p>
          <w:p w14:paraId="246D1B93" w14:textId="77777777" w:rsidR="001614AC" w:rsidRDefault="004468F9">
            <w:pPr>
              <w:spacing w:after="30" w:line="288" w:lineRule="auto"/>
              <w:jc w:val="center"/>
            </w:pPr>
            <w:r>
              <w:rPr>
                <w:rFonts w:ascii="Arial" w:eastAsia="Arial" w:hAnsi="Arial" w:cs="Arial"/>
                <w:b/>
                <w:color w:val="00BAB3"/>
                <w:sz w:val="18"/>
              </w:rPr>
              <w:t>June 30,</w:t>
            </w:r>
          </w:p>
        </w:tc>
      </w:tr>
      <w:tr w:rsidR="001614AC" w14:paraId="5272675F" w14:textId="77777777">
        <w:trPr>
          <w:cantSplit/>
        </w:trPr>
        <w:tc>
          <w:tcPr>
            <w:tcW w:w="5640" w:type="dxa"/>
            <w:tcBorders>
              <w:top w:val="nil"/>
              <w:left w:val="nil"/>
              <w:bottom w:val="single" w:sz="8" w:space="0" w:color="C7C9C7"/>
              <w:right w:val="nil"/>
            </w:tcBorders>
            <w:tcMar>
              <w:top w:w="0" w:type="dxa"/>
              <w:left w:w="53" w:type="dxa"/>
              <w:bottom w:w="0" w:type="dxa"/>
              <w:right w:w="53" w:type="dxa"/>
            </w:tcMar>
            <w:vAlign w:val="bottom"/>
          </w:tcPr>
          <w:p w14:paraId="6E98F983" w14:textId="77777777" w:rsidR="001614AC" w:rsidRDefault="004468F9">
            <w:pPr>
              <w:keepNext/>
              <w:spacing w:before="75" w:after="30" w:line="288" w:lineRule="auto"/>
            </w:pPr>
            <w:r>
              <w:rPr>
                <w:rFonts w:ascii="Arial" w:eastAsia="Arial" w:hAnsi="Arial" w:cs="Arial"/>
                <w:color w:val="8B8886"/>
                <w:sz w:val="16"/>
              </w:rPr>
              <w:t>($ in thousands)</w:t>
            </w:r>
          </w:p>
        </w:tc>
        <w:tc>
          <w:tcPr>
            <w:tcW w:w="105" w:type="dxa"/>
            <w:tcBorders>
              <w:top w:val="nil"/>
              <w:left w:val="nil"/>
              <w:bottom w:val="single" w:sz="8" w:space="0" w:color="C7C9C7"/>
              <w:right w:val="nil"/>
            </w:tcBorders>
            <w:tcMar>
              <w:top w:w="0" w:type="dxa"/>
              <w:left w:w="0" w:type="dxa"/>
              <w:bottom w:w="0" w:type="dxa"/>
              <w:right w:w="0" w:type="dxa"/>
            </w:tcMar>
            <w:vAlign w:val="bottom"/>
          </w:tcPr>
          <w:p w14:paraId="7DA918D0" w14:textId="77777777" w:rsidR="001614AC" w:rsidRDefault="001614AC">
            <w:pPr>
              <w:keepNext/>
            </w:pPr>
          </w:p>
        </w:tc>
        <w:tc>
          <w:tcPr>
            <w:tcW w:w="1005" w:type="dxa"/>
            <w:gridSpan w:val="3"/>
            <w:tcBorders>
              <w:top w:val="nil"/>
              <w:left w:val="nil"/>
              <w:bottom w:val="single" w:sz="8" w:space="0" w:color="C7C9C7"/>
              <w:right w:val="nil"/>
            </w:tcBorders>
            <w:shd w:val="clear" w:color="auto" w:fill="E6F8F8"/>
            <w:tcMar>
              <w:top w:w="0" w:type="dxa"/>
              <w:left w:w="53" w:type="dxa"/>
              <w:bottom w:w="0" w:type="dxa"/>
              <w:right w:w="53" w:type="dxa"/>
            </w:tcMar>
            <w:vAlign w:val="bottom"/>
          </w:tcPr>
          <w:p w14:paraId="5B29D813" w14:textId="77777777" w:rsidR="001614AC" w:rsidRDefault="004468F9">
            <w:pPr>
              <w:keepNext/>
              <w:spacing w:before="55" w:after="30" w:line="288" w:lineRule="auto"/>
              <w:jc w:val="center"/>
            </w:pPr>
            <w:r>
              <w:rPr>
                <w:rFonts w:ascii="Arial" w:eastAsia="Arial" w:hAnsi="Arial" w:cs="Arial"/>
                <w:b/>
                <w:color w:val="00BAB3"/>
                <w:sz w:val="18"/>
              </w:rPr>
              <w:t>2021</w:t>
            </w:r>
          </w:p>
        </w:tc>
        <w:tc>
          <w:tcPr>
            <w:tcW w:w="105" w:type="dxa"/>
            <w:tcBorders>
              <w:top w:val="single" w:sz="8" w:space="0" w:color="FFFFFF"/>
              <w:left w:val="nil"/>
              <w:bottom w:val="single" w:sz="8" w:space="0" w:color="C7C9C7"/>
              <w:right w:val="nil"/>
            </w:tcBorders>
            <w:tcMar>
              <w:top w:w="0" w:type="dxa"/>
              <w:left w:w="0" w:type="dxa"/>
              <w:bottom w:w="0" w:type="dxa"/>
              <w:right w:w="0" w:type="dxa"/>
            </w:tcMar>
            <w:vAlign w:val="bottom"/>
          </w:tcPr>
          <w:p w14:paraId="6F533C1F" w14:textId="77777777" w:rsidR="001614AC" w:rsidRDefault="001614AC">
            <w:pPr>
              <w:keepNext/>
            </w:pPr>
          </w:p>
        </w:tc>
        <w:tc>
          <w:tcPr>
            <w:tcW w:w="1005" w:type="dxa"/>
            <w:gridSpan w:val="3"/>
            <w:tcBorders>
              <w:top w:val="single" w:sz="8" w:space="0" w:color="FFFFFF"/>
              <w:left w:val="nil"/>
              <w:bottom w:val="single" w:sz="8" w:space="0" w:color="C7C9C7"/>
              <w:right w:val="nil"/>
            </w:tcBorders>
            <w:shd w:val="clear" w:color="auto" w:fill="F4F4F4"/>
            <w:tcMar>
              <w:top w:w="0" w:type="dxa"/>
              <w:left w:w="53" w:type="dxa"/>
              <w:bottom w:w="0" w:type="dxa"/>
              <w:right w:w="53" w:type="dxa"/>
            </w:tcMar>
            <w:vAlign w:val="bottom"/>
          </w:tcPr>
          <w:p w14:paraId="67366EB1" w14:textId="77777777" w:rsidR="001614AC" w:rsidRDefault="004468F9">
            <w:pPr>
              <w:keepNext/>
              <w:spacing w:before="55" w:after="30" w:line="288" w:lineRule="auto"/>
              <w:jc w:val="center"/>
            </w:pPr>
            <w:r>
              <w:rPr>
                <w:rFonts w:ascii="Arial" w:eastAsia="Arial" w:hAnsi="Arial" w:cs="Arial"/>
                <w:b/>
                <w:color w:val="00BAB3"/>
                <w:sz w:val="18"/>
              </w:rPr>
              <w:t>2020</w:t>
            </w:r>
          </w:p>
        </w:tc>
        <w:tc>
          <w:tcPr>
            <w:tcW w:w="105" w:type="dxa"/>
            <w:tcBorders>
              <w:top w:val="single" w:sz="8" w:space="0" w:color="FFFFFF"/>
              <w:left w:val="nil"/>
              <w:bottom w:val="single" w:sz="8" w:space="0" w:color="C7C9C7"/>
              <w:right w:val="nil"/>
            </w:tcBorders>
            <w:tcMar>
              <w:top w:w="0" w:type="dxa"/>
              <w:left w:w="0" w:type="dxa"/>
              <w:bottom w:w="0" w:type="dxa"/>
              <w:right w:w="0" w:type="dxa"/>
            </w:tcMar>
            <w:vAlign w:val="bottom"/>
          </w:tcPr>
          <w:p w14:paraId="2E4158D7" w14:textId="77777777" w:rsidR="001614AC" w:rsidRDefault="001614AC">
            <w:pPr>
              <w:keepNext/>
            </w:pPr>
          </w:p>
        </w:tc>
        <w:tc>
          <w:tcPr>
            <w:tcW w:w="1005" w:type="dxa"/>
            <w:gridSpan w:val="3"/>
            <w:tcBorders>
              <w:top w:val="single" w:sz="8" w:space="0" w:color="FFFFFF"/>
              <w:left w:val="nil"/>
              <w:bottom w:val="single" w:sz="8" w:space="0" w:color="C7C9C7"/>
              <w:right w:val="nil"/>
            </w:tcBorders>
            <w:shd w:val="clear" w:color="auto" w:fill="E6F8F8"/>
            <w:tcMar>
              <w:top w:w="0" w:type="dxa"/>
              <w:left w:w="53" w:type="dxa"/>
              <w:bottom w:w="0" w:type="dxa"/>
              <w:right w:w="53" w:type="dxa"/>
            </w:tcMar>
            <w:vAlign w:val="bottom"/>
          </w:tcPr>
          <w:p w14:paraId="1BF9F019" w14:textId="77777777" w:rsidR="001614AC" w:rsidRDefault="004468F9">
            <w:pPr>
              <w:keepNext/>
              <w:spacing w:before="55" w:after="30" w:line="288" w:lineRule="auto"/>
              <w:jc w:val="center"/>
            </w:pPr>
            <w:r>
              <w:rPr>
                <w:rFonts w:ascii="Arial" w:eastAsia="Arial" w:hAnsi="Arial" w:cs="Arial"/>
                <w:b/>
                <w:color w:val="00BAB3"/>
                <w:sz w:val="18"/>
              </w:rPr>
              <w:t>2021</w:t>
            </w:r>
          </w:p>
        </w:tc>
        <w:tc>
          <w:tcPr>
            <w:tcW w:w="105" w:type="dxa"/>
            <w:tcBorders>
              <w:top w:val="single" w:sz="8" w:space="0" w:color="FFFFFF"/>
              <w:left w:val="nil"/>
              <w:bottom w:val="single" w:sz="8" w:space="0" w:color="C7C9C7"/>
              <w:right w:val="nil"/>
            </w:tcBorders>
            <w:tcMar>
              <w:top w:w="0" w:type="dxa"/>
              <w:left w:w="0" w:type="dxa"/>
              <w:bottom w:w="0" w:type="dxa"/>
              <w:right w:w="0" w:type="dxa"/>
            </w:tcMar>
            <w:vAlign w:val="bottom"/>
          </w:tcPr>
          <w:p w14:paraId="5E7CA734" w14:textId="77777777" w:rsidR="001614AC" w:rsidRDefault="001614AC">
            <w:pPr>
              <w:keepNext/>
            </w:pPr>
          </w:p>
        </w:tc>
        <w:tc>
          <w:tcPr>
            <w:tcW w:w="1005" w:type="dxa"/>
            <w:gridSpan w:val="3"/>
            <w:tcBorders>
              <w:top w:val="single" w:sz="8" w:space="0" w:color="FFFFFF"/>
              <w:left w:val="nil"/>
              <w:bottom w:val="single" w:sz="8" w:space="0" w:color="C7C9C7"/>
              <w:right w:val="nil"/>
            </w:tcBorders>
            <w:shd w:val="clear" w:color="auto" w:fill="F4F4F4"/>
            <w:tcMar>
              <w:top w:w="0" w:type="dxa"/>
              <w:left w:w="53" w:type="dxa"/>
              <w:bottom w:w="0" w:type="dxa"/>
              <w:right w:w="53" w:type="dxa"/>
            </w:tcMar>
            <w:vAlign w:val="bottom"/>
          </w:tcPr>
          <w:p w14:paraId="6F27519A" w14:textId="77777777" w:rsidR="001614AC" w:rsidRDefault="004468F9">
            <w:pPr>
              <w:keepNext/>
              <w:spacing w:before="55" w:after="30" w:line="288" w:lineRule="auto"/>
              <w:jc w:val="center"/>
            </w:pPr>
            <w:r>
              <w:rPr>
                <w:rFonts w:ascii="Arial" w:eastAsia="Arial" w:hAnsi="Arial" w:cs="Arial"/>
                <w:b/>
                <w:color w:val="00BAB3"/>
                <w:sz w:val="18"/>
              </w:rPr>
              <w:t>2020</w:t>
            </w:r>
          </w:p>
        </w:tc>
      </w:tr>
      <w:tr w:rsidR="001614AC" w14:paraId="4635110A" w14:textId="77777777">
        <w:trPr>
          <w:cantSplit/>
        </w:trPr>
        <w:tc>
          <w:tcPr>
            <w:tcW w:w="5640" w:type="dxa"/>
            <w:tcBorders>
              <w:top w:val="single" w:sz="8" w:space="0" w:color="C7C9C7"/>
              <w:left w:val="nil"/>
              <w:bottom w:val="single" w:sz="8" w:space="0" w:color="E9E9E9"/>
              <w:right w:val="nil"/>
            </w:tcBorders>
            <w:tcMar>
              <w:top w:w="0" w:type="dxa"/>
              <w:left w:w="53" w:type="dxa"/>
              <w:bottom w:w="0" w:type="dxa"/>
              <w:right w:w="53" w:type="dxa"/>
            </w:tcMar>
            <w:vAlign w:val="bottom"/>
          </w:tcPr>
          <w:p w14:paraId="09F48D0B" w14:textId="77777777" w:rsidR="001614AC" w:rsidRDefault="004468F9">
            <w:pPr>
              <w:keepNext/>
              <w:spacing w:before="55" w:after="30" w:line="288" w:lineRule="auto"/>
            </w:pPr>
            <w:r>
              <w:rPr>
                <w:rFonts w:ascii="Arial" w:eastAsia="Arial" w:hAnsi="Arial" w:cs="Arial"/>
                <w:color w:val="000000"/>
                <w:sz w:val="18"/>
              </w:rPr>
              <w:t>Single Premium QSR Program</w:t>
            </w:r>
          </w:p>
        </w:tc>
        <w:tc>
          <w:tcPr>
            <w:tcW w:w="105" w:type="dxa"/>
            <w:tcBorders>
              <w:top w:val="single" w:sz="8" w:space="0" w:color="C7C9C7"/>
              <w:left w:val="nil"/>
              <w:bottom w:val="nil"/>
              <w:right w:val="nil"/>
            </w:tcBorders>
            <w:tcMar>
              <w:top w:w="0" w:type="dxa"/>
              <w:left w:w="0" w:type="dxa"/>
              <w:bottom w:w="0" w:type="dxa"/>
              <w:right w:w="0" w:type="dxa"/>
            </w:tcMar>
            <w:vAlign w:val="bottom"/>
          </w:tcPr>
          <w:p w14:paraId="05D39732" w14:textId="77777777" w:rsidR="001614AC" w:rsidRDefault="001614AC">
            <w:pPr>
              <w:keepNext/>
            </w:pPr>
          </w:p>
        </w:tc>
        <w:tc>
          <w:tcPr>
            <w:tcW w:w="160" w:type="dxa"/>
            <w:tcBorders>
              <w:top w:val="single" w:sz="8" w:space="0" w:color="C7C9C7"/>
              <w:left w:val="nil"/>
              <w:bottom w:val="single" w:sz="8" w:space="0" w:color="E9E9E9"/>
              <w:right w:val="nil"/>
            </w:tcBorders>
            <w:tcMar>
              <w:top w:w="0" w:type="dxa"/>
              <w:left w:w="53" w:type="dxa"/>
              <w:bottom w:w="0" w:type="dxa"/>
              <w:right w:w="0" w:type="dxa"/>
            </w:tcMar>
            <w:vAlign w:val="bottom"/>
          </w:tcPr>
          <w:p w14:paraId="215C157C" w14:textId="77777777" w:rsidR="001614AC" w:rsidRDefault="004468F9">
            <w:pPr>
              <w:keepNext/>
              <w:spacing w:before="55" w:after="30" w:line="288" w:lineRule="auto"/>
            </w:pPr>
            <w:r>
              <w:rPr>
                <w:rFonts w:ascii="Arial" w:eastAsia="Arial" w:hAnsi="Arial" w:cs="Arial"/>
                <w:color w:val="000000"/>
                <w:sz w:val="18"/>
              </w:rPr>
              <w:t>$</w:t>
            </w:r>
          </w:p>
        </w:tc>
        <w:tc>
          <w:tcPr>
            <w:tcW w:w="745" w:type="dxa"/>
            <w:tcBorders>
              <w:top w:val="single" w:sz="8" w:space="0" w:color="C7C9C7"/>
              <w:left w:val="nil"/>
              <w:bottom w:val="single" w:sz="8" w:space="0" w:color="E9E9E9"/>
              <w:right w:val="nil"/>
            </w:tcBorders>
            <w:tcMar>
              <w:top w:w="0" w:type="dxa"/>
              <w:left w:w="0" w:type="dxa"/>
              <w:bottom w:w="0" w:type="dxa"/>
              <w:right w:w="0" w:type="dxa"/>
            </w:tcMar>
            <w:vAlign w:val="bottom"/>
          </w:tcPr>
          <w:p w14:paraId="64B0F1FD" w14:textId="77777777" w:rsidR="001614AC" w:rsidRDefault="004468F9">
            <w:pPr>
              <w:keepNext/>
              <w:spacing w:before="55" w:after="30" w:line="288" w:lineRule="auto"/>
              <w:jc w:val="right"/>
            </w:pPr>
            <w:r>
              <w:rPr>
                <w:rFonts w:ascii="Arial" w:eastAsia="Arial" w:hAnsi="Arial" w:cs="Arial"/>
                <w:color w:val="000000"/>
                <w:sz w:val="18"/>
              </w:rPr>
              <w:t>12,473 </w:t>
            </w:r>
          </w:p>
        </w:tc>
        <w:tc>
          <w:tcPr>
            <w:tcW w:w="100" w:type="dxa"/>
            <w:tcBorders>
              <w:top w:val="single" w:sz="8" w:space="0" w:color="C7C9C7"/>
              <w:left w:val="nil"/>
              <w:bottom w:val="single" w:sz="8" w:space="0" w:color="E9E9E9"/>
              <w:right w:val="nil"/>
            </w:tcBorders>
            <w:tcMar>
              <w:top w:w="0" w:type="dxa"/>
              <w:left w:w="0" w:type="dxa"/>
              <w:bottom w:w="0" w:type="dxa"/>
              <w:right w:w="15" w:type="dxa"/>
            </w:tcMar>
            <w:vAlign w:val="bottom"/>
          </w:tcPr>
          <w:p w14:paraId="73405CBC" w14:textId="77777777" w:rsidR="001614AC" w:rsidRDefault="001614AC">
            <w:pPr>
              <w:keepNext/>
              <w:spacing w:before="55" w:after="30" w:line="288" w:lineRule="auto"/>
              <w:jc w:val="right"/>
            </w:pPr>
          </w:p>
        </w:tc>
        <w:tc>
          <w:tcPr>
            <w:tcW w:w="105" w:type="dxa"/>
            <w:tcBorders>
              <w:top w:val="single" w:sz="8" w:space="0" w:color="C7C9C7"/>
              <w:left w:val="nil"/>
              <w:bottom w:val="nil"/>
              <w:right w:val="nil"/>
            </w:tcBorders>
            <w:tcMar>
              <w:top w:w="0" w:type="dxa"/>
              <w:left w:w="0" w:type="dxa"/>
              <w:bottom w:w="0" w:type="dxa"/>
              <w:right w:w="0" w:type="dxa"/>
            </w:tcMar>
            <w:vAlign w:val="bottom"/>
          </w:tcPr>
          <w:p w14:paraId="073292BC" w14:textId="77777777" w:rsidR="001614AC" w:rsidRDefault="001614AC">
            <w:pPr>
              <w:keepNext/>
            </w:pPr>
          </w:p>
        </w:tc>
        <w:tc>
          <w:tcPr>
            <w:tcW w:w="160" w:type="dxa"/>
            <w:tcBorders>
              <w:top w:val="single" w:sz="8" w:space="0" w:color="C7C9C7"/>
              <w:left w:val="nil"/>
              <w:bottom w:val="single" w:sz="8" w:space="0" w:color="E9E9E9"/>
              <w:right w:val="nil"/>
            </w:tcBorders>
            <w:tcMar>
              <w:top w:w="0" w:type="dxa"/>
              <w:left w:w="53" w:type="dxa"/>
              <w:bottom w:w="0" w:type="dxa"/>
              <w:right w:w="0" w:type="dxa"/>
            </w:tcMar>
            <w:vAlign w:val="bottom"/>
          </w:tcPr>
          <w:p w14:paraId="3A33E248" w14:textId="77777777" w:rsidR="001614AC" w:rsidRDefault="004468F9">
            <w:pPr>
              <w:keepNext/>
              <w:spacing w:before="55" w:after="30" w:line="288" w:lineRule="auto"/>
            </w:pPr>
            <w:r>
              <w:rPr>
                <w:rFonts w:ascii="Arial" w:eastAsia="Arial" w:hAnsi="Arial" w:cs="Arial"/>
                <w:color w:val="000000"/>
                <w:sz w:val="18"/>
              </w:rPr>
              <w:t>$</w:t>
            </w:r>
          </w:p>
        </w:tc>
        <w:tc>
          <w:tcPr>
            <w:tcW w:w="745" w:type="dxa"/>
            <w:tcBorders>
              <w:top w:val="single" w:sz="8" w:space="0" w:color="C7C9C7"/>
              <w:left w:val="nil"/>
              <w:bottom w:val="single" w:sz="8" w:space="0" w:color="E9E9E9"/>
              <w:right w:val="nil"/>
            </w:tcBorders>
            <w:tcMar>
              <w:top w:w="0" w:type="dxa"/>
              <w:left w:w="0" w:type="dxa"/>
              <w:bottom w:w="0" w:type="dxa"/>
              <w:right w:w="0" w:type="dxa"/>
            </w:tcMar>
            <w:vAlign w:val="bottom"/>
          </w:tcPr>
          <w:p w14:paraId="737CAF88" w14:textId="77777777" w:rsidR="001614AC" w:rsidRDefault="004468F9">
            <w:pPr>
              <w:keepNext/>
              <w:spacing w:before="55" w:after="30" w:line="288" w:lineRule="auto"/>
              <w:jc w:val="right"/>
            </w:pPr>
            <w:r>
              <w:rPr>
                <w:rFonts w:ascii="Arial" w:eastAsia="Arial" w:hAnsi="Arial" w:cs="Arial"/>
                <w:color w:val="000000"/>
                <w:sz w:val="18"/>
              </w:rPr>
              <w:t>58,482 </w:t>
            </w:r>
          </w:p>
        </w:tc>
        <w:tc>
          <w:tcPr>
            <w:tcW w:w="100" w:type="dxa"/>
            <w:tcBorders>
              <w:top w:val="single" w:sz="8" w:space="0" w:color="C7C9C7"/>
              <w:left w:val="nil"/>
              <w:bottom w:val="single" w:sz="8" w:space="0" w:color="E9E9E9"/>
              <w:right w:val="nil"/>
            </w:tcBorders>
            <w:tcMar>
              <w:top w:w="0" w:type="dxa"/>
              <w:left w:w="0" w:type="dxa"/>
              <w:bottom w:w="0" w:type="dxa"/>
              <w:right w:w="15" w:type="dxa"/>
            </w:tcMar>
            <w:vAlign w:val="bottom"/>
          </w:tcPr>
          <w:p w14:paraId="1166EA46" w14:textId="77777777" w:rsidR="001614AC" w:rsidRDefault="001614AC">
            <w:pPr>
              <w:keepNext/>
              <w:spacing w:before="55" w:after="30" w:line="288" w:lineRule="auto"/>
              <w:jc w:val="right"/>
            </w:pPr>
          </w:p>
        </w:tc>
        <w:tc>
          <w:tcPr>
            <w:tcW w:w="105" w:type="dxa"/>
            <w:tcBorders>
              <w:top w:val="single" w:sz="8" w:space="0" w:color="C7C9C7"/>
              <w:left w:val="nil"/>
              <w:bottom w:val="nil"/>
              <w:right w:val="nil"/>
            </w:tcBorders>
            <w:tcMar>
              <w:top w:w="0" w:type="dxa"/>
              <w:left w:w="0" w:type="dxa"/>
              <w:bottom w:w="0" w:type="dxa"/>
              <w:right w:w="0" w:type="dxa"/>
            </w:tcMar>
            <w:vAlign w:val="bottom"/>
          </w:tcPr>
          <w:p w14:paraId="34362844" w14:textId="77777777" w:rsidR="001614AC" w:rsidRDefault="001614AC">
            <w:pPr>
              <w:keepNext/>
            </w:pPr>
          </w:p>
        </w:tc>
        <w:tc>
          <w:tcPr>
            <w:tcW w:w="160" w:type="dxa"/>
            <w:tcBorders>
              <w:top w:val="single" w:sz="8" w:space="0" w:color="C7C9C7"/>
              <w:left w:val="nil"/>
              <w:bottom w:val="single" w:sz="8" w:space="0" w:color="E9E9E9"/>
              <w:right w:val="nil"/>
            </w:tcBorders>
            <w:tcMar>
              <w:top w:w="0" w:type="dxa"/>
              <w:left w:w="53" w:type="dxa"/>
              <w:bottom w:w="0" w:type="dxa"/>
              <w:right w:w="0" w:type="dxa"/>
            </w:tcMar>
            <w:vAlign w:val="bottom"/>
          </w:tcPr>
          <w:p w14:paraId="1CB39252" w14:textId="77777777" w:rsidR="001614AC" w:rsidRDefault="004468F9">
            <w:pPr>
              <w:keepNext/>
              <w:spacing w:before="55" w:after="30" w:line="288" w:lineRule="auto"/>
            </w:pPr>
            <w:r>
              <w:rPr>
                <w:rFonts w:ascii="Arial" w:eastAsia="Arial" w:hAnsi="Arial" w:cs="Arial"/>
                <w:color w:val="000000"/>
                <w:sz w:val="18"/>
              </w:rPr>
              <w:t>$</w:t>
            </w:r>
          </w:p>
        </w:tc>
        <w:tc>
          <w:tcPr>
            <w:tcW w:w="745" w:type="dxa"/>
            <w:tcBorders>
              <w:top w:val="single" w:sz="8" w:space="0" w:color="C7C9C7"/>
              <w:left w:val="nil"/>
              <w:bottom w:val="single" w:sz="8" w:space="0" w:color="E9E9E9"/>
              <w:right w:val="nil"/>
            </w:tcBorders>
            <w:tcMar>
              <w:top w:w="0" w:type="dxa"/>
              <w:left w:w="0" w:type="dxa"/>
              <w:bottom w:w="0" w:type="dxa"/>
              <w:right w:w="0" w:type="dxa"/>
            </w:tcMar>
            <w:vAlign w:val="bottom"/>
          </w:tcPr>
          <w:p w14:paraId="3001108F" w14:textId="77777777" w:rsidR="001614AC" w:rsidRDefault="004468F9">
            <w:pPr>
              <w:keepNext/>
              <w:spacing w:before="55" w:after="30" w:line="288" w:lineRule="auto"/>
              <w:jc w:val="right"/>
            </w:pPr>
            <w:r>
              <w:rPr>
                <w:rFonts w:ascii="Arial" w:eastAsia="Arial" w:hAnsi="Arial" w:cs="Arial"/>
                <w:color w:val="000000"/>
                <w:sz w:val="18"/>
              </w:rPr>
              <w:t>31,942 </w:t>
            </w:r>
          </w:p>
        </w:tc>
        <w:tc>
          <w:tcPr>
            <w:tcW w:w="100" w:type="dxa"/>
            <w:tcBorders>
              <w:top w:val="single" w:sz="8" w:space="0" w:color="C7C9C7"/>
              <w:left w:val="nil"/>
              <w:bottom w:val="single" w:sz="8" w:space="0" w:color="E9E9E9"/>
              <w:right w:val="nil"/>
            </w:tcBorders>
            <w:tcMar>
              <w:top w:w="0" w:type="dxa"/>
              <w:left w:w="0" w:type="dxa"/>
              <w:bottom w:w="0" w:type="dxa"/>
              <w:right w:w="15" w:type="dxa"/>
            </w:tcMar>
            <w:vAlign w:val="bottom"/>
          </w:tcPr>
          <w:p w14:paraId="33E4FD57" w14:textId="77777777" w:rsidR="001614AC" w:rsidRDefault="001614AC">
            <w:pPr>
              <w:keepNext/>
              <w:spacing w:before="55" w:after="30" w:line="288" w:lineRule="auto"/>
              <w:jc w:val="right"/>
            </w:pPr>
          </w:p>
        </w:tc>
        <w:tc>
          <w:tcPr>
            <w:tcW w:w="105" w:type="dxa"/>
            <w:tcBorders>
              <w:top w:val="single" w:sz="8" w:space="0" w:color="C7C9C7"/>
              <w:left w:val="nil"/>
              <w:bottom w:val="nil"/>
              <w:right w:val="nil"/>
            </w:tcBorders>
            <w:tcMar>
              <w:top w:w="0" w:type="dxa"/>
              <w:left w:w="0" w:type="dxa"/>
              <w:bottom w:w="0" w:type="dxa"/>
              <w:right w:w="0" w:type="dxa"/>
            </w:tcMar>
            <w:vAlign w:val="bottom"/>
          </w:tcPr>
          <w:p w14:paraId="72D7BFB4" w14:textId="77777777" w:rsidR="001614AC" w:rsidRDefault="001614AC">
            <w:pPr>
              <w:keepNext/>
            </w:pPr>
          </w:p>
        </w:tc>
        <w:tc>
          <w:tcPr>
            <w:tcW w:w="160" w:type="dxa"/>
            <w:tcBorders>
              <w:top w:val="single" w:sz="8" w:space="0" w:color="C7C9C7"/>
              <w:left w:val="nil"/>
              <w:bottom w:val="single" w:sz="8" w:space="0" w:color="E9E9E9"/>
              <w:right w:val="nil"/>
            </w:tcBorders>
            <w:tcMar>
              <w:top w:w="0" w:type="dxa"/>
              <w:left w:w="53" w:type="dxa"/>
              <w:bottom w:w="0" w:type="dxa"/>
              <w:right w:w="0" w:type="dxa"/>
            </w:tcMar>
            <w:vAlign w:val="bottom"/>
          </w:tcPr>
          <w:p w14:paraId="59E25912" w14:textId="77777777" w:rsidR="001614AC" w:rsidRDefault="004468F9">
            <w:pPr>
              <w:keepNext/>
              <w:spacing w:before="55" w:after="30" w:line="288" w:lineRule="auto"/>
            </w:pPr>
            <w:r>
              <w:rPr>
                <w:rFonts w:ascii="Arial" w:eastAsia="Arial" w:hAnsi="Arial" w:cs="Arial"/>
                <w:color w:val="000000"/>
                <w:sz w:val="18"/>
              </w:rPr>
              <w:t>$</w:t>
            </w:r>
          </w:p>
        </w:tc>
        <w:tc>
          <w:tcPr>
            <w:tcW w:w="745" w:type="dxa"/>
            <w:tcBorders>
              <w:top w:val="single" w:sz="8" w:space="0" w:color="C7C9C7"/>
              <w:left w:val="nil"/>
              <w:bottom w:val="single" w:sz="8" w:space="0" w:color="E9E9E9"/>
              <w:right w:val="nil"/>
            </w:tcBorders>
            <w:tcMar>
              <w:top w:w="0" w:type="dxa"/>
              <w:left w:w="0" w:type="dxa"/>
              <w:bottom w:w="0" w:type="dxa"/>
              <w:right w:w="0" w:type="dxa"/>
            </w:tcMar>
            <w:vAlign w:val="bottom"/>
          </w:tcPr>
          <w:p w14:paraId="5B7FEAF8" w14:textId="77777777" w:rsidR="001614AC" w:rsidRDefault="004468F9">
            <w:pPr>
              <w:keepNext/>
              <w:spacing w:before="55" w:after="30" w:line="288" w:lineRule="auto"/>
              <w:jc w:val="right"/>
            </w:pPr>
            <w:r>
              <w:rPr>
                <w:rFonts w:ascii="Arial" w:eastAsia="Arial" w:hAnsi="Arial" w:cs="Arial"/>
                <w:color w:val="000000"/>
                <w:sz w:val="18"/>
              </w:rPr>
              <w:t>74,866 </w:t>
            </w:r>
          </w:p>
        </w:tc>
        <w:tc>
          <w:tcPr>
            <w:tcW w:w="100" w:type="dxa"/>
            <w:tcBorders>
              <w:top w:val="single" w:sz="8" w:space="0" w:color="C7C9C7"/>
              <w:left w:val="nil"/>
              <w:bottom w:val="single" w:sz="8" w:space="0" w:color="E9E9E9"/>
              <w:right w:val="nil"/>
            </w:tcBorders>
            <w:tcMar>
              <w:top w:w="0" w:type="dxa"/>
              <w:left w:w="0" w:type="dxa"/>
              <w:bottom w:w="0" w:type="dxa"/>
              <w:right w:w="15" w:type="dxa"/>
            </w:tcMar>
            <w:vAlign w:val="bottom"/>
          </w:tcPr>
          <w:p w14:paraId="5566075B" w14:textId="77777777" w:rsidR="001614AC" w:rsidRDefault="001614AC">
            <w:pPr>
              <w:keepNext/>
              <w:spacing w:before="55" w:after="30" w:line="288" w:lineRule="auto"/>
              <w:jc w:val="right"/>
            </w:pPr>
          </w:p>
        </w:tc>
      </w:tr>
      <w:tr w:rsidR="001614AC" w14:paraId="71841DEB" w14:textId="77777777">
        <w:trPr>
          <w:cantSplit/>
        </w:trPr>
        <w:tc>
          <w:tcPr>
            <w:tcW w:w="5640" w:type="dxa"/>
            <w:tcBorders>
              <w:top w:val="single" w:sz="8" w:space="0" w:color="E9E9E9"/>
              <w:left w:val="nil"/>
              <w:bottom w:val="single" w:sz="8" w:space="0" w:color="E9E9E9"/>
              <w:right w:val="nil"/>
            </w:tcBorders>
            <w:tcMar>
              <w:top w:w="0" w:type="dxa"/>
              <w:left w:w="53" w:type="dxa"/>
              <w:bottom w:w="0" w:type="dxa"/>
              <w:right w:w="53" w:type="dxa"/>
            </w:tcMar>
            <w:vAlign w:val="bottom"/>
          </w:tcPr>
          <w:p w14:paraId="7CDB8472" w14:textId="77777777" w:rsidR="001614AC" w:rsidRDefault="004468F9">
            <w:pPr>
              <w:keepNext/>
              <w:spacing w:before="55" w:after="30" w:line="288" w:lineRule="auto"/>
            </w:pPr>
            <w:r>
              <w:rPr>
                <w:rFonts w:ascii="Arial" w:eastAsia="Arial" w:hAnsi="Arial" w:cs="Arial"/>
                <w:color w:val="000000"/>
                <w:sz w:val="18"/>
              </w:rPr>
              <w:t xml:space="preserve">Excess-of-Loss Program </w:t>
            </w:r>
          </w:p>
        </w:tc>
        <w:tc>
          <w:tcPr>
            <w:tcW w:w="105" w:type="dxa"/>
            <w:tcBorders>
              <w:top w:val="nil"/>
              <w:left w:val="nil"/>
              <w:bottom w:val="nil"/>
              <w:right w:val="nil"/>
            </w:tcBorders>
            <w:tcMar>
              <w:top w:w="0" w:type="dxa"/>
              <w:left w:w="0" w:type="dxa"/>
              <w:bottom w:w="0" w:type="dxa"/>
              <w:right w:w="0" w:type="dxa"/>
            </w:tcMar>
            <w:vAlign w:val="bottom"/>
          </w:tcPr>
          <w:p w14:paraId="0C750520" w14:textId="77777777" w:rsidR="001614AC" w:rsidRDefault="001614AC">
            <w:pPr>
              <w:keepNext/>
            </w:pPr>
          </w:p>
        </w:tc>
        <w:tc>
          <w:tcPr>
            <w:tcW w:w="90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00524BE9" w14:textId="77777777" w:rsidR="001614AC" w:rsidRDefault="004468F9">
            <w:pPr>
              <w:keepNext/>
              <w:spacing w:before="55" w:after="30" w:line="288" w:lineRule="auto"/>
              <w:jc w:val="right"/>
            </w:pPr>
            <w:r>
              <w:rPr>
                <w:rFonts w:ascii="Arial" w:eastAsia="Arial" w:hAnsi="Arial" w:cs="Arial"/>
                <w:color w:val="000000"/>
                <w:sz w:val="18"/>
              </w:rPr>
              <w:t>15,601 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7036CE5B" w14:textId="77777777" w:rsidR="001614AC" w:rsidRDefault="001614AC">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0197796B" w14:textId="77777777" w:rsidR="001614AC" w:rsidRDefault="001614AC">
            <w:pPr>
              <w:keepNext/>
            </w:pPr>
          </w:p>
        </w:tc>
        <w:tc>
          <w:tcPr>
            <w:tcW w:w="90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2B199F37" w14:textId="77777777" w:rsidR="001614AC" w:rsidRDefault="004468F9">
            <w:pPr>
              <w:keepNext/>
              <w:spacing w:before="55" w:after="30" w:line="288" w:lineRule="auto"/>
              <w:jc w:val="right"/>
            </w:pPr>
            <w:r>
              <w:rPr>
                <w:rFonts w:ascii="Arial" w:eastAsia="Arial" w:hAnsi="Arial" w:cs="Arial"/>
                <w:color w:val="000000"/>
                <w:sz w:val="18"/>
              </w:rPr>
              <w:t>8,321 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10FDD44E" w14:textId="77777777" w:rsidR="001614AC" w:rsidRDefault="001614AC">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74C672B6" w14:textId="77777777" w:rsidR="001614AC" w:rsidRDefault="001614AC">
            <w:pPr>
              <w:keepNext/>
            </w:pPr>
          </w:p>
        </w:tc>
        <w:tc>
          <w:tcPr>
            <w:tcW w:w="90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7C2BA56A" w14:textId="77777777" w:rsidR="001614AC" w:rsidRDefault="004468F9">
            <w:pPr>
              <w:keepNext/>
              <w:spacing w:before="55" w:after="30" w:line="288" w:lineRule="auto"/>
              <w:jc w:val="right"/>
            </w:pPr>
            <w:r>
              <w:rPr>
                <w:rFonts w:ascii="Arial" w:eastAsia="Arial" w:hAnsi="Arial" w:cs="Arial"/>
                <w:color w:val="000000"/>
                <w:sz w:val="18"/>
              </w:rPr>
              <w:t>27,755 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3175CE51" w14:textId="77777777" w:rsidR="001614AC" w:rsidRDefault="001614AC">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0F78C82E" w14:textId="77777777" w:rsidR="001614AC" w:rsidRDefault="001614AC">
            <w:pPr>
              <w:keepNext/>
            </w:pPr>
          </w:p>
        </w:tc>
        <w:tc>
          <w:tcPr>
            <w:tcW w:w="90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27A43C84" w14:textId="77777777" w:rsidR="001614AC" w:rsidRDefault="004468F9">
            <w:pPr>
              <w:keepNext/>
              <w:spacing w:before="55" w:after="30" w:line="288" w:lineRule="auto"/>
              <w:jc w:val="right"/>
            </w:pPr>
            <w:r>
              <w:rPr>
                <w:rFonts w:ascii="Arial" w:eastAsia="Arial" w:hAnsi="Arial" w:cs="Arial"/>
                <w:color w:val="000000"/>
                <w:sz w:val="18"/>
              </w:rPr>
              <w:t>16,726 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62B26972" w14:textId="77777777" w:rsidR="001614AC" w:rsidRDefault="001614AC">
            <w:pPr>
              <w:keepNext/>
              <w:spacing w:before="55" w:after="30" w:line="288" w:lineRule="auto"/>
              <w:jc w:val="right"/>
            </w:pPr>
          </w:p>
        </w:tc>
      </w:tr>
      <w:tr w:rsidR="001614AC" w14:paraId="22257CF8" w14:textId="77777777">
        <w:trPr>
          <w:cantSplit/>
        </w:trPr>
        <w:tc>
          <w:tcPr>
            <w:tcW w:w="5640" w:type="dxa"/>
            <w:tcBorders>
              <w:top w:val="single" w:sz="8" w:space="0" w:color="E9E9E9"/>
              <w:left w:val="nil"/>
              <w:bottom w:val="single" w:sz="8" w:space="0" w:color="E9E9E9"/>
              <w:right w:val="nil"/>
            </w:tcBorders>
            <w:tcMar>
              <w:top w:w="0" w:type="dxa"/>
              <w:left w:w="53" w:type="dxa"/>
              <w:bottom w:w="0" w:type="dxa"/>
              <w:right w:w="53" w:type="dxa"/>
            </w:tcMar>
            <w:vAlign w:val="bottom"/>
          </w:tcPr>
          <w:p w14:paraId="747CA299" w14:textId="77777777" w:rsidR="001614AC" w:rsidRDefault="004468F9">
            <w:pPr>
              <w:keepNext/>
              <w:spacing w:before="55" w:after="30" w:line="288" w:lineRule="auto"/>
            </w:pPr>
            <w:r>
              <w:rPr>
                <w:rFonts w:ascii="Arial" w:eastAsia="Arial" w:hAnsi="Arial" w:cs="Arial"/>
                <w:color w:val="000000"/>
                <w:sz w:val="18"/>
              </w:rPr>
              <w:t>QSR Program</w:t>
            </w:r>
          </w:p>
        </w:tc>
        <w:tc>
          <w:tcPr>
            <w:tcW w:w="105" w:type="dxa"/>
            <w:tcBorders>
              <w:top w:val="nil"/>
              <w:left w:val="nil"/>
              <w:bottom w:val="nil"/>
              <w:right w:val="nil"/>
            </w:tcBorders>
            <w:tcMar>
              <w:top w:w="0" w:type="dxa"/>
              <w:left w:w="0" w:type="dxa"/>
              <w:bottom w:w="0" w:type="dxa"/>
              <w:right w:w="0" w:type="dxa"/>
            </w:tcMar>
            <w:vAlign w:val="bottom"/>
          </w:tcPr>
          <w:p w14:paraId="6C76CCE1" w14:textId="77777777" w:rsidR="001614AC" w:rsidRDefault="001614AC">
            <w:pPr>
              <w:keepNext/>
            </w:pPr>
          </w:p>
        </w:tc>
        <w:tc>
          <w:tcPr>
            <w:tcW w:w="90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249EB2F9" w14:textId="77777777" w:rsidR="001614AC" w:rsidRDefault="004468F9">
            <w:pPr>
              <w:keepNext/>
              <w:spacing w:before="55" w:after="30" w:line="288" w:lineRule="auto"/>
              <w:jc w:val="right"/>
            </w:pPr>
            <w:r>
              <w:rPr>
                <w:rFonts w:ascii="Arial" w:eastAsia="Arial" w:hAnsi="Arial" w:cs="Arial"/>
                <w:color w:val="000000"/>
                <w:sz w:val="18"/>
              </w:rPr>
              <w:t>1,018 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7744CF33" w14:textId="77777777" w:rsidR="001614AC" w:rsidRDefault="001614AC">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25CDC214" w14:textId="77777777" w:rsidR="001614AC" w:rsidRDefault="001614AC">
            <w:pPr>
              <w:keepNext/>
            </w:pPr>
          </w:p>
        </w:tc>
        <w:tc>
          <w:tcPr>
            <w:tcW w:w="90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619B3821" w14:textId="77777777" w:rsidR="001614AC" w:rsidRDefault="004468F9">
            <w:pPr>
              <w:keepNext/>
              <w:spacing w:before="55" w:after="30" w:line="288" w:lineRule="auto"/>
              <w:jc w:val="right"/>
            </w:pPr>
            <w:r>
              <w:rPr>
                <w:rFonts w:ascii="Arial" w:eastAsia="Arial" w:hAnsi="Arial" w:cs="Arial"/>
                <w:color w:val="000000"/>
                <w:sz w:val="18"/>
              </w:rPr>
              <w:t>2,170 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1AC5330A" w14:textId="77777777" w:rsidR="001614AC" w:rsidRDefault="001614AC">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1A43D370" w14:textId="77777777" w:rsidR="001614AC" w:rsidRDefault="001614AC">
            <w:pPr>
              <w:keepNext/>
            </w:pPr>
          </w:p>
        </w:tc>
        <w:tc>
          <w:tcPr>
            <w:tcW w:w="90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37132A22" w14:textId="77777777" w:rsidR="001614AC" w:rsidRDefault="004468F9">
            <w:pPr>
              <w:keepNext/>
              <w:spacing w:before="55" w:after="30" w:line="288" w:lineRule="auto"/>
              <w:jc w:val="right"/>
            </w:pPr>
            <w:r>
              <w:rPr>
                <w:rFonts w:ascii="Arial" w:eastAsia="Arial" w:hAnsi="Arial" w:cs="Arial"/>
                <w:color w:val="000000"/>
                <w:sz w:val="18"/>
              </w:rPr>
              <w:t>2,337 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754427E6" w14:textId="77777777" w:rsidR="001614AC" w:rsidRDefault="001614AC">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52BBA2AE" w14:textId="77777777" w:rsidR="001614AC" w:rsidRDefault="001614AC">
            <w:pPr>
              <w:keepNext/>
            </w:pPr>
          </w:p>
        </w:tc>
        <w:tc>
          <w:tcPr>
            <w:tcW w:w="90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035CDE6E" w14:textId="77777777" w:rsidR="001614AC" w:rsidRDefault="004468F9">
            <w:pPr>
              <w:keepNext/>
              <w:spacing w:before="55" w:after="30" w:line="288" w:lineRule="auto"/>
              <w:jc w:val="right"/>
            </w:pPr>
            <w:r>
              <w:rPr>
                <w:rFonts w:ascii="Arial" w:eastAsia="Arial" w:hAnsi="Arial" w:cs="Arial"/>
                <w:color w:val="000000"/>
                <w:sz w:val="18"/>
              </w:rPr>
              <w:t>4,498 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1CCDE70C" w14:textId="77777777" w:rsidR="001614AC" w:rsidRDefault="001614AC">
            <w:pPr>
              <w:keepNext/>
              <w:spacing w:before="55" w:after="30" w:line="288" w:lineRule="auto"/>
              <w:jc w:val="right"/>
            </w:pPr>
          </w:p>
        </w:tc>
      </w:tr>
      <w:tr w:rsidR="001614AC" w14:paraId="2B1F712D" w14:textId="77777777">
        <w:trPr>
          <w:cantSplit/>
        </w:trPr>
        <w:tc>
          <w:tcPr>
            <w:tcW w:w="5640" w:type="dxa"/>
            <w:tcBorders>
              <w:top w:val="single" w:sz="8" w:space="0" w:color="E9E9E9"/>
              <w:left w:val="nil"/>
              <w:bottom w:val="nil"/>
              <w:right w:val="nil"/>
            </w:tcBorders>
            <w:tcMar>
              <w:top w:w="0" w:type="dxa"/>
              <w:left w:w="53" w:type="dxa"/>
              <w:bottom w:w="0" w:type="dxa"/>
              <w:right w:w="53" w:type="dxa"/>
            </w:tcMar>
            <w:vAlign w:val="bottom"/>
          </w:tcPr>
          <w:p w14:paraId="1338061F" w14:textId="77777777" w:rsidR="001614AC" w:rsidRDefault="004468F9">
            <w:pPr>
              <w:keepNext/>
              <w:spacing w:before="55" w:after="30" w:line="288" w:lineRule="auto"/>
            </w:pPr>
            <w:r>
              <w:rPr>
                <w:rFonts w:ascii="Arial" w:eastAsia="Arial" w:hAnsi="Arial" w:cs="Arial"/>
                <w:color w:val="000000"/>
                <w:sz w:val="18"/>
              </w:rPr>
              <w:t>Other</w:t>
            </w:r>
          </w:p>
        </w:tc>
        <w:tc>
          <w:tcPr>
            <w:tcW w:w="105" w:type="dxa"/>
            <w:tcBorders>
              <w:top w:val="nil"/>
              <w:left w:val="nil"/>
              <w:bottom w:val="nil"/>
              <w:right w:val="nil"/>
            </w:tcBorders>
            <w:tcMar>
              <w:top w:w="0" w:type="dxa"/>
              <w:left w:w="0" w:type="dxa"/>
              <w:bottom w:w="0" w:type="dxa"/>
              <w:right w:w="0" w:type="dxa"/>
            </w:tcMar>
            <w:vAlign w:val="bottom"/>
          </w:tcPr>
          <w:p w14:paraId="674F8670" w14:textId="77777777" w:rsidR="001614AC" w:rsidRDefault="001614AC">
            <w:pPr>
              <w:keepNext/>
            </w:pPr>
          </w:p>
        </w:tc>
        <w:tc>
          <w:tcPr>
            <w:tcW w:w="905" w:type="dxa"/>
            <w:gridSpan w:val="2"/>
            <w:tcBorders>
              <w:top w:val="single" w:sz="8" w:space="0" w:color="E9E9E9"/>
              <w:left w:val="nil"/>
              <w:bottom w:val="single" w:sz="8" w:space="0" w:color="C7C9C7"/>
              <w:right w:val="nil"/>
            </w:tcBorders>
            <w:tcMar>
              <w:top w:w="0" w:type="dxa"/>
              <w:left w:w="53" w:type="dxa"/>
              <w:bottom w:w="0" w:type="dxa"/>
              <w:right w:w="0" w:type="dxa"/>
            </w:tcMar>
            <w:vAlign w:val="bottom"/>
          </w:tcPr>
          <w:p w14:paraId="70E552D9" w14:textId="77777777" w:rsidR="001614AC" w:rsidRDefault="004468F9">
            <w:pPr>
              <w:keepNext/>
              <w:spacing w:before="55" w:after="30" w:line="288" w:lineRule="auto"/>
              <w:jc w:val="right"/>
            </w:pPr>
            <w:r>
              <w:rPr>
                <w:rFonts w:ascii="Arial" w:eastAsia="Arial" w:hAnsi="Arial" w:cs="Arial"/>
                <w:color w:val="000000"/>
                <w:sz w:val="18"/>
              </w:rPr>
              <w:t>106 </w:t>
            </w:r>
          </w:p>
        </w:tc>
        <w:tc>
          <w:tcPr>
            <w:tcW w:w="100" w:type="dxa"/>
            <w:tcBorders>
              <w:top w:val="single" w:sz="8" w:space="0" w:color="E9E9E9"/>
              <w:left w:val="nil"/>
              <w:bottom w:val="single" w:sz="8" w:space="0" w:color="C7C9C7"/>
              <w:right w:val="nil"/>
            </w:tcBorders>
            <w:tcMar>
              <w:top w:w="0" w:type="dxa"/>
              <w:left w:w="0" w:type="dxa"/>
              <w:bottom w:w="0" w:type="dxa"/>
              <w:right w:w="15" w:type="dxa"/>
            </w:tcMar>
            <w:vAlign w:val="bottom"/>
          </w:tcPr>
          <w:p w14:paraId="28A838B5" w14:textId="77777777" w:rsidR="001614AC" w:rsidRDefault="001614AC">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5894448E" w14:textId="77777777" w:rsidR="001614AC" w:rsidRDefault="001614AC">
            <w:pPr>
              <w:keepNext/>
            </w:pPr>
          </w:p>
        </w:tc>
        <w:tc>
          <w:tcPr>
            <w:tcW w:w="905" w:type="dxa"/>
            <w:gridSpan w:val="2"/>
            <w:tcBorders>
              <w:top w:val="single" w:sz="8" w:space="0" w:color="E9E9E9"/>
              <w:left w:val="nil"/>
              <w:bottom w:val="single" w:sz="8" w:space="0" w:color="C7C9C7"/>
              <w:right w:val="nil"/>
            </w:tcBorders>
            <w:tcMar>
              <w:top w:w="0" w:type="dxa"/>
              <w:left w:w="53" w:type="dxa"/>
              <w:bottom w:w="0" w:type="dxa"/>
              <w:right w:w="0" w:type="dxa"/>
            </w:tcMar>
            <w:vAlign w:val="bottom"/>
          </w:tcPr>
          <w:p w14:paraId="4B16DC65" w14:textId="77777777" w:rsidR="001614AC" w:rsidRDefault="004468F9">
            <w:pPr>
              <w:keepNext/>
              <w:spacing w:before="55" w:after="30" w:line="288" w:lineRule="auto"/>
              <w:jc w:val="right"/>
            </w:pPr>
            <w:r>
              <w:rPr>
                <w:rFonts w:ascii="Arial" w:eastAsia="Arial" w:hAnsi="Arial" w:cs="Arial"/>
                <w:color w:val="000000"/>
                <w:sz w:val="18"/>
              </w:rPr>
              <w:t>119 </w:t>
            </w:r>
          </w:p>
        </w:tc>
        <w:tc>
          <w:tcPr>
            <w:tcW w:w="100" w:type="dxa"/>
            <w:tcBorders>
              <w:top w:val="single" w:sz="8" w:space="0" w:color="E9E9E9"/>
              <w:left w:val="nil"/>
              <w:bottom w:val="single" w:sz="8" w:space="0" w:color="C7C9C7"/>
              <w:right w:val="nil"/>
            </w:tcBorders>
            <w:tcMar>
              <w:top w:w="0" w:type="dxa"/>
              <w:left w:w="0" w:type="dxa"/>
              <w:bottom w:w="0" w:type="dxa"/>
              <w:right w:w="15" w:type="dxa"/>
            </w:tcMar>
            <w:vAlign w:val="bottom"/>
          </w:tcPr>
          <w:p w14:paraId="4711DC3E" w14:textId="77777777" w:rsidR="001614AC" w:rsidRDefault="001614AC">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133B104A" w14:textId="77777777" w:rsidR="001614AC" w:rsidRDefault="001614AC">
            <w:pPr>
              <w:keepNext/>
            </w:pPr>
          </w:p>
        </w:tc>
        <w:tc>
          <w:tcPr>
            <w:tcW w:w="905" w:type="dxa"/>
            <w:gridSpan w:val="2"/>
            <w:tcBorders>
              <w:top w:val="single" w:sz="8" w:space="0" w:color="E9E9E9"/>
              <w:left w:val="nil"/>
              <w:bottom w:val="single" w:sz="8" w:space="0" w:color="C7C9C7"/>
              <w:right w:val="nil"/>
            </w:tcBorders>
            <w:tcMar>
              <w:top w:w="0" w:type="dxa"/>
              <w:left w:w="53" w:type="dxa"/>
              <w:bottom w:w="0" w:type="dxa"/>
              <w:right w:w="0" w:type="dxa"/>
            </w:tcMar>
            <w:vAlign w:val="bottom"/>
          </w:tcPr>
          <w:p w14:paraId="5BECB196" w14:textId="77777777" w:rsidR="001614AC" w:rsidRDefault="004468F9">
            <w:pPr>
              <w:keepNext/>
              <w:spacing w:before="55" w:after="30" w:line="288" w:lineRule="auto"/>
              <w:jc w:val="right"/>
            </w:pPr>
            <w:r>
              <w:rPr>
                <w:rFonts w:ascii="Arial" w:eastAsia="Arial" w:hAnsi="Arial" w:cs="Arial"/>
                <w:color w:val="000000"/>
                <w:sz w:val="18"/>
              </w:rPr>
              <w:t>213 </w:t>
            </w:r>
          </w:p>
        </w:tc>
        <w:tc>
          <w:tcPr>
            <w:tcW w:w="100" w:type="dxa"/>
            <w:tcBorders>
              <w:top w:val="single" w:sz="8" w:space="0" w:color="E9E9E9"/>
              <w:left w:val="nil"/>
              <w:bottom w:val="single" w:sz="8" w:space="0" w:color="C7C9C7"/>
              <w:right w:val="nil"/>
            </w:tcBorders>
            <w:tcMar>
              <w:top w:w="0" w:type="dxa"/>
              <w:left w:w="0" w:type="dxa"/>
              <w:bottom w:w="0" w:type="dxa"/>
              <w:right w:w="15" w:type="dxa"/>
            </w:tcMar>
            <w:vAlign w:val="bottom"/>
          </w:tcPr>
          <w:p w14:paraId="2265A501" w14:textId="77777777" w:rsidR="001614AC" w:rsidRDefault="001614AC">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3077E537" w14:textId="77777777" w:rsidR="001614AC" w:rsidRDefault="001614AC">
            <w:pPr>
              <w:keepNext/>
            </w:pPr>
          </w:p>
        </w:tc>
        <w:tc>
          <w:tcPr>
            <w:tcW w:w="905" w:type="dxa"/>
            <w:gridSpan w:val="2"/>
            <w:tcBorders>
              <w:top w:val="single" w:sz="8" w:space="0" w:color="E9E9E9"/>
              <w:left w:val="nil"/>
              <w:bottom w:val="single" w:sz="8" w:space="0" w:color="C7C9C7"/>
              <w:right w:val="nil"/>
            </w:tcBorders>
            <w:tcMar>
              <w:top w:w="0" w:type="dxa"/>
              <w:left w:w="53" w:type="dxa"/>
              <w:bottom w:w="0" w:type="dxa"/>
              <w:right w:w="0" w:type="dxa"/>
            </w:tcMar>
            <w:vAlign w:val="bottom"/>
          </w:tcPr>
          <w:p w14:paraId="02A13E42" w14:textId="77777777" w:rsidR="001614AC" w:rsidRDefault="004468F9">
            <w:pPr>
              <w:keepNext/>
              <w:spacing w:before="55" w:after="30" w:line="288" w:lineRule="auto"/>
              <w:jc w:val="right"/>
            </w:pPr>
            <w:r>
              <w:rPr>
                <w:rFonts w:ascii="Arial" w:eastAsia="Arial" w:hAnsi="Arial" w:cs="Arial"/>
                <w:color w:val="000000"/>
                <w:sz w:val="18"/>
              </w:rPr>
              <w:t>239 </w:t>
            </w:r>
          </w:p>
        </w:tc>
        <w:tc>
          <w:tcPr>
            <w:tcW w:w="100" w:type="dxa"/>
            <w:tcBorders>
              <w:top w:val="single" w:sz="8" w:space="0" w:color="E9E9E9"/>
              <w:left w:val="nil"/>
              <w:bottom w:val="single" w:sz="8" w:space="0" w:color="C7C9C7"/>
              <w:right w:val="nil"/>
            </w:tcBorders>
            <w:tcMar>
              <w:top w:w="0" w:type="dxa"/>
              <w:left w:w="0" w:type="dxa"/>
              <w:bottom w:w="0" w:type="dxa"/>
              <w:right w:w="15" w:type="dxa"/>
            </w:tcMar>
            <w:vAlign w:val="bottom"/>
          </w:tcPr>
          <w:p w14:paraId="7EDE2431" w14:textId="77777777" w:rsidR="001614AC" w:rsidRDefault="001614AC">
            <w:pPr>
              <w:keepNext/>
              <w:spacing w:before="55" w:after="30" w:line="288" w:lineRule="auto"/>
              <w:jc w:val="right"/>
            </w:pPr>
          </w:p>
        </w:tc>
      </w:tr>
      <w:tr w:rsidR="001614AC" w14:paraId="60CF31E0" w14:textId="77777777">
        <w:trPr>
          <w:cantSplit/>
        </w:trPr>
        <w:tc>
          <w:tcPr>
            <w:tcW w:w="5640" w:type="dxa"/>
            <w:tcBorders>
              <w:top w:val="nil"/>
              <w:left w:val="nil"/>
              <w:bottom w:val="nil"/>
              <w:right w:val="nil"/>
            </w:tcBorders>
            <w:shd w:val="clear" w:color="auto" w:fill="F4F4F4"/>
            <w:tcMar>
              <w:top w:w="0" w:type="dxa"/>
              <w:left w:w="53" w:type="dxa"/>
              <w:bottom w:w="0" w:type="dxa"/>
              <w:right w:w="53" w:type="dxa"/>
            </w:tcMar>
            <w:vAlign w:val="bottom"/>
          </w:tcPr>
          <w:p w14:paraId="7045A230" w14:textId="77777777" w:rsidR="001614AC" w:rsidRDefault="004468F9">
            <w:pPr>
              <w:keepNext/>
              <w:spacing w:before="75" w:after="30" w:line="288" w:lineRule="auto"/>
              <w:rPr>
                <w:rFonts w:ascii="Arial" w:eastAsia="Arial" w:hAnsi="Arial" w:cs="Arial"/>
                <w:sz w:val="18"/>
              </w:rPr>
            </w:pPr>
            <w:r>
              <w:rPr>
                <w:rFonts w:ascii="Arial" w:eastAsia="Arial" w:hAnsi="Arial" w:cs="Arial"/>
                <w:sz w:val="18"/>
              </w:rPr>
              <w:t xml:space="preserve">Total ceded premiums earned </w:t>
            </w:r>
            <w:r>
              <w:rPr>
                <w:rFonts w:ascii="Arial" w:eastAsia="Arial" w:hAnsi="Arial" w:cs="Arial"/>
                <w:sz w:val="18"/>
                <w:vertAlign w:val="superscript"/>
              </w:rPr>
              <w:t xml:space="preserve">(1) </w:t>
            </w:r>
          </w:p>
        </w:tc>
        <w:tc>
          <w:tcPr>
            <w:tcW w:w="105" w:type="dxa"/>
            <w:tcBorders>
              <w:top w:val="nil"/>
              <w:left w:val="nil"/>
              <w:bottom w:val="nil"/>
              <w:right w:val="nil"/>
            </w:tcBorders>
            <w:shd w:val="clear" w:color="auto" w:fill="F4F4F4"/>
            <w:tcMar>
              <w:top w:w="0" w:type="dxa"/>
              <w:left w:w="0" w:type="dxa"/>
              <w:bottom w:w="0" w:type="dxa"/>
              <w:right w:w="0" w:type="dxa"/>
            </w:tcMar>
            <w:vAlign w:val="bottom"/>
          </w:tcPr>
          <w:p w14:paraId="3A6BF948" w14:textId="77777777" w:rsidR="001614AC" w:rsidRDefault="001614AC">
            <w:pPr>
              <w:keepNext/>
            </w:pPr>
          </w:p>
        </w:tc>
        <w:tc>
          <w:tcPr>
            <w:tcW w:w="160" w:type="dxa"/>
            <w:tcBorders>
              <w:top w:val="single" w:sz="8" w:space="0" w:color="C7C9C7"/>
              <w:left w:val="nil"/>
              <w:bottom w:val="double" w:sz="8" w:space="0" w:color="C7C9C7"/>
              <w:right w:val="nil"/>
            </w:tcBorders>
            <w:shd w:val="clear" w:color="auto" w:fill="F4F4F4"/>
            <w:tcMar>
              <w:top w:w="0" w:type="dxa"/>
              <w:left w:w="53" w:type="dxa"/>
              <w:bottom w:w="0" w:type="dxa"/>
              <w:right w:w="0" w:type="dxa"/>
            </w:tcMar>
            <w:vAlign w:val="bottom"/>
          </w:tcPr>
          <w:p w14:paraId="5B472415" w14:textId="77777777" w:rsidR="001614AC" w:rsidRDefault="004468F9">
            <w:pPr>
              <w:keepNext/>
              <w:spacing w:before="55" w:after="30" w:line="288" w:lineRule="auto"/>
            </w:pPr>
            <w:r>
              <w:rPr>
                <w:rFonts w:ascii="Arial" w:eastAsia="Arial" w:hAnsi="Arial" w:cs="Arial"/>
                <w:color w:val="000000"/>
                <w:sz w:val="18"/>
              </w:rPr>
              <w:t>$</w:t>
            </w:r>
          </w:p>
        </w:tc>
        <w:tc>
          <w:tcPr>
            <w:tcW w:w="745" w:type="dxa"/>
            <w:tcBorders>
              <w:top w:val="single" w:sz="8" w:space="0" w:color="C7C9C7"/>
              <w:left w:val="nil"/>
              <w:bottom w:val="double" w:sz="8" w:space="0" w:color="C7C9C7"/>
              <w:right w:val="nil"/>
            </w:tcBorders>
            <w:shd w:val="clear" w:color="auto" w:fill="F4F4F4"/>
            <w:tcMar>
              <w:top w:w="0" w:type="dxa"/>
              <w:left w:w="0" w:type="dxa"/>
              <w:bottom w:w="0" w:type="dxa"/>
              <w:right w:w="0" w:type="dxa"/>
            </w:tcMar>
            <w:vAlign w:val="bottom"/>
          </w:tcPr>
          <w:p w14:paraId="53402D2B" w14:textId="77777777" w:rsidR="001614AC" w:rsidRDefault="004468F9">
            <w:pPr>
              <w:keepNext/>
              <w:spacing w:before="55" w:after="30" w:line="288" w:lineRule="auto"/>
              <w:jc w:val="right"/>
            </w:pPr>
            <w:r>
              <w:rPr>
                <w:rFonts w:ascii="Arial" w:eastAsia="Arial" w:hAnsi="Arial" w:cs="Arial"/>
                <w:color w:val="000000"/>
                <w:sz w:val="18"/>
              </w:rPr>
              <w:t>29,198 </w:t>
            </w:r>
          </w:p>
        </w:tc>
        <w:tc>
          <w:tcPr>
            <w:tcW w:w="100" w:type="dxa"/>
            <w:tcBorders>
              <w:top w:val="single" w:sz="8" w:space="0" w:color="C7C9C7"/>
              <w:left w:val="nil"/>
              <w:bottom w:val="double" w:sz="8" w:space="0" w:color="C7C9C7"/>
              <w:right w:val="nil"/>
            </w:tcBorders>
            <w:shd w:val="clear" w:color="auto" w:fill="F4F4F4"/>
            <w:tcMar>
              <w:top w:w="0" w:type="dxa"/>
              <w:left w:w="0" w:type="dxa"/>
              <w:bottom w:w="0" w:type="dxa"/>
              <w:right w:w="15" w:type="dxa"/>
            </w:tcMar>
            <w:vAlign w:val="bottom"/>
          </w:tcPr>
          <w:p w14:paraId="6011A7E8" w14:textId="77777777" w:rsidR="001614AC" w:rsidRDefault="001614AC">
            <w:pPr>
              <w:keepNext/>
              <w:spacing w:before="55" w:after="30" w:line="288" w:lineRule="auto"/>
              <w:jc w:val="right"/>
            </w:pPr>
          </w:p>
        </w:tc>
        <w:tc>
          <w:tcPr>
            <w:tcW w:w="105" w:type="dxa"/>
            <w:tcBorders>
              <w:top w:val="nil"/>
              <w:left w:val="nil"/>
              <w:bottom w:val="nil"/>
              <w:right w:val="nil"/>
            </w:tcBorders>
            <w:shd w:val="clear" w:color="auto" w:fill="F4F4F4"/>
            <w:tcMar>
              <w:top w:w="0" w:type="dxa"/>
              <w:left w:w="0" w:type="dxa"/>
              <w:bottom w:w="0" w:type="dxa"/>
              <w:right w:w="0" w:type="dxa"/>
            </w:tcMar>
            <w:vAlign w:val="bottom"/>
          </w:tcPr>
          <w:p w14:paraId="20634E98" w14:textId="77777777" w:rsidR="001614AC" w:rsidRDefault="001614AC">
            <w:pPr>
              <w:keepNext/>
            </w:pPr>
          </w:p>
        </w:tc>
        <w:tc>
          <w:tcPr>
            <w:tcW w:w="160" w:type="dxa"/>
            <w:tcBorders>
              <w:top w:val="single" w:sz="8" w:space="0" w:color="C7C9C7"/>
              <w:left w:val="nil"/>
              <w:bottom w:val="double" w:sz="8" w:space="0" w:color="C7C9C7"/>
              <w:right w:val="nil"/>
            </w:tcBorders>
            <w:shd w:val="clear" w:color="auto" w:fill="F4F4F4"/>
            <w:tcMar>
              <w:top w:w="0" w:type="dxa"/>
              <w:left w:w="53" w:type="dxa"/>
              <w:bottom w:w="0" w:type="dxa"/>
              <w:right w:w="0" w:type="dxa"/>
            </w:tcMar>
            <w:vAlign w:val="bottom"/>
          </w:tcPr>
          <w:p w14:paraId="1CCAD27F" w14:textId="77777777" w:rsidR="001614AC" w:rsidRDefault="004468F9">
            <w:pPr>
              <w:keepNext/>
              <w:spacing w:before="55" w:after="30" w:line="288" w:lineRule="auto"/>
            </w:pPr>
            <w:r>
              <w:rPr>
                <w:rFonts w:ascii="Arial" w:eastAsia="Arial" w:hAnsi="Arial" w:cs="Arial"/>
                <w:color w:val="000000"/>
                <w:sz w:val="18"/>
              </w:rPr>
              <w:t>$</w:t>
            </w:r>
          </w:p>
        </w:tc>
        <w:tc>
          <w:tcPr>
            <w:tcW w:w="745" w:type="dxa"/>
            <w:tcBorders>
              <w:top w:val="single" w:sz="8" w:space="0" w:color="C7C9C7"/>
              <w:left w:val="nil"/>
              <w:bottom w:val="double" w:sz="8" w:space="0" w:color="C7C9C7"/>
              <w:right w:val="nil"/>
            </w:tcBorders>
            <w:shd w:val="clear" w:color="auto" w:fill="F4F4F4"/>
            <w:tcMar>
              <w:top w:w="0" w:type="dxa"/>
              <w:left w:w="0" w:type="dxa"/>
              <w:bottom w:w="0" w:type="dxa"/>
              <w:right w:w="0" w:type="dxa"/>
            </w:tcMar>
            <w:vAlign w:val="bottom"/>
          </w:tcPr>
          <w:p w14:paraId="2BFA0B3C" w14:textId="77777777" w:rsidR="001614AC" w:rsidRDefault="004468F9">
            <w:pPr>
              <w:keepNext/>
              <w:spacing w:before="55" w:after="30" w:line="288" w:lineRule="auto"/>
              <w:jc w:val="right"/>
            </w:pPr>
            <w:r>
              <w:rPr>
                <w:rFonts w:ascii="Arial" w:eastAsia="Arial" w:hAnsi="Arial" w:cs="Arial"/>
                <w:color w:val="000000"/>
                <w:sz w:val="18"/>
              </w:rPr>
              <w:t>69,092 </w:t>
            </w:r>
          </w:p>
        </w:tc>
        <w:tc>
          <w:tcPr>
            <w:tcW w:w="100" w:type="dxa"/>
            <w:tcBorders>
              <w:top w:val="single" w:sz="8" w:space="0" w:color="C7C9C7"/>
              <w:left w:val="nil"/>
              <w:bottom w:val="double" w:sz="8" w:space="0" w:color="C7C9C7"/>
              <w:right w:val="nil"/>
            </w:tcBorders>
            <w:shd w:val="clear" w:color="auto" w:fill="F4F4F4"/>
            <w:tcMar>
              <w:top w:w="0" w:type="dxa"/>
              <w:left w:w="0" w:type="dxa"/>
              <w:bottom w:w="0" w:type="dxa"/>
              <w:right w:w="15" w:type="dxa"/>
            </w:tcMar>
            <w:vAlign w:val="bottom"/>
          </w:tcPr>
          <w:p w14:paraId="328DC002" w14:textId="77777777" w:rsidR="001614AC" w:rsidRDefault="001614AC">
            <w:pPr>
              <w:keepNext/>
              <w:spacing w:before="55" w:after="30" w:line="288" w:lineRule="auto"/>
              <w:jc w:val="right"/>
            </w:pPr>
          </w:p>
        </w:tc>
        <w:tc>
          <w:tcPr>
            <w:tcW w:w="105" w:type="dxa"/>
            <w:tcBorders>
              <w:top w:val="nil"/>
              <w:left w:val="nil"/>
              <w:bottom w:val="nil"/>
              <w:right w:val="nil"/>
            </w:tcBorders>
            <w:shd w:val="clear" w:color="auto" w:fill="F4F4F4"/>
            <w:tcMar>
              <w:top w:w="0" w:type="dxa"/>
              <w:left w:w="0" w:type="dxa"/>
              <w:bottom w:w="0" w:type="dxa"/>
              <w:right w:w="0" w:type="dxa"/>
            </w:tcMar>
            <w:vAlign w:val="bottom"/>
          </w:tcPr>
          <w:p w14:paraId="030BE3F2" w14:textId="77777777" w:rsidR="001614AC" w:rsidRDefault="001614AC">
            <w:pPr>
              <w:keepNext/>
            </w:pPr>
          </w:p>
        </w:tc>
        <w:tc>
          <w:tcPr>
            <w:tcW w:w="160" w:type="dxa"/>
            <w:tcBorders>
              <w:top w:val="single" w:sz="8" w:space="0" w:color="C7C9C7"/>
              <w:left w:val="nil"/>
              <w:bottom w:val="double" w:sz="8" w:space="0" w:color="C7C9C7"/>
              <w:right w:val="nil"/>
            </w:tcBorders>
            <w:shd w:val="clear" w:color="auto" w:fill="F4F4F4"/>
            <w:tcMar>
              <w:top w:w="0" w:type="dxa"/>
              <w:left w:w="53" w:type="dxa"/>
              <w:bottom w:w="0" w:type="dxa"/>
              <w:right w:w="0" w:type="dxa"/>
            </w:tcMar>
            <w:vAlign w:val="bottom"/>
          </w:tcPr>
          <w:p w14:paraId="7A347EDF" w14:textId="77777777" w:rsidR="001614AC" w:rsidRDefault="004468F9">
            <w:pPr>
              <w:keepNext/>
              <w:spacing w:before="55" w:after="30" w:line="288" w:lineRule="auto"/>
            </w:pPr>
            <w:r>
              <w:rPr>
                <w:rFonts w:ascii="Arial" w:eastAsia="Arial" w:hAnsi="Arial" w:cs="Arial"/>
                <w:color w:val="000000"/>
                <w:sz w:val="18"/>
              </w:rPr>
              <w:t>$</w:t>
            </w:r>
          </w:p>
        </w:tc>
        <w:tc>
          <w:tcPr>
            <w:tcW w:w="745" w:type="dxa"/>
            <w:tcBorders>
              <w:top w:val="single" w:sz="8" w:space="0" w:color="C7C9C7"/>
              <w:left w:val="nil"/>
              <w:bottom w:val="double" w:sz="8" w:space="0" w:color="C7C9C7"/>
              <w:right w:val="nil"/>
            </w:tcBorders>
            <w:shd w:val="clear" w:color="auto" w:fill="F4F4F4"/>
            <w:tcMar>
              <w:top w:w="0" w:type="dxa"/>
              <w:left w:w="0" w:type="dxa"/>
              <w:bottom w:w="0" w:type="dxa"/>
              <w:right w:w="0" w:type="dxa"/>
            </w:tcMar>
            <w:vAlign w:val="bottom"/>
          </w:tcPr>
          <w:p w14:paraId="4AF4278D" w14:textId="77777777" w:rsidR="001614AC" w:rsidRDefault="004468F9">
            <w:pPr>
              <w:keepNext/>
              <w:spacing w:before="55" w:after="30" w:line="288" w:lineRule="auto"/>
              <w:jc w:val="right"/>
            </w:pPr>
            <w:r>
              <w:rPr>
                <w:rFonts w:ascii="Arial" w:eastAsia="Arial" w:hAnsi="Arial" w:cs="Arial"/>
                <w:color w:val="000000"/>
                <w:sz w:val="18"/>
              </w:rPr>
              <w:t>62,247 </w:t>
            </w:r>
          </w:p>
        </w:tc>
        <w:tc>
          <w:tcPr>
            <w:tcW w:w="100" w:type="dxa"/>
            <w:tcBorders>
              <w:top w:val="single" w:sz="8" w:space="0" w:color="C7C9C7"/>
              <w:left w:val="nil"/>
              <w:bottom w:val="double" w:sz="8" w:space="0" w:color="C7C9C7"/>
              <w:right w:val="nil"/>
            </w:tcBorders>
            <w:shd w:val="clear" w:color="auto" w:fill="F4F4F4"/>
            <w:tcMar>
              <w:top w:w="0" w:type="dxa"/>
              <w:left w:w="0" w:type="dxa"/>
              <w:bottom w:w="0" w:type="dxa"/>
              <w:right w:w="15" w:type="dxa"/>
            </w:tcMar>
            <w:vAlign w:val="bottom"/>
          </w:tcPr>
          <w:p w14:paraId="139E246B" w14:textId="77777777" w:rsidR="001614AC" w:rsidRDefault="001614AC">
            <w:pPr>
              <w:keepNext/>
              <w:spacing w:before="55" w:after="30" w:line="288" w:lineRule="auto"/>
              <w:jc w:val="right"/>
            </w:pPr>
          </w:p>
        </w:tc>
        <w:tc>
          <w:tcPr>
            <w:tcW w:w="105" w:type="dxa"/>
            <w:tcBorders>
              <w:top w:val="nil"/>
              <w:left w:val="nil"/>
              <w:bottom w:val="nil"/>
              <w:right w:val="nil"/>
            </w:tcBorders>
            <w:shd w:val="clear" w:color="auto" w:fill="F4F4F4"/>
            <w:tcMar>
              <w:top w:w="0" w:type="dxa"/>
              <w:left w:w="0" w:type="dxa"/>
              <w:bottom w:w="0" w:type="dxa"/>
              <w:right w:w="0" w:type="dxa"/>
            </w:tcMar>
            <w:vAlign w:val="bottom"/>
          </w:tcPr>
          <w:p w14:paraId="34E7C855" w14:textId="77777777" w:rsidR="001614AC" w:rsidRDefault="001614AC">
            <w:pPr>
              <w:keepNext/>
            </w:pPr>
          </w:p>
        </w:tc>
        <w:tc>
          <w:tcPr>
            <w:tcW w:w="160" w:type="dxa"/>
            <w:tcBorders>
              <w:top w:val="single" w:sz="8" w:space="0" w:color="C7C9C7"/>
              <w:left w:val="nil"/>
              <w:bottom w:val="double" w:sz="8" w:space="0" w:color="C7C9C7"/>
              <w:right w:val="nil"/>
            </w:tcBorders>
            <w:shd w:val="clear" w:color="auto" w:fill="F4F4F4"/>
            <w:tcMar>
              <w:top w:w="0" w:type="dxa"/>
              <w:left w:w="53" w:type="dxa"/>
              <w:bottom w:w="0" w:type="dxa"/>
              <w:right w:w="0" w:type="dxa"/>
            </w:tcMar>
            <w:vAlign w:val="bottom"/>
          </w:tcPr>
          <w:p w14:paraId="3AFD25D8" w14:textId="77777777" w:rsidR="001614AC" w:rsidRDefault="004468F9">
            <w:pPr>
              <w:keepNext/>
              <w:spacing w:before="55" w:after="30" w:line="288" w:lineRule="auto"/>
            </w:pPr>
            <w:r>
              <w:rPr>
                <w:rFonts w:ascii="Arial" w:eastAsia="Arial" w:hAnsi="Arial" w:cs="Arial"/>
                <w:color w:val="000000"/>
                <w:sz w:val="18"/>
              </w:rPr>
              <w:t>$</w:t>
            </w:r>
          </w:p>
        </w:tc>
        <w:tc>
          <w:tcPr>
            <w:tcW w:w="745" w:type="dxa"/>
            <w:tcBorders>
              <w:top w:val="single" w:sz="8" w:space="0" w:color="C7C9C7"/>
              <w:left w:val="nil"/>
              <w:bottom w:val="double" w:sz="8" w:space="0" w:color="C7C9C7"/>
              <w:right w:val="nil"/>
            </w:tcBorders>
            <w:shd w:val="clear" w:color="auto" w:fill="F4F4F4"/>
            <w:tcMar>
              <w:top w:w="0" w:type="dxa"/>
              <w:left w:w="0" w:type="dxa"/>
              <w:bottom w:w="0" w:type="dxa"/>
              <w:right w:w="0" w:type="dxa"/>
            </w:tcMar>
            <w:vAlign w:val="bottom"/>
          </w:tcPr>
          <w:p w14:paraId="1CA19574" w14:textId="77777777" w:rsidR="001614AC" w:rsidRDefault="004468F9">
            <w:pPr>
              <w:keepNext/>
              <w:spacing w:before="55" w:after="30" w:line="288" w:lineRule="auto"/>
              <w:jc w:val="right"/>
            </w:pPr>
            <w:r>
              <w:rPr>
                <w:rFonts w:ascii="Arial" w:eastAsia="Arial" w:hAnsi="Arial" w:cs="Arial"/>
                <w:color w:val="000000"/>
                <w:sz w:val="18"/>
              </w:rPr>
              <w:t>96,329 </w:t>
            </w:r>
          </w:p>
        </w:tc>
        <w:tc>
          <w:tcPr>
            <w:tcW w:w="100" w:type="dxa"/>
            <w:tcBorders>
              <w:top w:val="single" w:sz="8" w:space="0" w:color="C7C9C7"/>
              <w:left w:val="nil"/>
              <w:bottom w:val="double" w:sz="8" w:space="0" w:color="C7C9C7"/>
              <w:right w:val="nil"/>
            </w:tcBorders>
            <w:shd w:val="clear" w:color="auto" w:fill="F4F4F4"/>
            <w:tcMar>
              <w:top w:w="0" w:type="dxa"/>
              <w:left w:w="0" w:type="dxa"/>
              <w:bottom w:w="0" w:type="dxa"/>
              <w:right w:w="15" w:type="dxa"/>
            </w:tcMar>
            <w:vAlign w:val="bottom"/>
          </w:tcPr>
          <w:p w14:paraId="7DEF4FA4" w14:textId="77777777" w:rsidR="001614AC" w:rsidRDefault="001614AC">
            <w:pPr>
              <w:keepNext/>
              <w:spacing w:before="55" w:after="30" w:line="288" w:lineRule="auto"/>
              <w:jc w:val="right"/>
            </w:pPr>
          </w:p>
        </w:tc>
      </w:tr>
      <w:tr w:rsidR="001614AC" w14:paraId="69E2B9B3" w14:textId="77777777">
        <w:trPr>
          <w:cantSplit/>
        </w:trPr>
        <w:tc>
          <w:tcPr>
            <w:tcW w:w="5640" w:type="dxa"/>
            <w:tcBorders>
              <w:top w:val="nil"/>
              <w:left w:val="nil"/>
              <w:bottom w:val="single" w:sz="8" w:space="0" w:color="E9E9E9"/>
              <w:right w:val="nil"/>
            </w:tcBorders>
            <w:tcMar>
              <w:top w:w="0" w:type="dxa"/>
              <w:left w:w="53" w:type="dxa"/>
              <w:bottom w:w="0" w:type="dxa"/>
              <w:right w:w="53" w:type="dxa"/>
            </w:tcMar>
            <w:vAlign w:val="bottom"/>
          </w:tcPr>
          <w:p w14:paraId="07B93C6A" w14:textId="77777777" w:rsidR="001614AC" w:rsidRDefault="004468F9">
            <w:pPr>
              <w:spacing w:before="75" w:after="30" w:line="288" w:lineRule="auto"/>
            </w:pPr>
            <w:r>
              <w:rPr>
                <w:rFonts w:ascii="Arial" w:eastAsia="Arial" w:hAnsi="Arial" w:cs="Arial"/>
                <w:color w:val="000000"/>
                <w:sz w:val="18"/>
              </w:rPr>
              <w:t>P</w:t>
            </w:r>
            <w:r>
              <w:rPr>
                <w:rFonts w:ascii="Arial" w:eastAsia="Arial" w:hAnsi="Arial" w:cs="Arial"/>
                <w:color w:val="000000"/>
                <w:sz w:val="18"/>
              </w:rPr>
              <w:t xml:space="preserve">ercentage of total direct and assumed premiums earned </w:t>
            </w:r>
          </w:p>
        </w:tc>
        <w:tc>
          <w:tcPr>
            <w:tcW w:w="105" w:type="dxa"/>
            <w:tcBorders>
              <w:top w:val="nil"/>
              <w:left w:val="nil"/>
              <w:bottom w:val="nil"/>
              <w:right w:val="nil"/>
            </w:tcBorders>
            <w:tcMar>
              <w:top w:w="0" w:type="dxa"/>
              <w:left w:w="0" w:type="dxa"/>
              <w:bottom w:w="0" w:type="dxa"/>
              <w:right w:w="0" w:type="dxa"/>
            </w:tcMar>
            <w:vAlign w:val="bottom"/>
          </w:tcPr>
          <w:p w14:paraId="684F6068" w14:textId="77777777" w:rsidR="001614AC" w:rsidRDefault="001614AC"/>
        </w:tc>
        <w:tc>
          <w:tcPr>
            <w:tcW w:w="905" w:type="dxa"/>
            <w:gridSpan w:val="2"/>
            <w:tcBorders>
              <w:top w:val="double" w:sz="8" w:space="0" w:color="C7C9C7"/>
              <w:left w:val="nil"/>
              <w:bottom w:val="single" w:sz="8" w:space="0" w:color="E9E9E9"/>
              <w:right w:val="nil"/>
            </w:tcBorders>
            <w:tcMar>
              <w:top w:w="0" w:type="dxa"/>
              <w:left w:w="53" w:type="dxa"/>
              <w:bottom w:w="0" w:type="dxa"/>
              <w:right w:w="0" w:type="dxa"/>
            </w:tcMar>
            <w:vAlign w:val="bottom"/>
          </w:tcPr>
          <w:p w14:paraId="483274EF" w14:textId="77777777" w:rsidR="001614AC" w:rsidRDefault="004468F9">
            <w:pPr>
              <w:spacing w:before="55" w:after="30" w:line="288" w:lineRule="auto"/>
              <w:jc w:val="right"/>
            </w:pPr>
            <w:r>
              <w:rPr>
                <w:rFonts w:ascii="Arial" w:eastAsia="Arial" w:hAnsi="Arial" w:cs="Arial"/>
                <w:color w:val="000000"/>
                <w:sz w:val="18"/>
              </w:rPr>
              <w:t>10.3 </w:t>
            </w:r>
          </w:p>
        </w:tc>
        <w:tc>
          <w:tcPr>
            <w:tcW w:w="100" w:type="dxa"/>
            <w:tcBorders>
              <w:top w:val="double" w:sz="8" w:space="0" w:color="C7C9C7"/>
              <w:left w:val="nil"/>
              <w:bottom w:val="single" w:sz="8" w:space="0" w:color="E9E9E9"/>
              <w:right w:val="nil"/>
            </w:tcBorders>
            <w:tcMar>
              <w:top w:w="0" w:type="dxa"/>
              <w:left w:w="0" w:type="dxa"/>
              <w:bottom w:w="0" w:type="dxa"/>
              <w:right w:w="15" w:type="dxa"/>
            </w:tcMar>
            <w:vAlign w:val="bottom"/>
          </w:tcPr>
          <w:p w14:paraId="52BCD807" w14:textId="77777777" w:rsidR="001614AC" w:rsidRDefault="004468F9">
            <w:pPr>
              <w:spacing w:before="55" w:after="30" w:line="288" w:lineRule="auto"/>
              <w:jc w:val="right"/>
            </w:pPr>
            <w:r>
              <w:rPr>
                <w:rFonts w:ascii="Arial" w:eastAsia="Arial" w:hAnsi="Arial" w:cs="Arial"/>
                <w:color w:val="000000"/>
                <w:sz w:val="18"/>
              </w:rPr>
              <w:t>%</w:t>
            </w:r>
          </w:p>
        </w:tc>
        <w:tc>
          <w:tcPr>
            <w:tcW w:w="105" w:type="dxa"/>
            <w:tcBorders>
              <w:top w:val="nil"/>
              <w:left w:val="nil"/>
              <w:bottom w:val="nil"/>
              <w:right w:val="nil"/>
            </w:tcBorders>
            <w:tcMar>
              <w:top w:w="0" w:type="dxa"/>
              <w:left w:w="0" w:type="dxa"/>
              <w:bottom w:w="0" w:type="dxa"/>
              <w:right w:w="0" w:type="dxa"/>
            </w:tcMar>
            <w:vAlign w:val="bottom"/>
          </w:tcPr>
          <w:p w14:paraId="31B87144" w14:textId="77777777" w:rsidR="001614AC" w:rsidRDefault="001614AC"/>
        </w:tc>
        <w:tc>
          <w:tcPr>
            <w:tcW w:w="905" w:type="dxa"/>
            <w:gridSpan w:val="2"/>
            <w:tcBorders>
              <w:top w:val="double" w:sz="8" w:space="0" w:color="C7C9C7"/>
              <w:left w:val="nil"/>
              <w:bottom w:val="single" w:sz="8" w:space="0" w:color="E9E9E9"/>
              <w:right w:val="nil"/>
            </w:tcBorders>
            <w:tcMar>
              <w:top w:w="0" w:type="dxa"/>
              <w:left w:w="53" w:type="dxa"/>
              <w:bottom w:w="0" w:type="dxa"/>
              <w:right w:w="0" w:type="dxa"/>
            </w:tcMar>
            <w:vAlign w:val="bottom"/>
          </w:tcPr>
          <w:p w14:paraId="0BDE06B0" w14:textId="77777777" w:rsidR="001614AC" w:rsidRDefault="004468F9">
            <w:pPr>
              <w:spacing w:before="55" w:after="30" w:line="288" w:lineRule="auto"/>
              <w:jc w:val="right"/>
            </w:pPr>
            <w:r>
              <w:rPr>
                <w:rFonts w:ascii="Arial" w:eastAsia="Arial" w:hAnsi="Arial" w:cs="Arial"/>
                <w:color w:val="000000"/>
                <w:sz w:val="18"/>
              </w:rPr>
              <w:t>21.8 </w:t>
            </w:r>
          </w:p>
        </w:tc>
        <w:tc>
          <w:tcPr>
            <w:tcW w:w="100" w:type="dxa"/>
            <w:tcBorders>
              <w:top w:val="double" w:sz="8" w:space="0" w:color="C7C9C7"/>
              <w:left w:val="nil"/>
              <w:bottom w:val="single" w:sz="8" w:space="0" w:color="E9E9E9"/>
              <w:right w:val="nil"/>
            </w:tcBorders>
            <w:tcMar>
              <w:top w:w="0" w:type="dxa"/>
              <w:left w:w="0" w:type="dxa"/>
              <w:bottom w:w="0" w:type="dxa"/>
              <w:right w:w="15" w:type="dxa"/>
            </w:tcMar>
            <w:vAlign w:val="bottom"/>
          </w:tcPr>
          <w:p w14:paraId="5FB33E44" w14:textId="77777777" w:rsidR="001614AC" w:rsidRDefault="004468F9">
            <w:pPr>
              <w:spacing w:before="55" w:after="30" w:line="288" w:lineRule="auto"/>
              <w:jc w:val="right"/>
            </w:pPr>
            <w:r>
              <w:rPr>
                <w:rFonts w:ascii="Arial" w:eastAsia="Arial" w:hAnsi="Arial" w:cs="Arial"/>
                <w:color w:val="000000"/>
                <w:sz w:val="18"/>
              </w:rPr>
              <w:t>%</w:t>
            </w:r>
          </w:p>
        </w:tc>
        <w:tc>
          <w:tcPr>
            <w:tcW w:w="105" w:type="dxa"/>
            <w:tcBorders>
              <w:top w:val="nil"/>
              <w:left w:val="nil"/>
              <w:bottom w:val="nil"/>
              <w:right w:val="nil"/>
            </w:tcBorders>
            <w:tcMar>
              <w:top w:w="0" w:type="dxa"/>
              <w:left w:w="0" w:type="dxa"/>
              <w:bottom w:w="0" w:type="dxa"/>
              <w:right w:w="0" w:type="dxa"/>
            </w:tcMar>
            <w:vAlign w:val="bottom"/>
          </w:tcPr>
          <w:p w14:paraId="7A68969C" w14:textId="77777777" w:rsidR="001614AC" w:rsidRDefault="001614AC"/>
        </w:tc>
        <w:tc>
          <w:tcPr>
            <w:tcW w:w="905" w:type="dxa"/>
            <w:gridSpan w:val="2"/>
            <w:tcBorders>
              <w:top w:val="double" w:sz="8" w:space="0" w:color="C7C9C7"/>
              <w:left w:val="nil"/>
              <w:bottom w:val="single" w:sz="8" w:space="0" w:color="E9E9E9"/>
              <w:right w:val="nil"/>
            </w:tcBorders>
            <w:tcMar>
              <w:top w:w="0" w:type="dxa"/>
              <w:left w:w="53" w:type="dxa"/>
              <w:bottom w:w="0" w:type="dxa"/>
              <w:right w:w="0" w:type="dxa"/>
            </w:tcMar>
            <w:vAlign w:val="bottom"/>
          </w:tcPr>
          <w:p w14:paraId="1966CBB2" w14:textId="77777777" w:rsidR="001614AC" w:rsidRDefault="004468F9">
            <w:pPr>
              <w:spacing w:before="55" w:after="30" w:line="288" w:lineRule="auto"/>
              <w:jc w:val="right"/>
            </w:pPr>
            <w:r>
              <w:rPr>
                <w:rFonts w:ascii="Arial" w:eastAsia="Arial" w:hAnsi="Arial" w:cs="Arial"/>
                <w:color w:val="000000"/>
                <w:sz w:val="18"/>
              </w:rPr>
              <w:t>10.5 </w:t>
            </w:r>
          </w:p>
        </w:tc>
        <w:tc>
          <w:tcPr>
            <w:tcW w:w="100" w:type="dxa"/>
            <w:tcBorders>
              <w:top w:val="double" w:sz="8" w:space="0" w:color="C7C9C7"/>
              <w:left w:val="nil"/>
              <w:bottom w:val="single" w:sz="8" w:space="0" w:color="E9E9E9"/>
              <w:right w:val="nil"/>
            </w:tcBorders>
            <w:tcMar>
              <w:top w:w="0" w:type="dxa"/>
              <w:left w:w="0" w:type="dxa"/>
              <w:bottom w:w="0" w:type="dxa"/>
              <w:right w:w="15" w:type="dxa"/>
            </w:tcMar>
            <w:vAlign w:val="bottom"/>
          </w:tcPr>
          <w:p w14:paraId="17A12A3B" w14:textId="77777777" w:rsidR="001614AC" w:rsidRDefault="004468F9">
            <w:pPr>
              <w:spacing w:before="55" w:after="30" w:line="288" w:lineRule="auto"/>
              <w:jc w:val="right"/>
            </w:pPr>
            <w:r>
              <w:rPr>
                <w:rFonts w:ascii="Arial" w:eastAsia="Arial" w:hAnsi="Arial" w:cs="Arial"/>
                <w:color w:val="000000"/>
                <w:sz w:val="18"/>
              </w:rPr>
              <w:t>%</w:t>
            </w:r>
          </w:p>
        </w:tc>
        <w:tc>
          <w:tcPr>
            <w:tcW w:w="105" w:type="dxa"/>
            <w:tcBorders>
              <w:top w:val="nil"/>
              <w:left w:val="nil"/>
              <w:bottom w:val="nil"/>
              <w:right w:val="nil"/>
            </w:tcBorders>
            <w:tcMar>
              <w:top w:w="0" w:type="dxa"/>
              <w:left w:w="0" w:type="dxa"/>
              <w:bottom w:w="0" w:type="dxa"/>
              <w:right w:w="0" w:type="dxa"/>
            </w:tcMar>
            <w:vAlign w:val="bottom"/>
          </w:tcPr>
          <w:p w14:paraId="1CDDE69D" w14:textId="77777777" w:rsidR="001614AC" w:rsidRDefault="001614AC"/>
        </w:tc>
        <w:tc>
          <w:tcPr>
            <w:tcW w:w="905" w:type="dxa"/>
            <w:gridSpan w:val="2"/>
            <w:tcBorders>
              <w:top w:val="double" w:sz="8" w:space="0" w:color="C7C9C7"/>
              <w:left w:val="nil"/>
              <w:bottom w:val="single" w:sz="8" w:space="0" w:color="E9E9E9"/>
              <w:right w:val="nil"/>
            </w:tcBorders>
            <w:tcMar>
              <w:top w:w="0" w:type="dxa"/>
              <w:left w:w="53" w:type="dxa"/>
              <w:bottom w:w="0" w:type="dxa"/>
              <w:right w:w="0" w:type="dxa"/>
            </w:tcMar>
            <w:vAlign w:val="bottom"/>
          </w:tcPr>
          <w:p w14:paraId="07E4CBF6" w14:textId="77777777" w:rsidR="001614AC" w:rsidRDefault="004468F9">
            <w:pPr>
              <w:spacing w:before="55" w:after="30" w:line="288" w:lineRule="auto"/>
              <w:jc w:val="right"/>
            </w:pPr>
            <w:r>
              <w:rPr>
                <w:rFonts w:ascii="Arial" w:eastAsia="Arial" w:hAnsi="Arial" w:cs="Arial"/>
                <w:color w:val="000000"/>
                <w:sz w:val="18"/>
              </w:rPr>
              <w:t>15.5 </w:t>
            </w:r>
          </w:p>
        </w:tc>
        <w:tc>
          <w:tcPr>
            <w:tcW w:w="100" w:type="dxa"/>
            <w:tcBorders>
              <w:top w:val="double" w:sz="8" w:space="0" w:color="C7C9C7"/>
              <w:left w:val="nil"/>
              <w:bottom w:val="single" w:sz="8" w:space="0" w:color="E9E9E9"/>
              <w:right w:val="nil"/>
            </w:tcBorders>
            <w:tcMar>
              <w:top w:w="0" w:type="dxa"/>
              <w:left w:w="0" w:type="dxa"/>
              <w:bottom w:w="0" w:type="dxa"/>
              <w:right w:w="15" w:type="dxa"/>
            </w:tcMar>
            <w:vAlign w:val="bottom"/>
          </w:tcPr>
          <w:p w14:paraId="6F71554F" w14:textId="77777777" w:rsidR="001614AC" w:rsidRDefault="004468F9">
            <w:pPr>
              <w:spacing w:before="55" w:after="30" w:line="288" w:lineRule="auto"/>
              <w:jc w:val="right"/>
            </w:pPr>
            <w:r>
              <w:rPr>
                <w:rFonts w:ascii="Arial" w:eastAsia="Arial" w:hAnsi="Arial" w:cs="Arial"/>
                <w:color w:val="000000"/>
                <w:sz w:val="18"/>
              </w:rPr>
              <w:t>%</w:t>
            </w:r>
          </w:p>
        </w:tc>
      </w:tr>
    </w:tbl>
    <w:p w14:paraId="39FAE790" w14:textId="77777777" w:rsidR="001614AC" w:rsidRDefault="004468F9" w:rsidP="004468F9">
      <w:pPr>
        <w:numPr>
          <w:ilvl w:val="0"/>
          <w:numId w:val="36"/>
        </w:numPr>
        <w:spacing w:line="288" w:lineRule="auto"/>
        <w:ind w:left="360"/>
        <w:rPr>
          <w:rFonts w:ascii="Arial" w:eastAsia="Arial" w:hAnsi="Arial" w:cs="Arial"/>
          <w:b/>
          <w:color w:val="64615D"/>
          <w:sz w:val="16"/>
          <w:shd w:val="clear" w:color="auto" w:fill="FFFFFF"/>
        </w:rPr>
      </w:pPr>
      <w:r>
        <w:rPr>
          <w:rFonts w:ascii="Arial" w:eastAsia="Arial" w:hAnsi="Arial" w:cs="Arial"/>
          <w:color w:val="64615D"/>
          <w:sz w:val="16"/>
        </w:rPr>
        <w:t>Does not include the benefit from ceding commissions on our Single Premium QSR Programs, which are included in other operating expenses on the consolidated statement of operations. See Note 8 of Notes to Unaudited Condensed Consolidated Financial Statement</w:t>
      </w:r>
      <w:r>
        <w:rPr>
          <w:rFonts w:ascii="Arial" w:eastAsia="Arial" w:hAnsi="Arial" w:cs="Arial"/>
          <w:color w:val="64615D"/>
          <w:sz w:val="16"/>
        </w:rPr>
        <w:t>s for additional information.</w:t>
      </w:r>
    </w:p>
    <w:p w14:paraId="6992497D" w14:textId="77777777" w:rsidR="001614AC" w:rsidRDefault="004468F9">
      <w:pPr>
        <w:spacing w:before="200" w:after="100" w:line="288" w:lineRule="auto"/>
        <w:ind w:firstLine="450"/>
        <w:rPr>
          <w:rFonts w:ascii="Arial" w:eastAsia="Arial" w:hAnsi="Arial" w:cs="Arial"/>
          <w:b/>
          <w:i/>
          <w:color w:val="64615D"/>
          <w:sz w:val="18"/>
          <w:shd w:val="clear" w:color="auto" w:fill="FFFF00"/>
        </w:rPr>
      </w:pPr>
      <w:r>
        <w:rPr>
          <w:rFonts w:ascii="Arial" w:eastAsia="Arial" w:hAnsi="Arial" w:cs="Arial"/>
          <w:b/>
          <w:i/>
          <w:sz w:val="18"/>
        </w:rPr>
        <w:t xml:space="preserve">Net Investment Income. </w:t>
      </w:r>
      <w:r>
        <w:rPr>
          <w:rFonts w:ascii="Arial" w:eastAsia="Arial" w:hAnsi="Arial" w:cs="Arial"/>
          <w:sz w:val="18"/>
        </w:rPr>
        <w:t>Lower investment yields, partially offset by higher average investment balances, resulted in decreases in net investment income for the three and six months ended June 30, 2021, compared to the same peri</w:t>
      </w:r>
      <w:r>
        <w:rPr>
          <w:rFonts w:ascii="Arial" w:eastAsia="Arial" w:hAnsi="Arial" w:cs="Arial"/>
          <w:sz w:val="18"/>
        </w:rPr>
        <w:t xml:space="preserve">ods in 2020. Our higher average investment balances were a result of investing our positive cash flows from operations. </w:t>
      </w:r>
    </w:p>
    <w:p w14:paraId="2C1A39DF" w14:textId="77777777" w:rsidR="001614AC" w:rsidRDefault="004468F9">
      <w:pPr>
        <w:keepNext/>
        <w:spacing w:before="100" w:after="100" w:line="288" w:lineRule="auto"/>
        <w:ind w:firstLine="450"/>
        <w:rPr>
          <w:rFonts w:ascii="Arial" w:eastAsia="Arial" w:hAnsi="Arial" w:cs="Arial"/>
          <w:b/>
          <w:i/>
          <w:color w:val="64615D"/>
          <w:sz w:val="18"/>
          <w:shd w:val="clear" w:color="auto" w:fill="FFFFFF"/>
        </w:rPr>
      </w:pPr>
      <w:r>
        <w:rPr>
          <w:rFonts w:ascii="Arial" w:eastAsia="Arial" w:hAnsi="Arial" w:cs="Arial"/>
          <w:b/>
          <w:i/>
          <w:sz w:val="18"/>
        </w:rPr>
        <w:t xml:space="preserve">Provision for Losses. </w:t>
      </w:r>
      <w:r>
        <w:rPr>
          <w:rFonts w:ascii="Arial" w:eastAsia="Arial" w:hAnsi="Arial" w:cs="Arial"/>
          <w:sz w:val="18"/>
        </w:rPr>
        <w:t xml:space="preserve">The following table details the financial impact of the significant components of our provision for losses for </w:t>
      </w:r>
      <w:r>
        <w:rPr>
          <w:rFonts w:ascii="Arial" w:eastAsia="Arial" w:hAnsi="Arial" w:cs="Arial"/>
          <w:sz w:val="18"/>
        </w:rPr>
        <w:t>the periods indicated.</w:t>
      </w:r>
    </w:p>
    <w:tbl>
      <w:tblPr>
        <w:tblW w:w="102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62"/>
        <w:gridCol w:w="103"/>
        <w:gridCol w:w="160"/>
        <w:gridCol w:w="741"/>
        <w:gridCol w:w="176"/>
        <w:gridCol w:w="103"/>
        <w:gridCol w:w="160"/>
        <w:gridCol w:w="741"/>
        <w:gridCol w:w="176"/>
        <w:gridCol w:w="103"/>
        <w:gridCol w:w="160"/>
        <w:gridCol w:w="741"/>
        <w:gridCol w:w="176"/>
        <w:gridCol w:w="103"/>
        <w:gridCol w:w="160"/>
        <w:gridCol w:w="741"/>
        <w:gridCol w:w="176"/>
      </w:tblGrid>
      <w:tr w:rsidR="001614AC" w14:paraId="5986F6FC" w14:textId="77777777">
        <w:trPr>
          <w:cantSplit/>
        </w:trPr>
        <w:tc>
          <w:tcPr>
            <w:tcW w:w="10080" w:type="dxa"/>
            <w:gridSpan w:val="17"/>
            <w:tcBorders>
              <w:top w:val="nil"/>
              <w:left w:val="nil"/>
              <w:bottom w:val="single" w:sz="12" w:space="0" w:color="99AAB6"/>
              <w:right w:val="nil"/>
            </w:tcBorders>
            <w:tcMar>
              <w:top w:w="0" w:type="dxa"/>
              <w:left w:w="53" w:type="dxa"/>
              <w:bottom w:w="0" w:type="dxa"/>
              <w:right w:w="53" w:type="dxa"/>
            </w:tcMar>
            <w:vAlign w:val="bottom"/>
          </w:tcPr>
          <w:p w14:paraId="052AE45A" w14:textId="77777777" w:rsidR="001614AC" w:rsidRDefault="004468F9">
            <w:pPr>
              <w:keepNext/>
              <w:spacing w:before="75" w:after="30" w:line="288" w:lineRule="auto"/>
            </w:pPr>
            <w:r>
              <w:rPr>
                <w:rFonts w:ascii="Arial" w:eastAsia="Arial" w:hAnsi="Arial" w:cs="Arial"/>
                <w:b/>
                <w:color w:val="000000"/>
                <w:sz w:val="20"/>
              </w:rPr>
              <w:t>Provision for losses</w:t>
            </w:r>
          </w:p>
        </w:tc>
      </w:tr>
      <w:tr w:rsidR="001614AC" w14:paraId="38CC93CE" w14:textId="77777777">
        <w:trPr>
          <w:cantSplit/>
          <w:trHeight w:hRule="exact" w:val="135"/>
        </w:trPr>
        <w:tc>
          <w:tcPr>
            <w:tcW w:w="5640" w:type="dxa"/>
            <w:tcBorders>
              <w:top w:val="nil"/>
              <w:left w:val="nil"/>
              <w:bottom w:val="nil"/>
              <w:right w:val="nil"/>
            </w:tcBorders>
            <w:tcMar>
              <w:top w:w="0" w:type="dxa"/>
              <w:left w:w="0" w:type="dxa"/>
              <w:bottom w:w="0" w:type="dxa"/>
              <w:right w:w="0" w:type="dxa"/>
            </w:tcMar>
            <w:vAlign w:val="bottom"/>
          </w:tcPr>
          <w:p w14:paraId="29BDF46B" w14:textId="77777777" w:rsidR="001614AC" w:rsidRDefault="001614AC">
            <w:pPr>
              <w:keepNext/>
            </w:pPr>
          </w:p>
        </w:tc>
        <w:tc>
          <w:tcPr>
            <w:tcW w:w="105" w:type="dxa"/>
            <w:tcBorders>
              <w:top w:val="single" w:sz="12" w:space="0" w:color="99AAB6"/>
              <w:left w:val="nil"/>
              <w:bottom w:val="nil"/>
              <w:right w:val="nil"/>
            </w:tcBorders>
            <w:tcMar>
              <w:top w:w="0" w:type="dxa"/>
              <w:left w:w="0" w:type="dxa"/>
              <w:bottom w:w="0" w:type="dxa"/>
              <w:right w:w="0" w:type="dxa"/>
            </w:tcMar>
            <w:vAlign w:val="bottom"/>
          </w:tcPr>
          <w:p w14:paraId="775682A9" w14:textId="77777777" w:rsidR="001614AC" w:rsidRDefault="001614AC">
            <w:pPr>
              <w:keepNext/>
            </w:pPr>
          </w:p>
        </w:tc>
        <w:tc>
          <w:tcPr>
            <w:tcW w:w="1005" w:type="dxa"/>
            <w:gridSpan w:val="3"/>
            <w:tcBorders>
              <w:top w:val="single" w:sz="12" w:space="0" w:color="99AAB6"/>
              <w:left w:val="nil"/>
              <w:bottom w:val="nil"/>
              <w:right w:val="nil"/>
            </w:tcBorders>
            <w:tcMar>
              <w:top w:w="0" w:type="dxa"/>
              <w:left w:w="0" w:type="dxa"/>
              <w:bottom w:w="0" w:type="dxa"/>
              <w:right w:w="0" w:type="dxa"/>
            </w:tcMar>
            <w:vAlign w:val="bottom"/>
          </w:tcPr>
          <w:p w14:paraId="4CDF8CC6" w14:textId="77777777" w:rsidR="001614AC" w:rsidRDefault="001614AC">
            <w:pPr>
              <w:keepNext/>
            </w:pPr>
          </w:p>
        </w:tc>
        <w:tc>
          <w:tcPr>
            <w:tcW w:w="105" w:type="dxa"/>
            <w:tcBorders>
              <w:top w:val="single" w:sz="12" w:space="0" w:color="99AAB6"/>
              <w:left w:val="nil"/>
              <w:bottom w:val="nil"/>
              <w:right w:val="nil"/>
            </w:tcBorders>
            <w:tcMar>
              <w:top w:w="0" w:type="dxa"/>
              <w:left w:w="0" w:type="dxa"/>
              <w:bottom w:w="0" w:type="dxa"/>
              <w:right w:w="0" w:type="dxa"/>
            </w:tcMar>
            <w:vAlign w:val="bottom"/>
          </w:tcPr>
          <w:p w14:paraId="372859AD" w14:textId="77777777" w:rsidR="001614AC" w:rsidRDefault="001614AC">
            <w:pPr>
              <w:keepNext/>
            </w:pPr>
          </w:p>
        </w:tc>
        <w:tc>
          <w:tcPr>
            <w:tcW w:w="1005" w:type="dxa"/>
            <w:gridSpan w:val="3"/>
            <w:tcBorders>
              <w:top w:val="single" w:sz="12" w:space="0" w:color="99AAB6"/>
              <w:left w:val="nil"/>
              <w:bottom w:val="nil"/>
              <w:right w:val="nil"/>
            </w:tcBorders>
            <w:tcMar>
              <w:top w:w="0" w:type="dxa"/>
              <w:left w:w="0" w:type="dxa"/>
              <w:bottom w:w="0" w:type="dxa"/>
              <w:right w:w="0" w:type="dxa"/>
            </w:tcMar>
            <w:vAlign w:val="bottom"/>
          </w:tcPr>
          <w:p w14:paraId="22052235" w14:textId="77777777" w:rsidR="001614AC" w:rsidRDefault="001614AC">
            <w:pPr>
              <w:keepNext/>
            </w:pPr>
          </w:p>
        </w:tc>
        <w:tc>
          <w:tcPr>
            <w:tcW w:w="105" w:type="dxa"/>
            <w:tcBorders>
              <w:top w:val="single" w:sz="12" w:space="0" w:color="99AAB6"/>
              <w:left w:val="nil"/>
              <w:bottom w:val="nil"/>
              <w:right w:val="nil"/>
            </w:tcBorders>
            <w:tcMar>
              <w:top w:w="0" w:type="dxa"/>
              <w:left w:w="0" w:type="dxa"/>
              <w:bottom w:w="0" w:type="dxa"/>
              <w:right w:w="0" w:type="dxa"/>
            </w:tcMar>
            <w:vAlign w:val="bottom"/>
          </w:tcPr>
          <w:p w14:paraId="39FE155C" w14:textId="77777777" w:rsidR="001614AC" w:rsidRDefault="001614AC">
            <w:pPr>
              <w:keepNext/>
            </w:pPr>
          </w:p>
        </w:tc>
        <w:tc>
          <w:tcPr>
            <w:tcW w:w="1005" w:type="dxa"/>
            <w:gridSpan w:val="3"/>
            <w:tcBorders>
              <w:top w:val="single" w:sz="12" w:space="0" w:color="99AAB6"/>
              <w:left w:val="nil"/>
              <w:bottom w:val="nil"/>
              <w:right w:val="nil"/>
            </w:tcBorders>
            <w:tcMar>
              <w:top w:w="0" w:type="dxa"/>
              <w:left w:w="0" w:type="dxa"/>
              <w:bottom w:w="0" w:type="dxa"/>
              <w:right w:w="0" w:type="dxa"/>
            </w:tcMar>
            <w:vAlign w:val="bottom"/>
          </w:tcPr>
          <w:p w14:paraId="6386368C" w14:textId="77777777" w:rsidR="001614AC" w:rsidRDefault="001614AC">
            <w:pPr>
              <w:keepNext/>
            </w:pPr>
          </w:p>
        </w:tc>
        <w:tc>
          <w:tcPr>
            <w:tcW w:w="105" w:type="dxa"/>
            <w:tcBorders>
              <w:top w:val="single" w:sz="12" w:space="0" w:color="99AAB6"/>
              <w:left w:val="nil"/>
              <w:bottom w:val="nil"/>
              <w:right w:val="nil"/>
            </w:tcBorders>
            <w:tcMar>
              <w:top w:w="0" w:type="dxa"/>
              <w:left w:w="0" w:type="dxa"/>
              <w:bottom w:w="0" w:type="dxa"/>
              <w:right w:w="0" w:type="dxa"/>
            </w:tcMar>
            <w:vAlign w:val="bottom"/>
          </w:tcPr>
          <w:p w14:paraId="2EE787AE" w14:textId="77777777" w:rsidR="001614AC" w:rsidRDefault="001614AC">
            <w:pPr>
              <w:keepNext/>
            </w:pPr>
          </w:p>
        </w:tc>
        <w:tc>
          <w:tcPr>
            <w:tcW w:w="1005" w:type="dxa"/>
            <w:gridSpan w:val="3"/>
            <w:tcBorders>
              <w:top w:val="single" w:sz="12" w:space="0" w:color="99AAB6"/>
              <w:left w:val="nil"/>
              <w:bottom w:val="nil"/>
              <w:right w:val="nil"/>
            </w:tcBorders>
            <w:tcMar>
              <w:top w:w="0" w:type="dxa"/>
              <w:left w:w="0" w:type="dxa"/>
              <w:bottom w:w="0" w:type="dxa"/>
              <w:right w:w="0" w:type="dxa"/>
            </w:tcMar>
            <w:vAlign w:val="bottom"/>
          </w:tcPr>
          <w:p w14:paraId="034CEA7E" w14:textId="77777777" w:rsidR="001614AC" w:rsidRDefault="001614AC">
            <w:pPr>
              <w:keepNext/>
            </w:pPr>
          </w:p>
        </w:tc>
      </w:tr>
      <w:tr w:rsidR="001614AC" w14:paraId="54C50864" w14:textId="77777777">
        <w:trPr>
          <w:cantSplit/>
        </w:trPr>
        <w:tc>
          <w:tcPr>
            <w:tcW w:w="5640" w:type="dxa"/>
            <w:tcBorders>
              <w:top w:val="nil"/>
              <w:left w:val="nil"/>
              <w:bottom w:val="single" w:sz="8" w:space="0" w:color="FFFFFF"/>
              <w:right w:val="nil"/>
            </w:tcBorders>
            <w:tcMar>
              <w:top w:w="0" w:type="dxa"/>
              <w:left w:w="0" w:type="dxa"/>
              <w:bottom w:w="0" w:type="dxa"/>
              <w:right w:w="0" w:type="dxa"/>
            </w:tcMar>
            <w:vAlign w:val="bottom"/>
          </w:tcPr>
          <w:p w14:paraId="1B4F09E0" w14:textId="77777777" w:rsidR="001614AC" w:rsidRDefault="001614AC">
            <w:pPr>
              <w:keepNext/>
            </w:pPr>
          </w:p>
        </w:tc>
        <w:tc>
          <w:tcPr>
            <w:tcW w:w="105" w:type="dxa"/>
            <w:tcBorders>
              <w:top w:val="nil"/>
              <w:left w:val="nil"/>
              <w:bottom w:val="nil"/>
              <w:right w:val="nil"/>
            </w:tcBorders>
            <w:tcMar>
              <w:top w:w="0" w:type="dxa"/>
              <w:left w:w="0" w:type="dxa"/>
              <w:bottom w:w="0" w:type="dxa"/>
              <w:right w:w="0" w:type="dxa"/>
            </w:tcMar>
            <w:vAlign w:val="bottom"/>
          </w:tcPr>
          <w:p w14:paraId="423A9E28" w14:textId="77777777" w:rsidR="001614AC" w:rsidRDefault="001614AC">
            <w:pPr>
              <w:keepNext/>
            </w:pPr>
          </w:p>
        </w:tc>
        <w:tc>
          <w:tcPr>
            <w:tcW w:w="2115" w:type="dxa"/>
            <w:gridSpan w:val="7"/>
            <w:tcBorders>
              <w:top w:val="nil"/>
              <w:left w:val="nil"/>
              <w:bottom w:val="single" w:sz="8" w:space="0" w:color="FFFFFF"/>
              <w:right w:val="nil"/>
            </w:tcBorders>
            <w:tcMar>
              <w:top w:w="0" w:type="dxa"/>
              <w:left w:w="53" w:type="dxa"/>
              <w:bottom w:w="0" w:type="dxa"/>
              <w:right w:w="53" w:type="dxa"/>
            </w:tcMar>
            <w:vAlign w:val="bottom"/>
          </w:tcPr>
          <w:p w14:paraId="5DD23ED1" w14:textId="77777777" w:rsidR="001614AC" w:rsidRDefault="004468F9">
            <w:pPr>
              <w:keepNext/>
              <w:spacing w:before="75" w:line="288" w:lineRule="auto"/>
              <w:jc w:val="center"/>
            </w:pPr>
            <w:r>
              <w:rPr>
                <w:rFonts w:ascii="Arial" w:eastAsia="Arial" w:hAnsi="Arial" w:cs="Arial"/>
                <w:b/>
                <w:color w:val="00BAB3"/>
                <w:sz w:val="18"/>
              </w:rPr>
              <w:t>Three Months Ended</w:t>
            </w:r>
          </w:p>
          <w:p w14:paraId="65C0D368" w14:textId="77777777" w:rsidR="001614AC" w:rsidRDefault="004468F9">
            <w:pPr>
              <w:spacing w:after="30" w:line="288" w:lineRule="auto"/>
              <w:jc w:val="center"/>
            </w:pPr>
            <w:r>
              <w:rPr>
                <w:rFonts w:ascii="Arial" w:eastAsia="Arial" w:hAnsi="Arial" w:cs="Arial"/>
                <w:b/>
                <w:color w:val="00BAB3"/>
                <w:sz w:val="18"/>
              </w:rPr>
              <w:t>June 30,</w:t>
            </w:r>
          </w:p>
        </w:tc>
        <w:tc>
          <w:tcPr>
            <w:tcW w:w="105" w:type="dxa"/>
            <w:tcBorders>
              <w:top w:val="nil"/>
              <w:left w:val="nil"/>
              <w:bottom w:val="single" w:sz="8" w:space="0" w:color="FFFFFF"/>
              <w:right w:val="nil"/>
            </w:tcBorders>
            <w:tcMar>
              <w:top w:w="0" w:type="dxa"/>
              <w:left w:w="0" w:type="dxa"/>
              <w:bottom w:w="0" w:type="dxa"/>
              <w:right w:w="0" w:type="dxa"/>
            </w:tcMar>
            <w:vAlign w:val="bottom"/>
          </w:tcPr>
          <w:p w14:paraId="317B23CF" w14:textId="77777777" w:rsidR="001614AC" w:rsidRDefault="001614AC">
            <w:pPr>
              <w:keepNext/>
            </w:pPr>
          </w:p>
        </w:tc>
        <w:tc>
          <w:tcPr>
            <w:tcW w:w="2115" w:type="dxa"/>
            <w:gridSpan w:val="7"/>
            <w:tcBorders>
              <w:top w:val="nil"/>
              <w:left w:val="nil"/>
              <w:bottom w:val="nil"/>
              <w:right w:val="nil"/>
            </w:tcBorders>
            <w:tcMar>
              <w:top w:w="0" w:type="dxa"/>
              <w:left w:w="53" w:type="dxa"/>
              <w:bottom w:w="0" w:type="dxa"/>
              <w:right w:w="53" w:type="dxa"/>
            </w:tcMar>
            <w:vAlign w:val="bottom"/>
          </w:tcPr>
          <w:p w14:paraId="5C198CAC" w14:textId="77777777" w:rsidR="001614AC" w:rsidRDefault="004468F9">
            <w:pPr>
              <w:keepNext/>
              <w:spacing w:before="75" w:line="288" w:lineRule="auto"/>
              <w:jc w:val="center"/>
            </w:pPr>
            <w:r>
              <w:rPr>
                <w:rFonts w:ascii="Arial" w:eastAsia="Arial" w:hAnsi="Arial" w:cs="Arial"/>
                <w:b/>
                <w:color w:val="00BAB3"/>
                <w:sz w:val="18"/>
              </w:rPr>
              <w:t>Six Months Ended</w:t>
            </w:r>
          </w:p>
          <w:p w14:paraId="5B367F78" w14:textId="77777777" w:rsidR="001614AC" w:rsidRDefault="004468F9">
            <w:pPr>
              <w:spacing w:after="30" w:line="288" w:lineRule="auto"/>
              <w:jc w:val="center"/>
            </w:pPr>
            <w:r>
              <w:rPr>
                <w:rFonts w:ascii="Arial" w:eastAsia="Arial" w:hAnsi="Arial" w:cs="Arial"/>
                <w:b/>
                <w:color w:val="00BAB3"/>
                <w:sz w:val="18"/>
              </w:rPr>
              <w:t>June 30,</w:t>
            </w:r>
          </w:p>
        </w:tc>
      </w:tr>
      <w:tr w:rsidR="001614AC" w14:paraId="00260591" w14:textId="77777777">
        <w:trPr>
          <w:cantSplit/>
        </w:trPr>
        <w:tc>
          <w:tcPr>
            <w:tcW w:w="5640" w:type="dxa"/>
            <w:tcBorders>
              <w:top w:val="single" w:sz="8" w:space="0" w:color="FFFFFF"/>
              <w:left w:val="nil"/>
              <w:bottom w:val="single" w:sz="8" w:space="0" w:color="C7C9C7"/>
              <w:right w:val="nil"/>
            </w:tcBorders>
            <w:tcMar>
              <w:top w:w="0" w:type="dxa"/>
              <w:left w:w="53" w:type="dxa"/>
              <w:bottom w:w="0" w:type="dxa"/>
              <w:right w:w="53" w:type="dxa"/>
            </w:tcMar>
            <w:vAlign w:val="bottom"/>
          </w:tcPr>
          <w:p w14:paraId="25DFD074" w14:textId="77777777" w:rsidR="001614AC" w:rsidRDefault="004468F9">
            <w:pPr>
              <w:keepNext/>
              <w:spacing w:before="55" w:after="30" w:line="288" w:lineRule="auto"/>
            </w:pPr>
            <w:r>
              <w:rPr>
                <w:rFonts w:ascii="Arial" w:eastAsia="Arial" w:hAnsi="Arial" w:cs="Arial"/>
                <w:color w:val="8B8886"/>
                <w:sz w:val="16"/>
              </w:rPr>
              <w:t>($ in millions, except reserve per new default)</w:t>
            </w:r>
          </w:p>
        </w:tc>
        <w:tc>
          <w:tcPr>
            <w:tcW w:w="105" w:type="dxa"/>
            <w:tcBorders>
              <w:top w:val="nil"/>
              <w:left w:val="nil"/>
              <w:bottom w:val="single" w:sz="8" w:space="0" w:color="C7C9C7"/>
              <w:right w:val="nil"/>
            </w:tcBorders>
            <w:tcMar>
              <w:top w:w="0" w:type="dxa"/>
              <w:left w:w="0" w:type="dxa"/>
              <w:bottom w:w="0" w:type="dxa"/>
              <w:right w:w="0" w:type="dxa"/>
            </w:tcMar>
            <w:vAlign w:val="bottom"/>
          </w:tcPr>
          <w:p w14:paraId="164CA9BE" w14:textId="77777777" w:rsidR="001614AC" w:rsidRDefault="001614AC">
            <w:pPr>
              <w:keepNext/>
            </w:pPr>
          </w:p>
        </w:tc>
        <w:tc>
          <w:tcPr>
            <w:tcW w:w="1005" w:type="dxa"/>
            <w:gridSpan w:val="3"/>
            <w:tcBorders>
              <w:top w:val="nil"/>
              <w:left w:val="nil"/>
              <w:bottom w:val="single" w:sz="8" w:space="0" w:color="C7C9C7"/>
              <w:right w:val="nil"/>
            </w:tcBorders>
            <w:shd w:val="clear" w:color="auto" w:fill="E6F8F8"/>
            <w:tcMar>
              <w:top w:w="0" w:type="dxa"/>
              <w:left w:w="53" w:type="dxa"/>
              <w:bottom w:w="0" w:type="dxa"/>
              <w:right w:w="53" w:type="dxa"/>
            </w:tcMar>
            <w:vAlign w:val="bottom"/>
          </w:tcPr>
          <w:p w14:paraId="161888F6" w14:textId="77777777" w:rsidR="001614AC" w:rsidRDefault="004468F9">
            <w:pPr>
              <w:keepNext/>
              <w:spacing w:before="55" w:after="30" w:line="288" w:lineRule="auto"/>
              <w:jc w:val="center"/>
            </w:pPr>
            <w:r>
              <w:rPr>
                <w:rFonts w:ascii="Arial" w:eastAsia="Arial" w:hAnsi="Arial" w:cs="Arial"/>
                <w:b/>
                <w:color w:val="00BAB3"/>
                <w:sz w:val="18"/>
              </w:rPr>
              <w:t>2021</w:t>
            </w:r>
          </w:p>
        </w:tc>
        <w:tc>
          <w:tcPr>
            <w:tcW w:w="105" w:type="dxa"/>
            <w:tcBorders>
              <w:top w:val="single" w:sz="8" w:space="0" w:color="FFFFFF"/>
              <w:left w:val="nil"/>
              <w:bottom w:val="single" w:sz="8" w:space="0" w:color="C7C9C7"/>
              <w:right w:val="nil"/>
            </w:tcBorders>
            <w:tcMar>
              <w:top w:w="0" w:type="dxa"/>
              <w:left w:w="0" w:type="dxa"/>
              <w:bottom w:w="0" w:type="dxa"/>
              <w:right w:w="0" w:type="dxa"/>
            </w:tcMar>
            <w:vAlign w:val="bottom"/>
          </w:tcPr>
          <w:p w14:paraId="464AFBEA" w14:textId="77777777" w:rsidR="001614AC" w:rsidRDefault="001614AC">
            <w:pPr>
              <w:keepNext/>
            </w:pPr>
          </w:p>
        </w:tc>
        <w:tc>
          <w:tcPr>
            <w:tcW w:w="1005" w:type="dxa"/>
            <w:gridSpan w:val="3"/>
            <w:tcBorders>
              <w:top w:val="single" w:sz="8" w:space="0" w:color="FFFFFF"/>
              <w:left w:val="nil"/>
              <w:bottom w:val="single" w:sz="8" w:space="0" w:color="C7C9C7"/>
              <w:right w:val="nil"/>
            </w:tcBorders>
            <w:shd w:val="clear" w:color="auto" w:fill="F4F4F4"/>
            <w:tcMar>
              <w:top w:w="0" w:type="dxa"/>
              <w:left w:w="53" w:type="dxa"/>
              <w:bottom w:w="0" w:type="dxa"/>
              <w:right w:w="53" w:type="dxa"/>
            </w:tcMar>
            <w:vAlign w:val="bottom"/>
          </w:tcPr>
          <w:p w14:paraId="45AF22D7" w14:textId="77777777" w:rsidR="001614AC" w:rsidRDefault="004468F9">
            <w:pPr>
              <w:keepNext/>
              <w:spacing w:before="55" w:after="30" w:line="288" w:lineRule="auto"/>
              <w:jc w:val="center"/>
            </w:pPr>
            <w:r>
              <w:rPr>
                <w:rFonts w:ascii="Arial" w:eastAsia="Arial" w:hAnsi="Arial" w:cs="Arial"/>
                <w:b/>
                <w:color w:val="00BAB3"/>
                <w:sz w:val="18"/>
              </w:rPr>
              <w:t>2020</w:t>
            </w:r>
          </w:p>
        </w:tc>
        <w:tc>
          <w:tcPr>
            <w:tcW w:w="105" w:type="dxa"/>
            <w:tcBorders>
              <w:top w:val="single" w:sz="8" w:space="0" w:color="FFFFFF"/>
              <w:left w:val="nil"/>
              <w:bottom w:val="single" w:sz="8" w:space="0" w:color="C7C9C7"/>
              <w:right w:val="nil"/>
            </w:tcBorders>
            <w:tcMar>
              <w:top w:w="0" w:type="dxa"/>
              <w:left w:w="0" w:type="dxa"/>
              <w:bottom w:w="0" w:type="dxa"/>
              <w:right w:w="0" w:type="dxa"/>
            </w:tcMar>
            <w:vAlign w:val="bottom"/>
          </w:tcPr>
          <w:p w14:paraId="6AD85BFC" w14:textId="77777777" w:rsidR="001614AC" w:rsidRDefault="001614AC">
            <w:pPr>
              <w:keepNext/>
            </w:pPr>
          </w:p>
        </w:tc>
        <w:tc>
          <w:tcPr>
            <w:tcW w:w="1005" w:type="dxa"/>
            <w:gridSpan w:val="3"/>
            <w:tcBorders>
              <w:top w:val="single" w:sz="8" w:space="0" w:color="FFFFFF"/>
              <w:left w:val="nil"/>
              <w:bottom w:val="single" w:sz="8" w:space="0" w:color="C7C9C7"/>
              <w:right w:val="nil"/>
            </w:tcBorders>
            <w:shd w:val="clear" w:color="auto" w:fill="E6F8F8"/>
            <w:tcMar>
              <w:top w:w="0" w:type="dxa"/>
              <w:left w:w="53" w:type="dxa"/>
              <w:bottom w:w="0" w:type="dxa"/>
              <w:right w:w="53" w:type="dxa"/>
            </w:tcMar>
            <w:vAlign w:val="bottom"/>
          </w:tcPr>
          <w:p w14:paraId="094DB023" w14:textId="77777777" w:rsidR="001614AC" w:rsidRDefault="004468F9">
            <w:pPr>
              <w:keepNext/>
              <w:spacing w:before="55" w:after="30" w:line="288" w:lineRule="auto"/>
              <w:jc w:val="center"/>
            </w:pPr>
            <w:r>
              <w:rPr>
                <w:rFonts w:ascii="Arial" w:eastAsia="Arial" w:hAnsi="Arial" w:cs="Arial"/>
                <w:b/>
                <w:color w:val="00BAB3"/>
                <w:sz w:val="18"/>
              </w:rPr>
              <w:t>2021</w:t>
            </w:r>
          </w:p>
        </w:tc>
        <w:tc>
          <w:tcPr>
            <w:tcW w:w="105" w:type="dxa"/>
            <w:tcBorders>
              <w:top w:val="single" w:sz="8" w:space="0" w:color="FFFFFF"/>
              <w:left w:val="nil"/>
              <w:bottom w:val="single" w:sz="8" w:space="0" w:color="C7C9C7"/>
              <w:right w:val="nil"/>
            </w:tcBorders>
            <w:tcMar>
              <w:top w:w="0" w:type="dxa"/>
              <w:left w:w="0" w:type="dxa"/>
              <w:bottom w:w="0" w:type="dxa"/>
              <w:right w:w="0" w:type="dxa"/>
            </w:tcMar>
            <w:vAlign w:val="bottom"/>
          </w:tcPr>
          <w:p w14:paraId="046ADD40" w14:textId="77777777" w:rsidR="001614AC" w:rsidRDefault="001614AC">
            <w:pPr>
              <w:keepNext/>
            </w:pPr>
          </w:p>
        </w:tc>
        <w:tc>
          <w:tcPr>
            <w:tcW w:w="1005" w:type="dxa"/>
            <w:gridSpan w:val="3"/>
            <w:tcBorders>
              <w:top w:val="single" w:sz="8" w:space="0" w:color="FFFFFF"/>
              <w:left w:val="nil"/>
              <w:bottom w:val="single" w:sz="8" w:space="0" w:color="C7C9C7"/>
              <w:right w:val="nil"/>
            </w:tcBorders>
            <w:shd w:val="clear" w:color="auto" w:fill="F4F4F4"/>
            <w:tcMar>
              <w:top w:w="0" w:type="dxa"/>
              <w:left w:w="53" w:type="dxa"/>
              <w:bottom w:w="0" w:type="dxa"/>
              <w:right w:w="53" w:type="dxa"/>
            </w:tcMar>
            <w:vAlign w:val="bottom"/>
          </w:tcPr>
          <w:p w14:paraId="12B68C03" w14:textId="77777777" w:rsidR="001614AC" w:rsidRDefault="004468F9">
            <w:pPr>
              <w:keepNext/>
              <w:spacing w:before="55" w:after="30" w:line="288" w:lineRule="auto"/>
              <w:jc w:val="center"/>
            </w:pPr>
            <w:r>
              <w:rPr>
                <w:rFonts w:ascii="Arial" w:eastAsia="Arial" w:hAnsi="Arial" w:cs="Arial"/>
                <w:b/>
                <w:color w:val="00BAB3"/>
                <w:sz w:val="18"/>
              </w:rPr>
              <w:t>2020</w:t>
            </w:r>
          </w:p>
        </w:tc>
      </w:tr>
      <w:tr w:rsidR="001614AC" w14:paraId="66BC2265" w14:textId="77777777">
        <w:trPr>
          <w:cantSplit/>
        </w:trPr>
        <w:tc>
          <w:tcPr>
            <w:tcW w:w="5640" w:type="dxa"/>
            <w:tcBorders>
              <w:top w:val="single" w:sz="8" w:space="0" w:color="C7C9C7"/>
              <w:left w:val="nil"/>
              <w:bottom w:val="single" w:sz="8" w:space="0" w:color="E9E9E9"/>
              <w:right w:val="nil"/>
            </w:tcBorders>
            <w:tcMar>
              <w:top w:w="0" w:type="dxa"/>
              <w:left w:w="53" w:type="dxa"/>
              <w:bottom w:w="0" w:type="dxa"/>
              <w:right w:w="53" w:type="dxa"/>
            </w:tcMar>
            <w:vAlign w:val="bottom"/>
          </w:tcPr>
          <w:p w14:paraId="4DB0412D" w14:textId="77777777" w:rsidR="001614AC" w:rsidRDefault="004468F9">
            <w:pPr>
              <w:keepNext/>
              <w:spacing w:before="55" w:after="30" w:line="288" w:lineRule="auto"/>
              <w:rPr>
                <w:rFonts w:ascii="Arial" w:eastAsia="Arial" w:hAnsi="Arial" w:cs="Arial"/>
                <w:sz w:val="18"/>
              </w:rPr>
            </w:pPr>
            <w:r>
              <w:rPr>
                <w:rFonts w:ascii="Arial" w:eastAsia="Arial" w:hAnsi="Arial" w:cs="Arial"/>
                <w:sz w:val="18"/>
              </w:rPr>
              <w:t>Current period defaults</w:t>
            </w:r>
            <w:r>
              <w:rPr>
                <w:rFonts w:ascii="Arial" w:eastAsia="Arial" w:hAnsi="Arial" w:cs="Arial"/>
                <w:sz w:val="18"/>
                <w:vertAlign w:val="superscript"/>
              </w:rPr>
              <w:t xml:space="preserve"> (1) </w:t>
            </w:r>
          </w:p>
        </w:tc>
        <w:tc>
          <w:tcPr>
            <w:tcW w:w="105" w:type="dxa"/>
            <w:tcBorders>
              <w:top w:val="single" w:sz="8" w:space="0" w:color="C7C9C7"/>
              <w:left w:val="nil"/>
              <w:bottom w:val="nil"/>
              <w:right w:val="nil"/>
            </w:tcBorders>
            <w:tcMar>
              <w:top w:w="0" w:type="dxa"/>
              <w:left w:w="0" w:type="dxa"/>
              <w:bottom w:w="0" w:type="dxa"/>
              <w:right w:w="0" w:type="dxa"/>
            </w:tcMar>
            <w:vAlign w:val="bottom"/>
          </w:tcPr>
          <w:p w14:paraId="7DC12959" w14:textId="77777777" w:rsidR="001614AC" w:rsidRDefault="001614AC">
            <w:pPr>
              <w:keepNext/>
            </w:pPr>
          </w:p>
        </w:tc>
        <w:tc>
          <w:tcPr>
            <w:tcW w:w="160" w:type="dxa"/>
            <w:tcBorders>
              <w:top w:val="single" w:sz="8" w:space="0" w:color="C7C9C7"/>
              <w:left w:val="nil"/>
              <w:bottom w:val="single" w:sz="8" w:space="0" w:color="E9E9E9"/>
              <w:right w:val="nil"/>
            </w:tcBorders>
            <w:tcMar>
              <w:top w:w="0" w:type="dxa"/>
              <w:left w:w="53" w:type="dxa"/>
              <w:bottom w:w="0" w:type="dxa"/>
              <w:right w:w="0" w:type="dxa"/>
            </w:tcMar>
            <w:vAlign w:val="bottom"/>
          </w:tcPr>
          <w:p w14:paraId="765C26ED" w14:textId="77777777" w:rsidR="001614AC" w:rsidRDefault="004468F9">
            <w:pPr>
              <w:keepNext/>
              <w:spacing w:before="55" w:after="30" w:line="288" w:lineRule="auto"/>
            </w:pPr>
            <w:r>
              <w:rPr>
                <w:rFonts w:ascii="Arial" w:eastAsia="Arial" w:hAnsi="Arial" w:cs="Arial"/>
                <w:color w:val="000000"/>
                <w:sz w:val="18"/>
              </w:rPr>
              <w:t>$</w:t>
            </w:r>
          </w:p>
        </w:tc>
        <w:tc>
          <w:tcPr>
            <w:tcW w:w="745" w:type="dxa"/>
            <w:tcBorders>
              <w:top w:val="single" w:sz="8" w:space="0" w:color="C7C9C7"/>
              <w:left w:val="nil"/>
              <w:bottom w:val="single" w:sz="8" w:space="0" w:color="E9E9E9"/>
              <w:right w:val="nil"/>
            </w:tcBorders>
            <w:tcMar>
              <w:top w:w="0" w:type="dxa"/>
              <w:left w:w="0" w:type="dxa"/>
              <w:bottom w:w="0" w:type="dxa"/>
              <w:right w:w="0" w:type="dxa"/>
            </w:tcMar>
            <w:vAlign w:val="bottom"/>
          </w:tcPr>
          <w:p w14:paraId="484E4C01" w14:textId="77777777" w:rsidR="001614AC" w:rsidRDefault="004468F9">
            <w:pPr>
              <w:keepNext/>
              <w:spacing w:before="55" w:after="30" w:line="288" w:lineRule="auto"/>
              <w:jc w:val="right"/>
            </w:pPr>
            <w:r>
              <w:rPr>
                <w:rFonts w:ascii="Arial" w:eastAsia="Arial" w:hAnsi="Arial" w:cs="Arial"/>
                <w:color w:val="000000"/>
                <w:sz w:val="18"/>
              </w:rPr>
              <w:t>34.3 </w:t>
            </w:r>
          </w:p>
        </w:tc>
        <w:tc>
          <w:tcPr>
            <w:tcW w:w="100" w:type="dxa"/>
            <w:tcBorders>
              <w:top w:val="single" w:sz="8" w:space="0" w:color="C7C9C7"/>
              <w:left w:val="nil"/>
              <w:bottom w:val="single" w:sz="8" w:space="0" w:color="E9E9E9"/>
              <w:right w:val="nil"/>
            </w:tcBorders>
            <w:tcMar>
              <w:top w:w="0" w:type="dxa"/>
              <w:left w:w="0" w:type="dxa"/>
              <w:bottom w:w="0" w:type="dxa"/>
              <w:right w:w="15" w:type="dxa"/>
            </w:tcMar>
            <w:vAlign w:val="bottom"/>
          </w:tcPr>
          <w:p w14:paraId="7EC6B094" w14:textId="77777777" w:rsidR="001614AC" w:rsidRDefault="001614AC">
            <w:pPr>
              <w:keepNext/>
              <w:spacing w:before="55" w:after="30" w:line="288" w:lineRule="auto"/>
              <w:jc w:val="right"/>
            </w:pPr>
          </w:p>
        </w:tc>
        <w:tc>
          <w:tcPr>
            <w:tcW w:w="105" w:type="dxa"/>
            <w:tcBorders>
              <w:top w:val="single" w:sz="8" w:space="0" w:color="C7C9C7"/>
              <w:left w:val="nil"/>
              <w:bottom w:val="nil"/>
              <w:right w:val="nil"/>
            </w:tcBorders>
            <w:tcMar>
              <w:top w:w="0" w:type="dxa"/>
              <w:left w:w="0" w:type="dxa"/>
              <w:bottom w:w="0" w:type="dxa"/>
              <w:right w:w="0" w:type="dxa"/>
            </w:tcMar>
            <w:vAlign w:val="bottom"/>
          </w:tcPr>
          <w:p w14:paraId="27712563" w14:textId="77777777" w:rsidR="001614AC" w:rsidRDefault="001614AC">
            <w:pPr>
              <w:keepNext/>
            </w:pPr>
          </w:p>
        </w:tc>
        <w:tc>
          <w:tcPr>
            <w:tcW w:w="160" w:type="dxa"/>
            <w:tcBorders>
              <w:top w:val="single" w:sz="8" w:space="0" w:color="C7C9C7"/>
              <w:left w:val="nil"/>
              <w:bottom w:val="single" w:sz="8" w:space="0" w:color="E9E9E9"/>
              <w:right w:val="nil"/>
            </w:tcBorders>
            <w:tcMar>
              <w:top w:w="0" w:type="dxa"/>
              <w:left w:w="53" w:type="dxa"/>
              <w:bottom w:w="0" w:type="dxa"/>
              <w:right w:w="0" w:type="dxa"/>
            </w:tcMar>
            <w:vAlign w:val="bottom"/>
          </w:tcPr>
          <w:p w14:paraId="3AB4181D" w14:textId="77777777" w:rsidR="001614AC" w:rsidRDefault="004468F9">
            <w:pPr>
              <w:keepNext/>
              <w:spacing w:before="55" w:after="30" w:line="288" w:lineRule="auto"/>
            </w:pPr>
            <w:r>
              <w:rPr>
                <w:rFonts w:ascii="Arial" w:eastAsia="Arial" w:hAnsi="Arial" w:cs="Arial"/>
                <w:color w:val="000000"/>
                <w:sz w:val="18"/>
              </w:rPr>
              <w:t>$</w:t>
            </w:r>
          </w:p>
        </w:tc>
        <w:tc>
          <w:tcPr>
            <w:tcW w:w="745" w:type="dxa"/>
            <w:tcBorders>
              <w:top w:val="single" w:sz="8" w:space="0" w:color="C7C9C7"/>
              <w:left w:val="nil"/>
              <w:bottom w:val="single" w:sz="8" w:space="0" w:color="E9E9E9"/>
              <w:right w:val="nil"/>
            </w:tcBorders>
            <w:tcMar>
              <w:top w:w="0" w:type="dxa"/>
              <w:left w:w="0" w:type="dxa"/>
              <w:bottom w:w="0" w:type="dxa"/>
              <w:right w:w="0" w:type="dxa"/>
            </w:tcMar>
            <w:vAlign w:val="bottom"/>
          </w:tcPr>
          <w:p w14:paraId="2A0DDF83" w14:textId="77777777" w:rsidR="001614AC" w:rsidRDefault="004468F9">
            <w:pPr>
              <w:keepNext/>
              <w:spacing w:before="55" w:after="30" w:line="288" w:lineRule="auto"/>
              <w:jc w:val="right"/>
            </w:pPr>
            <w:r>
              <w:rPr>
                <w:rFonts w:ascii="Arial" w:eastAsia="Arial" w:hAnsi="Arial" w:cs="Arial"/>
                <w:color w:val="000000"/>
                <w:sz w:val="18"/>
              </w:rPr>
              <w:t>309.2 </w:t>
            </w:r>
          </w:p>
        </w:tc>
        <w:tc>
          <w:tcPr>
            <w:tcW w:w="100" w:type="dxa"/>
            <w:tcBorders>
              <w:top w:val="single" w:sz="8" w:space="0" w:color="C7C9C7"/>
              <w:left w:val="nil"/>
              <w:bottom w:val="single" w:sz="8" w:space="0" w:color="E9E9E9"/>
              <w:right w:val="nil"/>
            </w:tcBorders>
            <w:tcMar>
              <w:top w:w="0" w:type="dxa"/>
              <w:left w:w="0" w:type="dxa"/>
              <w:bottom w:w="0" w:type="dxa"/>
              <w:right w:w="15" w:type="dxa"/>
            </w:tcMar>
            <w:vAlign w:val="bottom"/>
          </w:tcPr>
          <w:p w14:paraId="7144694C" w14:textId="77777777" w:rsidR="001614AC" w:rsidRDefault="001614AC">
            <w:pPr>
              <w:keepNext/>
              <w:spacing w:before="55" w:after="30" w:line="288" w:lineRule="auto"/>
              <w:jc w:val="right"/>
            </w:pPr>
          </w:p>
        </w:tc>
        <w:tc>
          <w:tcPr>
            <w:tcW w:w="105" w:type="dxa"/>
            <w:tcBorders>
              <w:top w:val="single" w:sz="8" w:space="0" w:color="C7C9C7"/>
              <w:left w:val="nil"/>
              <w:bottom w:val="nil"/>
              <w:right w:val="nil"/>
            </w:tcBorders>
            <w:tcMar>
              <w:top w:w="0" w:type="dxa"/>
              <w:left w:w="0" w:type="dxa"/>
              <w:bottom w:w="0" w:type="dxa"/>
              <w:right w:w="0" w:type="dxa"/>
            </w:tcMar>
            <w:vAlign w:val="bottom"/>
          </w:tcPr>
          <w:p w14:paraId="6888781A" w14:textId="77777777" w:rsidR="001614AC" w:rsidRDefault="001614AC">
            <w:pPr>
              <w:keepNext/>
            </w:pPr>
          </w:p>
        </w:tc>
        <w:tc>
          <w:tcPr>
            <w:tcW w:w="160" w:type="dxa"/>
            <w:tcBorders>
              <w:top w:val="single" w:sz="8" w:space="0" w:color="C7C9C7"/>
              <w:left w:val="nil"/>
              <w:bottom w:val="single" w:sz="8" w:space="0" w:color="E9E9E9"/>
              <w:right w:val="nil"/>
            </w:tcBorders>
            <w:tcMar>
              <w:top w:w="0" w:type="dxa"/>
              <w:left w:w="53" w:type="dxa"/>
              <w:bottom w:w="0" w:type="dxa"/>
              <w:right w:w="0" w:type="dxa"/>
            </w:tcMar>
            <w:vAlign w:val="bottom"/>
          </w:tcPr>
          <w:p w14:paraId="56746213" w14:textId="77777777" w:rsidR="001614AC" w:rsidRDefault="004468F9">
            <w:pPr>
              <w:keepNext/>
              <w:spacing w:before="55" w:after="30" w:line="288" w:lineRule="auto"/>
            </w:pPr>
            <w:r>
              <w:rPr>
                <w:rFonts w:ascii="Arial" w:eastAsia="Arial" w:hAnsi="Arial" w:cs="Arial"/>
                <w:color w:val="000000"/>
                <w:sz w:val="18"/>
              </w:rPr>
              <w:t>$</w:t>
            </w:r>
          </w:p>
        </w:tc>
        <w:tc>
          <w:tcPr>
            <w:tcW w:w="745" w:type="dxa"/>
            <w:tcBorders>
              <w:top w:val="single" w:sz="8" w:space="0" w:color="C7C9C7"/>
              <w:left w:val="nil"/>
              <w:bottom w:val="single" w:sz="8" w:space="0" w:color="E9E9E9"/>
              <w:right w:val="nil"/>
            </w:tcBorders>
            <w:tcMar>
              <w:top w:w="0" w:type="dxa"/>
              <w:left w:w="0" w:type="dxa"/>
              <w:bottom w:w="0" w:type="dxa"/>
              <w:right w:w="0" w:type="dxa"/>
            </w:tcMar>
            <w:vAlign w:val="bottom"/>
          </w:tcPr>
          <w:p w14:paraId="49E34A91" w14:textId="77777777" w:rsidR="001614AC" w:rsidRDefault="004468F9">
            <w:pPr>
              <w:keepNext/>
              <w:spacing w:before="55" w:after="30" w:line="288" w:lineRule="auto"/>
              <w:jc w:val="right"/>
            </w:pPr>
            <w:r>
              <w:rPr>
                <w:rFonts w:ascii="Arial" w:eastAsia="Arial" w:hAnsi="Arial" w:cs="Arial"/>
                <w:color w:val="000000"/>
                <w:sz w:val="18"/>
              </w:rPr>
              <w:t>85.8 </w:t>
            </w:r>
          </w:p>
        </w:tc>
        <w:tc>
          <w:tcPr>
            <w:tcW w:w="100" w:type="dxa"/>
            <w:tcBorders>
              <w:top w:val="single" w:sz="8" w:space="0" w:color="C7C9C7"/>
              <w:left w:val="nil"/>
              <w:bottom w:val="single" w:sz="8" w:space="0" w:color="E9E9E9"/>
              <w:right w:val="nil"/>
            </w:tcBorders>
            <w:tcMar>
              <w:top w:w="0" w:type="dxa"/>
              <w:left w:w="0" w:type="dxa"/>
              <w:bottom w:w="0" w:type="dxa"/>
              <w:right w:w="15" w:type="dxa"/>
            </w:tcMar>
            <w:vAlign w:val="bottom"/>
          </w:tcPr>
          <w:p w14:paraId="2FB08A72" w14:textId="77777777" w:rsidR="001614AC" w:rsidRDefault="001614AC">
            <w:pPr>
              <w:keepNext/>
              <w:spacing w:before="55" w:after="30" w:line="288" w:lineRule="auto"/>
              <w:jc w:val="right"/>
            </w:pPr>
          </w:p>
        </w:tc>
        <w:tc>
          <w:tcPr>
            <w:tcW w:w="105" w:type="dxa"/>
            <w:tcBorders>
              <w:top w:val="single" w:sz="8" w:space="0" w:color="C7C9C7"/>
              <w:left w:val="nil"/>
              <w:bottom w:val="nil"/>
              <w:right w:val="nil"/>
            </w:tcBorders>
            <w:tcMar>
              <w:top w:w="0" w:type="dxa"/>
              <w:left w:w="0" w:type="dxa"/>
              <w:bottom w:w="0" w:type="dxa"/>
              <w:right w:w="0" w:type="dxa"/>
            </w:tcMar>
            <w:vAlign w:val="bottom"/>
          </w:tcPr>
          <w:p w14:paraId="22BC153A" w14:textId="77777777" w:rsidR="001614AC" w:rsidRDefault="001614AC">
            <w:pPr>
              <w:keepNext/>
            </w:pPr>
          </w:p>
        </w:tc>
        <w:tc>
          <w:tcPr>
            <w:tcW w:w="160" w:type="dxa"/>
            <w:tcBorders>
              <w:top w:val="single" w:sz="8" w:space="0" w:color="C7C9C7"/>
              <w:left w:val="nil"/>
              <w:bottom w:val="single" w:sz="8" w:space="0" w:color="E9E9E9"/>
              <w:right w:val="nil"/>
            </w:tcBorders>
            <w:tcMar>
              <w:top w:w="0" w:type="dxa"/>
              <w:left w:w="53" w:type="dxa"/>
              <w:bottom w:w="0" w:type="dxa"/>
              <w:right w:w="0" w:type="dxa"/>
            </w:tcMar>
            <w:vAlign w:val="bottom"/>
          </w:tcPr>
          <w:p w14:paraId="2487156F" w14:textId="77777777" w:rsidR="001614AC" w:rsidRDefault="004468F9">
            <w:pPr>
              <w:keepNext/>
              <w:spacing w:before="55" w:after="30" w:line="288" w:lineRule="auto"/>
            </w:pPr>
            <w:r>
              <w:rPr>
                <w:rFonts w:ascii="Arial" w:eastAsia="Arial" w:hAnsi="Arial" w:cs="Arial"/>
                <w:color w:val="000000"/>
                <w:sz w:val="18"/>
              </w:rPr>
              <w:t>$</w:t>
            </w:r>
          </w:p>
        </w:tc>
        <w:tc>
          <w:tcPr>
            <w:tcW w:w="745" w:type="dxa"/>
            <w:tcBorders>
              <w:top w:val="single" w:sz="8" w:space="0" w:color="C7C9C7"/>
              <w:left w:val="nil"/>
              <w:bottom w:val="single" w:sz="8" w:space="0" w:color="E9E9E9"/>
              <w:right w:val="nil"/>
            </w:tcBorders>
            <w:tcMar>
              <w:top w:w="0" w:type="dxa"/>
              <w:left w:w="0" w:type="dxa"/>
              <w:bottom w:w="0" w:type="dxa"/>
              <w:right w:w="0" w:type="dxa"/>
            </w:tcMar>
            <w:vAlign w:val="bottom"/>
          </w:tcPr>
          <w:p w14:paraId="6D4E021D" w14:textId="77777777" w:rsidR="001614AC" w:rsidRDefault="004468F9">
            <w:pPr>
              <w:keepNext/>
              <w:spacing w:before="55" w:after="30" w:line="288" w:lineRule="auto"/>
              <w:jc w:val="right"/>
            </w:pPr>
            <w:r>
              <w:rPr>
                <w:rFonts w:ascii="Arial" w:eastAsia="Arial" w:hAnsi="Arial" w:cs="Arial"/>
                <w:color w:val="000000"/>
                <w:sz w:val="18"/>
              </w:rPr>
              <w:t>356.6 </w:t>
            </w:r>
          </w:p>
        </w:tc>
        <w:tc>
          <w:tcPr>
            <w:tcW w:w="100" w:type="dxa"/>
            <w:tcBorders>
              <w:top w:val="single" w:sz="8" w:space="0" w:color="C7C9C7"/>
              <w:left w:val="nil"/>
              <w:bottom w:val="single" w:sz="8" w:space="0" w:color="E9E9E9"/>
              <w:right w:val="nil"/>
            </w:tcBorders>
            <w:tcMar>
              <w:top w:w="0" w:type="dxa"/>
              <w:left w:w="0" w:type="dxa"/>
              <w:bottom w:w="0" w:type="dxa"/>
              <w:right w:w="15" w:type="dxa"/>
            </w:tcMar>
            <w:vAlign w:val="bottom"/>
          </w:tcPr>
          <w:p w14:paraId="64B3F49D" w14:textId="77777777" w:rsidR="001614AC" w:rsidRDefault="001614AC">
            <w:pPr>
              <w:keepNext/>
              <w:spacing w:before="55" w:after="30" w:line="288" w:lineRule="auto"/>
              <w:jc w:val="right"/>
            </w:pPr>
          </w:p>
        </w:tc>
      </w:tr>
      <w:tr w:rsidR="001614AC" w14:paraId="30988D79" w14:textId="77777777">
        <w:trPr>
          <w:cantSplit/>
        </w:trPr>
        <w:tc>
          <w:tcPr>
            <w:tcW w:w="5640" w:type="dxa"/>
            <w:tcBorders>
              <w:top w:val="single" w:sz="8" w:space="0" w:color="E9E9E9"/>
              <w:left w:val="nil"/>
              <w:bottom w:val="single" w:sz="8" w:space="0" w:color="E9E9E9"/>
              <w:right w:val="nil"/>
            </w:tcBorders>
            <w:tcMar>
              <w:top w:w="0" w:type="dxa"/>
              <w:left w:w="53" w:type="dxa"/>
              <w:bottom w:w="0" w:type="dxa"/>
              <w:right w:w="53" w:type="dxa"/>
            </w:tcMar>
            <w:vAlign w:val="bottom"/>
          </w:tcPr>
          <w:p w14:paraId="5A806417" w14:textId="77777777" w:rsidR="001614AC" w:rsidRDefault="004468F9">
            <w:pPr>
              <w:keepNext/>
              <w:spacing w:before="55" w:after="30" w:line="288" w:lineRule="auto"/>
              <w:rPr>
                <w:rFonts w:ascii="Arial" w:eastAsia="Arial" w:hAnsi="Arial" w:cs="Arial"/>
                <w:sz w:val="18"/>
              </w:rPr>
            </w:pPr>
            <w:r>
              <w:rPr>
                <w:rFonts w:ascii="Arial" w:eastAsia="Arial" w:hAnsi="Arial" w:cs="Arial"/>
                <w:sz w:val="18"/>
              </w:rPr>
              <w:t xml:space="preserve">Prior period defaults </w:t>
            </w:r>
            <w:r>
              <w:rPr>
                <w:rFonts w:ascii="Arial" w:eastAsia="Arial" w:hAnsi="Arial" w:cs="Arial"/>
                <w:sz w:val="18"/>
                <w:vertAlign w:val="superscript"/>
              </w:rPr>
              <w:t xml:space="preserve">(2) </w:t>
            </w:r>
          </w:p>
        </w:tc>
        <w:tc>
          <w:tcPr>
            <w:tcW w:w="105" w:type="dxa"/>
            <w:tcBorders>
              <w:top w:val="nil"/>
              <w:left w:val="nil"/>
              <w:bottom w:val="nil"/>
              <w:right w:val="nil"/>
            </w:tcBorders>
            <w:tcMar>
              <w:top w:w="0" w:type="dxa"/>
              <w:left w:w="0" w:type="dxa"/>
              <w:bottom w:w="0" w:type="dxa"/>
              <w:right w:w="0" w:type="dxa"/>
            </w:tcMar>
            <w:vAlign w:val="bottom"/>
          </w:tcPr>
          <w:p w14:paraId="0A8CB9AC" w14:textId="77777777" w:rsidR="001614AC" w:rsidRDefault="001614AC">
            <w:pPr>
              <w:keepNext/>
            </w:pPr>
          </w:p>
        </w:tc>
        <w:tc>
          <w:tcPr>
            <w:tcW w:w="90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53BBC3DD" w14:textId="77777777" w:rsidR="001614AC" w:rsidRDefault="004468F9">
            <w:pPr>
              <w:keepNext/>
              <w:spacing w:before="55" w:after="30" w:line="288" w:lineRule="auto"/>
              <w:jc w:val="right"/>
            </w:pPr>
            <w:r>
              <w:rPr>
                <w:rFonts w:ascii="Arial" w:eastAsia="Arial" w:hAnsi="Arial" w:cs="Arial"/>
                <w:color w:val="000000"/>
                <w:sz w:val="18"/>
              </w:rPr>
              <w:t>(31.0)</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6555E0F5" w14:textId="77777777" w:rsidR="001614AC" w:rsidRDefault="001614AC">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2AA3F185" w14:textId="77777777" w:rsidR="001614AC" w:rsidRDefault="001614AC">
            <w:pPr>
              <w:keepNext/>
            </w:pPr>
          </w:p>
        </w:tc>
        <w:tc>
          <w:tcPr>
            <w:tcW w:w="90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6E753EF9" w14:textId="77777777" w:rsidR="001614AC" w:rsidRDefault="004468F9">
            <w:pPr>
              <w:keepNext/>
              <w:spacing w:before="55" w:after="30" w:line="288" w:lineRule="auto"/>
              <w:jc w:val="right"/>
            </w:pPr>
            <w:r>
              <w:rPr>
                <w:rFonts w:ascii="Arial" w:eastAsia="Arial" w:hAnsi="Arial" w:cs="Arial"/>
                <w:color w:val="000000"/>
                <w:sz w:val="18"/>
              </w:rPr>
              <w:t>(5.3)</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22FDD77C" w14:textId="77777777" w:rsidR="001614AC" w:rsidRDefault="001614AC">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7F4081CA" w14:textId="77777777" w:rsidR="001614AC" w:rsidRDefault="001614AC">
            <w:pPr>
              <w:keepNext/>
            </w:pPr>
          </w:p>
        </w:tc>
        <w:tc>
          <w:tcPr>
            <w:tcW w:w="90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68C0291A" w14:textId="77777777" w:rsidR="001614AC" w:rsidRDefault="004468F9">
            <w:pPr>
              <w:keepNext/>
              <w:spacing w:before="55" w:after="30" w:line="288" w:lineRule="auto"/>
              <w:jc w:val="right"/>
            </w:pPr>
            <w:r>
              <w:rPr>
                <w:rFonts w:ascii="Arial" w:eastAsia="Arial" w:hAnsi="Arial" w:cs="Arial"/>
                <w:color w:val="000000"/>
                <w:sz w:val="18"/>
              </w:rPr>
              <w:t>(36.7)</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2EF5BB10" w14:textId="77777777" w:rsidR="001614AC" w:rsidRDefault="001614AC">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24162EE1" w14:textId="77777777" w:rsidR="001614AC" w:rsidRDefault="001614AC">
            <w:pPr>
              <w:keepNext/>
            </w:pPr>
          </w:p>
        </w:tc>
        <w:tc>
          <w:tcPr>
            <w:tcW w:w="90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02112DF5" w14:textId="77777777" w:rsidR="001614AC" w:rsidRDefault="004468F9">
            <w:pPr>
              <w:keepNext/>
              <w:spacing w:before="55" w:after="30" w:line="288" w:lineRule="auto"/>
              <w:jc w:val="right"/>
            </w:pPr>
            <w:r>
              <w:rPr>
                <w:rFonts w:ascii="Arial" w:eastAsia="Arial" w:hAnsi="Arial" w:cs="Arial"/>
                <w:color w:val="000000"/>
                <w:sz w:val="18"/>
              </w:rPr>
              <w:t>(17.2)</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681CB6AA" w14:textId="77777777" w:rsidR="001614AC" w:rsidRDefault="001614AC">
            <w:pPr>
              <w:keepNext/>
              <w:spacing w:before="55" w:after="30" w:line="288" w:lineRule="auto"/>
              <w:jc w:val="right"/>
            </w:pPr>
          </w:p>
        </w:tc>
      </w:tr>
      <w:tr w:rsidR="001614AC" w14:paraId="6608F228" w14:textId="77777777">
        <w:trPr>
          <w:cantSplit/>
        </w:trPr>
        <w:tc>
          <w:tcPr>
            <w:tcW w:w="5640" w:type="dxa"/>
            <w:tcBorders>
              <w:top w:val="single" w:sz="8" w:space="0" w:color="E9E9E9"/>
              <w:left w:val="nil"/>
              <w:bottom w:val="nil"/>
              <w:right w:val="nil"/>
            </w:tcBorders>
            <w:tcMar>
              <w:top w:w="0" w:type="dxa"/>
              <w:left w:w="53" w:type="dxa"/>
              <w:bottom w:w="0" w:type="dxa"/>
              <w:right w:w="53" w:type="dxa"/>
            </w:tcMar>
            <w:vAlign w:val="bottom"/>
          </w:tcPr>
          <w:p w14:paraId="67783325" w14:textId="77777777" w:rsidR="001614AC" w:rsidRDefault="004468F9">
            <w:pPr>
              <w:keepNext/>
              <w:spacing w:before="55" w:after="30" w:line="288" w:lineRule="auto"/>
            </w:pPr>
            <w:r>
              <w:rPr>
                <w:rFonts w:ascii="Arial" w:eastAsia="Arial" w:hAnsi="Arial" w:cs="Arial"/>
                <w:color w:val="000000"/>
                <w:sz w:val="18"/>
              </w:rPr>
              <w:t>Second-lien mortgage loan premium deficiency reserve and other</w:t>
            </w:r>
          </w:p>
        </w:tc>
        <w:tc>
          <w:tcPr>
            <w:tcW w:w="105" w:type="dxa"/>
            <w:tcBorders>
              <w:top w:val="nil"/>
              <w:left w:val="nil"/>
              <w:bottom w:val="nil"/>
              <w:right w:val="nil"/>
            </w:tcBorders>
            <w:tcMar>
              <w:top w:w="0" w:type="dxa"/>
              <w:left w:w="0" w:type="dxa"/>
              <w:bottom w:w="0" w:type="dxa"/>
              <w:right w:w="0" w:type="dxa"/>
            </w:tcMar>
            <w:vAlign w:val="bottom"/>
          </w:tcPr>
          <w:p w14:paraId="094F0AA1" w14:textId="77777777" w:rsidR="001614AC" w:rsidRDefault="001614AC">
            <w:pPr>
              <w:keepNext/>
            </w:pPr>
          </w:p>
        </w:tc>
        <w:tc>
          <w:tcPr>
            <w:tcW w:w="905" w:type="dxa"/>
            <w:gridSpan w:val="2"/>
            <w:tcBorders>
              <w:top w:val="single" w:sz="8" w:space="0" w:color="E9E9E9"/>
              <w:left w:val="nil"/>
              <w:bottom w:val="single" w:sz="8" w:space="0" w:color="C7C9C7"/>
              <w:right w:val="nil"/>
            </w:tcBorders>
            <w:tcMar>
              <w:top w:w="0" w:type="dxa"/>
              <w:left w:w="53" w:type="dxa"/>
              <w:bottom w:w="0" w:type="dxa"/>
              <w:right w:w="0" w:type="dxa"/>
            </w:tcMar>
            <w:vAlign w:val="bottom"/>
          </w:tcPr>
          <w:p w14:paraId="38578374" w14:textId="77777777" w:rsidR="001614AC" w:rsidRDefault="004468F9">
            <w:pPr>
              <w:keepNext/>
              <w:spacing w:before="55" w:after="30" w:line="288" w:lineRule="auto"/>
              <w:jc w:val="right"/>
            </w:pPr>
            <w:r>
              <w:rPr>
                <w:rFonts w:ascii="Arial" w:eastAsia="Arial" w:hAnsi="Arial" w:cs="Arial"/>
                <w:color w:val="000000"/>
                <w:sz w:val="18"/>
              </w:rPr>
              <w:t>— </w:t>
            </w:r>
          </w:p>
        </w:tc>
        <w:tc>
          <w:tcPr>
            <w:tcW w:w="100" w:type="dxa"/>
            <w:tcBorders>
              <w:top w:val="single" w:sz="8" w:space="0" w:color="E9E9E9"/>
              <w:left w:val="nil"/>
              <w:bottom w:val="single" w:sz="8" w:space="0" w:color="C7C9C7"/>
              <w:right w:val="nil"/>
            </w:tcBorders>
            <w:tcMar>
              <w:top w:w="0" w:type="dxa"/>
              <w:left w:w="0" w:type="dxa"/>
              <w:bottom w:w="0" w:type="dxa"/>
              <w:right w:w="15" w:type="dxa"/>
            </w:tcMar>
            <w:vAlign w:val="bottom"/>
          </w:tcPr>
          <w:p w14:paraId="105ABF20" w14:textId="77777777" w:rsidR="001614AC" w:rsidRDefault="001614AC">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0462FB21" w14:textId="77777777" w:rsidR="001614AC" w:rsidRDefault="001614AC">
            <w:pPr>
              <w:keepNext/>
            </w:pPr>
          </w:p>
        </w:tc>
        <w:tc>
          <w:tcPr>
            <w:tcW w:w="905" w:type="dxa"/>
            <w:gridSpan w:val="2"/>
            <w:tcBorders>
              <w:top w:val="single" w:sz="8" w:space="0" w:color="E9E9E9"/>
              <w:left w:val="nil"/>
              <w:bottom w:val="single" w:sz="8" w:space="0" w:color="C7C9C7"/>
              <w:right w:val="nil"/>
            </w:tcBorders>
            <w:tcMar>
              <w:top w:w="0" w:type="dxa"/>
              <w:left w:w="53" w:type="dxa"/>
              <w:bottom w:w="0" w:type="dxa"/>
              <w:right w:w="0" w:type="dxa"/>
            </w:tcMar>
            <w:vAlign w:val="bottom"/>
          </w:tcPr>
          <w:p w14:paraId="6448E5EC" w14:textId="77777777" w:rsidR="001614AC" w:rsidRDefault="004468F9">
            <w:pPr>
              <w:keepNext/>
              <w:spacing w:before="55" w:after="30" w:line="288" w:lineRule="auto"/>
              <w:jc w:val="right"/>
            </w:pPr>
            <w:r>
              <w:rPr>
                <w:rFonts w:ascii="Arial" w:eastAsia="Arial" w:hAnsi="Arial" w:cs="Arial"/>
                <w:color w:val="000000"/>
                <w:sz w:val="18"/>
              </w:rPr>
              <w:t>0.1 </w:t>
            </w:r>
          </w:p>
        </w:tc>
        <w:tc>
          <w:tcPr>
            <w:tcW w:w="100" w:type="dxa"/>
            <w:tcBorders>
              <w:top w:val="single" w:sz="8" w:space="0" w:color="E9E9E9"/>
              <w:left w:val="nil"/>
              <w:bottom w:val="single" w:sz="8" w:space="0" w:color="C7C9C7"/>
              <w:right w:val="nil"/>
            </w:tcBorders>
            <w:tcMar>
              <w:top w:w="0" w:type="dxa"/>
              <w:left w:w="0" w:type="dxa"/>
              <w:bottom w:w="0" w:type="dxa"/>
              <w:right w:w="15" w:type="dxa"/>
            </w:tcMar>
            <w:vAlign w:val="bottom"/>
          </w:tcPr>
          <w:p w14:paraId="5BA96CC5" w14:textId="77777777" w:rsidR="001614AC" w:rsidRDefault="001614AC">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0DBE99D6" w14:textId="77777777" w:rsidR="001614AC" w:rsidRDefault="001614AC">
            <w:pPr>
              <w:keepNext/>
            </w:pPr>
          </w:p>
        </w:tc>
        <w:tc>
          <w:tcPr>
            <w:tcW w:w="905" w:type="dxa"/>
            <w:gridSpan w:val="2"/>
            <w:tcBorders>
              <w:top w:val="single" w:sz="8" w:space="0" w:color="E9E9E9"/>
              <w:left w:val="nil"/>
              <w:bottom w:val="single" w:sz="8" w:space="0" w:color="C7C9C7"/>
              <w:right w:val="nil"/>
            </w:tcBorders>
            <w:tcMar>
              <w:top w:w="0" w:type="dxa"/>
              <w:left w:w="53" w:type="dxa"/>
              <w:bottom w:w="0" w:type="dxa"/>
              <w:right w:w="0" w:type="dxa"/>
            </w:tcMar>
            <w:vAlign w:val="bottom"/>
          </w:tcPr>
          <w:p w14:paraId="6420592B" w14:textId="77777777" w:rsidR="001614AC" w:rsidRDefault="004468F9">
            <w:pPr>
              <w:keepNext/>
              <w:spacing w:before="55" w:after="30" w:line="288" w:lineRule="auto"/>
              <w:jc w:val="right"/>
            </w:pPr>
            <w:r>
              <w:rPr>
                <w:rFonts w:ascii="Arial" w:eastAsia="Arial" w:hAnsi="Arial" w:cs="Arial"/>
                <w:color w:val="000000"/>
                <w:sz w:val="18"/>
              </w:rPr>
              <w:t>0.1 </w:t>
            </w:r>
          </w:p>
        </w:tc>
        <w:tc>
          <w:tcPr>
            <w:tcW w:w="100" w:type="dxa"/>
            <w:tcBorders>
              <w:top w:val="single" w:sz="8" w:space="0" w:color="E9E9E9"/>
              <w:left w:val="nil"/>
              <w:bottom w:val="single" w:sz="8" w:space="0" w:color="C7C9C7"/>
              <w:right w:val="nil"/>
            </w:tcBorders>
            <w:tcMar>
              <w:top w:w="0" w:type="dxa"/>
              <w:left w:w="0" w:type="dxa"/>
              <w:bottom w:w="0" w:type="dxa"/>
              <w:right w:w="15" w:type="dxa"/>
            </w:tcMar>
            <w:vAlign w:val="bottom"/>
          </w:tcPr>
          <w:p w14:paraId="4809A9D3" w14:textId="77777777" w:rsidR="001614AC" w:rsidRDefault="001614AC">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35C4F060" w14:textId="77777777" w:rsidR="001614AC" w:rsidRDefault="001614AC">
            <w:pPr>
              <w:keepNext/>
            </w:pPr>
          </w:p>
        </w:tc>
        <w:tc>
          <w:tcPr>
            <w:tcW w:w="905" w:type="dxa"/>
            <w:gridSpan w:val="2"/>
            <w:tcBorders>
              <w:top w:val="single" w:sz="8" w:space="0" w:color="E9E9E9"/>
              <w:left w:val="nil"/>
              <w:bottom w:val="single" w:sz="8" w:space="0" w:color="C7C9C7"/>
              <w:right w:val="nil"/>
            </w:tcBorders>
            <w:tcMar>
              <w:top w:w="0" w:type="dxa"/>
              <w:left w:w="53" w:type="dxa"/>
              <w:bottom w:w="0" w:type="dxa"/>
              <w:right w:w="0" w:type="dxa"/>
            </w:tcMar>
            <w:vAlign w:val="bottom"/>
          </w:tcPr>
          <w:p w14:paraId="5F465BDB" w14:textId="77777777" w:rsidR="001614AC" w:rsidRDefault="004468F9">
            <w:pPr>
              <w:keepNext/>
              <w:spacing w:before="55" w:after="30" w:line="288" w:lineRule="auto"/>
              <w:jc w:val="right"/>
            </w:pPr>
            <w:r>
              <w:rPr>
                <w:rFonts w:ascii="Arial" w:eastAsia="Arial" w:hAnsi="Arial" w:cs="Arial"/>
                <w:color w:val="000000"/>
                <w:sz w:val="18"/>
              </w:rPr>
              <w:t>(0.1)</w:t>
            </w:r>
          </w:p>
        </w:tc>
        <w:tc>
          <w:tcPr>
            <w:tcW w:w="100" w:type="dxa"/>
            <w:tcBorders>
              <w:top w:val="single" w:sz="8" w:space="0" w:color="E9E9E9"/>
              <w:left w:val="nil"/>
              <w:bottom w:val="single" w:sz="8" w:space="0" w:color="C7C9C7"/>
              <w:right w:val="nil"/>
            </w:tcBorders>
            <w:tcMar>
              <w:top w:w="0" w:type="dxa"/>
              <w:left w:w="0" w:type="dxa"/>
              <w:bottom w:w="0" w:type="dxa"/>
              <w:right w:w="15" w:type="dxa"/>
            </w:tcMar>
            <w:vAlign w:val="bottom"/>
          </w:tcPr>
          <w:p w14:paraId="293EB741" w14:textId="77777777" w:rsidR="001614AC" w:rsidRDefault="001614AC">
            <w:pPr>
              <w:keepNext/>
              <w:spacing w:before="55" w:after="30" w:line="288" w:lineRule="auto"/>
              <w:jc w:val="right"/>
            </w:pPr>
          </w:p>
        </w:tc>
      </w:tr>
      <w:tr w:rsidR="001614AC" w14:paraId="6403DF0A" w14:textId="77777777">
        <w:trPr>
          <w:cantSplit/>
        </w:trPr>
        <w:tc>
          <w:tcPr>
            <w:tcW w:w="5640" w:type="dxa"/>
            <w:tcBorders>
              <w:top w:val="nil"/>
              <w:left w:val="nil"/>
              <w:bottom w:val="nil"/>
              <w:right w:val="nil"/>
            </w:tcBorders>
            <w:shd w:val="clear" w:color="auto" w:fill="F4F4F4"/>
            <w:tcMar>
              <w:top w:w="0" w:type="dxa"/>
              <w:left w:w="53" w:type="dxa"/>
              <w:bottom w:w="0" w:type="dxa"/>
              <w:right w:w="53" w:type="dxa"/>
            </w:tcMar>
            <w:vAlign w:val="bottom"/>
          </w:tcPr>
          <w:p w14:paraId="003ED58E" w14:textId="77777777" w:rsidR="001614AC" w:rsidRDefault="004468F9">
            <w:pPr>
              <w:keepNext/>
              <w:spacing w:before="75" w:after="30" w:line="288" w:lineRule="auto"/>
            </w:pPr>
            <w:r>
              <w:rPr>
                <w:rFonts w:ascii="Arial" w:eastAsia="Arial" w:hAnsi="Arial" w:cs="Arial"/>
                <w:color w:val="000000"/>
                <w:sz w:val="18"/>
              </w:rPr>
              <w:t>Provision for losses</w:t>
            </w:r>
          </w:p>
        </w:tc>
        <w:tc>
          <w:tcPr>
            <w:tcW w:w="105" w:type="dxa"/>
            <w:tcBorders>
              <w:top w:val="nil"/>
              <w:left w:val="nil"/>
              <w:bottom w:val="nil"/>
              <w:right w:val="nil"/>
            </w:tcBorders>
            <w:shd w:val="clear" w:color="auto" w:fill="F4F4F4"/>
            <w:tcMar>
              <w:top w:w="0" w:type="dxa"/>
              <w:left w:w="0" w:type="dxa"/>
              <w:bottom w:w="0" w:type="dxa"/>
              <w:right w:w="0" w:type="dxa"/>
            </w:tcMar>
            <w:vAlign w:val="bottom"/>
          </w:tcPr>
          <w:p w14:paraId="05936714" w14:textId="77777777" w:rsidR="001614AC" w:rsidRDefault="001614AC">
            <w:pPr>
              <w:keepNext/>
            </w:pPr>
          </w:p>
        </w:tc>
        <w:tc>
          <w:tcPr>
            <w:tcW w:w="160" w:type="dxa"/>
            <w:tcBorders>
              <w:top w:val="single" w:sz="8" w:space="0" w:color="C7C9C7"/>
              <w:left w:val="nil"/>
              <w:bottom w:val="double" w:sz="8" w:space="0" w:color="C7C9C7"/>
              <w:right w:val="nil"/>
            </w:tcBorders>
            <w:shd w:val="clear" w:color="auto" w:fill="F4F4F4"/>
            <w:tcMar>
              <w:top w:w="0" w:type="dxa"/>
              <w:left w:w="53" w:type="dxa"/>
              <w:bottom w:w="0" w:type="dxa"/>
              <w:right w:w="0" w:type="dxa"/>
            </w:tcMar>
            <w:vAlign w:val="bottom"/>
          </w:tcPr>
          <w:p w14:paraId="02E6307B" w14:textId="77777777" w:rsidR="001614AC" w:rsidRDefault="004468F9">
            <w:pPr>
              <w:keepNext/>
              <w:spacing w:before="55" w:after="30" w:line="288" w:lineRule="auto"/>
            </w:pPr>
            <w:r>
              <w:rPr>
                <w:rFonts w:ascii="Arial" w:eastAsia="Arial" w:hAnsi="Arial" w:cs="Arial"/>
                <w:color w:val="000000"/>
                <w:sz w:val="18"/>
              </w:rPr>
              <w:t>$</w:t>
            </w:r>
          </w:p>
        </w:tc>
        <w:tc>
          <w:tcPr>
            <w:tcW w:w="745" w:type="dxa"/>
            <w:tcBorders>
              <w:top w:val="single" w:sz="8" w:space="0" w:color="C7C9C7"/>
              <w:left w:val="nil"/>
              <w:bottom w:val="double" w:sz="8" w:space="0" w:color="C7C9C7"/>
              <w:right w:val="nil"/>
            </w:tcBorders>
            <w:shd w:val="clear" w:color="auto" w:fill="F4F4F4"/>
            <w:tcMar>
              <w:top w:w="0" w:type="dxa"/>
              <w:left w:w="0" w:type="dxa"/>
              <w:bottom w:w="0" w:type="dxa"/>
              <w:right w:w="0" w:type="dxa"/>
            </w:tcMar>
            <w:vAlign w:val="bottom"/>
          </w:tcPr>
          <w:p w14:paraId="53DE81BC" w14:textId="77777777" w:rsidR="001614AC" w:rsidRDefault="004468F9">
            <w:pPr>
              <w:keepNext/>
              <w:spacing w:before="55" w:after="30" w:line="288" w:lineRule="auto"/>
              <w:jc w:val="right"/>
            </w:pPr>
            <w:r>
              <w:rPr>
                <w:rFonts w:ascii="Arial" w:eastAsia="Arial" w:hAnsi="Arial" w:cs="Arial"/>
                <w:color w:val="000000"/>
                <w:sz w:val="18"/>
              </w:rPr>
              <w:t>3.3 </w:t>
            </w:r>
          </w:p>
        </w:tc>
        <w:tc>
          <w:tcPr>
            <w:tcW w:w="100" w:type="dxa"/>
            <w:tcBorders>
              <w:top w:val="single" w:sz="8" w:space="0" w:color="C7C9C7"/>
              <w:left w:val="nil"/>
              <w:bottom w:val="double" w:sz="8" w:space="0" w:color="C7C9C7"/>
              <w:right w:val="nil"/>
            </w:tcBorders>
            <w:shd w:val="clear" w:color="auto" w:fill="F4F4F4"/>
            <w:tcMar>
              <w:top w:w="0" w:type="dxa"/>
              <w:left w:w="0" w:type="dxa"/>
              <w:bottom w:w="0" w:type="dxa"/>
              <w:right w:w="15" w:type="dxa"/>
            </w:tcMar>
            <w:vAlign w:val="bottom"/>
          </w:tcPr>
          <w:p w14:paraId="1A23F2EB" w14:textId="77777777" w:rsidR="001614AC" w:rsidRDefault="001614AC">
            <w:pPr>
              <w:keepNext/>
              <w:spacing w:before="55" w:after="30" w:line="288" w:lineRule="auto"/>
              <w:jc w:val="right"/>
            </w:pPr>
          </w:p>
        </w:tc>
        <w:tc>
          <w:tcPr>
            <w:tcW w:w="105" w:type="dxa"/>
            <w:tcBorders>
              <w:top w:val="nil"/>
              <w:left w:val="nil"/>
              <w:bottom w:val="nil"/>
              <w:right w:val="nil"/>
            </w:tcBorders>
            <w:shd w:val="clear" w:color="auto" w:fill="F4F4F4"/>
            <w:tcMar>
              <w:top w:w="0" w:type="dxa"/>
              <w:left w:w="0" w:type="dxa"/>
              <w:bottom w:w="0" w:type="dxa"/>
              <w:right w:w="0" w:type="dxa"/>
            </w:tcMar>
            <w:vAlign w:val="bottom"/>
          </w:tcPr>
          <w:p w14:paraId="702AE122" w14:textId="77777777" w:rsidR="001614AC" w:rsidRDefault="001614AC">
            <w:pPr>
              <w:keepNext/>
            </w:pPr>
          </w:p>
        </w:tc>
        <w:tc>
          <w:tcPr>
            <w:tcW w:w="160" w:type="dxa"/>
            <w:tcBorders>
              <w:top w:val="single" w:sz="8" w:space="0" w:color="C7C9C7"/>
              <w:left w:val="nil"/>
              <w:bottom w:val="double" w:sz="8" w:space="0" w:color="C7C9C7"/>
              <w:right w:val="nil"/>
            </w:tcBorders>
            <w:shd w:val="clear" w:color="auto" w:fill="F4F4F4"/>
            <w:tcMar>
              <w:top w:w="0" w:type="dxa"/>
              <w:left w:w="53" w:type="dxa"/>
              <w:bottom w:w="0" w:type="dxa"/>
              <w:right w:w="0" w:type="dxa"/>
            </w:tcMar>
            <w:vAlign w:val="bottom"/>
          </w:tcPr>
          <w:p w14:paraId="380BC54C" w14:textId="77777777" w:rsidR="001614AC" w:rsidRDefault="004468F9">
            <w:pPr>
              <w:keepNext/>
              <w:spacing w:before="55" w:after="30" w:line="288" w:lineRule="auto"/>
            </w:pPr>
            <w:r>
              <w:rPr>
                <w:rFonts w:ascii="Arial" w:eastAsia="Arial" w:hAnsi="Arial" w:cs="Arial"/>
                <w:color w:val="000000"/>
                <w:sz w:val="18"/>
              </w:rPr>
              <w:t>$</w:t>
            </w:r>
          </w:p>
        </w:tc>
        <w:tc>
          <w:tcPr>
            <w:tcW w:w="745" w:type="dxa"/>
            <w:tcBorders>
              <w:top w:val="single" w:sz="8" w:space="0" w:color="C7C9C7"/>
              <w:left w:val="nil"/>
              <w:bottom w:val="double" w:sz="8" w:space="0" w:color="C7C9C7"/>
              <w:right w:val="nil"/>
            </w:tcBorders>
            <w:shd w:val="clear" w:color="auto" w:fill="F4F4F4"/>
            <w:tcMar>
              <w:top w:w="0" w:type="dxa"/>
              <w:left w:w="0" w:type="dxa"/>
              <w:bottom w:w="0" w:type="dxa"/>
              <w:right w:w="0" w:type="dxa"/>
            </w:tcMar>
            <w:vAlign w:val="bottom"/>
          </w:tcPr>
          <w:p w14:paraId="369CB679" w14:textId="77777777" w:rsidR="001614AC" w:rsidRDefault="004468F9">
            <w:pPr>
              <w:keepNext/>
              <w:spacing w:before="55" w:after="30" w:line="288" w:lineRule="auto"/>
              <w:jc w:val="right"/>
            </w:pPr>
            <w:r>
              <w:rPr>
                <w:rFonts w:ascii="Arial" w:eastAsia="Arial" w:hAnsi="Arial" w:cs="Arial"/>
                <w:color w:val="000000"/>
                <w:sz w:val="18"/>
              </w:rPr>
              <w:t>304.0 </w:t>
            </w:r>
          </w:p>
        </w:tc>
        <w:tc>
          <w:tcPr>
            <w:tcW w:w="100" w:type="dxa"/>
            <w:tcBorders>
              <w:top w:val="single" w:sz="8" w:space="0" w:color="C7C9C7"/>
              <w:left w:val="nil"/>
              <w:bottom w:val="double" w:sz="8" w:space="0" w:color="C7C9C7"/>
              <w:right w:val="nil"/>
            </w:tcBorders>
            <w:shd w:val="clear" w:color="auto" w:fill="F4F4F4"/>
            <w:tcMar>
              <w:top w:w="0" w:type="dxa"/>
              <w:left w:w="0" w:type="dxa"/>
              <w:bottom w:w="0" w:type="dxa"/>
              <w:right w:w="15" w:type="dxa"/>
            </w:tcMar>
            <w:vAlign w:val="bottom"/>
          </w:tcPr>
          <w:p w14:paraId="35110CD6" w14:textId="77777777" w:rsidR="001614AC" w:rsidRDefault="001614AC">
            <w:pPr>
              <w:keepNext/>
              <w:spacing w:before="55" w:after="30" w:line="288" w:lineRule="auto"/>
              <w:jc w:val="right"/>
            </w:pPr>
          </w:p>
        </w:tc>
        <w:tc>
          <w:tcPr>
            <w:tcW w:w="105" w:type="dxa"/>
            <w:tcBorders>
              <w:top w:val="nil"/>
              <w:left w:val="nil"/>
              <w:bottom w:val="nil"/>
              <w:right w:val="nil"/>
            </w:tcBorders>
            <w:shd w:val="clear" w:color="auto" w:fill="F4F4F4"/>
            <w:tcMar>
              <w:top w:w="0" w:type="dxa"/>
              <w:left w:w="0" w:type="dxa"/>
              <w:bottom w:w="0" w:type="dxa"/>
              <w:right w:w="0" w:type="dxa"/>
            </w:tcMar>
            <w:vAlign w:val="bottom"/>
          </w:tcPr>
          <w:p w14:paraId="6A262F27" w14:textId="77777777" w:rsidR="001614AC" w:rsidRDefault="001614AC">
            <w:pPr>
              <w:keepNext/>
            </w:pPr>
          </w:p>
        </w:tc>
        <w:tc>
          <w:tcPr>
            <w:tcW w:w="160" w:type="dxa"/>
            <w:tcBorders>
              <w:top w:val="single" w:sz="8" w:space="0" w:color="C7C9C7"/>
              <w:left w:val="nil"/>
              <w:bottom w:val="double" w:sz="8" w:space="0" w:color="C7C9C7"/>
              <w:right w:val="nil"/>
            </w:tcBorders>
            <w:shd w:val="clear" w:color="auto" w:fill="F4F4F4"/>
            <w:tcMar>
              <w:top w:w="0" w:type="dxa"/>
              <w:left w:w="53" w:type="dxa"/>
              <w:bottom w:w="0" w:type="dxa"/>
              <w:right w:w="0" w:type="dxa"/>
            </w:tcMar>
            <w:vAlign w:val="bottom"/>
          </w:tcPr>
          <w:p w14:paraId="55EBDAF6" w14:textId="77777777" w:rsidR="001614AC" w:rsidRDefault="004468F9">
            <w:pPr>
              <w:keepNext/>
              <w:spacing w:before="55" w:after="30" w:line="288" w:lineRule="auto"/>
            </w:pPr>
            <w:r>
              <w:rPr>
                <w:rFonts w:ascii="Arial" w:eastAsia="Arial" w:hAnsi="Arial" w:cs="Arial"/>
                <w:color w:val="000000"/>
                <w:sz w:val="18"/>
              </w:rPr>
              <w:t>$</w:t>
            </w:r>
          </w:p>
        </w:tc>
        <w:tc>
          <w:tcPr>
            <w:tcW w:w="745" w:type="dxa"/>
            <w:tcBorders>
              <w:top w:val="single" w:sz="8" w:space="0" w:color="C7C9C7"/>
              <w:left w:val="nil"/>
              <w:bottom w:val="double" w:sz="8" w:space="0" w:color="C7C9C7"/>
              <w:right w:val="nil"/>
            </w:tcBorders>
            <w:shd w:val="clear" w:color="auto" w:fill="F4F4F4"/>
            <w:tcMar>
              <w:top w:w="0" w:type="dxa"/>
              <w:left w:w="0" w:type="dxa"/>
              <w:bottom w:w="0" w:type="dxa"/>
              <w:right w:w="0" w:type="dxa"/>
            </w:tcMar>
            <w:vAlign w:val="bottom"/>
          </w:tcPr>
          <w:p w14:paraId="543BE981" w14:textId="77777777" w:rsidR="001614AC" w:rsidRDefault="004468F9">
            <w:pPr>
              <w:keepNext/>
              <w:spacing w:before="55" w:after="30" w:line="288" w:lineRule="auto"/>
              <w:jc w:val="right"/>
            </w:pPr>
            <w:r>
              <w:rPr>
                <w:rFonts w:ascii="Arial" w:eastAsia="Arial" w:hAnsi="Arial" w:cs="Arial"/>
                <w:color w:val="000000"/>
                <w:sz w:val="18"/>
              </w:rPr>
              <w:t>49.2 </w:t>
            </w:r>
          </w:p>
        </w:tc>
        <w:tc>
          <w:tcPr>
            <w:tcW w:w="100" w:type="dxa"/>
            <w:tcBorders>
              <w:top w:val="single" w:sz="8" w:space="0" w:color="C7C9C7"/>
              <w:left w:val="nil"/>
              <w:bottom w:val="double" w:sz="8" w:space="0" w:color="C7C9C7"/>
              <w:right w:val="nil"/>
            </w:tcBorders>
            <w:shd w:val="clear" w:color="auto" w:fill="F4F4F4"/>
            <w:tcMar>
              <w:top w:w="0" w:type="dxa"/>
              <w:left w:w="0" w:type="dxa"/>
              <w:bottom w:w="0" w:type="dxa"/>
              <w:right w:w="15" w:type="dxa"/>
            </w:tcMar>
            <w:vAlign w:val="bottom"/>
          </w:tcPr>
          <w:p w14:paraId="1979E769" w14:textId="77777777" w:rsidR="001614AC" w:rsidRDefault="001614AC">
            <w:pPr>
              <w:keepNext/>
              <w:spacing w:before="55" w:after="30" w:line="288" w:lineRule="auto"/>
              <w:jc w:val="right"/>
            </w:pPr>
          </w:p>
        </w:tc>
        <w:tc>
          <w:tcPr>
            <w:tcW w:w="105" w:type="dxa"/>
            <w:tcBorders>
              <w:top w:val="nil"/>
              <w:left w:val="nil"/>
              <w:bottom w:val="nil"/>
              <w:right w:val="nil"/>
            </w:tcBorders>
            <w:shd w:val="clear" w:color="auto" w:fill="F4F4F4"/>
            <w:tcMar>
              <w:top w:w="0" w:type="dxa"/>
              <w:left w:w="0" w:type="dxa"/>
              <w:bottom w:w="0" w:type="dxa"/>
              <w:right w:w="0" w:type="dxa"/>
            </w:tcMar>
            <w:vAlign w:val="bottom"/>
          </w:tcPr>
          <w:p w14:paraId="74AF700C" w14:textId="77777777" w:rsidR="001614AC" w:rsidRDefault="001614AC">
            <w:pPr>
              <w:keepNext/>
            </w:pPr>
          </w:p>
        </w:tc>
        <w:tc>
          <w:tcPr>
            <w:tcW w:w="160" w:type="dxa"/>
            <w:tcBorders>
              <w:top w:val="single" w:sz="8" w:space="0" w:color="C7C9C7"/>
              <w:left w:val="nil"/>
              <w:bottom w:val="double" w:sz="8" w:space="0" w:color="C7C9C7"/>
              <w:right w:val="nil"/>
            </w:tcBorders>
            <w:shd w:val="clear" w:color="auto" w:fill="F4F4F4"/>
            <w:tcMar>
              <w:top w:w="0" w:type="dxa"/>
              <w:left w:w="53" w:type="dxa"/>
              <w:bottom w:w="0" w:type="dxa"/>
              <w:right w:w="0" w:type="dxa"/>
            </w:tcMar>
            <w:vAlign w:val="bottom"/>
          </w:tcPr>
          <w:p w14:paraId="096A7273" w14:textId="77777777" w:rsidR="001614AC" w:rsidRDefault="004468F9">
            <w:pPr>
              <w:keepNext/>
              <w:spacing w:before="55" w:after="30" w:line="288" w:lineRule="auto"/>
            </w:pPr>
            <w:r>
              <w:rPr>
                <w:rFonts w:ascii="Arial" w:eastAsia="Arial" w:hAnsi="Arial" w:cs="Arial"/>
                <w:color w:val="000000"/>
                <w:sz w:val="18"/>
              </w:rPr>
              <w:t>$</w:t>
            </w:r>
          </w:p>
        </w:tc>
        <w:tc>
          <w:tcPr>
            <w:tcW w:w="745" w:type="dxa"/>
            <w:tcBorders>
              <w:top w:val="single" w:sz="8" w:space="0" w:color="C7C9C7"/>
              <w:left w:val="nil"/>
              <w:bottom w:val="double" w:sz="8" w:space="0" w:color="C7C9C7"/>
              <w:right w:val="nil"/>
            </w:tcBorders>
            <w:shd w:val="clear" w:color="auto" w:fill="F4F4F4"/>
            <w:tcMar>
              <w:top w:w="0" w:type="dxa"/>
              <w:left w:w="0" w:type="dxa"/>
              <w:bottom w:w="0" w:type="dxa"/>
              <w:right w:w="0" w:type="dxa"/>
            </w:tcMar>
            <w:vAlign w:val="bottom"/>
          </w:tcPr>
          <w:p w14:paraId="53B56371" w14:textId="77777777" w:rsidR="001614AC" w:rsidRDefault="004468F9">
            <w:pPr>
              <w:keepNext/>
              <w:spacing w:before="55" w:after="30" w:line="288" w:lineRule="auto"/>
              <w:jc w:val="right"/>
            </w:pPr>
            <w:r>
              <w:rPr>
                <w:rFonts w:ascii="Arial" w:eastAsia="Arial" w:hAnsi="Arial" w:cs="Arial"/>
                <w:color w:val="000000"/>
                <w:sz w:val="18"/>
              </w:rPr>
              <w:t>339.3 </w:t>
            </w:r>
          </w:p>
        </w:tc>
        <w:tc>
          <w:tcPr>
            <w:tcW w:w="100" w:type="dxa"/>
            <w:tcBorders>
              <w:top w:val="single" w:sz="8" w:space="0" w:color="C7C9C7"/>
              <w:left w:val="nil"/>
              <w:bottom w:val="double" w:sz="8" w:space="0" w:color="C7C9C7"/>
              <w:right w:val="nil"/>
            </w:tcBorders>
            <w:shd w:val="clear" w:color="auto" w:fill="F4F4F4"/>
            <w:tcMar>
              <w:top w:w="0" w:type="dxa"/>
              <w:left w:w="0" w:type="dxa"/>
              <w:bottom w:w="0" w:type="dxa"/>
              <w:right w:w="15" w:type="dxa"/>
            </w:tcMar>
            <w:vAlign w:val="bottom"/>
          </w:tcPr>
          <w:p w14:paraId="70B4D2B2" w14:textId="77777777" w:rsidR="001614AC" w:rsidRDefault="001614AC">
            <w:pPr>
              <w:keepNext/>
              <w:spacing w:before="55" w:after="30" w:line="288" w:lineRule="auto"/>
              <w:jc w:val="right"/>
            </w:pPr>
          </w:p>
        </w:tc>
      </w:tr>
      <w:tr w:rsidR="001614AC" w14:paraId="1D2ECCA5" w14:textId="77777777">
        <w:trPr>
          <w:cantSplit/>
        </w:trPr>
        <w:tc>
          <w:tcPr>
            <w:tcW w:w="5640" w:type="dxa"/>
            <w:tcBorders>
              <w:top w:val="nil"/>
              <w:left w:val="nil"/>
              <w:bottom w:val="single" w:sz="8" w:space="0" w:color="E9E9E9"/>
              <w:right w:val="nil"/>
            </w:tcBorders>
            <w:tcMar>
              <w:top w:w="0" w:type="dxa"/>
              <w:left w:w="53" w:type="dxa"/>
              <w:bottom w:w="0" w:type="dxa"/>
              <w:right w:w="53" w:type="dxa"/>
            </w:tcMar>
            <w:vAlign w:val="bottom"/>
          </w:tcPr>
          <w:p w14:paraId="03905D86" w14:textId="77777777" w:rsidR="001614AC" w:rsidRDefault="004468F9">
            <w:pPr>
              <w:keepNext/>
              <w:spacing w:before="75" w:after="30" w:line="288" w:lineRule="auto"/>
              <w:rPr>
                <w:rFonts w:ascii="Arial" w:eastAsia="Arial" w:hAnsi="Arial" w:cs="Arial"/>
                <w:sz w:val="18"/>
              </w:rPr>
            </w:pPr>
            <w:r>
              <w:rPr>
                <w:rFonts w:ascii="Arial" w:eastAsia="Arial" w:hAnsi="Arial" w:cs="Arial"/>
                <w:sz w:val="18"/>
              </w:rPr>
              <w:t>L</w:t>
            </w:r>
            <w:r>
              <w:rPr>
                <w:rFonts w:ascii="Arial" w:eastAsia="Arial" w:hAnsi="Arial" w:cs="Arial"/>
                <w:sz w:val="18"/>
              </w:rPr>
              <w:t>oss ratio</w:t>
            </w:r>
            <w:r>
              <w:rPr>
                <w:rFonts w:ascii="Arial" w:eastAsia="Arial" w:hAnsi="Arial" w:cs="Arial"/>
                <w:sz w:val="18"/>
                <w:vertAlign w:val="superscript"/>
              </w:rPr>
              <w:t xml:space="preserve"> (3) </w:t>
            </w:r>
          </w:p>
        </w:tc>
        <w:tc>
          <w:tcPr>
            <w:tcW w:w="105" w:type="dxa"/>
            <w:tcBorders>
              <w:top w:val="nil"/>
              <w:left w:val="nil"/>
              <w:bottom w:val="nil"/>
              <w:right w:val="nil"/>
            </w:tcBorders>
            <w:tcMar>
              <w:top w:w="0" w:type="dxa"/>
              <w:left w:w="0" w:type="dxa"/>
              <w:bottom w:w="0" w:type="dxa"/>
              <w:right w:w="0" w:type="dxa"/>
            </w:tcMar>
            <w:vAlign w:val="bottom"/>
          </w:tcPr>
          <w:p w14:paraId="54609DD1" w14:textId="77777777" w:rsidR="001614AC" w:rsidRDefault="001614AC">
            <w:pPr>
              <w:keepNext/>
            </w:pPr>
          </w:p>
        </w:tc>
        <w:tc>
          <w:tcPr>
            <w:tcW w:w="905" w:type="dxa"/>
            <w:gridSpan w:val="2"/>
            <w:tcBorders>
              <w:top w:val="double" w:sz="8" w:space="0" w:color="C7C9C7"/>
              <w:left w:val="nil"/>
              <w:bottom w:val="single" w:sz="8" w:space="0" w:color="E9E9E9"/>
              <w:right w:val="nil"/>
            </w:tcBorders>
            <w:tcMar>
              <w:top w:w="0" w:type="dxa"/>
              <w:left w:w="53" w:type="dxa"/>
              <w:bottom w:w="0" w:type="dxa"/>
              <w:right w:w="0" w:type="dxa"/>
            </w:tcMar>
            <w:vAlign w:val="bottom"/>
          </w:tcPr>
          <w:p w14:paraId="1993475A" w14:textId="77777777" w:rsidR="001614AC" w:rsidRDefault="004468F9">
            <w:pPr>
              <w:keepNext/>
              <w:spacing w:before="55" w:after="30" w:line="288" w:lineRule="auto"/>
              <w:jc w:val="right"/>
            </w:pPr>
            <w:r>
              <w:rPr>
                <w:rFonts w:ascii="Arial" w:eastAsia="Arial" w:hAnsi="Arial" w:cs="Arial"/>
                <w:color w:val="000000"/>
                <w:sz w:val="18"/>
              </w:rPr>
              <w:t>1.3 </w:t>
            </w:r>
          </w:p>
        </w:tc>
        <w:tc>
          <w:tcPr>
            <w:tcW w:w="100" w:type="dxa"/>
            <w:tcBorders>
              <w:top w:val="double" w:sz="8" w:space="0" w:color="C7C9C7"/>
              <w:left w:val="nil"/>
              <w:bottom w:val="single" w:sz="8" w:space="0" w:color="E9E9E9"/>
              <w:right w:val="nil"/>
            </w:tcBorders>
            <w:tcMar>
              <w:top w:w="0" w:type="dxa"/>
              <w:left w:w="0" w:type="dxa"/>
              <w:bottom w:w="0" w:type="dxa"/>
              <w:right w:w="15" w:type="dxa"/>
            </w:tcMar>
            <w:vAlign w:val="bottom"/>
          </w:tcPr>
          <w:p w14:paraId="4224F4CD" w14:textId="77777777" w:rsidR="001614AC" w:rsidRDefault="004468F9">
            <w:pPr>
              <w:keepNext/>
              <w:spacing w:before="55" w:after="30" w:line="288" w:lineRule="auto"/>
              <w:jc w:val="right"/>
            </w:pPr>
            <w:r>
              <w:rPr>
                <w:rFonts w:ascii="Arial" w:eastAsia="Arial" w:hAnsi="Arial" w:cs="Arial"/>
                <w:color w:val="000000"/>
                <w:sz w:val="18"/>
              </w:rPr>
              <w:t>%</w:t>
            </w:r>
          </w:p>
        </w:tc>
        <w:tc>
          <w:tcPr>
            <w:tcW w:w="105" w:type="dxa"/>
            <w:tcBorders>
              <w:top w:val="nil"/>
              <w:left w:val="nil"/>
              <w:bottom w:val="nil"/>
              <w:right w:val="nil"/>
            </w:tcBorders>
            <w:tcMar>
              <w:top w:w="0" w:type="dxa"/>
              <w:left w:w="0" w:type="dxa"/>
              <w:bottom w:w="0" w:type="dxa"/>
              <w:right w:w="0" w:type="dxa"/>
            </w:tcMar>
            <w:vAlign w:val="bottom"/>
          </w:tcPr>
          <w:p w14:paraId="1ED043A7" w14:textId="77777777" w:rsidR="001614AC" w:rsidRDefault="001614AC">
            <w:pPr>
              <w:keepNext/>
            </w:pPr>
          </w:p>
        </w:tc>
        <w:tc>
          <w:tcPr>
            <w:tcW w:w="905" w:type="dxa"/>
            <w:gridSpan w:val="2"/>
            <w:tcBorders>
              <w:top w:val="double" w:sz="8" w:space="0" w:color="C7C9C7"/>
              <w:left w:val="nil"/>
              <w:bottom w:val="single" w:sz="8" w:space="0" w:color="E9E9E9"/>
              <w:right w:val="nil"/>
            </w:tcBorders>
            <w:tcMar>
              <w:top w:w="0" w:type="dxa"/>
              <w:left w:w="53" w:type="dxa"/>
              <w:bottom w:w="0" w:type="dxa"/>
              <w:right w:w="0" w:type="dxa"/>
            </w:tcMar>
            <w:vAlign w:val="bottom"/>
          </w:tcPr>
          <w:p w14:paraId="36C015B7" w14:textId="77777777" w:rsidR="001614AC" w:rsidRDefault="004468F9">
            <w:pPr>
              <w:keepNext/>
              <w:spacing w:before="55" w:after="30" w:line="288" w:lineRule="auto"/>
              <w:jc w:val="right"/>
            </w:pPr>
            <w:r>
              <w:rPr>
                <w:rFonts w:ascii="Arial" w:eastAsia="Arial" w:hAnsi="Arial" w:cs="Arial"/>
                <w:color w:val="000000"/>
                <w:sz w:val="18"/>
              </w:rPr>
              <w:t>122.8 </w:t>
            </w:r>
          </w:p>
        </w:tc>
        <w:tc>
          <w:tcPr>
            <w:tcW w:w="100" w:type="dxa"/>
            <w:tcBorders>
              <w:top w:val="double" w:sz="8" w:space="0" w:color="C7C9C7"/>
              <w:left w:val="nil"/>
              <w:bottom w:val="single" w:sz="8" w:space="0" w:color="E9E9E9"/>
              <w:right w:val="nil"/>
            </w:tcBorders>
            <w:tcMar>
              <w:top w:w="0" w:type="dxa"/>
              <w:left w:w="0" w:type="dxa"/>
              <w:bottom w:w="0" w:type="dxa"/>
              <w:right w:w="15" w:type="dxa"/>
            </w:tcMar>
            <w:vAlign w:val="bottom"/>
          </w:tcPr>
          <w:p w14:paraId="020DE23A" w14:textId="77777777" w:rsidR="001614AC" w:rsidRDefault="004468F9">
            <w:pPr>
              <w:keepNext/>
              <w:spacing w:before="55" w:after="30" w:line="288" w:lineRule="auto"/>
              <w:jc w:val="right"/>
            </w:pPr>
            <w:r>
              <w:rPr>
                <w:rFonts w:ascii="Arial" w:eastAsia="Arial" w:hAnsi="Arial" w:cs="Arial"/>
                <w:color w:val="000000"/>
                <w:sz w:val="18"/>
              </w:rPr>
              <w:t>%</w:t>
            </w:r>
          </w:p>
        </w:tc>
        <w:tc>
          <w:tcPr>
            <w:tcW w:w="105" w:type="dxa"/>
            <w:tcBorders>
              <w:top w:val="nil"/>
              <w:left w:val="nil"/>
              <w:bottom w:val="nil"/>
              <w:right w:val="nil"/>
            </w:tcBorders>
            <w:tcMar>
              <w:top w:w="0" w:type="dxa"/>
              <w:left w:w="0" w:type="dxa"/>
              <w:bottom w:w="0" w:type="dxa"/>
              <w:right w:w="0" w:type="dxa"/>
            </w:tcMar>
            <w:vAlign w:val="bottom"/>
          </w:tcPr>
          <w:p w14:paraId="69AC8F41" w14:textId="77777777" w:rsidR="001614AC" w:rsidRDefault="001614AC">
            <w:pPr>
              <w:keepNext/>
            </w:pPr>
          </w:p>
        </w:tc>
        <w:tc>
          <w:tcPr>
            <w:tcW w:w="905" w:type="dxa"/>
            <w:gridSpan w:val="2"/>
            <w:tcBorders>
              <w:top w:val="double" w:sz="8" w:space="0" w:color="C7C9C7"/>
              <w:left w:val="nil"/>
              <w:bottom w:val="single" w:sz="8" w:space="0" w:color="E9E9E9"/>
              <w:right w:val="nil"/>
            </w:tcBorders>
            <w:tcMar>
              <w:top w:w="0" w:type="dxa"/>
              <w:left w:w="53" w:type="dxa"/>
              <w:bottom w:w="0" w:type="dxa"/>
              <w:right w:w="0" w:type="dxa"/>
            </w:tcMar>
            <w:vAlign w:val="bottom"/>
          </w:tcPr>
          <w:p w14:paraId="1C0095B2" w14:textId="77777777" w:rsidR="001614AC" w:rsidRDefault="004468F9">
            <w:pPr>
              <w:keepNext/>
              <w:spacing w:before="55" w:after="30" w:line="288" w:lineRule="auto"/>
              <w:jc w:val="right"/>
            </w:pPr>
            <w:r>
              <w:rPr>
                <w:rFonts w:ascii="Arial" w:eastAsia="Arial" w:hAnsi="Arial" w:cs="Arial"/>
                <w:color w:val="000000"/>
                <w:sz w:val="18"/>
              </w:rPr>
              <w:t>9.6 </w:t>
            </w:r>
          </w:p>
        </w:tc>
        <w:tc>
          <w:tcPr>
            <w:tcW w:w="100" w:type="dxa"/>
            <w:tcBorders>
              <w:top w:val="double" w:sz="8" w:space="0" w:color="C7C9C7"/>
              <w:left w:val="nil"/>
              <w:bottom w:val="single" w:sz="8" w:space="0" w:color="E9E9E9"/>
              <w:right w:val="nil"/>
            </w:tcBorders>
            <w:tcMar>
              <w:top w:w="0" w:type="dxa"/>
              <w:left w:w="0" w:type="dxa"/>
              <w:bottom w:w="0" w:type="dxa"/>
              <w:right w:w="15" w:type="dxa"/>
            </w:tcMar>
            <w:vAlign w:val="bottom"/>
          </w:tcPr>
          <w:p w14:paraId="5D7B996A" w14:textId="77777777" w:rsidR="001614AC" w:rsidRDefault="004468F9">
            <w:pPr>
              <w:keepNext/>
              <w:spacing w:before="55" w:after="30" w:line="288" w:lineRule="auto"/>
              <w:jc w:val="right"/>
            </w:pPr>
            <w:r>
              <w:rPr>
                <w:rFonts w:ascii="Arial" w:eastAsia="Arial" w:hAnsi="Arial" w:cs="Arial"/>
                <w:color w:val="000000"/>
                <w:sz w:val="18"/>
              </w:rPr>
              <w:t>%</w:t>
            </w:r>
          </w:p>
        </w:tc>
        <w:tc>
          <w:tcPr>
            <w:tcW w:w="105" w:type="dxa"/>
            <w:tcBorders>
              <w:top w:val="nil"/>
              <w:left w:val="nil"/>
              <w:bottom w:val="nil"/>
              <w:right w:val="nil"/>
            </w:tcBorders>
            <w:tcMar>
              <w:top w:w="0" w:type="dxa"/>
              <w:left w:w="0" w:type="dxa"/>
              <w:bottom w:w="0" w:type="dxa"/>
              <w:right w:w="0" w:type="dxa"/>
            </w:tcMar>
            <w:vAlign w:val="bottom"/>
          </w:tcPr>
          <w:p w14:paraId="69B969D9" w14:textId="77777777" w:rsidR="001614AC" w:rsidRDefault="001614AC">
            <w:pPr>
              <w:keepNext/>
            </w:pPr>
          </w:p>
        </w:tc>
        <w:tc>
          <w:tcPr>
            <w:tcW w:w="905" w:type="dxa"/>
            <w:gridSpan w:val="2"/>
            <w:tcBorders>
              <w:top w:val="double" w:sz="8" w:space="0" w:color="C7C9C7"/>
              <w:left w:val="nil"/>
              <w:bottom w:val="single" w:sz="8" w:space="0" w:color="E9E9E9"/>
              <w:right w:val="nil"/>
            </w:tcBorders>
            <w:tcMar>
              <w:top w:w="0" w:type="dxa"/>
              <w:left w:w="53" w:type="dxa"/>
              <w:bottom w:w="0" w:type="dxa"/>
              <w:right w:w="0" w:type="dxa"/>
            </w:tcMar>
            <w:vAlign w:val="bottom"/>
          </w:tcPr>
          <w:p w14:paraId="091E8AB8" w14:textId="77777777" w:rsidR="001614AC" w:rsidRDefault="004468F9">
            <w:pPr>
              <w:keepNext/>
              <w:spacing w:before="55" w:after="30" w:line="288" w:lineRule="auto"/>
              <w:jc w:val="right"/>
            </w:pPr>
            <w:r>
              <w:rPr>
                <w:rFonts w:ascii="Arial" w:eastAsia="Arial" w:hAnsi="Arial" w:cs="Arial"/>
                <w:color w:val="000000"/>
                <w:sz w:val="18"/>
              </w:rPr>
              <w:t>64.9 </w:t>
            </w:r>
          </w:p>
        </w:tc>
        <w:tc>
          <w:tcPr>
            <w:tcW w:w="100" w:type="dxa"/>
            <w:tcBorders>
              <w:top w:val="double" w:sz="8" w:space="0" w:color="C7C9C7"/>
              <w:left w:val="nil"/>
              <w:bottom w:val="single" w:sz="8" w:space="0" w:color="E9E9E9"/>
              <w:right w:val="nil"/>
            </w:tcBorders>
            <w:tcMar>
              <w:top w:w="0" w:type="dxa"/>
              <w:left w:w="0" w:type="dxa"/>
              <w:bottom w:w="0" w:type="dxa"/>
              <w:right w:w="15" w:type="dxa"/>
            </w:tcMar>
            <w:vAlign w:val="bottom"/>
          </w:tcPr>
          <w:p w14:paraId="73BC62FF" w14:textId="77777777" w:rsidR="001614AC" w:rsidRDefault="004468F9">
            <w:pPr>
              <w:keepNext/>
              <w:spacing w:before="55" w:after="30" w:line="288" w:lineRule="auto"/>
              <w:jc w:val="right"/>
            </w:pPr>
            <w:r>
              <w:rPr>
                <w:rFonts w:ascii="Arial" w:eastAsia="Arial" w:hAnsi="Arial" w:cs="Arial"/>
                <w:color w:val="000000"/>
                <w:sz w:val="18"/>
              </w:rPr>
              <w:t>%</w:t>
            </w:r>
          </w:p>
        </w:tc>
      </w:tr>
      <w:tr w:rsidR="001614AC" w14:paraId="393731BE" w14:textId="77777777">
        <w:trPr>
          <w:cantSplit/>
        </w:trPr>
        <w:tc>
          <w:tcPr>
            <w:tcW w:w="5640" w:type="dxa"/>
            <w:tcBorders>
              <w:top w:val="single" w:sz="8" w:space="0" w:color="E9E9E9"/>
              <w:left w:val="nil"/>
              <w:bottom w:val="single" w:sz="8" w:space="0" w:color="E9E9E9"/>
              <w:right w:val="nil"/>
            </w:tcBorders>
            <w:tcMar>
              <w:top w:w="0" w:type="dxa"/>
              <w:left w:w="53" w:type="dxa"/>
              <w:bottom w:w="0" w:type="dxa"/>
              <w:right w:w="53" w:type="dxa"/>
            </w:tcMar>
            <w:vAlign w:val="bottom"/>
          </w:tcPr>
          <w:p w14:paraId="276DA119" w14:textId="77777777" w:rsidR="001614AC" w:rsidRDefault="004468F9">
            <w:pPr>
              <w:spacing w:before="55" w:after="30" w:line="288" w:lineRule="auto"/>
              <w:rPr>
                <w:rFonts w:ascii="Arial" w:eastAsia="Arial" w:hAnsi="Arial" w:cs="Arial"/>
                <w:sz w:val="18"/>
              </w:rPr>
            </w:pPr>
            <w:r>
              <w:rPr>
                <w:rFonts w:ascii="Arial" w:eastAsia="Arial" w:hAnsi="Arial" w:cs="Arial"/>
                <w:sz w:val="18"/>
              </w:rPr>
              <w:t xml:space="preserve">Reserve per new default </w:t>
            </w:r>
            <w:r>
              <w:rPr>
                <w:rFonts w:ascii="Arial" w:eastAsia="Arial" w:hAnsi="Arial" w:cs="Arial"/>
                <w:sz w:val="18"/>
                <w:vertAlign w:val="superscript"/>
              </w:rPr>
              <w:t>(4)</w:t>
            </w:r>
          </w:p>
        </w:tc>
        <w:tc>
          <w:tcPr>
            <w:tcW w:w="105" w:type="dxa"/>
            <w:tcBorders>
              <w:top w:val="nil"/>
              <w:left w:val="nil"/>
              <w:bottom w:val="nil"/>
              <w:right w:val="nil"/>
            </w:tcBorders>
            <w:tcMar>
              <w:top w:w="0" w:type="dxa"/>
              <w:left w:w="0" w:type="dxa"/>
              <w:bottom w:w="0" w:type="dxa"/>
              <w:right w:w="0" w:type="dxa"/>
            </w:tcMar>
            <w:vAlign w:val="bottom"/>
          </w:tcPr>
          <w:p w14:paraId="33C9F6AD" w14:textId="77777777" w:rsidR="001614AC" w:rsidRDefault="001614AC"/>
        </w:tc>
        <w:tc>
          <w:tcPr>
            <w:tcW w:w="160" w:type="dxa"/>
            <w:tcBorders>
              <w:top w:val="single" w:sz="8" w:space="0" w:color="E9E9E9"/>
              <w:left w:val="nil"/>
              <w:bottom w:val="single" w:sz="8" w:space="0" w:color="E9E9E9"/>
              <w:right w:val="nil"/>
            </w:tcBorders>
            <w:tcMar>
              <w:top w:w="0" w:type="dxa"/>
              <w:left w:w="53" w:type="dxa"/>
              <w:bottom w:w="0" w:type="dxa"/>
              <w:right w:w="0" w:type="dxa"/>
            </w:tcMar>
            <w:vAlign w:val="bottom"/>
          </w:tcPr>
          <w:p w14:paraId="66092655" w14:textId="77777777" w:rsidR="001614AC" w:rsidRDefault="004468F9">
            <w:pPr>
              <w:spacing w:before="55" w:after="30" w:line="288" w:lineRule="auto"/>
            </w:pPr>
            <w:r>
              <w:rPr>
                <w:rFonts w:ascii="Arial" w:eastAsia="Arial" w:hAnsi="Arial" w:cs="Arial"/>
                <w:color w:val="000000"/>
                <w:sz w:val="18"/>
              </w:rPr>
              <w:t>$</w:t>
            </w:r>
          </w:p>
        </w:tc>
        <w:tc>
          <w:tcPr>
            <w:tcW w:w="745" w:type="dxa"/>
            <w:tcBorders>
              <w:top w:val="single" w:sz="8" w:space="0" w:color="E9E9E9"/>
              <w:left w:val="nil"/>
              <w:bottom w:val="single" w:sz="8" w:space="0" w:color="E9E9E9"/>
              <w:right w:val="nil"/>
            </w:tcBorders>
            <w:tcMar>
              <w:top w:w="0" w:type="dxa"/>
              <w:left w:w="0" w:type="dxa"/>
              <w:bottom w:w="0" w:type="dxa"/>
              <w:right w:w="0" w:type="dxa"/>
            </w:tcMar>
            <w:vAlign w:val="bottom"/>
          </w:tcPr>
          <w:p w14:paraId="081082C5" w14:textId="77777777" w:rsidR="001614AC" w:rsidRDefault="004468F9">
            <w:pPr>
              <w:spacing w:before="55" w:after="30" w:line="288" w:lineRule="auto"/>
              <w:jc w:val="right"/>
            </w:pPr>
            <w:r>
              <w:rPr>
                <w:rFonts w:ascii="Arial" w:eastAsia="Arial" w:hAnsi="Arial" w:cs="Arial"/>
                <w:color w:val="000000"/>
                <w:sz w:val="18"/>
              </w:rPr>
              <w:t>4,211 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7C7564A7" w14:textId="77777777" w:rsidR="001614AC" w:rsidRDefault="001614AC">
            <w:pPr>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3EA35780" w14:textId="77777777" w:rsidR="001614AC" w:rsidRDefault="001614AC"/>
        </w:tc>
        <w:tc>
          <w:tcPr>
            <w:tcW w:w="160" w:type="dxa"/>
            <w:tcBorders>
              <w:top w:val="single" w:sz="8" w:space="0" w:color="E9E9E9"/>
              <w:left w:val="nil"/>
              <w:bottom w:val="single" w:sz="8" w:space="0" w:color="E9E9E9"/>
              <w:right w:val="nil"/>
            </w:tcBorders>
            <w:tcMar>
              <w:top w:w="0" w:type="dxa"/>
              <w:left w:w="53" w:type="dxa"/>
              <w:bottom w:w="0" w:type="dxa"/>
              <w:right w:w="0" w:type="dxa"/>
            </w:tcMar>
            <w:vAlign w:val="bottom"/>
          </w:tcPr>
          <w:p w14:paraId="1B6094A8" w14:textId="77777777" w:rsidR="001614AC" w:rsidRDefault="004468F9">
            <w:pPr>
              <w:spacing w:before="55" w:after="30" w:line="288" w:lineRule="auto"/>
            </w:pPr>
            <w:r>
              <w:rPr>
                <w:rFonts w:ascii="Arial" w:eastAsia="Arial" w:hAnsi="Arial" w:cs="Arial"/>
                <w:color w:val="000000"/>
                <w:sz w:val="18"/>
              </w:rPr>
              <w:t>$</w:t>
            </w:r>
          </w:p>
        </w:tc>
        <w:tc>
          <w:tcPr>
            <w:tcW w:w="745" w:type="dxa"/>
            <w:tcBorders>
              <w:top w:val="single" w:sz="8" w:space="0" w:color="E9E9E9"/>
              <w:left w:val="nil"/>
              <w:bottom w:val="single" w:sz="8" w:space="0" w:color="E9E9E9"/>
              <w:right w:val="nil"/>
            </w:tcBorders>
            <w:tcMar>
              <w:top w:w="0" w:type="dxa"/>
              <w:left w:w="0" w:type="dxa"/>
              <w:bottom w:w="0" w:type="dxa"/>
              <w:right w:w="0" w:type="dxa"/>
            </w:tcMar>
            <w:vAlign w:val="bottom"/>
          </w:tcPr>
          <w:p w14:paraId="6333ABA0" w14:textId="77777777" w:rsidR="001614AC" w:rsidRDefault="004468F9">
            <w:pPr>
              <w:spacing w:before="55" w:after="30" w:line="288" w:lineRule="auto"/>
              <w:jc w:val="right"/>
            </w:pPr>
            <w:r>
              <w:rPr>
                <w:rFonts w:ascii="Arial" w:eastAsia="Arial" w:hAnsi="Arial" w:cs="Arial"/>
                <w:color w:val="000000"/>
                <w:sz w:val="18"/>
              </w:rPr>
              <w:t>4,908 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504BF49D" w14:textId="77777777" w:rsidR="001614AC" w:rsidRDefault="001614AC">
            <w:pPr>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0CF3FC90" w14:textId="77777777" w:rsidR="001614AC" w:rsidRDefault="001614AC"/>
        </w:tc>
        <w:tc>
          <w:tcPr>
            <w:tcW w:w="160" w:type="dxa"/>
            <w:tcBorders>
              <w:top w:val="single" w:sz="8" w:space="0" w:color="E9E9E9"/>
              <w:left w:val="nil"/>
              <w:bottom w:val="single" w:sz="8" w:space="0" w:color="E9E9E9"/>
              <w:right w:val="nil"/>
            </w:tcBorders>
            <w:tcMar>
              <w:top w:w="0" w:type="dxa"/>
              <w:left w:w="53" w:type="dxa"/>
              <w:bottom w:w="0" w:type="dxa"/>
              <w:right w:w="0" w:type="dxa"/>
            </w:tcMar>
            <w:vAlign w:val="bottom"/>
          </w:tcPr>
          <w:p w14:paraId="072CC568" w14:textId="77777777" w:rsidR="001614AC" w:rsidRDefault="004468F9">
            <w:pPr>
              <w:spacing w:before="55" w:after="30" w:line="288" w:lineRule="auto"/>
            </w:pPr>
            <w:r>
              <w:rPr>
                <w:rFonts w:ascii="Arial" w:eastAsia="Arial" w:hAnsi="Arial" w:cs="Arial"/>
                <w:color w:val="000000"/>
                <w:sz w:val="18"/>
              </w:rPr>
              <w:t>$</w:t>
            </w:r>
          </w:p>
        </w:tc>
        <w:tc>
          <w:tcPr>
            <w:tcW w:w="745" w:type="dxa"/>
            <w:tcBorders>
              <w:top w:val="single" w:sz="8" w:space="0" w:color="E9E9E9"/>
              <w:left w:val="nil"/>
              <w:bottom w:val="single" w:sz="8" w:space="0" w:color="E9E9E9"/>
              <w:right w:val="nil"/>
            </w:tcBorders>
            <w:tcMar>
              <w:top w:w="0" w:type="dxa"/>
              <w:left w:w="0" w:type="dxa"/>
              <w:bottom w:w="0" w:type="dxa"/>
              <w:right w:w="0" w:type="dxa"/>
            </w:tcMar>
            <w:vAlign w:val="bottom"/>
          </w:tcPr>
          <w:p w14:paraId="5B9DD6E2" w14:textId="77777777" w:rsidR="001614AC" w:rsidRDefault="004468F9">
            <w:pPr>
              <w:spacing w:before="55" w:after="30" w:line="288" w:lineRule="auto"/>
              <w:jc w:val="right"/>
            </w:pPr>
            <w:r>
              <w:rPr>
                <w:rFonts w:ascii="Arial" w:eastAsia="Arial" w:hAnsi="Arial" w:cs="Arial"/>
                <w:color w:val="000000"/>
                <w:sz w:val="18"/>
              </w:rPr>
              <w:t>4,291 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51498D78" w14:textId="77777777" w:rsidR="001614AC" w:rsidRDefault="001614AC">
            <w:pPr>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0DC5079E" w14:textId="77777777" w:rsidR="001614AC" w:rsidRDefault="001614AC"/>
        </w:tc>
        <w:tc>
          <w:tcPr>
            <w:tcW w:w="160" w:type="dxa"/>
            <w:tcBorders>
              <w:top w:val="single" w:sz="8" w:space="0" w:color="E9E9E9"/>
              <w:left w:val="nil"/>
              <w:bottom w:val="single" w:sz="8" w:space="0" w:color="E9E9E9"/>
              <w:right w:val="nil"/>
            </w:tcBorders>
            <w:tcMar>
              <w:top w:w="0" w:type="dxa"/>
              <w:left w:w="53" w:type="dxa"/>
              <w:bottom w:w="0" w:type="dxa"/>
              <w:right w:w="0" w:type="dxa"/>
            </w:tcMar>
            <w:vAlign w:val="bottom"/>
          </w:tcPr>
          <w:p w14:paraId="5AC1F5C3" w14:textId="77777777" w:rsidR="001614AC" w:rsidRDefault="004468F9">
            <w:pPr>
              <w:spacing w:before="55" w:after="30" w:line="288" w:lineRule="auto"/>
            </w:pPr>
            <w:r>
              <w:rPr>
                <w:rFonts w:ascii="Arial" w:eastAsia="Arial" w:hAnsi="Arial" w:cs="Arial"/>
                <w:color w:val="000000"/>
                <w:sz w:val="18"/>
              </w:rPr>
              <w:t>$</w:t>
            </w:r>
          </w:p>
        </w:tc>
        <w:tc>
          <w:tcPr>
            <w:tcW w:w="745" w:type="dxa"/>
            <w:tcBorders>
              <w:top w:val="single" w:sz="8" w:space="0" w:color="E9E9E9"/>
              <w:left w:val="nil"/>
              <w:bottom w:val="single" w:sz="8" w:space="0" w:color="E9E9E9"/>
              <w:right w:val="nil"/>
            </w:tcBorders>
            <w:tcMar>
              <w:top w:w="0" w:type="dxa"/>
              <w:left w:w="0" w:type="dxa"/>
              <w:bottom w:w="0" w:type="dxa"/>
              <w:right w:w="0" w:type="dxa"/>
            </w:tcMar>
            <w:vAlign w:val="bottom"/>
          </w:tcPr>
          <w:p w14:paraId="5DFE30F9" w14:textId="77777777" w:rsidR="001614AC" w:rsidRDefault="004468F9">
            <w:pPr>
              <w:spacing w:before="55" w:after="30" w:line="288" w:lineRule="auto"/>
              <w:jc w:val="right"/>
            </w:pPr>
            <w:r>
              <w:rPr>
                <w:rFonts w:ascii="Arial" w:eastAsia="Arial" w:hAnsi="Arial" w:cs="Arial"/>
                <w:color w:val="000000"/>
                <w:sz w:val="18"/>
              </w:rPr>
              <w:t>4,887 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7BA9B950" w14:textId="77777777" w:rsidR="001614AC" w:rsidRDefault="001614AC">
            <w:pPr>
              <w:spacing w:before="55" w:after="30" w:line="288" w:lineRule="auto"/>
              <w:jc w:val="right"/>
            </w:pPr>
          </w:p>
        </w:tc>
      </w:tr>
    </w:tbl>
    <w:p w14:paraId="157C0D48" w14:textId="77777777" w:rsidR="001614AC" w:rsidRDefault="004468F9" w:rsidP="004468F9">
      <w:pPr>
        <w:numPr>
          <w:ilvl w:val="0"/>
          <w:numId w:val="37"/>
        </w:numPr>
        <w:spacing w:line="288" w:lineRule="auto"/>
        <w:ind w:left="360"/>
        <w:rPr>
          <w:rFonts w:ascii="Arial" w:eastAsia="Arial" w:hAnsi="Arial" w:cs="Arial"/>
          <w:b/>
          <w:color w:val="64615D"/>
          <w:sz w:val="16"/>
          <w:shd w:val="clear" w:color="auto" w:fill="FFFFFF"/>
        </w:rPr>
      </w:pPr>
      <w:r>
        <w:rPr>
          <w:rFonts w:ascii="Arial" w:eastAsia="Arial" w:hAnsi="Arial" w:cs="Arial"/>
          <w:color w:val="64615D"/>
          <w:sz w:val="16"/>
        </w:rPr>
        <w:t>Related to defaulted loans with a most recent default notice dated in the period indicated. Fo</w:t>
      </w:r>
      <w:r>
        <w:rPr>
          <w:rFonts w:ascii="Arial" w:eastAsia="Arial" w:hAnsi="Arial" w:cs="Arial"/>
          <w:color w:val="64615D"/>
          <w:sz w:val="16"/>
        </w:rPr>
        <w:t xml:space="preserve">r example, if a loan had defaulted in a prior period, but then subsequently cured and later re-defaulted in the current period, the default would be considered a current period default. </w:t>
      </w:r>
    </w:p>
    <w:p w14:paraId="53165307" w14:textId="77777777" w:rsidR="001614AC" w:rsidRDefault="004468F9" w:rsidP="004468F9">
      <w:pPr>
        <w:numPr>
          <w:ilvl w:val="0"/>
          <w:numId w:val="37"/>
        </w:numPr>
        <w:spacing w:line="288" w:lineRule="auto"/>
        <w:ind w:left="360"/>
        <w:rPr>
          <w:rFonts w:ascii="Arial" w:eastAsia="Arial" w:hAnsi="Arial" w:cs="Arial"/>
          <w:b/>
          <w:color w:val="64615D"/>
          <w:sz w:val="16"/>
          <w:shd w:val="clear" w:color="auto" w:fill="FFFFFF"/>
        </w:rPr>
      </w:pPr>
      <w:r>
        <w:rPr>
          <w:rFonts w:ascii="Arial" w:eastAsia="Arial" w:hAnsi="Arial" w:cs="Arial"/>
          <w:color w:val="64615D"/>
          <w:sz w:val="16"/>
        </w:rPr>
        <w:t>Related to defaulted loans with a default notice dated in a period ea</w:t>
      </w:r>
      <w:r>
        <w:rPr>
          <w:rFonts w:ascii="Arial" w:eastAsia="Arial" w:hAnsi="Arial" w:cs="Arial"/>
          <w:color w:val="64615D"/>
          <w:sz w:val="16"/>
        </w:rPr>
        <w:t>rlier than the period indicated, which have been continuously in default since that time.</w:t>
      </w:r>
    </w:p>
    <w:p w14:paraId="1A7C2583" w14:textId="77777777" w:rsidR="001614AC" w:rsidRDefault="004468F9" w:rsidP="004468F9">
      <w:pPr>
        <w:numPr>
          <w:ilvl w:val="0"/>
          <w:numId w:val="37"/>
        </w:numPr>
        <w:spacing w:line="288" w:lineRule="auto"/>
        <w:ind w:left="360"/>
        <w:rPr>
          <w:rFonts w:ascii="Arial" w:eastAsia="Arial" w:hAnsi="Arial" w:cs="Arial"/>
          <w:b/>
          <w:color w:val="64615D"/>
          <w:sz w:val="16"/>
          <w:shd w:val="clear" w:color="auto" w:fill="FFFFFF"/>
        </w:rPr>
      </w:pPr>
      <w:r>
        <w:rPr>
          <w:rFonts w:ascii="Arial" w:eastAsia="Arial" w:hAnsi="Arial" w:cs="Arial"/>
          <w:color w:val="64615D"/>
          <w:sz w:val="16"/>
        </w:rPr>
        <w:t>Provision for losses as a percentage of net premiums earned. See below and “—</w:t>
      </w:r>
      <w:r>
        <w:rPr>
          <w:rFonts w:ascii="Arial" w:eastAsia="Arial" w:hAnsi="Arial" w:cs="Arial"/>
          <w:i/>
          <w:color w:val="64615D"/>
          <w:sz w:val="16"/>
        </w:rPr>
        <w:t>Net Premiums Written and Earned</w:t>
      </w:r>
      <w:r>
        <w:rPr>
          <w:rFonts w:ascii="Arial" w:eastAsia="Arial" w:hAnsi="Arial" w:cs="Arial"/>
          <w:color w:val="64615D"/>
          <w:sz w:val="16"/>
        </w:rPr>
        <w:t>” for further discussion of the components of this ratio.</w:t>
      </w:r>
    </w:p>
    <w:p w14:paraId="27B7D0A2" w14:textId="77777777" w:rsidR="001614AC" w:rsidRDefault="004468F9" w:rsidP="004468F9">
      <w:pPr>
        <w:numPr>
          <w:ilvl w:val="0"/>
          <w:numId w:val="37"/>
        </w:numPr>
        <w:spacing w:line="288" w:lineRule="auto"/>
        <w:ind w:left="360"/>
        <w:rPr>
          <w:rFonts w:ascii="Arial" w:eastAsia="Arial" w:hAnsi="Arial" w:cs="Arial"/>
          <w:b/>
          <w:color w:val="64615D"/>
          <w:sz w:val="16"/>
          <w:shd w:val="clear" w:color="auto" w:fill="FFFFFF"/>
        </w:rPr>
      </w:pPr>
      <w:r>
        <w:rPr>
          <w:rFonts w:ascii="Arial" w:eastAsia="Arial" w:hAnsi="Arial" w:cs="Arial"/>
          <w:color w:val="64615D"/>
          <w:sz w:val="16"/>
        </w:rPr>
        <w:t>Calculated by dividing provision for losses for new defaults, net of reinsurance, by new primary defaults for each period.</w:t>
      </w:r>
    </w:p>
    <w:p w14:paraId="51CB999D" w14:textId="77777777" w:rsidR="001614AC" w:rsidRDefault="004468F9">
      <w:pPr>
        <w:spacing w:before="200" w:after="100" w:line="288" w:lineRule="auto"/>
        <w:ind w:firstLine="450"/>
        <w:rPr>
          <w:rFonts w:ascii="Arial" w:eastAsia="Arial" w:hAnsi="Arial" w:cs="Arial"/>
          <w:b/>
          <w:color w:val="64615D"/>
          <w:sz w:val="18"/>
          <w:shd w:val="clear" w:color="auto" w:fill="FFFFFF"/>
        </w:rPr>
      </w:pPr>
      <w:r>
        <w:rPr>
          <w:rFonts w:ascii="Arial" w:eastAsia="Arial" w:hAnsi="Arial" w:cs="Arial"/>
          <w:sz w:val="18"/>
        </w:rPr>
        <w:t>Our mortgage insurance provision for losses for the three and six months ended June 30, 2021 decreased by $300.7 million and $290.1 m</w:t>
      </w:r>
      <w:r>
        <w:rPr>
          <w:rFonts w:ascii="Arial" w:eastAsia="Arial" w:hAnsi="Arial" w:cs="Arial"/>
          <w:sz w:val="18"/>
        </w:rPr>
        <w:t xml:space="preserve">illion, respectively, as compared to the same periods in 2020. Reserves established for new default notices were the primary driver of our total incurred losses for the three and six months ended June 30, 2021 and 2020. Current period new primary defaults </w:t>
      </w:r>
      <w:r>
        <w:rPr>
          <w:rFonts w:ascii="Arial" w:eastAsia="Arial" w:hAnsi="Arial" w:cs="Arial"/>
          <w:sz w:val="18"/>
        </w:rPr>
        <w:t>decreased significantly for the three and six months ended June 30, 2021, compared to the same periods in 2020, as shown below. The decreases primarily relate to a decrease in the number of new default notices related to the effects of the COVID-19 pandemi</w:t>
      </w:r>
      <w:r>
        <w:rPr>
          <w:rFonts w:ascii="Arial" w:eastAsia="Arial" w:hAnsi="Arial" w:cs="Arial"/>
          <w:sz w:val="18"/>
        </w:rPr>
        <w:t xml:space="preserve">c, as compared to the same periods last year. Our gross Default to Claim Rate assumption for new primary defaults was 8.0% at June 30, 2021, compared to 8.5% at June 30, 2020. </w:t>
      </w:r>
    </w:p>
    <w:p w14:paraId="0AD0EFCF" w14:textId="77777777" w:rsidR="001614AC" w:rsidRDefault="004468F9">
      <w:pPr>
        <w:spacing w:before="100" w:after="100" w:line="288" w:lineRule="auto"/>
        <w:ind w:firstLine="450"/>
        <w:rPr>
          <w:rFonts w:ascii="Arial" w:eastAsia="Arial" w:hAnsi="Arial" w:cs="Arial"/>
          <w:b/>
          <w:color w:val="64615D"/>
          <w:sz w:val="18"/>
          <w:shd w:val="clear" w:color="auto" w:fill="FFFFFF"/>
        </w:rPr>
      </w:pPr>
      <w:r>
        <w:rPr>
          <w:rFonts w:ascii="Arial" w:eastAsia="Arial" w:hAnsi="Arial" w:cs="Arial"/>
          <w:sz w:val="18"/>
        </w:rPr>
        <w:lastRenderedPageBreak/>
        <w:t>Our provision for losses during the three and six months ended June 30, 2021 be</w:t>
      </w:r>
      <w:r>
        <w:rPr>
          <w:rFonts w:ascii="Arial" w:eastAsia="Arial" w:hAnsi="Arial" w:cs="Arial"/>
          <w:sz w:val="18"/>
        </w:rPr>
        <w:t>nefited from favorable reserve development on prior period defaults, based on more favorable trends in Cures than originally estimated. As a result of these observed trends during the three and six months ended June 30, 2021, we made adjustments to the pri</w:t>
      </w:r>
      <w:r>
        <w:rPr>
          <w:rFonts w:ascii="Arial" w:eastAsia="Arial" w:hAnsi="Arial" w:cs="Arial"/>
          <w:sz w:val="18"/>
        </w:rPr>
        <w:t xml:space="preserve">or Default to Claim Rate assumptions for default notices reported between April 2020 and December 2020. See Notes 1 and 11 of Notes to Unaudited Condensed Consolidated Financial Statements and, in our 2020 Form 10-K, “Item 1A. Risk Factors” for additional </w:t>
      </w:r>
      <w:r>
        <w:rPr>
          <w:rFonts w:ascii="Arial" w:eastAsia="Arial" w:hAnsi="Arial" w:cs="Arial"/>
          <w:sz w:val="18"/>
        </w:rPr>
        <w:t xml:space="preserve">information. </w:t>
      </w:r>
    </w:p>
    <w:p w14:paraId="0C8C8E87" w14:textId="77777777" w:rsidR="001614AC" w:rsidRDefault="004468F9">
      <w:pPr>
        <w:keepNext/>
        <w:spacing w:before="100" w:after="100" w:line="288" w:lineRule="auto"/>
        <w:ind w:firstLine="450"/>
        <w:rPr>
          <w:rFonts w:ascii="Arial" w:eastAsia="Arial" w:hAnsi="Arial" w:cs="Arial"/>
          <w:b/>
          <w:i/>
          <w:color w:val="64615D"/>
          <w:sz w:val="22"/>
          <w:shd w:val="clear" w:color="auto" w:fill="FFFFFF"/>
        </w:rPr>
      </w:pPr>
      <w:r>
        <w:rPr>
          <w:rFonts w:ascii="Arial" w:eastAsia="Arial" w:hAnsi="Arial" w:cs="Arial"/>
          <w:sz w:val="18"/>
        </w:rPr>
        <w:t>Our primary default rate as a percentage of total insured loans at June 30, 2021 was 4.0% compared to 5.2% at December 31, 2020. The following table shows a rollforward of our primary loans in default.</w:t>
      </w:r>
    </w:p>
    <w:tbl>
      <w:tblPr>
        <w:tblW w:w="102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3"/>
        <w:gridCol w:w="114"/>
        <w:gridCol w:w="1014"/>
        <w:gridCol w:w="102"/>
        <w:gridCol w:w="107"/>
        <w:gridCol w:w="1014"/>
        <w:gridCol w:w="102"/>
        <w:gridCol w:w="107"/>
        <w:gridCol w:w="1014"/>
        <w:gridCol w:w="102"/>
        <w:gridCol w:w="107"/>
        <w:gridCol w:w="1014"/>
        <w:gridCol w:w="102"/>
      </w:tblGrid>
      <w:tr w:rsidR="001614AC" w14:paraId="68D3A88D" w14:textId="77777777">
        <w:trPr>
          <w:cantSplit/>
        </w:trPr>
        <w:tc>
          <w:tcPr>
            <w:tcW w:w="10080" w:type="dxa"/>
            <w:gridSpan w:val="13"/>
            <w:tcBorders>
              <w:top w:val="nil"/>
              <w:left w:val="nil"/>
              <w:bottom w:val="single" w:sz="12" w:space="0" w:color="99AAB6"/>
              <w:right w:val="nil"/>
            </w:tcBorders>
            <w:tcMar>
              <w:top w:w="0" w:type="dxa"/>
              <w:left w:w="53" w:type="dxa"/>
              <w:bottom w:w="0" w:type="dxa"/>
              <w:right w:w="53" w:type="dxa"/>
            </w:tcMar>
            <w:vAlign w:val="bottom"/>
          </w:tcPr>
          <w:p w14:paraId="0744789C" w14:textId="77777777" w:rsidR="001614AC" w:rsidRDefault="004468F9">
            <w:pPr>
              <w:keepNext/>
              <w:spacing w:before="75" w:after="30" w:line="288" w:lineRule="auto"/>
              <w:rPr>
                <w:rFonts w:ascii="Arial" w:eastAsia="Arial" w:hAnsi="Arial" w:cs="Arial"/>
                <w:b/>
                <w:i/>
                <w:sz w:val="20"/>
              </w:rPr>
            </w:pPr>
            <w:r>
              <w:rPr>
                <w:rFonts w:ascii="Arial" w:eastAsia="Arial" w:hAnsi="Arial" w:cs="Arial"/>
                <w:b/>
                <w:sz w:val="20"/>
              </w:rPr>
              <w:t>Rollforward of primary loans in default</w:t>
            </w:r>
          </w:p>
        </w:tc>
      </w:tr>
      <w:tr w:rsidR="001614AC" w14:paraId="52189854" w14:textId="77777777">
        <w:trPr>
          <w:cantSplit/>
          <w:trHeight w:hRule="exact" w:val="135"/>
        </w:trPr>
        <w:tc>
          <w:tcPr>
            <w:tcW w:w="5280" w:type="dxa"/>
            <w:tcBorders>
              <w:top w:val="nil"/>
              <w:left w:val="nil"/>
              <w:bottom w:val="nil"/>
              <w:right w:val="nil"/>
            </w:tcBorders>
            <w:tcMar>
              <w:top w:w="0" w:type="dxa"/>
              <w:left w:w="0" w:type="dxa"/>
              <w:bottom w:w="0" w:type="dxa"/>
              <w:right w:w="0" w:type="dxa"/>
            </w:tcMar>
            <w:vAlign w:val="bottom"/>
          </w:tcPr>
          <w:p w14:paraId="1AF605B0" w14:textId="77777777" w:rsidR="001614AC" w:rsidRDefault="001614AC">
            <w:pPr>
              <w:keepNext/>
            </w:pPr>
          </w:p>
        </w:tc>
        <w:tc>
          <w:tcPr>
            <w:tcW w:w="105" w:type="dxa"/>
            <w:tcBorders>
              <w:top w:val="single" w:sz="12" w:space="0" w:color="99AAB6"/>
              <w:left w:val="nil"/>
              <w:bottom w:val="nil"/>
              <w:right w:val="nil"/>
            </w:tcBorders>
            <w:tcMar>
              <w:top w:w="0" w:type="dxa"/>
              <w:left w:w="0" w:type="dxa"/>
              <w:bottom w:w="0" w:type="dxa"/>
              <w:right w:w="0" w:type="dxa"/>
            </w:tcMar>
            <w:vAlign w:val="bottom"/>
          </w:tcPr>
          <w:p w14:paraId="6B44E9F5" w14:textId="77777777" w:rsidR="001614AC" w:rsidRDefault="001614AC">
            <w:pPr>
              <w:keepNext/>
            </w:pPr>
          </w:p>
        </w:tc>
        <w:tc>
          <w:tcPr>
            <w:tcW w:w="1095" w:type="dxa"/>
            <w:gridSpan w:val="2"/>
            <w:tcBorders>
              <w:top w:val="single" w:sz="12" w:space="0" w:color="99AAB6"/>
              <w:left w:val="nil"/>
              <w:bottom w:val="nil"/>
              <w:right w:val="nil"/>
            </w:tcBorders>
            <w:tcMar>
              <w:top w:w="0" w:type="dxa"/>
              <w:left w:w="0" w:type="dxa"/>
              <w:bottom w:w="0" w:type="dxa"/>
              <w:right w:w="0" w:type="dxa"/>
            </w:tcMar>
            <w:vAlign w:val="bottom"/>
          </w:tcPr>
          <w:p w14:paraId="4DD03E9C" w14:textId="77777777" w:rsidR="001614AC" w:rsidRDefault="001614AC">
            <w:pPr>
              <w:keepNext/>
            </w:pPr>
          </w:p>
        </w:tc>
        <w:tc>
          <w:tcPr>
            <w:tcW w:w="105" w:type="dxa"/>
            <w:tcBorders>
              <w:top w:val="single" w:sz="12" w:space="0" w:color="99AAB6"/>
              <w:left w:val="nil"/>
              <w:bottom w:val="nil"/>
              <w:right w:val="nil"/>
            </w:tcBorders>
            <w:tcMar>
              <w:top w:w="0" w:type="dxa"/>
              <w:left w:w="0" w:type="dxa"/>
              <w:bottom w:w="0" w:type="dxa"/>
              <w:right w:w="0" w:type="dxa"/>
            </w:tcMar>
            <w:vAlign w:val="bottom"/>
          </w:tcPr>
          <w:p w14:paraId="48FEC202" w14:textId="77777777" w:rsidR="001614AC" w:rsidRDefault="001614AC">
            <w:pPr>
              <w:keepNext/>
            </w:pPr>
          </w:p>
        </w:tc>
        <w:tc>
          <w:tcPr>
            <w:tcW w:w="1095" w:type="dxa"/>
            <w:gridSpan w:val="2"/>
            <w:tcBorders>
              <w:top w:val="single" w:sz="12" w:space="0" w:color="99AAB6"/>
              <w:left w:val="nil"/>
              <w:bottom w:val="nil"/>
              <w:right w:val="nil"/>
            </w:tcBorders>
            <w:tcMar>
              <w:top w:w="0" w:type="dxa"/>
              <w:left w:w="0" w:type="dxa"/>
              <w:bottom w:w="0" w:type="dxa"/>
              <w:right w:w="0" w:type="dxa"/>
            </w:tcMar>
            <w:vAlign w:val="bottom"/>
          </w:tcPr>
          <w:p w14:paraId="7065B0AC" w14:textId="77777777" w:rsidR="001614AC" w:rsidRDefault="001614AC">
            <w:pPr>
              <w:keepNext/>
            </w:pPr>
          </w:p>
        </w:tc>
        <w:tc>
          <w:tcPr>
            <w:tcW w:w="105" w:type="dxa"/>
            <w:tcBorders>
              <w:top w:val="single" w:sz="12" w:space="0" w:color="99AAB6"/>
              <w:left w:val="nil"/>
              <w:bottom w:val="nil"/>
              <w:right w:val="nil"/>
            </w:tcBorders>
            <w:tcMar>
              <w:top w:w="0" w:type="dxa"/>
              <w:left w:w="0" w:type="dxa"/>
              <w:bottom w:w="0" w:type="dxa"/>
              <w:right w:w="0" w:type="dxa"/>
            </w:tcMar>
            <w:vAlign w:val="bottom"/>
          </w:tcPr>
          <w:p w14:paraId="0837B08C" w14:textId="77777777" w:rsidR="001614AC" w:rsidRDefault="001614AC">
            <w:pPr>
              <w:keepNext/>
            </w:pPr>
          </w:p>
        </w:tc>
        <w:tc>
          <w:tcPr>
            <w:tcW w:w="1095" w:type="dxa"/>
            <w:gridSpan w:val="2"/>
            <w:tcBorders>
              <w:top w:val="single" w:sz="12" w:space="0" w:color="99AAB6"/>
              <w:left w:val="nil"/>
              <w:bottom w:val="nil"/>
              <w:right w:val="nil"/>
            </w:tcBorders>
            <w:tcMar>
              <w:top w:w="0" w:type="dxa"/>
              <w:left w:w="0" w:type="dxa"/>
              <w:bottom w:w="0" w:type="dxa"/>
              <w:right w:w="0" w:type="dxa"/>
            </w:tcMar>
            <w:vAlign w:val="bottom"/>
          </w:tcPr>
          <w:p w14:paraId="5B7C9A4A" w14:textId="77777777" w:rsidR="001614AC" w:rsidRDefault="001614AC">
            <w:pPr>
              <w:keepNext/>
            </w:pPr>
          </w:p>
        </w:tc>
        <w:tc>
          <w:tcPr>
            <w:tcW w:w="105" w:type="dxa"/>
            <w:tcBorders>
              <w:top w:val="single" w:sz="12" w:space="0" w:color="99AAB6"/>
              <w:left w:val="nil"/>
              <w:bottom w:val="nil"/>
              <w:right w:val="nil"/>
            </w:tcBorders>
            <w:tcMar>
              <w:top w:w="0" w:type="dxa"/>
              <w:left w:w="0" w:type="dxa"/>
              <w:bottom w:w="0" w:type="dxa"/>
              <w:right w:w="0" w:type="dxa"/>
            </w:tcMar>
            <w:vAlign w:val="bottom"/>
          </w:tcPr>
          <w:p w14:paraId="5637E1E6" w14:textId="77777777" w:rsidR="001614AC" w:rsidRDefault="001614AC">
            <w:pPr>
              <w:keepNext/>
            </w:pPr>
          </w:p>
        </w:tc>
        <w:tc>
          <w:tcPr>
            <w:tcW w:w="1095" w:type="dxa"/>
            <w:gridSpan w:val="2"/>
            <w:tcBorders>
              <w:top w:val="single" w:sz="12" w:space="0" w:color="99AAB6"/>
              <w:left w:val="nil"/>
              <w:bottom w:val="nil"/>
              <w:right w:val="nil"/>
            </w:tcBorders>
            <w:tcMar>
              <w:top w:w="0" w:type="dxa"/>
              <w:left w:w="0" w:type="dxa"/>
              <w:bottom w:w="0" w:type="dxa"/>
              <w:right w:w="0" w:type="dxa"/>
            </w:tcMar>
            <w:vAlign w:val="bottom"/>
          </w:tcPr>
          <w:p w14:paraId="38E2064D" w14:textId="77777777" w:rsidR="001614AC" w:rsidRDefault="001614AC">
            <w:pPr>
              <w:keepNext/>
            </w:pPr>
          </w:p>
        </w:tc>
      </w:tr>
      <w:tr w:rsidR="001614AC" w14:paraId="61B15A7B" w14:textId="77777777">
        <w:trPr>
          <w:cantSplit/>
        </w:trPr>
        <w:tc>
          <w:tcPr>
            <w:tcW w:w="5280" w:type="dxa"/>
            <w:tcBorders>
              <w:top w:val="nil"/>
              <w:left w:val="nil"/>
              <w:bottom w:val="nil"/>
              <w:right w:val="nil"/>
            </w:tcBorders>
            <w:tcMar>
              <w:top w:w="0" w:type="dxa"/>
              <w:left w:w="0" w:type="dxa"/>
              <w:bottom w:w="0" w:type="dxa"/>
              <w:right w:w="0" w:type="dxa"/>
            </w:tcMar>
            <w:vAlign w:val="bottom"/>
          </w:tcPr>
          <w:p w14:paraId="1498BEFC" w14:textId="77777777" w:rsidR="001614AC" w:rsidRDefault="001614AC">
            <w:pPr>
              <w:keepNext/>
            </w:pPr>
          </w:p>
        </w:tc>
        <w:tc>
          <w:tcPr>
            <w:tcW w:w="105" w:type="dxa"/>
            <w:tcBorders>
              <w:top w:val="nil"/>
              <w:left w:val="nil"/>
              <w:bottom w:val="nil"/>
              <w:right w:val="nil"/>
            </w:tcBorders>
            <w:tcMar>
              <w:top w:w="0" w:type="dxa"/>
              <w:left w:w="0" w:type="dxa"/>
              <w:bottom w:w="0" w:type="dxa"/>
              <w:right w:w="0" w:type="dxa"/>
            </w:tcMar>
            <w:vAlign w:val="bottom"/>
          </w:tcPr>
          <w:p w14:paraId="42E395AD" w14:textId="77777777" w:rsidR="001614AC" w:rsidRDefault="001614AC">
            <w:pPr>
              <w:keepNext/>
            </w:pPr>
          </w:p>
        </w:tc>
        <w:tc>
          <w:tcPr>
            <w:tcW w:w="2295" w:type="dxa"/>
            <w:gridSpan w:val="5"/>
            <w:tcBorders>
              <w:top w:val="nil"/>
              <w:left w:val="nil"/>
              <w:bottom w:val="single" w:sz="8" w:space="0" w:color="FFFFFF"/>
              <w:right w:val="nil"/>
            </w:tcBorders>
            <w:tcMar>
              <w:top w:w="0" w:type="dxa"/>
              <w:left w:w="53" w:type="dxa"/>
              <w:bottom w:w="0" w:type="dxa"/>
              <w:right w:w="53" w:type="dxa"/>
            </w:tcMar>
            <w:vAlign w:val="bottom"/>
          </w:tcPr>
          <w:p w14:paraId="2FF1D64E" w14:textId="77777777" w:rsidR="001614AC" w:rsidRDefault="004468F9">
            <w:pPr>
              <w:keepNext/>
              <w:spacing w:before="75" w:line="288" w:lineRule="auto"/>
              <w:jc w:val="center"/>
            </w:pPr>
            <w:r>
              <w:rPr>
                <w:rFonts w:ascii="Arial" w:eastAsia="Arial" w:hAnsi="Arial" w:cs="Arial"/>
                <w:b/>
                <w:color w:val="00BAB3"/>
                <w:sz w:val="18"/>
              </w:rPr>
              <w:t>Three Months Ended</w:t>
            </w:r>
          </w:p>
          <w:p w14:paraId="6BB73A9C" w14:textId="77777777" w:rsidR="001614AC" w:rsidRDefault="004468F9">
            <w:pPr>
              <w:spacing w:after="30" w:line="288" w:lineRule="auto"/>
              <w:jc w:val="center"/>
            </w:pPr>
            <w:r>
              <w:rPr>
                <w:rFonts w:ascii="Arial" w:eastAsia="Arial" w:hAnsi="Arial" w:cs="Arial"/>
                <w:b/>
                <w:color w:val="00BAB3"/>
                <w:sz w:val="18"/>
              </w:rPr>
              <w:t>June 30,</w:t>
            </w:r>
          </w:p>
        </w:tc>
        <w:tc>
          <w:tcPr>
            <w:tcW w:w="105" w:type="dxa"/>
            <w:tcBorders>
              <w:top w:val="nil"/>
              <w:left w:val="nil"/>
              <w:bottom w:val="nil"/>
              <w:right w:val="nil"/>
            </w:tcBorders>
            <w:tcMar>
              <w:top w:w="0" w:type="dxa"/>
              <w:left w:w="0" w:type="dxa"/>
              <w:bottom w:w="0" w:type="dxa"/>
              <w:right w:w="0" w:type="dxa"/>
            </w:tcMar>
            <w:vAlign w:val="bottom"/>
          </w:tcPr>
          <w:p w14:paraId="6F506F6D" w14:textId="77777777" w:rsidR="001614AC" w:rsidRDefault="001614AC">
            <w:pPr>
              <w:keepNext/>
            </w:pPr>
          </w:p>
        </w:tc>
        <w:tc>
          <w:tcPr>
            <w:tcW w:w="2295" w:type="dxa"/>
            <w:gridSpan w:val="5"/>
            <w:tcBorders>
              <w:top w:val="nil"/>
              <w:left w:val="nil"/>
              <w:bottom w:val="single" w:sz="8" w:space="0" w:color="FFFFFF"/>
              <w:right w:val="nil"/>
            </w:tcBorders>
            <w:tcMar>
              <w:top w:w="0" w:type="dxa"/>
              <w:left w:w="53" w:type="dxa"/>
              <w:bottom w:w="0" w:type="dxa"/>
              <w:right w:w="53" w:type="dxa"/>
            </w:tcMar>
            <w:vAlign w:val="bottom"/>
          </w:tcPr>
          <w:p w14:paraId="7BCF9311" w14:textId="77777777" w:rsidR="001614AC" w:rsidRDefault="004468F9">
            <w:pPr>
              <w:keepNext/>
              <w:spacing w:before="75" w:line="288" w:lineRule="auto"/>
              <w:jc w:val="center"/>
            </w:pPr>
            <w:r>
              <w:rPr>
                <w:rFonts w:ascii="Arial" w:eastAsia="Arial" w:hAnsi="Arial" w:cs="Arial"/>
                <w:b/>
                <w:color w:val="00BAB3"/>
                <w:sz w:val="18"/>
              </w:rPr>
              <w:t>Six Months Ended</w:t>
            </w:r>
          </w:p>
          <w:p w14:paraId="6549F7B9" w14:textId="77777777" w:rsidR="001614AC" w:rsidRDefault="004468F9">
            <w:pPr>
              <w:spacing w:after="30" w:line="288" w:lineRule="auto"/>
              <w:jc w:val="center"/>
            </w:pPr>
            <w:r>
              <w:rPr>
                <w:rFonts w:ascii="Arial" w:eastAsia="Arial" w:hAnsi="Arial" w:cs="Arial"/>
                <w:b/>
                <w:color w:val="00BAB3"/>
                <w:sz w:val="18"/>
              </w:rPr>
              <w:t>June 30,</w:t>
            </w:r>
          </w:p>
        </w:tc>
      </w:tr>
      <w:tr w:rsidR="001614AC" w14:paraId="66DA3D45" w14:textId="77777777">
        <w:trPr>
          <w:cantSplit/>
        </w:trPr>
        <w:tc>
          <w:tcPr>
            <w:tcW w:w="5280" w:type="dxa"/>
            <w:tcBorders>
              <w:top w:val="nil"/>
              <w:left w:val="nil"/>
              <w:bottom w:val="single" w:sz="8" w:space="0" w:color="C7C9C7"/>
              <w:right w:val="nil"/>
            </w:tcBorders>
            <w:tcMar>
              <w:top w:w="0" w:type="dxa"/>
              <w:left w:w="0" w:type="dxa"/>
              <w:bottom w:w="0" w:type="dxa"/>
              <w:right w:w="0" w:type="dxa"/>
            </w:tcMar>
            <w:vAlign w:val="bottom"/>
          </w:tcPr>
          <w:p w14:paraId="6BE91E90" w14:textId="77777777" w:rsidR="001614AC" w:rsidRDefault="001614AC">
            <w:pPr>
              <w:keepNext/>
            </w:pPr>
          </w:p>
        </w:tc>
        <w:tc>
          <w:tcPr>
            <w:tcW w:w="105" w:type="dxa"/>
            <w:tcBorders>
              <w:top w:val="nil"/>
              <w:left w:val="nil"/>
              <w:bottom w:val="single" w:sz="8" w:space="0" w:color="C7C9C7"/>
              <w:right w:val="nil"/>
            </w:tcBorders>
            <w:tcMar>
              <w:top w:w="0" w:type="dxa"/>
              <w:left w:w="53" w:type="dxa"/>
              <w:bottom w:w="0" w:type="dxa"/>
              <w:right w:w="53" w:type="dxa"/>
            </w:tcMar>
            <w:vAlign w:val="bottom"/>
          </w:tcPr>
          <w:p w14:paraId="69465A25" w14:textId="77777777" w:rsidR="001614AC" w:rsidRDefault="001614AC">
            <w:pPr>
              <w:keepNext/>
              <w:spacing w:before="75" w:after="30" w:line="288" w:lineRule="auto"/>
            </w:pPr>
          </w:p>
        </w:tc>
        <w:tc>
          <w:tcPr>
            <w:tcW w:w="1095" w:type="dxa"/>
            <w:gridSpan w:val="2"/>
            <w:tcBorders>
              <w:top w:val="nil"/>
              <w:left w:val="nil"/>
              <w:bottom w:val="single" w:sz="8" w:space="0" w:color="C7C9C7"/>
              <w:right w:val="nil"/>
            </w:tcBorders>
            <w:shd w:val="clear" w:color="auto" w:fill="E6F8F8"/>
            <w:tcMar>
              <w:top w:w="0" w:type="dxa"/>
              <w:left w:w="53" w:type="dxa"/>
              <w:bottom w:w="0" w:type="dxa"/>
              <w:right w:w="53" w:type="dxa"/>
            </w:tcMar>
            <w:vAlign w:val="bottom"/>
          </w:tcPr>
          <w:p w14:paraId="4AFD2391" w14:textId="77777777" w:rsidR="001614AC" w:rsidRDefault="004468F9">
            <w:pPr>
              <w:keepNext/>
              <w:spacing w:before="55" w:after="30" w:line="288" w:lineRule="auto"/>
              <w:jc w:val="center"/>
            </w:pPr>
            <w:r>
              <w:rPr>
                <w:rFonts w:ascii="Arial" w:eastAsia="Arial" w:hAnsi="Arial" w:cs="Arial"/>
                <w:b/>
                <w:color w:val="00BAB3"/>
                <w:sz w:val="18"/>
              </w:rPr>
              <w:t>2021</w:t>
            </w:r>
          </w:p>
        </w:tc>
        <w:tc>
          <w:tcPr>
            <w:tcW w:w="105" w:type="dxa"/>
            <w:tcBorders>
              <w:top w:val="single" w:sz="8" w:space="0" w:color="FFFFFF"/>
              <w:left w:val="nil"/>
              <w:bottom w:val="single" w:sz="8" w:space="0" w:color="C7C9C7"/>
              <w:right w:val="nil"/>
            </w:tcBorders>
            <w:tcMar>
              <w:top w:w="0" w:type="dxa"/>
              <w:left w:w="0" w:type="dxa"/>
              <w:bottom w:w="0" w:type="dxa"/>
              <w:right w:w="0" w:type="dxa"/>
            </w:tcMar>
            <w:vAlign w:val="bottom"/>
          </w:tcPr>
          <w:p w14:paraId="6C4A619E" w14:textId="77777777" w:rsidR="001614AC" w:rsidRDefault="001614AC">
            <w:pPr>
              <w:keepNext/>
            </w:pPr>
          </w:p>
        </w:tc>
        <w:tc>
          <w:tcPr>
            <w:tcW w:w="1095" w:type="dxa"/>
            <w:gridSpan w:val="2"/>
            <w:tcBorders>
              <w:top w:val="single" w:sz="8" w:space="0" w:color="FFFFFF"/>
              <w:left w:val="nil"/>
              <w:bottom w:val="single" w:sz="8" w:space="0" w:color="C7C9C7"/>
              <w:right w:val="nil"/>
            </w:tcBorders>
            <w:shd w:val="clear" w:color="auto" w:fill="F4F4F4"/>
            <w:tcMar>
              <w:top w:w="0" w:type="dxa"/>
              <w:left w:w="53" w:type="dxa"/>
              <w:bottom w:w="0" w:type="dxa"/>
              <w:right w:w="53" w:type="dxa"/>
            </w:tcMar>
            <w:vAlign w:val="bottom"/>
          </w:tcPr>
          <w:p w14:paraId="7C8FD278" w14:textId="77777777" w:rsidR="001614AC" w:rsidRDefault="004468F9">
            <w:pPr>
              <w:keepNext/>
              <w:spacing w:before="55" w:after="30" w:line="288" w:lineRule="auto"/>
              <w:jc w:val="center"/>
            </w:pPr>
            <w:r>
              <w:rPr>
                <w:rFonts w:ascii="Arial" w:eastAsia="Arial" w:hAnsi="Arial" w:cs="Arial"/>
                <w:b/>
                <w:color w:val="00BAB3"/>
                <w:sz w:val="18"/>
              </w:rPr>
              <w:t>2020</w:t>
            </w:r>
          </w:p>
        </w:tc>
        <w:tc>
          <w:tcPr>
            <w:tcW w:w="105" w:type="dxa"/>
            <w:tcBorders>
              <w:top w:val="nil"/>
              <w:left w:val="nil"/>
              <w:bottom w:val="single" w:sz="8" w:space="0" w:color="C7C9C7"/>
              <w:right w:val="nil"/>
            </w:tcBorders>
            <w:tcMar>
              <w:top w:w="0" w:type="dxa"/>
              <w:left w:w="0" w:type="dxa"/>
              <w:bottom w:w="0" w:type="dxa"/>
              <w:right w:w="0" w:type="dxa"/>
            </w:tcMar>
            <w:vAlign w:val="bottom"/>
          </w:tcPr>
          <w:p w14:paraId="348A5156" w14:textId="77777777" w:rsidR="001614AC" w:rsidRDefault="001614AC">
            <w:pPr>
              <w:keepNext/>
            </w:pPr>
          </w:p>
        </w:tc>
        <w:tc>
          <w:tcPr>
            <w:tcW w:w="1095" w:type="dxa"/>
            <w:gridSpan w:val="2"/>
            <w:tcBorders>
              <w:top w:val="nil"/>
              <w:left w:val="nil"/>
              <w:bottom w:val="single" w:sz="8" w:space="0" w:color="C7C9C7"/>
              <w:right w:val="nil"/>
            </w:tcBorders>
            <w:shd w:val="clear" w:color="auto" w:fill="E6F8F8"/>
            <w:tcMar>
              <w:top w:w="0" w:type="dxa"/>
              <w:left w:w="53" w:type="dxa"/>
              <w:bottom w:w="0" w:type="dxa"/>
              <w:right w:w="53" w:type="dxa"/>
            </w:tcMar>
            <w:vAlign w:val="bottom"/>
          </w:tcPr>
          <w:p w14:paraId="395F20F1" w14:textId="77777777" w:rsidR="001614AC" w:rsidRDefault="004468F9">
            <w:pPr>
              <w:keepNext/>
              <w:spacing w:before="55" w:after="30" w:line="288" w:lineRule="auto"/>
              <w:jc w:val="center"/>
            </w:pPr>
            <w:r>
              <w:rPr>
                <w:rFonts w:ascii="Arial" w:eastAsia="Arial" w:hAnsi="Arial" w:cs="Arial"/>
                <w:b/>
                <w:color w:val="00BAB3"/>
                <w:sz w:val="18"/>
              </w:rPr>
              <w:t>2021</w:t>
            </w:r>
          </w:p>
        </w:tc>
        <w:tc>
          <w:tcPr>
            <w:tcW w:w="105" w:type="dxa"/>
            <w:tcBorders>
              <w:top w:val="single" w:sz="8" w:space="0" w:color="FFFFFF"/>
              <w:left w:val="nil"/>
              <w:bottom w:val="single" w:sz="8" w:space="0" w:color="C7C9C7"/>
              <w:right w:val="nil"/>
            </w:tcBorders>
            <w:tcMar>
              <w:top w:w="0" w:type="dxa"/>
              <w:left w:w="0" w:type="dxa"/>
              <w:bottom w:w="0" w:type="dxa"/>
              <w:right w:w="0" w:type="dxa"/>
            </w:tcMar>
            <w:vAlign w:val="bottom"/>
          </w:tcPr>
          <w:p w14:paraId="117F8915" w14:textId="77777777" w:rsidR="001614AC" w:rsidRDefault="001614AC">
            <w:pPr>
              <w:keepNext/>
            </w:pPr>
          </w:p>
        </w:tc>
        <w:tc>
          <w:tcPr>
            <w:tcW w:w="1095" w:type="dxa"/>
            <w:gridSpan w:val="2"/>
            <w:tcBorders>
              <w:top w:val="single" w:sz="8" w:space="0" w:color="FFFFFF"/>
              <w:left w:val="nil"/>
              <w:bottom w:val="single" w:sz="8" w:space="0" w:color="C7C9C7"/>
              <w:right w:val="nil"/>
            </w:tcBorders>
            <w:shd w:val="clear" w:color="auto" w:fill="F4F4F4"/>
            <w:tcMar>
              <w:top w:w="0" w:type="dxa"/>
              <w:left w:w="53" w:type="dxa"/>
              <w:bottom w:w="0" w:type="dxa"/>
              <w:right w:w="53" w:type="dxa"/>
            </w:tcMar>
            <w:vAlign w:val="bottom"/>
          </w:tcPr>
          <w:p w14:paraId="64BAA1B3" w14:textId="77777777" w:rsidR="001614AC" w:rsidRDefault="004468F9">
            <w:pPr>
              <w:keepNext/>
              <w:spacing w:before="55" w:after="30" w:line="288" w:lineRule="auto"/>
              <w:jc w:val="center"/>
            </w:pPr>
            <w:r>
              <w:rPr>
                <w:rFonts w:ascii="Arial" w:eastAsia="Arial" w:hAnsi="Arial" w:cs="Arial"/>
                <w:b/>
                <w:color w:val="00BAB3"/>
                <w:sz w:val="18"/>
              </w:rPr>
              <w:t>2020</w:t>
            </w:r>
          </w:p>
        </w:tc>
      </w:tr>
      <w:tr w:rsidR="001614AC" w14:paraId="5480C914" w14:textId="77777777">
        <w:trPr>
          <w:cantSplit/>
        </w:trPr>
        <w:tc>
          <w:tcPr>
            <w:tcW w:w="5280" w:type="dxa"/>
            <w:tcBorders>
              <w:top w:val="single" w:sz="8" w:space="0" w:color="C7C9C7"/>
              <w:left w:val="nil"/>
              <w:bottom w:val="single" w:sz="8" w:space="0" w:color="E9E9E9"/>
              <w:right w:val="nil"/>
            </w:tcBorders>
            <w:tcMar>
              <w:top w:w="0" w:type="dxa"/>
              <w:left w:w="53" w:type="dxa"/>
              <w:bottom w:w="0" w:type="dxa"/>
              <w:right w:w="53" w:type="dxa"/>
            </w:tcMar>
            <w:vAlign w:val="bottom"/>
          </w:tcPr>
          <w:p w14:paraId="5D6D79D3" w14:textId="77777777" w:rsidR="001614AC" w:rsidRDefault="004468F9">
            <w:pPr>
              <w:keepNext/>
              <w:spacing w:before="55" w:after="30" w:line="288" w:lineRule="auto"/>
            </w:pPr>
            <w:r>
              <w:rPr>
                <w:rFonts w:ascii="Arial" w:eastAsia="Arial" w:hAnsi="Arial" w:cs="Arial"/>
                <w:color w:val="000000"/>
                <w:sz w:val="18"/>
              </w:rPr>
              <w:t>Beginning default inventory</w:t>
            </w:r>
          </w:p>
        </w:tc>
        <w:tc>
          <w:tcPr>
            <w:tcW w:w="105" w:type="dxa"/>
            <w:tcBorders>
              <w:top w:val="single" w:sz="8" w:space="0" w:color="C7C9C7"/>
              <w:left w:val="nil"/>
              <w:bottom w:val="nil"/>
              <w:right w:val="nil"/>
            </w:tcBorders>
            <w:tcMar>
              <w:top w:w="0" w:type="dxa"/>
              <w:left w:w="0" w:type="dxa"/>
              <w:bottom w:w="0" w:type="dxa"/>
              <w:right w:w="0" w:type="dxa"/>
            </w:tcMar>
            <w:vAlign w:val="bottom"/>
          </w:tcPr>
          <w:p w14:paraId="4BE773DC" w14:textId="77777777" w:rsidR="001614AC" w:rsidRDefault="001614AC">
            <w:pPr>
              <w:keepNext/>
            </w:pPr>
          </w:p>
        </w:tc>
        <w:tc>
          <w:tcPr>
            <w:tcW w:w="995" w:type="dxa"/>
            <w:tcBorders>
              <w:top w:val="single" w:sz="8" w:space="0" w:color="C7C9C7"/>
              <w:left w:val="nil"/>
              <w:bottom w:val="single" w:sz="8" w:space="0" w:color="E9E9E9"/>
              <w:right w:val="nil"/>
            </w:tcBorders>
            <w:tcMar>
              <w:top w:w="0" w:type="dxa"/>
              <w:left w:w="53" w:type="dxa"/>
              <w:bottom w:w="0" w:type="dxa"/>
              <w:right w:w="0" w:type="dxa"/>
            </w:tcMar>
            <w:vAlign w:val="bottom"/>
          </w:tcPr>
          <w:p w14:paraId="0954A175" w14:textId="77777777" w:rsidR="001614AC" w:rsidRDefault="004468F9">
            <w:pPr>
              <w:keepNext/>
              <w:spacing w:before="55" w:after="30" w:line="288" w:lineRule="auto"/>
              <w:jc w:val="right"/>
            </w:pPr>
            <w:r>
              <w:rPr>
                <w:rFonts w:ascii="Arial" w:eastAsia="Arial" w:hAnsi="Arial" w:cs="Arial"/>
                <w:color w:val="000000"/>
                <w:sz w:val="18"/>
              </w:rPr>
              <w:t>50,106 </w:t>
            </w:r>
          </w:p>
        </w:tc>
        <w:tc>
          <w:tcPr>
            <w:tcW w:w="100" w:type="dxa"/>
            <w:tcBorders>
              <w:top w:val="single" w:sz="8" w:space="0" w:color="C7C9C7"/>
              <w:left w:val="nil"/>
              <w:bottom w:val="single" w:sz="8" w:space="0" w:color="E9E9E9"/>
              <w:right w:val="nil"/>
            </w:tcBorders>
            <w:tcMar>
              <w:top w:w="0" w:type="dxa"/>
              <w:left w:w="0" w:type="dxa"/>
              <w:bottom w:w="0" w:type="dxa"/>
              <w:right w:w="15" w:type="dxa"/>
            </w:tcMar>
            <w:vAlign w:val="bottom"/>
          </w:tcPr>
          <w:p w14:paraId="0EC2B383" w14:textId="77777777" w:rsidR="001614AC" w:rsidRDefault="001614AC">
            <w:pPr>
              <w:keepNext/>
              <w:spacing w:before="55" w:after="30" w:line="288" w:lineRule="auto"/>
              <w:jc w:val="right"/>
            </w:pPr>
          </w:p>
        </w:tc>
        <w:tc>
          <w:tcPr>
            <w:tcW w:w="105" w:type="dxa"/>
            <w:tcBorders>
              <w:top w:val="single" w:sz="8" w:space="0" w:color="C7C9C7"/>
              <w:left w:val="nil"/>
              <w:bottom w:val="nil"/>
              <w:right w:val="nil"/>
            </w:tcBorders>
            <w:tcMar>
              <w:top w:w="0" w:type="dxa"/>
              <w:left w:w="0" w:type="dxa"/>
              <w:bottom w:w="0" w:type="dxa"/>
              <w:right w:w="0" w:type="dxa"/>
            </w:tcMar>
            <w:vAlign w:val="bottom"/>
          </w:tcPr>
          <w:p w14:paraId="5E6D704B" w14:textId="77777777" w:rsidR="001614AC" w:rsidRDefault="001614AC">
            <w:pPr>
              <w:keepNext/>
            </w:pPr>
          </w:p>
        </w:tc>
        <w:tc>
          <w:tcPr>
            <w:tcW w:w="995" w:type="dxa"/>
            <w:tcBorders>
              <w:top w:val="single" w:sz="8" w:space="0" w:color="C7C9C7"/>
              <w:left w:val="nil"/>
              <w:bottom w:val="single" w:sz="8" w:space="0" w:color="E9E9E9"/>
              <w:right w:val="nil"/>
            </w:tcBorders>
            <w:tcMar>
              <w:top w:w="0" w:type="dxa"/>
              <w:left w:w="53" w:type="dxa"/>
              <w:bottom w:w="0" w:type="dxa"/>
              <w:right w:w="0" w:type="dxa"/>
            </w:tcMar>
            <w:vAlign w:val="bottom"/>
          </w:tcPr>
          <w:p w14:paraId="2779E6EE" w14:textId="77777777" w:rsidR="001614AC" w:rsidRDefault="004468F9">
            <w:pPr>
              <w:keepNext/>
              <w:spacing w:before="55" w:after="30" w:line="288" w:lineRule="auto"/>
              <w:jc w:val="right"/>
            </w:pPr>
            <w:r>
              <w:rPr>
                <w:rFonts w:ascii="Arial" w:eastAsia="Arial" w:hAnsi="Arial" w:cs="Arial"/>
                <w:color w:val="000000"/>
                <w:sz w:val="18"/>
              </w:rPr>
              <w:t>19,781 </w:t>
            </w:r>
          </w:p>
        </w:tc>
        <w:tc>
          <w:tcPr>
            <w:tcW w:w="100" w:type="dxa"/>
            <w:tcBorders>
              <w:top w:val="single" w:sz="8" w:space="0" w:color="C7C9C7"/>
              <w:left w:val="nil"/>
              <w:bottom w:val="single" w:sz="8" w:space="0" w:color="E9E9E9"/>
              <w:right w:val="nil"/>
            </w:tcBorders>
            <w:tcMar>
              <w:top w:w="0" w:type="dxa"/>
              <w:left w:w="0" w:type="dxa"/>
              <w:bottom w:w="0" w:type="dxa"/>
              <w:right w:w="15" w:type="dxa"/>
            </w:tcMar>
            <w:vAlign w:val="bottom"/>
          </w:tcPr>
          <w:p w14:paraId="0A9D11B4" w14:textId="77777777" w:rsidR="001614AC" w:rsidRDefault="001614AC">
            <w:pPr>
              <w:keepNext/>
              <w:spacing w:before="55" w:after="30" w:line="288" w:lineRule="auto"/>
              <w:jc w:val="right"/>
            </w:pPr>
          </w:p>
        </w:tc>
        <w:tc>
          <w:tcPr>
            <w:tcW w:w="105" w:type="dxa"/>
            <w:tcBorders>
              <w:top w:val="single" w:sz="8" w:space="0" w:color="C7C9C7"/>
              <w:left w:val="nil"/>
              <w:bottom w:val="nil"/>
              <w:right w:val="nil"/>
            </w:tcBorders>
            <w:tcMar>
              <w:top w:w="0" w:type="dxa"/>
              <w:left w:w="0" w:type="dxa"/>
              <w:bottom w:w="0" w:type="dxa"/>
              <w:right w:w="0" w:type="dxa"/>
            </w:tcMar>
            <w:vAlign w:val="bottom"/>
          </w:tcPr>
          <w:p w14:paraId="46BCE6AE" w14:textId="77777777" w:rsidR="001614AC" w:rsidRDefault="001614AC">
            <w:pPr>
              <w:keepNext/>
            </w:pPr>
          </w:p>
        </w:tc>
        <w:tc>
          <w:tcPr>
            <w:tcW w:w="995" w:type="dxa"/>
            <w:tcBorders>
              <w:top w:val="single" w:sz="8" w:space="0" w:color="C7C9C7"/>
              <w:left w:val="nil"/>
              <w:bottom w:val="single" w:sz="8" w:space="0" w:color="E9E9E9"/>
              <w:right w:val="nil"/>
            </w:tcBorders>
            <w:tcMar>
              <w:top w:w="0" w:type="dxa"/>
              <w:left w:w="53" w:type="dxa"/>
              <w:bottom w:w="0" w:type="dxa"/>
              <w:right w:w="0" w:type="dxa"/>
            </w:tcMar>
            <w:vAlign w:val="bottom"/>
          </w:tcPr>
          <w:p w14:paraId="57EA7534" w14:textId="77777777" w:rsidR="001614AC" w:rsidRDefault="004468F9">
            <w:pPr>
              <w:keepNext/>
              <w:spacing w:before="55" w:after="30" w:line="288" w:lineRule="auto"/>
              <w:jc w:val="right"/>
            </w:pPr>
            <w:r>
              <w:rPr>
                <w:rFonts w:ascii="Arial" w:eastAsia="Arial" w:hAnsi="Arial" w:cs="Arial"/>
                <w:color w:val="000000"/>
                <w:sz w:val="18"/>
              </w:rPr>
              <w:t>55,537 </w:t>
            </w:r>
          </w:p>
        </w:tc>
        <w:tc>
          <w:tcPr>
            <w:tcW w:w="100" w:type="dxa"/>
            <w:tcBorders>
              <w:top w:val="single" w:sz="8" w:space="0" w:color="C7C9C7"/>
              <w:left w:val="nil"/>
              <w:bottom w:val="single" w:sz="8" w:space="0" w:color="E9E9E9"/>
              <w:right w:val="nil"/>
            </w:tcBorders>
            <w:tcMar>
              <w:top w:w="0" w:type="dxa"/>
              <w:left w:w="0" w:type="dxa"/>
              <w:bottom w:w="0" w:type="dxa"/>
              <w:right w:w="15" w:type="dxa"/>
            </w:tcMar>
            <w:vAlign w:val="bottom"/>
          </w:tcPr>
          <w:p w14:paraId="589F3D7B" w14:textId="77777777" w:rsidR="001614AC" w:rsidRDefault="001614AC">
            <w:pPr>
              <w:keepNext/>
              <w:spacing w:before="55" w:after="30" w:line="288" w:lineRule="auto"/>
              <w:jc w:val="right"/>
            </w:pPr>
          </w:p>
        </w:tc>
        <w:tc>
          <w:tcPr>
            <w:tcW w:w="105" w:type="dxa"/>
            <w:tcBorders>
              <w:top w:val="single" w:sz="8" w:space="0" w:color="C7C9C7"/>
              <w:left w:val="nil"/>
              <w:bottom w:val="nil"/>
              <w:right w:val="nil"/>
            </w:tcBorders>
            <w:tcMar>
              <w:top w:w="0" w:type="dxa"/>
              <w:left w:w="0" w:type="dxa"/>
              <w:bottom w:w="0" w:type="dxa"/>
              <w:right w:w="0" w:type="dxa"/>
            </w:tcMar>
            <w:vAlign w:val="bottom"/>
          </w:tcPr>
          <w:p w14:paraId="70067F9B" w14:textId="77777777" w:rsidR="001614AC" w:rsidRDefault="001614AC">
            <w:pPr>
              <w:keepNext/>
            </w:pPr>
          </w:p>
        </w:tc>
        <w:tc>
          <w:tcPr>
            <w:tcW w:w="995" w:type="dxa"/>
            <w:tcBorders>
              <w:top w:val="single" w:sz="8" w:space="0" w:color="C7C9C7"/>
              <w:left w:val="nil"/>
              <w:bottom w:val="single" w:sz="8" w:space="0" w:color="E9E9E9"/>
              <w:right w:val="nil"/>
            </w:tcBorders>
            <w:tcMar>
              <w:top w:w="0" w:type="dxa"/>
              <w:left w:w="53" w:type="dxa"/>
              <w:bottom w:w="0" w:type="dxa"/>
              <w:right w:w="0" w:type="dxa"/>
            </w:tcMar>
            <w:vAlign w:val="bottom"/>
          </w:tcPr>
          <w:p w14:paraId="445A5B0A" w14:textId="77777777" w:rsidR="001614AC" w:rsidRDefault="004468F9">
            <w:pPr>
              <w:keepNext/>
              <w:spacing w:before="55" w:after="30" w:line="288" w:lineRule="auto"/>
              <w:jc w:val="right"/>
            </w:pPr>
            <w:r>
              <w:rPr>
                <w:rFonts w:ascii="Arial" w:eastAsia="Arial" w:hAnsi="Arial" w:cs="Arial"/>
                <w:color w:val="000000"/>
                <w:sz w:val="18"/>
              </w:rPr>
              <w:t>21,266 </w:t>
            </w:r>
          </w:p>
        </w:tc>
        <w:tc>
          <w:tcPr>
            <w:tcW w:w="100" w:type="dxa"/>
            <w:tcBorders>
              <w:top w:val="single" w:sz="8" w:space="0" w:color="C7C9C7"/>
              <w:left w:val="nil"/>
              <w:bottom w:val="single" w:sz="8" w:space="0" w:color="E9E9E9"/>
              <w:right w:val="nil"/>
            </w:tcBorders>
            <w:tcMar>
              <w:top w:w="0" w:type="dxa"/>
              <w:left w:w="0" w:type="dxa"/>
              <w:bottom w:w="0" w:type="dxa"/>
              <w:right w:w="15" w:type="dxa"/>
            </w:tcMar>
            <w:vAlign w:val="bottom"/>
          </w:tcPr>
          <w:p w14:paraId="596360AE" w14:textId="77777777" w:rsidR="001614AC" w:rsidRDefault="001614AC">
            <w:pPr>
              <w:keepNext/>
              <w:spacing w:before="55" w:after="30" w:line="288" w:lineRule="auto"/>
              <w:jc w:val="right"/>
            </w:pPr>
          </w:p>
        </w:tc>
      </w:tr>
      <w:tr w:rsidR="001614AC" w14:paraId="4C4ACD3A" w14:textId="77777777">
        <w:trPr>
          <w:cantSplit/>
        </w:trPr>
        <w:tc>
          <w:tcPr>
            <w:tcW w:w="5280" w:type="dxa"/>
            <w:tcBorders>
              <w:top w:val="single" w:sz="8" w:space="0" w:color="E9E9E9"/>
              <w:left w:val="nil"/>
              <w:bottom w:val="single" w:sz="8" w:space="0" w:color="E9E9E9"/>
              <w:right w:val="nil"/>
            </w:tcBorders>
            <w:tcMar>
              <w:top w:w="0" w:type="dxa"/>
              <w:left w:w="53" w:type="dxa"/>
              <w:bottom w:w="0" w:type="dxa"/>
              <w:right w:w="53" w:type="dxa"/>
            </w:tcMar>
            <w:vAlign w:val="bottom"/>
          </w:tcPr>
          <w:p w14:paraId="6BAEE43F" w14:textId="77777777" w:rsidR="001614AC" w:rsidRDefault="004468F9">
            <w:pPr>
              <w:keepNext/>
              <w:spacing w:before="55" w:after="30" w:line="288" w:lineRule="auto"/>
            </w:pPr>
            <w:r>
              <w:rPr>
                <w:rFonts w:ascii="Arial" w:eastAsia="Arial" w:hAnsi="Arial" w:cs="Arial"/>
                <w:color w:val="000000"/>
                <w:sz w:val="18"/>
              </w:rPr>
              <w:t>New defaults</w:t>
            </w:r>
          </w:p>
        </w:tc>
        <w:tc>
          <w:tcPr>
            <w:tcW w:w="105" w:type="dxa"/>
            <w:tcBorders>
              <w:top w:val="nil"/>
              <w:left w:val="nil"/>
              <w:bottom w:val="nil"/>
              <w:right w:val="nil"/>
            </w:tcBorders>
            <w:tcMar>
              <w:top w:w="0" w:type="dxa"/>
              <w:left w:w="0" w:type="dxa"/>
              <w:bottom w:w="0" w:type="dxa"/>
              <w:right w:w="0" w:type="dxa"/>
            </w:tcMar>
            <w:vAlign w:val="bottom"/>
          </w:tcPr>
          <w:p w14:paraId="2F7738E1" w14:textId="77777777" w:rsidR="001614AC" w:rsidRDefault="001614AC">
            <w:pPr>
              <w:keepNext/>
            </w:pPr>
          </w:p>
        </w:tc>
        <w:tc>
          <w:tcPr>
            <w:tcW w:w="995" w:type="dxa"/>
            <w:tcBorders>
              <w:top w:val="single" w:sz="8" w:space="0" w:color="E9E9E9"/>
              <w:left w:val="nil"/>
              <w:bottom w:val="single" w:sz="8" w:space="0" w:color="E9E9E9"/>
              <w:right w:val="nil"/>
            </w:tcBorders>
            <w:tcMar>
              <w:top w:w="0" w:type="dxa"/>
              <w:left w:w="53" w:type="dxa"/>
              <w:bottom w:w="0" w:type="dxa"/>
              <w:right w:w="0" w:type="dxa"/>
            </w:tcMar>
            <w:vAlign w:val="bottom"/>
          </w:tcPr>
          <w:p w14:paraId="0BCDCA1C" w14:textId="77777777" w:rsidR="001614AC" w:rsidRDefault="004468F9">
            <w:pPr>
              <w:keepNext/>
              <w:spacing w:before="55" w:after="30" w:line="288" w:lineRule="auto"/>
              <w:jc w:val="right"/>
            </w:pPr>
            <w:r>
              <w:rPr>
                <w:rFonts w:ascii="Arial" w:eastAsia="Arial" w:hAnsi="Arial" w:cs="Arial"/>
                <w:color w:val="000000"/>
                <w:sz w:val="18"/>
              </w:rPr>
              <w:t>8,145 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70CF5AC0" w14:textId="77777777" w:rsidR="001614AC" w:rsidRDefault="001614AC">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5DD97BFF" w14:textId="77777777" w:rsidR="001614AC" w:rsidRDefault="001614AC">
            <w:pPr>
              <w:keepNext/>
            </w:pPr>
          </w:p>
        </w:tc>
        <w:tc>
          <w:tcPr>
            <w:tcW w:w="995" w:type="dxa"/>
            <w:tcBorders>
              <w:top w:val="single" w:sz="8" w:space="0" w:color="E9E9E9"/>
              <w:left w:val="nil"/>
              <w:bottom w:val="single" w:sz="8" w:space="0" w:color="E9E9E9"/>
              <w:right w:val="nil"/>
            </w:tcBorders>
            <w:tcMar>
              <w:top w:w="0" w:type="dxa"/>
              <w:left w:w="53" w:type="dxa"/>
              <w:bottom w:w="0" w:type="dxa"/>
              <w:right w:w="0" w:type="dxa"/>
            </w:tcMar>
            <w:vAlign w:val="bottom"/>
          </w:tcPr>
          <w:p w14:paraId="7B76D667" w14:textId="77777777" w:rsidR="001614AC" w:rsidRDefault="004468F9">
            <w:pPr>
              <w:keepNext/>
              <w:spacing w:before="55" w:after="30" w:line="288" w:lineRule="auto"/>
              <w:jc w:val="right"/>
            </w:pPr>
            <w:r>
              <w:rPr>
                <w:rFonts w:ascii="Arial" w:eastAsia="Arial" w:hAnsi="Arial" w:cs="Arial"/>
                <w:color w:val="000000"/>
                <w:sz w:val="18"/>
              </w:rPr>
              <w:t>63,005 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190C156C" w14:textId="77777777" w:rsidR="001614AC" w:rsidRDefault="001614AC">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7F9E8834" w14:textId="77777777" w:rsidR="001614AC" w:rsidRDefault="001614AC">
            <w:pPr>
              <w:keepNext/>
            </w:pPr>
          </w:p>
        </w:tc>
        <w:tc>
          <w:tcPr>
            <w:tcW w:w="995" w:type="dxa"/>
            <w:tcBorders>
              <w:top w:val="single" w:sz="8" w:space="0" w:color="E9E9E9"/>
              <w:left w:val="nil"/>
              <w:bottom w:val="single" w:sz="8" w:space="0" w:color="E9E9E9"/>
              <w:right w:val="nil"/>
            </w:tcBorders>
            <w:tcMar>
              <w:top w:w="0" w:type="dxa"/>
              <w:left w:w="53" w:type="dxa"/>
              <w:bottom w:w="0" w:type="dxa"/>
              <w:right w:w="0" w:type="dxa"/>
            </w:tcMar>
            <w:vAlign w:val="bottom"/>
          </w:tcPr>
          <w:p w14:paraId="7FDC2707" w14:textId="77777777" w:rsidR="001614AC" w:rsidRDefault="004468F9">
            <w:pPr>
              <w:keepNext/>
              <w:spacing w:before="55" w:after="30" w:line="288" w:lineRule="auto"/>
              <w:jc w:val="right"/>
            </w:pPr>
            <w:r>
              <w:rPr>
                <w:rFonts w:ascii="Arial" w:eastAsia="Arial" w:hAnsi="Arial" w:cs="Arial"/>
                <w:color w:val="000000"/>
                <w:sz w:val="18"/>
              </w:rPr>
              <w:t>19,996 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3BD2265D" w14:textId="77777777" w:rsidR="001614AC" w:rsidRDefault="001614AC">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08168A24" w14:textId="77777777" w:rsidR="001614AC" w:rsidRDefault="001614AC">
            <w:pPr>
              <w:keepNext/>
            </w:pPr>
          </w:p>
        </w:tc>
        <w:tc>
          <w:tcPr>
            <w:tcW w:w="995" w:type="dxa"/>
            <w:tcBorders>
              <w:top w:val="single" w:sz="8" w:space="0" w:color="E9E9E9"/>
              <w:left w:val="nil"/>
              <w:bottom w:val="single" w:sz="8" w:space="0" w:color="E9E9E9"/>
              <w:right w:val="nil"/>
            </w:tcBorders>
            <w:tcMar>
              <w:top w:w="0" w:type="dxa"/>
              <w:left w:w="53" w:type="dxa"/>
              <w:bottom w:w="0" w:type="dxa"/>
              <w:right w:w="0" w:type="dxa"/>
            </w:tcMar>
            <w:vAlign w:val="bottom"/>
          </w:tcPr>
          <w:p w14:paraId="63BE3E13" w14:textId="77777777" w:rsidR="001614AC" w:rsidRDefault="004468F9">
            <w:pPr>
              <w:keepNext/>
              <w:spacing w:before="55" w:after="30" w:line="288" w:lineRule="auto"/>
              <w:jc w:val="right"/>
            </w:pPr>
            <w:r>
              <w:rPr>
                <w:rFonts w:ascii="Arial" w:eastAsia="Arial" w:hAnsi="Arial" w:cs="Arial"/>
                <w:color w:val="000000"/>
                <w:sz w:val="18"/>
              </w:rPr>
              <w:t>72,965 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1460452F" w14:textId="77777777" w:rsidR="001614AC" w:rsidRDefault="001614AC">
            <w:pPr>
              <w:keepNext/>
              <w:spacing w:before="55" w:after="30" w:line="288" w:lineRule="auto"/>
              <w:jc w:val="right"/>
            </w:pPr>
          </w:p>
        </w:tc>
      </w:tr>
      <w:tr w:rsidR="001614AC" w14:paraId="665F469D" w14:textId="77777777">
        <w:trPr>
          <w:cantSplit/>
        </w:trPr>
        <w:tc>
          <w:tcPr>
            <w:tcW w:w="5280" w:type="dxa"/>
            <w:tcBorders>
              <w:top w:val="single" w:sz="8" w:space="0" w:color="E9E9E9"/>
              <w:left w:val="nil"/>
              <w:bottom w:val="single" w:sz="8" w:space="0" w:color="E9E9E9"/>
              <w:right w:val="nil"/>
            </w:tcBorders>
            <w:tcMar>
              <w:top w:w="0" w:type="dxa"/>
              <w:left w:w="53" w:type="dxa"/>
              <w:bottom w:w="0" w:type="dxa"/>
              <w:right w:w="53" w:type="dxa"/>
            </w:tcMar>
            <w:vAlign w:val="bottom"/>
          </w:tcPr>
          <w:p w14:paraId="6CB009E7" w14:textId="77777777" w:rsidR="001614AC" w:rsidRDefault="004468F9">
            <w:pPr>
              <w:keepNext/>
              <w:spacing w:before="55" w:after="30" w:line="288" w:lineRule="auto"/>
            </w:pPr>
            <w:r>
              <w:rPr>
                <w:rFonts w:ascii="Arial" w:eastAsia="Arial" w:hAnsi="Arial" w:cs="Arial"/>
                <w:color w:val="000000"/>
                <w:sz w:val="18"/>
              </w:rPr>
              <w:t>Cures</w:t>
            </w:r>
          </w:p>
        </w:tc>
        <w:tc>
          <w:tcPr>
            <w:tcW w:w="105" w:type="dxa"/>
            <w:tcBorders>
              <w:top w:val="nil"/>
              <w:left w:val="nil"/>
              <w:bottom w:val="nil"/>
              <w:right w:val="nil"/>
            </w:tcBorders>
            <w:tcMar>
              <w:top w:w="0" w:type="dxa"/>
              <w:left w:w="0" w:type="dxa"/>
              <w:bottom w:w="0" w:type="dxa"/>
              <w:right w:w="0" w:type="dxa"/>
            </w:tcMar>
            <w:vAlign w:val="bottom"/>
          </w:tcPr>
          <w:p w14:paraId="3878C8F9" w14:textId="77777777" w:rsidR="001614AC" w:rsidRDefault="001614AC">
            <w:pPr>
              <w:keepNext/>
            </w:pPr>
          </w:p>
        </w:tc>
        <w:tc>
          <w:tcPr>
            <w:tcW w:w="995" w:type="dxa"/>
            <w:tcBorders>
              <w:top w:val="single" w:sz="8" w:space="0" w:color="E9E9E9"/>
              <w:left w:val="nil"/>
              <w:bottom w:val="single" w:sz="8" w:space="0" w:color="E9E9E9"/>
              <w:right w:val="nil"/>
            </w:tcBorders>
            <w:tcMar>
              <w:top w:w="0" w:type="dxa"/>
              <w:left w:w="53" w:type="dxa"/>
              <w:bottom w:w="0" w:type="dxa"/>
              <w:right w:w="0" w:type="dxa"/>
            </w:tcMar>
            <w:vAlign w:val="bottom"/>
          </w:tcPr>
          <w:p w14:paraId="0CC2BB39" w14:textId="77777777" w:rsidR="001614AC" w:rsidRDefault="004468F9">
            <w:pPr>
              <w:keepNext/>
              <w:spacing w:before="55" w:after="30" w:line="288" w:lineRule="auto"/>
              <w:jc w:val="right"/>
            </w:pPr>
            <w:r>
              <w:rPr>
                <w:rFonts w:ascii="Arial" w:eastAsia="Arial" w:hAnsi="Arial" w:cs="Arial"/>
                <w:color w:val="000000"/>
                <w:sz w:val="18"/>
              </w:rPr>
              <w:t>(17,681)</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2595271E" w14:textId="77777777" w:rsidR="001614AC" w:rsidRDefault="001614AC">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660A6038" w14:textId="77777777" w:rsidR="001614AC" w:rsidRDefault="001614AC">
            <w:pPr>
              <w:keepNext/>
            </w:pPr>
          </w:p>
        </w:tc>
        <w:tc>
          <w:tcPr>
            <w:tcW w:w="995" w:type="dxa"/>
            <w:tcBorders>
              <w:top w:val="single" w:sz="8" w:space="0" w:color="E9E9E9"/>
              <w:left w:val="nil"/>
              <w:bottom w:val="single" w:sz="8" w:space="0" w:color="E9E9E9"/>
              <w:right w:val="nil"/>
            </w:tcBorders>
            <w:tcMar>
              <w:top w:w="0" w:type="dxa"/>
              <w:left w:w="53" w:type="dxa"/>
              <w:bottom w:w="0" w:type="dxa"/>
              <w:right w:w="0" w:type="dxa"/>
            </w:tcMar>
            <w:vAlign w:val="bottom"/>
          </w:tcPr>
          <w:p w14:paraId="371A38A2" w14:textId="77777777" w:rsidR="001614AC" w:rsidRDefault="004468F9">
            <w:pPr>
              <w:keepNext/>
              <w:spacing w:before="55" w:after="30" w:line="288" w:lineRule="auto"/>
              <w:jc w:val="right"/>
            </w:pPr>
            <w:r>
              <w:rPr>
                <w:rFonts w:ascii="Arial" w:eastAsia="Arial" w:hAnsi="Arial" w:cs="Arial"/>
                <w:color w:val="000000"/>
                <w:sz w:val="18"/>
              </w:rPr>
              <w:t>(12,588)</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03FB7519" w14:textId="77777777" w:rsidR="001614AC" w:rsidRDefault="001614AC">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60C7F62E" w14:textId="77777777" w:rsidR="001614AC" w:rsidRDefault="001614AC">
            <w:pPr>
              <w:keepNext/>
            </w:pPr>
          </w:p>
        </w:tc>
        <w:tc>
          <w:tcPr>
            <w:tcW w:w="995" w:type="dxa"/>
            <w:tcBorders>
              <w:top w:val="single" w:sz="8" w:space="0" w:color="E9E9E9"/>
              <w:left w:val="nil"/>
              <w:bottom w:val="single" w:sz="8" w:space="0" w:color="E9E9E9"/>
              <w:right w:val="nil"/>
            </w:tcBorders>
            <w:tcMar>
              <w:top w:w="0" w:type="dxa"/>
              <w:left w:w="53" w:type="dxa"/>
              <w:bottom w:w="0" w:type="dxa"/>
              <w:right w:w="0" w:type="dxa"/>
            </w:tcMar>
            <w:vAlign w:val="bottom"/>
          </w:tcPr>
          <w:p w14:paraId="723C2218" w14:textId="77777777" w:rsidR="001614AC" w:rsidRDefault="004468F9">
            <w:pPr>
              <w:keepNext/>
              <w:spacing w:before="55" w:after="30" w:line="288" w:lineRule="auto"/>
              <w:jc w:val="right"/>
            </w:pPr>
            <w:r>
              <w:rPr>
                <w:rFonts w:ascii="Arial" w:eastAsia="Arial" w:hAnsi="Arial" w:cs="Arial"/>
                <w:color w:val="000000"/>
                <w:sz w:val="18"/>
              </w:rPr>
              <w:t>(34,818)</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07F4D554" w14:textId="77777777" w:rsidR="001614AC" w:rsidRDefault="001614AC">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56A8AC7D" w14:textId="77777777" w:rsidR="001614AC" w:rsidRDefault="001614AC">
            <w:pPr>
              <w:keepNext/>
            </w:pPr>
          </w:p>
        </w:tc>
        <w:tc>
          <w:tcPr>
            <w:tcW w:w="995" w:type="dxa"/>
            <w:tcBorders>
              <w:top w:val="single" w:sz="8" w:space="0" w:color="E9E9E9"/>
              <w:left w:val="nil"/>
              <w:bottom w:val="single" w:sz="8" w:space="0" w:color="E9E9E9"/>
              <w:right w:val="nil"/>
            </w:tcBorders>
            <w:tcMar>
              <w:top w:w="0" w:type="dxa"/>
              <w:left w:w="53" w:type="dxa"/>
              <w:bottom w:w="0" w:type="dxa"/>
              <w:right w:w="0" w:type="dxa"/>
            </w:tcMar>
            <w:vAlign w:val="bottom"/>
          </w:tcPr>
          <w:p w14:paraId="1FEE215C" w14:textId="77777777" w:rsidR="001614AC" w:rsidRDefault="004468F9">
            <w:pPr>
              <w:keepNext/>
              <w:spacing w:before="55" w:after="30" w:line="288" w:lineRule="auto"/>
              <w:jc w:val="right"/>
            </w:pPr>
            <w:r>
              <w:rPr>
                <w:rFonts w:ascii="Arial" w:eastAsia="Arial" w:hAnsi="Arial" w:cs="Arial"/>
                <w:color w:val="000000"/>
                <w:sz w:val="18"/>
              </w:rPr>
              <w:t>(23,554)</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0D829A1F" w14:textId="77777777" w:rsidR="001614AC" w:rsidRDefault="001614AC">
            <w:pPr>
              <w:keepNext/>
              <w:spacing w:before="55" w:after="30" w:line="288" w:lineRule="auto"/>
              <w:jc w:val="right"/>
            </w:pPr>
          </w:p>
        </w:tc>
      </w:tr>
      <w:tr w:rsidR="001614AC" w14:paraId="62FC409E" w14:textId="77777777">
        <w:trPr>
          <w:cantSplit/>
        </w:trPr>
        <w:tc>
          <w:tcPr>
            <w:tcW w:w="5280" w:type="dxa"/>
            <w:tcBorders>
              <w:top w:val="single" w:sz="8" w:space="0" w:color="E9E9E9"/>
              <w:left w:val="nil"/>
              <w:bottom w:val="single" w:sz="8" w:space="0" w:color="E9E9E9"/>
              <w:right w:val="nil"/>
            </w:tcBorders>
            <w:tcMar>
              <w:top w:w="0" w:type="dxa"/>
              <w:left w:w="53" w:type="dxa"/>
              <w:bottom w:w="0" w:type="dxa"/>
              <w:right w:w="53" w:type="dxa"/>
            </w:tcMar>
            <w:vAlign w:val="bottom"/>
          </w:tcPr>
          <w:p w14:paraId="7024ED71" w14:textId="77777777" w:rsidR="001614AC" w:rsidRDefault="004468F9">
            <w:pPr>
              <w:keepNext/>
              <w:spacing w:before="55" w:after="30" w:line="288" w:lineRule="auto"/>
            </w:pPr>
            <w:r>
              <w:rPr>
                <w:rFonts w:ascii="Arial" w:eastAsia="Arial" w:hAnsi="Arial" w:cs="Arial"/>
                <w:color w:val="000000"/>
                <w:sz w:val="18"/>
              </w:rPr>
              <w:t xml:space="preserve">Claims paid </w:t>
            </w:r>
          </w:p>
        </w:tc>
        <w:tc>
          <w:tcPr>
            <w:tcW w:w="105" w:type="dxa"/>
            <w:tcBorders>
              <w:top w:val="nil"/>
              <w:left w:val="nil"/>
              <w:bottom w:val="nil"/>
              <w:right w:val="nil"/>
            </w:tcBorders>
            <w:tcMar>
              <w:top w:w="0" w:type="dxa"/>
              <w:left w:w="0" w:type="dxa"/>
              <w:bottom w:w="0" w:type="dxa"/>
              <w:right w:w="0" w:type="dxa"/>
            </w:tcMar>
            <w:vAlign w:val="bottom"/>
          </w:tcPr>
          <w:p w14:paraId="53B60448" w14:textId="77777777" w:rsidR="001614AC" w:rsidRDefault="001614AC">
            <w:pPr>
              <w:keepNext/>
            </w:pPr>
          </w:p>
        </w:tc>
        <w:tc>
          <w:tcPr>
            <w:tcW w:w="995" w:type="dxa"/>
            <w:tcBorders>
              <w:top w:val="single" w:sz="8" w:space="0" w:color="E9E9E9"/>
              <w:left w:val="nil"/>
              <w:bottom w:val="single" w:sz="8" w:space="0" w:color="E9E9E9"/>
              <w:right w:val="nil"/>
            </w:tcBorders>
            <w:tcMar>
              <w:top w:w="0" w:type="dxa"/>
              <w:left w:w="53" w:type="dxa"/>
              <w:bottom w:w="0" w:type="dxa"/>
              <w:right w:w="0" w:type="dxa"/>
            </w:tcMar>
            <w:vAlign w:val="bottom"/>
          </w:tcPr>
          <w:p w14:paraId="08CF1E4B" w14:textId="77777777" w:rsidR="001614AC" w:rsidRDefault="004468F9">
            <w:pPr>
              <w:keepNext/>
              <w:spacing w:before="55" w:after="30" w:line="288" w:lineRule="auto"/>
              <w:jc w:val="right"/>
            </w:pPr>
            <w:r>
              <w:rPr>
                <w:rFonts w:ascii="Arial" w:eastAsia="Arial" w:hAnsi="Arial" w:cs="Arial"/>
                <w:color w:val="000000"/>
                <w:sz w:val="18"/>
              </w:rPr>
              <w:t>(98)</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0CC9D873" w14:textId="77777777" w:rsidR="001614AC" w:rsidRDefault="001614AC">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368165E8" w14:textId="77777777" w:rsidR="001614AC" w:rsidRDefault="001614AC">
            <w:pPr>
              <w:keepNext/>
            </w:pPr>
          </w:p>
        </w:tc>
        <w:tc>
          <w:tcPr>
            <w:tcW w:w="995" w:type="dxa"/>
            <w:tcBorders>
              <w:top w:val="single" w:sz="8" w:space="0" w:color="E9E9E9"/>
              <w:left w:val="nil"/>
              <w:bottom w:val="single" w:sz="8" w:space="0" w:color="E9E9E9"/>
              <w:right w:val="nil"/>
            </w:tcBorders>
            <w:tcMar>
              <w:top w:w="0" w:type="dxa"/>
              <w:left w:w="53" w:type="dxa"/>
              <w:bottom w:w="0" w:type="dxa"/>
              <w:right w:w="0" w:type="dxa"/>
            </w:tcMar>
            <w:vAlign w:val="bottom"/>
          </w:tcPr>
          <w:p w14:paraId="1D2F3C9E" w14:textId="77777777" w:rsidR="001614AC" w:rsidRDefault="004468F9">
            <w:pPr>
              <w:keepNext/>
              <w:spacing w:before="55" w:after="30" w:line="288" w:lineRule="auto"/>
              <w:jc w:val="right"/>
            </w:pPr>
            <w:r>
              <w:rPr>
                <w:rFonts w:ascii="Arial" w:eastAsia="Arial" w:hAnsi="Arial" w:cs="Arial"/>
                <w:color w:val="000000"/>
                <w:sz w:val="18"/>
              </w:rPr>
              <w:t>(443)</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383529E1" w14:textId="77777777" w:rsidR="001614AC" w:rsidRDefault="001614AC">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6A946438" w14:textId="77777777" w:rsidR="001614AC" w:rsidRDefault="001614AC">
            <w:pPr>
              <w:keepNext/>
            </w:pPr>
          </w:p>
        </w:tc>
        <w:tc>
          <w:tcPr>
            <w:tcW w:w="995" w:type="dxa"/>
            <w:tcBorders>
              <w:top w:val="single" w:sz="8" w:space="0" w:color="E9E9E9"/>
              <w:left w:val="nil"/>
              <w:bottom w:val="single" w:sz="8" w:space="0" w:color="E9E9E9"/>
              <w:right w:val="nil"/>
            </w:tcBorders>
            <w:tcMar>
              <w:top w:w="0" w:type="dxa"/>
              <w:left w:w="53" w:type="dxa"/>
              <w:bottom w:w="0" w:type="dxa"/>
              <w:right w:w="0" w:type="dxa"/>
            </w:tcMar>
            <w:vAlign w:val="bottom"/>
          </w:tcPr>
          <w:p w14:paraId="59D59D1F" w14:textId="77777777" w:rsidR="001614AC" w:rsidRDefault="004468F9">
            <w:pPr>
              <w:keepNext/>
              <w:spacing w:before="55" w:after="30" w:line="288" w:lineRule="auto"/>
              <w:jc w:val="right"/>
            </w:pPr>
            <w:r>
              <w:rPr>
                <w:rFonts w:ascii="Arial" w:eastAsia="Arial" w:hAnsi="Arial" w:cs="Arial"/>
                <w:color w:val="000000"/>
                <w:sz w:val="18"/>
              </w:rPr>
              <w:t>(241)</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72F993DD" w14:textId="77777777" w:rsidR="001614AC" w:rsidRDefault="001614AC">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6BAA6AD0" w14:textId="77777777" w:rsidR="001614AC" w:rsidRDefault="001614AC">
            <w:pPr>
              <w:keepNext/>
            </w:pPr>
          </w:p>
        </w:tc>
        <w:tc>
          <w:tcPr>
            <w:tcW w:w="995" w:type="dxa"/>
            <w:tcBorders>
              <w:top w:val="single" w:sz="8" w:space="0" w:color="E9E9E9"/>
              <w:left w:val="nil"/>
              <w:bottom w:val="single" w:sz="8" w:space="0" w:color="E9E9E9"/>
              <w:right w:val="nil"/>
            </w:tcBorders>
            <w:tcMar>
              <w:top w:w="0" w:type="dxa"/>
              <w:left w:w="53" w:type="dxa"/>
              <w:bottom w:w="0" w:type="dxa"/>
              <w:right w:w="0" w:type="dxa"/>
            </w:tcMar>
            <w:vAlign w:val="bottom"/>
          </w:tcPr>
          <w:p w14:paraId="03D08C33" w14:textId="77777777" w:rsidR="001614AC" w:rsidRDefault="004468F9">
            <w:pPr>
              <w:keepNext/>
              <w:spacing w:before="55" w:after="30" w:line="288" w:lineRule="auto"/>
              <w:jc w:val="right"/>
            </w:pPr>
            <w:r>
              <w:rPr>
                <w:rFonts w:ascii="Arial" w:eastAsia="Arial" w:hAnsi="Arial" w:cs="Arial"/>
                <w:color w:val="000000"/>
                <w:sz w:val="18"/>
              </w:rPr>
              <w:t>(914)</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729F43E3" w14:textId="77777777" w:rsidR="001614AC" w:rsidRDefault="001614AC">
            <w:pPr>
              <w:keepNext/>
              <w:spacing w:before="55" w:after="30" w:line="288" w:lineRule="auto"/>
              <w:jc w:val="right"/>
            </w:pPr>
          </w:p>
        </w:tc>
      </w:tr>
      <w:tr w:rsidR="001614AC" w14:paraId="588E6B36" w14:textId="77777777">
        <w:trPr>
          <w:cantSplit/>
        </w:trPr>
        <w:tc>
          <w:tcPr>
            <w:tcW w:w="5280" w:type="dxa"/>
            <w:tcBorders>
              <w:top w:val="single" w:sz="8" w:space="0" w:color="E9E9E9"/>
              <w:left w:val="nil"/>
              <w:bottom w:val="nil"/>
              <w:right w:val="nil"/>
            </w:tcBorders>
            <w:tcMar>
              <w:top w:w="0" w:type="dxa"/>
              <w:left w:w="53" w:type="dxa"/>
              <w:bottom w:w="0" w:type="dxa"/>
              <w:right w:w="53" w:type="dxa"/>
            </w:tcMar>
            <w:vAlign w:val="bottom"/>
          </w:tcPr>
          <w:p w14:paraId="0247CFA2" w14:textId="77777777" w:rsidR="001614AC" w:rsidRDefault="004468F9">
            <w:pPr>
              <w:keepNext/>
              <w:spacing w:before="55" w:after="30" w:line="288" w:lineRule="auto"/>
              <w:rPr>
                <w:rFonts w:ascii="Arial" w:eastAsia="Arial" w:hAnsi="Arial" w:cs="Arial"/>
                <w:sz w:val="18"/>
              </w:rPr>
            </w:pPr>
            <w:r>
              <w:rPr>
                <w:rFonts w:ascii="Arial" w:eastAsia="Arial" w:hAnsi="Arial" w:cs="Arial"/>
                <w:sz w:val="18"/>
              </w:rPr>
              <w:t xml:space="preserve">Rescissions and Claim Denials, net of Reinstatements </w:t>
            </w:r>
            <w:r>
              <w:rPr>
                <w:rFonts w:ascii="Arial" w:eastAsia="Arial" w:hAnsi="Arial" w:cs="Arial"/>
                <w:sz w:val="18"/>
                <w:vertAlign w:val="superscript"/>
              </w:rPr>
              <w:t xml:space="preserve">(1) </w:t>
            </w:r>
          </w:p>
        </w:tc>
        <w:tc>
          <w:tcPr>
            <w:tcW w:w="105" w:type="dxa"/>
            <w:tcBorders>
              <w:top w:val="nil"/>
              <w:left w:val="nil"/>
              <w:bottom w:val="nil"/>
              <w:right w:val="nil"/>
            </w:tcBorders>
            <w:tcMar>
              <w:top w:w="0" w:type="dxa"/>
              <w:left w:w="0" w:type="dxa"/>
              <w:bottom w:w="0" w:type="dxa"/>
              <w:right w:w="0" w:type="dxa"/>
            </w:tcMar>
            <w:vAlign w:val="bottom"/>
          </w:tcPr>
          <w:p w14:paraId="17F5325A" w14:textId="77777777" w:rsidR="001614AC" w:rsidRDefault="001614AC">
            <w:pPr>
              <w:keepNext/>
            </w:pPr>
          </w:p>
        </w:tc>
        <w:tc>
          <w:tcPr>
            <w:tcW w:w="995" w:type="dxa"/>
            <w:tcBorders>
              <w:top w:val="single" w:sz="8" w:space="0" w:color="E9E9E9"/>
              <w:left w:val="nil"/>
              <w:bottom w:val="single" w:sz="8" w:space="0" w:color="C7C9C7"/>
              <w:right w:val="nil"/>
            </w:tcBorders>
            <w:tcMar>
              <w:top w:w="0" w:type="dxa"/>
              <w:left w:w="53" w:type="dxa"/>
              <w:bottom w:w="0" w:type="dxa"/>
              <w:right w:w="0" w:type="dxa"/>
            </w:tcMar>
            <w:vAlign w:val="bottom"/>
          </w:tcPr>
          <w:p w14:paraId="34995887" w14:textId="77777777" w:rsidR="001614AC" w:rsidRDefault="004468F9">
            <w:pPr>
              <w:keepNext/>
              <w:spacing w:before="55" w:after="30" w:line="288" w:lineRule="auto"/>
              <w:jc w:val="right"/>
            </w:pPr>
            <w:r>
              <w:rPr>
                <w:rFonts w:ascii="Arial" w:eastAsia="Arial" w:hAnsi="Arial" w:cs="Arial"/>
                <w:color w:val="000000"/>
                <w:sz w:val="18"/>
              </w:rPr>
              <w:t>(8)</w:t>
            </w:r>
          </w:p>
        </w:tc>
        <w:tc>
          <w:tcPr>
            <w:tcW w:w="100" w:type="dxa"/>
            <w:tcBorders>
              <w:top w:val="single" w:sz="8" w:space="0" w:color="E9E9E9"/>
              <w:left w:val="nil"/>
              <w:bottom w:val="single" w:sz="8" w:space="0" w:color="C7C9C7"/>
              <w:right w:val="nil"/>
            </w:tcBorders>
            <w:tcMar>
              <w:top w:w="0" w:type="dxa"/>
              <w:left w:w="0" w:type="dxa"/>
              <w:bottom w:w="0" w:type="dxa"/>
              <w:right w:w="15" w:type="dxa"/>
            </w:tcMar>
            <w:vAlign w:val="bottom"/>
          </w:tcPr>
          <w:p w14:paraId="79E5F580" w14:textId="77777777" w:rsidR="001614AC" w:rsidRDefault="001614AC">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06083420" w14:textId="77777777" w:rsidR="001614AC" w:rsidRDefault="001614AC">
            <w:pPr>
              <w:keepNext/>
            </w:pPr>
          </w:p>
        </w:tc>
        <w:tc>
          <w:tcPr>
            <w:tcW w:w="995" w:type="dxa"/>
            <w:tcBorders>
              <w:top w:val="single" w:sz="8" w:space="0" w:color="E9E9E9"/>
              <w:left w:val="nil"/>
              <w:bottom w:val="single" w:sz="8" w:space="0" w:color="C7C9C7"/>
              <w:right w:val="nil"/>
            </w:tcBorders>
            <w:tcMar>
              <w:top w:w="0" w:type="dxa"/>
              <w:left w:w="53" w:type="dxa"/>
              <w:bottom w:w="0" w:type="dxa"/>
              <w:right w:w="0" w:type="dxa"/>
            </w:tcMar>
            <w:vAlign w:val="bottom"/>
          </w:tcPr>
          <w:p w14:paraId="03C47696" w14:textId="77777777" w:rsidR="001614AC" w:rsidRDefault="004468F9">
            <w:pPr>
              <w:keepNext/>
              <w:spacing w:before="55" w:after="30" w:line="288" w:lineRule="auto"/>
              <w:jc w:val="right"/>
            </w:pPr>
            <w:r>
              <w:rPr>
                <w:rFonts w:ascii="Arial" w:eastAsia="Arial" w:hAnsi="Arial" w:cs="Arial"/>
                <w:color w:val="000000"/>
                <w:sz w:val="18"/>
              </w:rPr>
              <w:t>(13)</w:t>
            </w:r>
          </w:p>
        </w:tc>
        <w:tc>
          <w:tcPr>
            <w:tcW w:w="100" w:type="dxa"/>
            <w:tcBorders>
              <w:top w:val="single" w:sz="8" w:space="0" w:color="E9E9E9"/>
              <w:left w:val="nil"/>
              <w:bottom w:val="single" w:sz="8" w:space="0" w:color="C7C9C7"/>
              <w:right w:val="nil"/>
            </w:tcBorders>
            <w:tcMar>
              <w:top w:w="0" w:type="dxa"/>
              <w:left w:w="0" w:type="dxa"/>
              <w:bottom w:w="0" w:type="dxa"/>
              <w:right w:w="15" w:type="dxa"/>
            </w:tcMar>
            <w:vAlign w:val="bottom"/>
          </w:tcPr>
          <w:p w14:paraId="23060C7F" w14:textId="77777777" w:rsidR="001614AC" w:rsidRDefault="001614AC">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3A1A19DC" w14:textId="77777777" w:rsidR="001614AC" w:rsidRDefault="001614AC">
            <w:pPr>
              <w:keepNext/>
            </w:pPr>
          </w:p>
        </w:tc>
        <w:tc>
          <w:tcPr>
            <w:tcW w:w="995" w:type="dxa"/>
            <w:tcBorders>
              <w:top w:val="single" w:sz="8" w:space="0" w:color="E9E9E9"/>
              <w:left w:val="nil"/>
              <w:bottom w:val="single" w:sz="8" w:space="0" w:color="C7C9C7"/>
              <w:right w:val="nil"/>
            </w:tcBorders>
            <w:tcMar>
              <w:top w:w="0" w:type="dxa"/>
              <w:left w:w="53" w:type="dxa"/>
              <w:bottom w:w="0" w:type="dxa"/>
              <w:right w:w="0" w:type="dxa"/>
            </w:tcMar>
            <w:vAlign w:val="bottom"/>
          </w:tcPr>
          <w:p w14:paraId="165EEFD5" w14:textId="77777777" w:rsidR="001614AC" w:rsidRDefault="004468F9">
            <w:pPr>
              <w:keepNext/>
              <w:spacing w:before="55" w:after="30" w:line="288" w:lineRule="auto"/>
              <w:jc w:val="right"/>
            </w:pPr>
            <w:r>
              <w:rPr>
                <w:rFonts w:ascii="Arial" w:eastAsia="Arial" w:hAnsi="Arial" w:cs="Arial"/>
                <w:color w:val="000000"/>
                <w:sz w:val="18"/>
              </w:rPr>
              <w:t>(10)</w:t>
            </w:r>
          </w:p>
        </w:tc>
        <w:tc>
          <w:tcPr>
            <w:tcW w:w="100" w:type="dxa"/>
            <w:tcBorders>
              <w:top w:val="single" w:sz="8" w:space="0" w:color="E9E9E9"/>
              <w:left w:val="nil"/>
              <w:bottom w:val="single" w:sz="8" w:space="0" w:color="C7C9C7"/>
              <w:right w:val="nil"/>
            </w:tcBorders>
            <w:tcMar>
              <w:top w:w="0" w:type="dxa"/>
              <w:left w:w="0" w:type="dxa"/>
              <w:bottom w:w="0" w:type="dxa"/>
              <w:right w:w="15" w:type="dxa"/>
            </w:tcMar>
            <w:vAlign w:val="bottom"/>
          </w:tcPr>
          <w:p w14:paraId="532368DD" w14:textId="77777777" w:rsidR="001614AC" w:rsidRDefault="001614AC">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107ABFC1" w14:textId="77777777" w:rsidR="001614AC" w:rsidRDefault="001614AC">
            <w:pPr>
              <w:keepNext/>
            </w:pPr>
          </w:p>
        </w:tc>
        <w:tc>
          <w:tcPr>
            <w:tcW w:w="995" w:type="dxa"/>
            <w:tcBorders>
              <w:top w:val="single" w:sz="8" w:space="0" w:color="E9E9E9"/>
              <w:left w:val="nil"/>
              <w:bottom w:val="single" w:sz="8" w:space="0" w:color="C7C9C7"/>
              <w:right w:val="nil"/>
            </w:tcBorders>
            <w:tcMar>
              <w:top w:w="0" w:type="dxa"/>
              <w:left w:w="53" w:type="dxa"/>
              <w:bottom w:w="0" w:type="dxa"/>
              <w:right w:w="0" w:type="dxa"/>
            </w:tcMar>
            <w:vAlign w:val="bottom"/>
          </w:tcPr>
          <w:p w14:paraId="501AFDF1" w14:textId="77777777" w:rsidR="001614AC" w:rsidRDefault="004468F9">
            <w:pPr>
              <w:keepNext/>
              <w:spacing w:before="55" w:after="30" w:line="288" w:lineRule="auto"/>
              <w:jc w:val="right"/>
            </w:pPr>
            <w:r>
              <w:rPr>
                <w:rFonts w:ascii="Arial" w:eastAsia="Arial" w:hAnsi="Arial" w:cs="Arial"/>
                <w:color w:val="000000"/>
                <w:sz w:val="18"/>
              </w:rPr>
              <w:t>(21)</w:t>
            </w:r>
          </w:p>
        </w:tc>
        <w:tc>
          <w:tcPr>
            <w:tcW w:w="100" w:type="dxa"/>
            <w:tcBorders>
              <w:top w:val="single" w:sz="8" w:space="0" w:color="E9E9E9"/>
              <w:left w:val="nil"/>
              <w:bottom w:val="single" w:sz="8" w:space="0" w:color="C7C9C7"/>
              <w:right w:val="nil"/>
            </w:tcBorders>
            <w:tcMar>
              <w:top w:w="0" w:type="dxa"/>
              <w:left w:w="0" w:type="dxa"/>
              <w:bottom w:w="0" w:type="dxa"/>
              <w:right w:w="15" w:type="dxa"/>
            </w:tcMar>
            <w:vAlign w:val="bottom"/>
          </w:tcPr>
          <w:p w14:paraId="368CF48C" w14:textId="77777777" w:rsidR="001614AC" w:rsidRDefault="001614AC">
            <w:pPr>
              <w:keepNext/>
              <w:spacing w:before="55" w:after="30" w:line="288" w:lineRule="auto"/>
              <w:jc w:val="right"/>
            </w:pPr>
          </w:p>
        </w:tc>
      </w:tr>
      <w:tr w:rsidR="001614AC" w14:paraId="14ACA92E" w14:textId="77777777">
        <w:trPr>
          <w:cantSplit/>
        </w:trPr>
        <w:tc>
          <w:tcPr>
            <w:tcW w:w="5280" w:type="dxa"/>
            <w:tcBorders>
              <w:top w:val="nil"/>
              <w:left w:val="nil"/>
              <w:bottom w:val="nil"/>
              <w:right w:val="nil"/>
            </w:tcBorders>
            <w:shd w:val="clear" w:color="auto" w:fill="F4F4F4"/>
            <w:tcMar>
              <w:top w:w="0" w:type="dxa"/>
              <w:left w:w="53" w:type="dxa"/>
              <w:bottom w:w="0" w:type="dxa"/>
              <w:right w:w="53" w:type="dxa"/>
            </w:tcMar>
            <w:vAlign w:val="bottom"/>
          </w:tcPr>
          <w:p w14:paraId="6AB3D3FA" w14:textId="77777777" w:rsidR="001614AC" w:rsidRDefault="004468F9">
            <w:pPr>
              <w:spacing w:before="75" w:after="30" w:line="288" w:lineRule="auto"/>
            </w:pPr>
            <w:r>
              <w:rPr>
                <w:rFonts w:ascii="Arial" w:eastAsia="Arial" w:hAnsi="Arial" w:cs="Arial"/>
                <w:color w:val="000000"/>
                <w:sz w:val="18"/>
              </w:rPr>
              <w:t>Ending default inventory</w:t>
            </w:r>
          </w:p>
        </w:tc>
        <w:tc>
          <w:tcPr>
            <w:tcW w:w="105" w:type="dxa"/>
            <w:tcBorders>
              <w:top w:val="nil"/>
              <w:left w:val="nil"/>
              <w:bottom w:val="nil"/>
              <w:right w:val="nil"/>
            </w:tcBorders>
            <w:shd w:val="clear" w:color="auto" w:fill="F4F4F4"/>
            <w:tcMar>
              <w:top w:w="0" w:type="dxa"/>
              <w:left w:w="0" w:type="dxa"/>
              <w:bottom w:w="0" w:type="dxa"/>
              <w:right w:w="0" w:type="dxa"/>
            </w:tcMar>
            <w:vAlign w:val="bottom"/>
          </w:tcPr>
          <w:p w14:paraId="0FD8041A" w14:textId="77777777" w:rsidR="001614AC" w:rsidRDefault="001614AC"/>
        </w:tc>
        <w:tc>
          <w:tcPr>
            <w:tcW w:w="995" w:type="dxa"/>
            <w:tcBorders>
              <w:top w:val="single" w:sz="8" w:space="0" w:color="C7C9C7"/>
              <w:left w:val="nil"/>
              <w:bottom w:val="double" w:sz="8" w:space="0" w:color="C7C9C7"/>
              <w:right w:val="nil"/>
            </w:tcBorders>
            <w:shd w:val="clear" w:color="auto" w:fill="F4F4F4"/>
            <w:tcMar>
              <w:top w:w="0" w:type="dxa"/>
              <w:left w:w="53" w:type="dxa"/>
              <w:bottom w:w="0" w:type="dxa"/>
              <w:right w:w="0" w:type="dxa"/>
            </w:tcMar>
            <w:vAlign w:val="bottom"/>
          </w:tcPr>
          <w:p w14:paraId="6D220A99" w14:textId="77777777" w:rsidR="001614AC" w:rsidRDefault="004468F9">
            <w:pPr>
              <w:spacing w:before="55" w:after="30" w:line="288" w:lineRule="auto"/>
              <w:jc w:val="right"/>
            </w:pPr>
            <w:r>
              <w:rPr>
                <w:rFonts w:ascii="Arial" w:eastAsia="Arial" w:hAnsi="Arial" w:cs="Arial"/>
                <w:color w:val="000000"/>
                <w:sz w:val="18"/>
              </w:rPr>
              <w:t>40,464 </w:t>
            </w:r>
          </w:p>
        </w:tc>
        <w:tc>
          <w:tcPr>
            <w:tcW w:w="100" w:type="dxa"/>
            <w:tcBorders>
              <w:top w:val="single" w:sz="8" w:space="0" w:color="C7C9C7"/>
              <w:left w:val="nil"/>
              <w:bottom w:val="double" w:sz="8" w:space="0" w:color="C7C9C7"/>
              <w:right w:val="nil"/>
            </w:tcBorders>
            <w:shd w:val="clear" w:color="auto" w:fill="F4F4F4"/>
            <w:tcMar>
              <w:top w:w="0" w:type="dxa"/>
              <w:left w:w="0" w:type="dxa"/>
              <w:bottom w:w="0" w:type="dxa"/>
              <w:right w:w="15" w:type="dxa"/>
            </w:tcMar>
            <w:vAlign w:val="bottom"/>
          </w:tcPr>
          <w:p w14:paraId="4DFD6F6A" w14:textId="77777777" w:rsidR="001614AC" w:rsidRDefault="001614AC">
            <w:pPr>
              <w:spacing w:before="55" w:after="30" w:line="288" w:lineRule="auto"/>
              <w:jc w:val="right"/>
            </w:pPr>
          </w:p>
        </w:tc>
        <w:tc>
          <w:tcPr>
            <w:tcW w:w="105" w:type="dxa"/>
            <w:tcBorders>
              <w:top w:val="nil"/>
              <w:left w:val="nil"/>
              <w:bottom w:val="nil"/>
              <w:right w:val="nil"/>
            </w:tcBorders>
            <w:shd w:val="clear" w:color="auto" w:fill="F4F4F4"/>
            <w:tcMar>
              <w:top w:w="0" w:type="dxa"/>
              <w:left w:w="0" w:type="dxa"/>
              <w:bottom w:w="0" w:type="dxa"/>
              <w:right w:w="0" w:type="dxa"/>
            </w:tcMar>
            <w:vAlign w:val="bottom"/>
          </w:tcPr>
          <w:p w14:paraId="0EA81BA3" w14:textId="77777777" w:rsidR="001614AC" w:rsidRDefault="001614AC"/>
        </w:tc>
        <w:tc>
          <w:tcPr>
            <w:tcW w:w="995" w:type="dxa"/>
            <w:tcBorders>
              <w:top w:val="single" w:sz="8" w:space="0" w:color="C7C9C7"/>
              <w:left w:val="nil"/>
              <w:bottom w:val="double" w:sz="8" w:space="0" w:color="C7C9C7"/>
              <w:right w:val="nil"/>
            </w:tcBorders>
            <w:shd w:val="clear" w:color="auto" w:fill="F4F4F4"/>
            <w:tcMar>
              <w:top w:w="0" w:type="dxa"/>
              <w:left w:w="53" w:type="dxa"/>
              <w:bottom w:w="0" w:type="dxa"/>
              <w:right w:w="0" w:type="dxa"/>
            </w:tcMar>
            <w:vAlign w:val="bottom"/>
          </w:tcPr>
          <w:p w14:paraId="623905CB" w14:textId="77777777" w:rsidR="001614AC" w:rsidRDefault="004468F9">
            <w:pPr>
              <w:spacing w:before="55" w:after="30" w:line="288" w:lineRule="auto"/>
              <w:jc w:val="right"/>
            </w:pPr>
            <w:r>
              <w:rPr>
                <w:rFonts w:ascii="Arial" w:eastAsia="Arial" w:hAnsi="Arial" w:cs="Arial"/>
                <w:color w:val="000000"/>
                <w:sz w:val="18"/>
              </w:rPr>
              <w:t>69,742 </w:t>
            </w:r>
          </w:p>
        </w:tc>
        <w:tc>
          <w:tcPr>
            <w:tcW w:w="100" w:type="dxa"/>
            <w:tcBorders>
              <w:top w:val="single" w:sz="8" w:space="0" w:color="C7C9C7"/>
              <w:left w:val="nil"/>
              <w:bottom w:val="double" w:sz="8" w:space="0" w:color="C7C9C7"/>
              <w:right w:val="nil"/>
            </w:tcBorders>
            <w:shd w:val="clear" w:color="auto" w:fill="F4F4F4"/>
            <w:tcMar>
              <w:top w:w="0" w:type="dxa"/>
              <w:left w:w="0" w:type="dxa"/>
              <w:bottom w:w="0" w:type="dxa"/>
              <w:right w:w="15" w:type="dxa"/>
            </w:tcMar>
            <w:vAlign w:val="bottom"/>
          </w:tcPr>
          <w:p w14:paraId="40A024D2" w14:textId="77777777" w:rsidR="001614AC" w:rsidRDefault="001614AC">
            <w:pPr>
              <w:spacing w:before="55" w:after="30" w:line="288" w:lineRule="auto"/>
              <w:jc w:val="right"/>
            </w:pPr>
          </w:p>
        </w:tc>
        <w:tc>
          <w:tcPr>
            <w:tcW w:w="105" w:type="dxa"/>
            <w:tcBorders>
              <w:top w:val="nil"/>
              <w:left w:val="nil"/>
              <w:bottom w:val="nil"/>
              <w:right w:val="nil"/>
            </w:tcBorders>
            <w:shd w:val="clear" w:color="auto" w:fill="F4F4F4"/>
            <w:tcMar>
              <w:top w:w="0" w:type="dxa"/>
              <w:left w:w="0" w:type="dxa"/>
              <w:bottom w:w="0" w:type="dxa"/>
              <w:right w:w="0" w:type="dxa"/>
            </w:tcMar>
            <w:vAlign w:val="bottom"/>
          </w:tcPr>
          <w:p w14:paraId="5AB17197" w14:textId="77777777" w:rsidR="001614AC" w:rsidRDefault="001614AC"/>
        </w:tc>
        <w:tc>
          <w:tcPr>
            <w:tcW w:w="995" w:type="dxa"/>
            <w:tcBorders>
              <w:top w:val="single" w:sz="8" w:space="0" w:color="C7C9C7"/>
              <w:left w:val="nil"/>
              <w:bottom w:val="double" w:sz="8" w:space="0" w:color="C7C9C7"/>
              <w:right w:val="nil"/>
            </w:tcBorders>
            <w:shd w:val="clear" w:color="auto" w:fill="F4F4F4"/>
            <w:tcMar>
              <w:top w:w="0" w:type="dxa"/>
              <w:left w:w="53" w:type="dxa"/>
              <w:bottom w:w="0" w:type="dxa"/>
              <w:right w:w="0" w:type="dxa"/>
            </w:tcMar>
            <w:vAlign w:val="bottom"/>
          </w:tcPr>
          <w:p w14:paraId="645F9DDF" w14:textId="77777777" w:rsidR="001614AC" w:rsidRDefault="004468F9">
            <w:pPr>
              <w:spacing w:before="55" w:after="30" w:line="288" w:lineRule="auto"/>
              <w:jc w:val="right"/>
            </w:pPr>
            <w:r>
              <w:rPr>
                <w:rFonts w:ascii="Arial" w:eastAsia="Arial" w:hAnsi="Arial" w:cs="Arial"/>
                <w:color w:val="000000"/>
                <w:sz w:val="18"/>
              </w:rPr>
              <w:t>40,464 </w:t>
            </w:r>
          </w:p>
        </w:tc>
        <w:tc>
          <w:tcPr>
            <w:tcW w:w="100" w:type="dxa"/>
            <w:tcBorders>
              <w:top w:val="single" w:sz="8" w:space="0" w:color="C7C9C7"/>
              <w:left w:val="nil"/>
              <w:bottom w:val="double" w:sz="8" w:space="0" w:color="C7C9C7"/>
              <w:right w:val="nil"/>
            </w:tcBorders>
            <w:shd w:val="clear" w:color="auto" w:fill="F4F4F4"/>
            <w:tcMar>
              <w:top w:w="0" w:type="dxa"/>
              <w:left w:w="0" w:type="dxa"/>
              <w:bottom w:w="0" w:type="dxa"/>
              <w:right w:w="15" w:type="dxa"/>
            </w:tcMar>
            <w:vAlign w:val="bottom"/>
          </w:tcPr>
          <w:p w14:paraId="4338630E" w14:textId="77777777" w:rsidR="001614AC" w:rsidRDefault="001614AC">
            <w:pPr>
              <w:spacing w:before="55" w:after="30" w:line="288" w:lineRule="auto"/>
              <w:jc w:val="right"/>
            </w:pPr>
          </w:p>
        </w:tc>
        <w:tc>
          <w:tcPr>
            <w:tcW w:w="105" w:type="dxa"/>
            <w:tcBorders>
              <w:top w:val="nil"/>
              <w:left w:val="nil"/>
              <w:bottom w:val="nil"/>
              <w:right w:val="nil"/>
            </w:tcBorders>
            <w:shd w:val="clear" w:color="auto" w:fill="F4F4F4"/>
            <w:tcMar>
              <w:top w:w="0" w:type="dxa"/>
              <w:left w:w="0" w:type="dxa"/>
              <w:bottom w:w="0" w:type="dxa"/>
              <w:right w:w="0" w:type="dxa"/>
            </w:tcMar>
            <w:vAlign w:val="bottom"/>
          </w:tcPr>
          <w:p w14:paraId="653CF144" w14:textId="77777777" w:rsidR="001614AC" w:rsidRDefault="001614AC"/>
        </w:tc>
        <w:tc>
          <w:tcPr>
            <w:tcW w:w="995" w:type="dxa"/>
            <w:tcBorders>
              <w:top w:val="single" w:sz="8" w:space="0" w:color="C7C9C7"/>
              <w:left w:val="nil"/>
              <w:bottom w:val="double" w:sz="8" w:space="0" w:color="C7C9C7"/>
              <w:right w:val="nil"/>
            </w:tcBorders>
            <w:shd w:val="clear" w:color="auto" w:fill="F4F4F4"/>
            <w:tcMar>
              <w:top w:w="0" w:type="dxa"/>
              <w:left w:w="53" w:type="dxa"/>
              <w:bottom w:w="0" w:type="dxa"/>
              <w:right w:w="0" w:type="dxa"/>
            </w:tcMar>
            <w:vAlign w:val="bottom"/>
          </w:tcPr>
          <w:p w14:paraId="6E00AE18" w14:textId="77777777" w:rsidR="001614AC" w:rsidRDefault="004468F9">
            <w:pPr>
              <w:spacing w:before="55" w:after="30" w:line="288" w:lineRule="auto"/>
              <w:jc w:val="right"/>
            </w:pPr>
            <w:r>
              <w:rPr>
                <w:rFonts w:ascii="Arial" w:eastAsia="Arial" w:hAnsi="Arial" w:cs="Arial"/>
                <w:color w:val="000000"/>
                <w:sz w:val="18"/>
              </w:rPr>
              <w:t>69,742 </w:t>
            </w:r>
          </w:p>
        </w:tc>
        <w:tc>
          <w:tcPr>
            <w:tcW w:w="100" w:type="dxa"/>
            <w:tcBorders>
              <w:top w:val="single" w:sz="8" w:space="0" w:color="C7C9C7"/>
              <w:left w:val="nil"/>
              <w:bottom w:val="double" w:sz="8" w:space="0" w:color="C7C9C7"/>
              <w:right w:val="nil"/>
            </w:tcBorders>
            <w:shd w:val="clear" w:color="auto" w:fill="F4F4F4"/>
            <w:tcMar>
              <w:top w:w="0" w:type="dxa"/>
              <w:left w:w="0" w:type="dxa"/>
              <w:bottom w:w="0" w:type="dxa"/>
              <w:right w:w="15" w:type="dxa"/>
            </w:tcMar>
            <w:vAlign w:val="bottom"/>
          </w:tcPr>
          <w:p w14:paraId="2B23BA3E" w14:textId="77777777" w:rsidR="001614AC" w:rsidRDefault="001614AC">
            <w:pPr>
              <w:spacing w:before="55" w:after="30" w:line="288" w:lineRule="auto"/>
              <w:jc w:val="right"/>
            </w:pPr>
          </w:p>
        </w:tc>
      </w:tr>
    </w:tbl>
    <w:p w14:paraId="3EE2F638" w14:textId="77777777" w:rsidR="001614AC" w:rsidRDefault="004468F9" w:rsidP="004468F9">
      <w:pPr>
        <w:numPr>
          <w:ilvl w:val="0"/>
          <w:numId w:val="38"/>
        </w:numPr>
        <w:spacing w:line="288" w:lineRule="auto"/>
        <w:ind w:left="360"/>
        <w:rPr>
          <w:rFonts w:ascii="Arial" w:eastAsia="Arial" w:hAnsi="Arial" w:cs="Arial"/>
          <w:b/>
          <w:color w:val="64615D"/>
          <w:sz w:val="16"/>
          <w:shd w:val="clear" w:color="auto" w:fill="FFFFFF"/>
        </w:rPr>
      </w:pPr>
      <w:r>
        <w:rPr>
          <w:rFonts w:ascii="Arial" w:eastAsia="Arial" w:hAnsi="Arial" w:cs="Arial"/>
          <w:color w:val="64615D"/>
          <w:sz w:val="16"/>
        </w:rPr>
        <w:t>Net of any previous Rescissions and Claim Denials that were reverse</w:t>
      </w:r>
      <w:r>
        <w:rPr>
          <w:rFonts w:ascii="Arial" w:eastAsia="Arial" w:hAnsi="Arial" w:cs="Arial"/>
          <w:color w:val="64615D"/>
          <w:sz w:val="16"/>
        </w:rPr>
        <w:t>d and reinstated during the period. Such reinstated Rescissions and Claim Denials may ultimately result in a paid claim.</w:t>
      </w:r>
    </w:p>
    <w:p w14:paraId="240C9824" w14:textId="77777777" w:rsidR="001614AC" w:rsidRDefault="004468F9">
      <w:pPr>
        <w:keepNext/>
        <w:spacing w:before="200" w:after="100" w:line="288" w:lineRule="auto"/>
        <w:ind w:firstLine="450"/>
        <w:rPr>
          <w:rFonts w:ascii="Arial" w:eastAsia="Arial" w:hAnsi="Arial" w:cs="Arial"/>
          <w:b/>
          <w:color w:val="64615D"/>
          <w:sz w:val="18"/>
          <w:shd w:val="clear" w:color="auto" w:fill="B6B6B6"/>
        </w:rPr>
      </w:pPr>
      <w:r>
        <w:rPr>
          <w:rFonts w:ascii="Arial" w:eastAsia="Arial" w:hAnsi="Arial" w:cs="Arial"/>
          <w:sz w:val="18"/>
        </w:rPr>
        <w:t>The following tables show additional information about our primary loans in default as of the dates indicated.</w:t>
      </w:r>
    </w:p>
    <w:tbl>
      <w:tblPr>
        <w:tblW w:w="102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8"/>
        <w:gridCol w:w="104"/>
        <w:gridCol w:w="799"/>
        <w:gridCol w:w="100"/>
        <w:gridCol w:w="104"/>
        <w:gridCol w:w="799"/>
        <w:gridCol w:w="176"/>
        <w:gridCol w:w="104"/>
        <w:gridCol w:w="1099"/>
        <w:gridCol w:w="100"/>
        <w:gridCol w:w="104"/>
        <w:gridCol w:w="992"/>
        <w:gridCol w:w="176"/>
        <w:gridCol w:w="104"/>
        <w:gridCol w:w="160"/>
        <w:gridCol w:w="834"/>
        <w:gridCol w:w="100"/>
        <w:gridCol w:w="104"/>
        <w:gridCol w:w="799"/>
        <w:gridCol w:w="176"/>
      </w:tblGrid>
      <w:tr w:rsidR="001614AC" w14:paraId="22408AAF" w14:textId="77777777">
        <w:trPr>
          <w:cantSplit/>
        </w:trPr>
        <w:tc>
          <w:tcPr>
            <w:tcW w:w="10080" w:type="dxa"/>
            <w:gridSpan w:val="20"/>
            <w:tcBorders>
              <w:top w:val="nil"/>
              <w:left w:val="nil"/>
              <w:bottom w:val="single" w:sz="12" w:space="0" w:color="99AAB6"/>
              <w:right w:val="nil"/>
            </w:tcBorders>
            <w:tcMar>
              <w:top w:w="0" w:type="dxa"/>
              <w:left w:w="53" w:type="dxa"/>
              <w:bottom w:w="0" w:type="dxa"/>
              <w:right w:w="53" w:type="dxa"/>
            </w:tcMar>
            <w:vAlign w:val="bottom"/>
          </w:tcPr>
          <w:p w14:paraId="12354FBC" w14:textId="77777777" w:rsidR="001614AC" w:rsidRDefault="004468F9">
            <w:pPr>
              <w:keepNext/>
              <w:spacing w:before="75" w:after="30" w:line="288" w:lineRule="auto"/>
              <w:rPr>
                <w:rFonts w:ascii="Arial" w:eastAsia="Arial" w:hAnsi="Arial" w:cs="Arial"/>
                <w:b/>
                <w:sz w:val="20"/>
                <w:shd w:val="clear" w:color="auto" w:fill="B6B6B6"/>
              </w:rPr>
            </w:pPr>
            <w:r>
              <w:rPr>
                <w:rFonts w:ascii="Arial" w:eastAsia="Arial" w:hAnsi="Arial" w:cs="Arial"/>
                <w:b/>
                <w:sz w:val="20"/>
              </w:rPr>
              <w:t>Primary loans in default</w:t>
            </w:r>
            <w:r>
              <w:rPr>
                <w:rFonts w:ascii="Arial" w:eastAsia="Arial" w:hAnsi="Arial" w:cs="Arial"/>
                <w:b/>
                <w:sz w:val="20"/>
              </w:rPr>
              <w:t xml:space="preserve"> - additional information</w:t>
            </w:r>
          </w:p>
        </w:tc>
      </w:tr>
      <w:tr w:rsidR="001614AC" w14:paraId="0622A6A0" w14:textId="77777777">
        <w:trPr>
          <w:cantSplit/>
          <w:trHeight w:hRule="exact" w:val="135"/>
        </w:trPr>
        <w:tc>
          <w:tcPr>
            <w:tcW w:w="3360" w:type="dxa"/>
            <w:tcBorders>
              <w:top w:val="nil"/>
              <w:left w:val="nil"/>
              <w:bottom w:val="nil"/>
              <w:right w:val="nil"/>
            </w:tcBorders>
            <w:tcMar>
              <w:top w:w="0" w:type="dxa"/>
              <w:left w:w="0" w:type="dxa"/>
              <w:bottom w:w="0" w:type="dxa"/>
              <w:right w:w="0" w:type="dxa"/>
            </w:tcMar>
            <w:vAlign w:val="bottom"/>
          </w:tcPr>
          <w:p w14:paraId="21151592" w14:textId="77777777" w:rsidR="001614AC" w:rsidRDefault="001614AC">
            <w:pPr>
              <w:keepNext/>
            </w:pPr>
          </w:p>
        </w:tc>
        <w:tc>
          <w:tcPr>
            <w:tcW w:w="105" w:type="dxa"/>
            <w:tcBorders>
              <w:top w:val="single" w:sz="12" w:space="0" w:color="99AAB6"/>
              <w:left w:val="nil"/>
              <w:bottom w:val="nil"/>
              <w:right w:val="nil"/>
            </w:tcBorders>
            <w:tcMar>
              <w:top w:w="0" w:type="dxa"/>
              <w:left w:w="0" w:type="dxa"/>
              <w:bottom w:w="0" w:type="dxa"/>
              <w:right w:w="0" w:type="dxa"/>
            </w:tcMar>
            <w:vAlign w:val="bottom"/>
          </w:tcPr>
          <w:p w14:paraId="40E94C25" w14:textId="77777777" w:rsidR="001614AC" w:rsidRDefault="001614AC">
            <w:pPr>
              <w:keepNext/>
            </w:pPr>
          </w:p>
        </w:tc>
        <w:tc>
          <w:tcPr>
            <w:tcW w:w="900" w:type="dxa"/>
            <w:gridSpan w:val="2"/>
            <w:tcBorders>
              <w:top w:val="single" w:sz="12" w:space="0" w:color="99AAB6"/>
              <w:left w:val="nil"/>
              <w:bottom w:val="nil"/>
              <w:right w:val="nil"/>
            </w:tcBorders>
            <w:tcMar>
              <w:top w:w="0" w:type="dxa"/>
              <w:left w:w="0" w:type="dxa"/>
              <w:bottom w:w="0" w:type="dxa"/>
              <w:right w:w="0" w:type="dxa"/>
            </w:tcMar>
            <w:vAlign w:val="bottom"/>
          </w:tcPr>
          <w:p w14:paraId="511AF391" w14:textId="77777777" w:rsidR="001614AC" w:rsidRDefault="001614AC">
            <w:pPr>
              <w:keepNext/>
            </w:pPr>
          </w:p>
        </w:tc>
        <w:tc>
          <w:tcPr>
            <w:tcW w:w="105" w:type="dxa"/>
            <w:tcBorders>
              <w:top w:val="single" w:sz="12" w:space="0" w:color="99AAB6"/>
              <w:left w:val="nil"/>
              <w:bottom w:val="nil"/>
              <w:right w:val="nil"/>
            </w:tcBorders>
            <w:tcMar>
              <w:top w:w="0" w:type="dxa"/>
              <w:left w:w="0" w:type="dxa"/>
              <w:bottom w:w="0" w:type="dxa"/>
              <w:right w:w="0" w:type="dxa"/>
            </w:tcMar>
            <w:vAlign w:val="bottom"/>
          </w:tcPr>
          <w:p w14:paraId="11FEF07F" w14:textId="77777777" w:rsidR="001614AC" w:rsidRDefault="001614AC">
            <w:pPr>
              <w:keepNext/>
            </w:pPr>
          </w:p>
        </w:tc>
        <w:tc>
          <w:tcPr>
            <w:tcW w:w="900" w:type="dxa"/>
            <w:gridSpan w:val="2"/>
            <w:tcBorders>
              <w:top w:val="single" w:sz="12" w:space="0" w:color="99AAB6"/>
              <w:left w:val="nil"/>
              <w:bottom w:val="nil"/>
              <w:right w:val="nil"/>
            </w:tcBorders>
            <w:tcMar>
              <w:top w:w="0" w:type="dxa"/>
              <w:left w:w="0" w:type="dxa"/>
              <w:bottom w:w="0" w:type="dxa"/>
              <w:right w:w="0" w:type="dxa"/>
            </w:tcMar>
            <w:vAlign w:val="bottom"/>
          </w:tcPr>
          <w:p w14:paraId="7C5D0469" w14:textId="77777777" w:rsidR="001614AC" w:rsidRDefault="001614AC">
            <w:pPr>
              <w:keepNext/>
            </w:pPr>
          </w:p>
        </w:tc>
        <w:tc>
          <w:tcPr>
            <w:tcW w:w="105" w:type="dxa"/>
            <w:tcBorders>
              <w:top w:val="single" w:sz="12" w:space="0" w:color="99AAB6"/>
              <w:left w:val="nil"/>
              <w:bottom w:val="nil"/>
              <w:right w:val="nil"/>
            </w:tcBorders>
            <w:tcMar>
              <w:top w:w="0" w:type="dxa"/>
              <w:left w:w="0" w:type="dxa"/>
              <w:bottom w:w="0" w:type="dxa"/>
              <w:right w:w="0" w:type="dxa"/>
            </w:tcMar>
            <w:vAlign w:val="bottom"/>
          </w:tcPr>
          <w:p w14:paraId="177F2CE7" w14:textId="77777777" w:rsidR="001614AC" w:rsidRDefault="001614AC">
            <w:pPr>
              <w:keepNext/>
            </w:pPr>
          </w:p>
        </w:tc>
        <w:tc>
          <w:tcPr>
            <w:tcW w:w="1200" w:type="dxa"/>
            <w:gridSpan w:val="2"/>
            <w:tcBorders>
              <w:top w:val="single" w:sz="12" w:space="0" w:color="99AAB6"/>
              <w:left w:val="nil"/>
              <w:bottom w:val="nil"/>
              <w:right w:val="nil"/>
            </w:tcBorders>
            <w:tcMar>
              <w:top w:w="0" w:type="dxa"/>
              <w:left w:w="0" w:type="dxa"/>
              <w:bottom w:w="0" w:type="dxa"/>
              <w:right w:w="0" w:type="dxa"/>
            </w:tcMar>
            <w:vAlign w:val="bottom"/>
          </w:tcPr>
          <w:p w14:paraId="04EA5E08" w14:textId="77777777" w:rsidR="001614AC" w:rsidRDefault="001614AC">
            <w:pPr>
              <w:keepNext/>
            </w:pPr>
          </w:p>
        </w:tc>
        <w:tc>
          <w:tcPr>
            <w:tcW w:w="105" w:type="dxa"/>
            <w:tcBorders>
              <w:top w:val="single" w:sz="12" w:space="0" w:color="99AAB6"/>
              <w:left w:val="nil"/>
              <w:bottom w:val="nil"/>
              <w:right w:val="nil"/>
            </w:tcBorders>
            <w:tcMar>
              <w:top w:w="0" w:type="dxa"/>
              <w:left w:w="0" w:type="dxa"/>
              <w:bottom w:w="0" w:type="dxa"/>
              <w:right w:w="0" w:type="dxa"/>
            </w:tcMar>
            <w:vAlign w:val="bottom"/>
          </w:tcPr>
          <w:p w14:paraId="2E2610A8" w14:textId="77777777" w:rsidR="001614AC" w:rsidRDefault="001614AC">
            <w:pPr>
              <w:keepNext/>
            </w:pPr>
          </w:p>
        </w:tc>
        <w:tc>
          <w:tcPr>
            <w:tcW w:w="1095" w:type="dxa"/>
            <w:gridSpan w:val="2"/>
            <w:tcBorders>
              <w:top w:val="single" w:sz="12" w:space="0" w:color="99AAB6"/>
              <w:left w:val="nil"/>
              <w:bottom w:val="nil"/>
              <w:right w:val="nil"/>
            </w:tcBorders>
            <w:tcMar>
              <w:top w:w="0" w:type="dxa"/>
              <w:left w:w="0" w:type="dxa"/>
              <w:bottom w:w="0" w:type="dxa"/>
              <w:right w:w="0" w:type="dxa"/>
            </w:tcMar>
            <w:vAlign w:val="bottom"/>
          </w:tcPr>
          <w:p w14:paraId="0559B5E8" w14:textId="77777777" w:rsidR="001614AC" w:rsidRDefault="001614AC">
            <w:pPr>
              <w:keepNext/>
            </w:pPr>
          </w:p>
        </w:tc>
        <w:tc>
          <w:tcPr>
            <w:tcW w:w="105" w:type="dxa"/>
            <w:tcBorders>
              <w:top w:val="single" w:sz="12" w:space="0" w:color="99AAB6"/>
              <w:left w:val="nil"/>
              <w:bottom w:val="nil"/>
              <w:right w:val="nil"/>
            </w:tcBorders>
            <w:tcMar>
              <w:top w:w="0" w:type="dxa"/>
              <w:left w:w="0" w:type="dxa"/>
              <w:bottom w:w="0" w:type="dxa"/>
              <w:right w:w="0" w:type="dxa"/>
            </w:tcMar>
            <w:vAlign w:val="bottom"/>
          </w:tcPr>
          <w:p w14:paraId="5DA43396" w14:textId="77777777" w:rsidR="001614AC" w:rsidRDefault="001614AC">
            <w:pPr>
              <w:keepNext/>
            </w:pPr>
          </w:p>
        </w:tc>
        <w:tc>
          <w:tcPr>
            <w:tcW w:w="1095" w:type="dxa"/>
            <w:gridSpan w:val="3"/>
            <w:tcBorders>
              <w:top w:val="single" w:sz="12" w:space="0" w:color="99AAB6"/>
              <w:left w:val="nil"/>
              <w:bottom w:val="nil"/>
              <w:right w:val="nil"/>
            </w:tcBorders>
            <w:tcMar>
              <w:top w:w="0" w:type="dxa"/>
              <w:left w:w="0" w:type="dxa"/>
              <w:bottom w:w="0" w:type="dxa"/>
              <w:right w:w="0" w:type="dxa"/>
            </w:tcMar>
            <w:vAlign w:val="bottom"/>
          </w:tcPr>
          <w:p w14:paraId="7F5BE511" w14:textId="77777777" w:rsidR="001614AC" w:rsidRDefault="001614AC">
            <w:pPr>
              <w:keepNext/>
            </w:pPr>
          </w:p>
        </w:tc>
        <w:tc>
          <w:tcPr>
            <w:tcW w:w="105" w:type="dxa"/>
            <w:tcBorders>
              <w:top w:val="single" w:sz="12" w:space="0" w:color="99AAB6"/>
              <w:left w:val="nil"/>
              <w:bottom w:val="nil"/>
              <w:right w:val="nil"/>
            </w:tcBorders>
            <w:tcMar>
              <w:top w:w="0" w:type="dxa"/>
              <w:left w:w="0" w:type="dxa"/>
              <w:bottom w:w="0" w:type="dxa"/>
              <w:right w:w="0" w:type="dxa"/>
            </w:tcMar>
            <w:vAlign w:val="bottom"/>
          </w:tcPr>
          <w:p w14:paraId="036FCCBE" w14:textId="77777777" w:rsidR="001614AC" w:rsidRDefault="001614AC">
            <w:pPr>
              <w:keepNext/>
            </w:pPr>
          </w:p>
        </w:tc>
        <w:tc>
          <w:tcPr>
            <w:tcW w:w="900" w:type="dxa"/>
            <w:gridSpan w:val="2"/>
            <w:tcBorders>
              <w:top w:val="single" w:sz="12" w:space="0" w:color="99AAB6"/>
              <w:left w:val="nil"/>
              <w:bottom w:val="nil"/>
              <w:right w:val="nil"/>
            </w:tcBorders>
            <w:tcMar>
              <w:top w:w="0" w:type="dxa"/>
              <w:left w:w="0" w:type="dxa"/>
              <w:bottom w:w="0" w:type="dxa"/>
              <w:right w:w="0" w:type="dxa"/>
            </w:tcMar>
            <w:vAlign w:val="bottom"/>
          </w:tcPr>
          <w:p w14:paraId="730E4965" w14:textId="77777777" w:rsidR="001614AC" w:rsidRDefault="001614AC">
            <w:pPr>
              <w:keepNext/>
            </w:pPr>
          </w:p>
        </w:tc>
      </w:tr>
      <w:tr w:rsidR="001614AC" w14:paraId="113C9688" w14:textId="77777777">
        <w:trPr>
          <w:cantSplit/>
        </w:trPr>
        <w:tc>
          <w:tcPr>
            <w:tcW w:w="3360" w:type="dxa"/>
            <w:tcBorders>
              <w:top w:val="nil"/>
              <w:left w:val="nil"/>
              <w:bottom w:val="single" w:sz="8" w:space="0" w:color="FFFFFF"/>
              <w:right w:val="nil"/>
            </w:tcBorders>
            <w:tcMar>
              <w:top w:w="0" w:type="dxa"/>
              <w:left w:w="0" w:type="dxa"/>
              <w:bottom w:w="0" w:type="dxa"/>
              <w:right w:w="0" w:type="dxa"/>
            </w:tcMar>
            <w:vAlign w:val="bottom"/>
          </w:tcPr>
          <w:p w14:paraId="7A5EF035" w14:textId="77777777" w:rsidR="001614AC" w:rsidRDefault="001614AC">
            <w:pPr>
              <w:keepNext/>
            </w:pPr>
          </w:p>
        </w:tc>
        <w:tc>
          <w:tcPr>
            <w:tcW w:w="105" w:type="dxa"/>
            <w:tcBorders>
              <w:top w:val="nil"/>
              <w:left w:val="nil"/>
              <w:bottom w:val="nil"/>
              <w:right w:val="nil"/>
            </w:tcBorders>
            <w:shd w:val="clear" w:color="auto" w:fill="E6F8F8"/>
            <w:tcMar>
              <w:top w:w="0" w:type="dxa"/>
              <w:left w:w="0" w:type="dxa"/>
              <w:bottom w:w="0" w:type="dxa"/>
              <w:right w:w="0" w:type="dxa"/>
            </w:tcMar>
            <w:vAlign w:val="bottom"/>
          </w:tcPr>
          <w:p w14:paraId="27322847" w14:textId="77777777" w:rsidR="001614AC" w:rsidRDefault="001614AC">
            <w:pPr>
              <w:keepNext/>
            </w:pPr>
          </w:p>
        </w:tc>
        <w:tc>
          <w:tcPr>
            <w:tcW w:w="6615" w:type="dxa"/>
            <w:gridSpan w:val="18"/>
            <w:tcBorders>
              <w:top w:val="nil"/>
              <w:left w:val="nil"/>
              <w:bottom w:val="single" w:sz="8" w:space="0" w:color="FFFFFF"/>
              <w:right w:val="nil"/>
            </w:tcBorders>
            <w:shd w:val="clear" w:color="auto" w:fill="E6F8F8"/>
            <w:tcMar>
              <w:top w:w="0" w:type="dxa"/>
              <w:left w:w="53" w:type="dxa"/>
              <w:bottom w:w="0" w:type="dxa"/>
              <w:right w:w="53" w:type="dxa"/>
            </w:tcMar>
            <w:vAlign w:val="bottom"/>
          </w:tcPr>
          <w:p w14:paraId="4A3FEB8F" w14:textId="77777777" w:rsidR="001614AC" w:rsidRDefault="004468F9">
            <w:pPr>
              <w:keepNext/>
              <w:spacing w:before="75" w:after="30" w:line="288" w:lineRule="auto"/>
              <w:jc w:val="center"/>
            </w:pPr>
            <w:r>
              <w:rPr>
                <w:rFonts w:ascii="Arial" w:eastAsia="Arial" w:hAnsi="Arial" w:cs="Arial"/>
                <w:b/>
                <w:color w:val="00BAB3"/>
                <w:sz w:val="18"/>
              </w:rPr>
              <w:t>June 30, 2021</w:t>
            </w:r>
          </w:p>
        </w:tc>
      </w:tr>
      <w:tr w:rsidR="001614AC" w14:paraId="31654589" w14:textId="77777777">
        <w:trPr>
          <w:cantSplit/>
        </w:trPr>
        <w:tc>
          <w:tcPr>
            <w:tcW w:w="3360" w:type="dxa"/>
            <w:tcBorders>
              <w:top w:val="single" w:sz="8" w:space="0" w:color="FFFFFF"/>
              <w:left w:val="nil"/>
              <w:bottom w:val="single" w:sz="8" w:space="0" w:color="FFFFFF"/>
              <w:right w:val="nil"/>
            </w:tcBorders>
            <w:tcMar>
              <w:top w:w="0" w:type="dxa"/>
              <w:left w:w="53" w:type="dxa"/>
              <w:bottom w:w="0" w:type="dxa"/>
              <w:right w:w="53" w:type="dxa"/>
            </w:tcMar>
            <w:vAlign w:val="bottom"/>
          </w:tcPr>
          <w:p w14:paraId="5C67A11E" w14:textId="77777777" w:rsidR="001614AC" w:rsidRDefault="001614AC">
            <w:pPr>
              <w:keepNext/>
              <w:spacing w:before="55" w:after="30" w:line="288" w:lineRule="auto"/>
            </w:pPr>
          </w:p>
        </w:tc>
        <w:tc>
          <w:tcPr>
            <w:tcW w:w="105" w:type="dxa"/>
            <w:tcBorders>
              <w:top w:val="nil"/>
              <w:left w:val="nil"/>
              <w:bottom w:val="nil"/>
              <w:right w:val="nil"/>
            </w:tcBorders>
            <w:tcMar>
              <w:top w:w="0" w:type="dxa"/>
              <w:left w:w="0" w:type="dxa"/>
              <w:bottom w:w="0" w:type="dxa"/>
              <w:right w:w="0" w:type="dxa"/>
            </w:tcMar>
            <w:vAlign w:val="bottom"/>
          </w:tcPr>
          <w:p w14:paraId="0E9CE134" w14:textId="77777777" w:rsidR="001614AC" w:rsidRDefault="001614AC">
            <w:pPr>
              <w:keepNext/>
            </w:pPr>
          </w:p>
        </w:tc>
        <w:tc>
          <w:tcPr>
            <w:tcW w:w="1905" w:type="dxa"/>
            <w:gridSpan w:val="5"/>
            <w:tcBorders>
              <w:top w:val="nil"/>
              <w:left w:val="nil"/>
              <w:bottom w:val="nil"/>
              <w:right w:val="nil"/>
            </w:tcBorders>
            <w:tcMar>
              <w:top w:w="0" w:type="dxa"/>
              <w:left w:w="53" w:type="dxa"/>
              <w:bottom w:w="0" w:type="dxa"/>
              <w:right w:w="53" w:type="dxa"/>
            </w:tcMar>
            <w:vAlign w:val="bottom"/>
          </w:tcPr>
          <w:p w14:paraId="3378518C" w14:textId="77777777" w:rsidR="001614AC" w:rsidRDefault="004468F9">
            <w:pPr>
              <w:keepNext/>
              <w:spacing w:before="55" w:after="30" w:line="288" w:lineRule="auto"/>
              <w:jc w:val="center"/>
            </w:pPr>
            <w:r>
              <w:rPr>
                <w:rFonts w:ascii="Arial" w:eastAsia="Arial" w:hAnsi="Arial" w:cs="Arial"/>
                <w:b/>
                <w:color w:val="000000"/>
                <w:sz w:val="16"/>
              </w:rPr>
              <w:t>Total</w:t>
            </w:r>
          </w:p>
        </w:tc>
        <w:tc>
          <w:tcPr>
            <w:tcW w:w="105" w:type="dxa"/>
            <w:tcBorders>
              <w:top w:val="single" w:sz="8" w:space="0" w:color="FFFFFF"/>
              <w:left w:val="nil"/>
              <w:bottom w:val="single" w:sz="8" w:space="0" w:color="FFFFFF"/>
              <w:right w:val="nil"/>
            </w:tcBorders>
            <w:tcMar>
              <w:top w:w="0" w:type="dxa"/>
              <w:left w:w="0" w:type="dxa"/>
              <w:bottom w:w="0" w:type="dxa"/>
              <w:right w:w="0" w:type="dxa"/>
            </w:tcMar>
            <w:vAlign w:val="bottom"/>
          </w:tcPr>
          <w:p w14:paraId="29DD308B" w14:textId="77777777" w:rsidR="001614AC" w:rsidRDefault="001614AC">
            <w:pPr>
              <w:keepNext/>
            </w:pPr>
          </w:p>
        </w:tc>
        <w:tc>
          <w:tcPr>
            <w:tcW w:w="1200" w:type="dxa"/>
            <w:gridSpan w:val="2"/>
            <w:tcBorders>
              <w:top w:val="single" w:sz="8" w:space="0" w:color="FFFFFF"/>
              <w:left w:val="nil"/>
              <w:bottom w:val="single" w:sz="8" w:space="0" w:color="FFFFFF"/>
              <w:right w:val="nil"/>
            </w:tcBorders>
            <w:tcMar>
              <w:top w:w="0" w:type="dxa"/>
              <w:left w:w="53" w:type="dxa"/>
              <w:bottom w:w="0" w:type="dxa"/>
              <w:right w:w="53" w:type="dxa"/>
            </w:tcMar>
            <w:vAlign w:val="bottom"/>
          </w:tcPr>
          <w:p w14:paraId="259BFF51" w14:textId="77777777" w:rsidR="001614AC" w:rsidRDefault="004468F9">
            <w:pPr>
              <w:keepNext/>
              <w:spacing w:before="55" w:after="30" w:line="288" w:lineRule="auto"/>
              <w:jc w:val="center"/>
            </w:pPr>
            <w:r>
              <w:rPr>
                <w:rFonts w:ascii="Arial" w:eastAsia="Arial" w:hAnsi="Arial" w:cs="Arial"/>
                <w:b/>
                <w:color w:val="000000"/>
                <w:sz w:val="14"/>
              </w:rPr>
              <w:t>Foreclosure Stage Defaulted Loans</w:t>
            </w:r>
          </w:p>
        </w:tc>
        <w:tc>
          <w:tcPr>
            <w:tcW w:w="105" w:type="dxa"/>
            <w:tcBorders>
              <w:top w:val="single" w:sz="8" w:space="0" w:color="FFFFFF"/>
              <w:left w:val="nil"/>
              <w:bottom w:val="single" w:sz="8" w:space="0" w:color="FFFFFF"/>
              <w:right w:val="nil"/>
            </w:tcBorders>
            <w:tcMar>
              <w:top w:w="0" w:type="dxa"/>
              <w:left w:w="0" w:type="dxa"/>
              <w:bottom w:w="0" w:type="dxa"/>
              <w:right w:w="0" w:type="dxa"/>
            </w:tcMar>
            <w:vAlign w:val="bottom"/>
          </w:tcPr>
          <w:p w14:paraId="6C9E9074" w14:textId="77777777" w:rsidR="001614AC" w:rsidRDefault="001614AC">
            <w:pPr>
              <w:keepNext/>
            </w:pPr>
          </w:p>
        </w:tc>
        <w:tc>
          <w:tcPr>
            <w:tcW w:w="1095" w:type="dxa"/>
            <w:gridSpan w:val="2"/>
            <w:tcBorders>
              <w:top w:val="single" w:sz="8" w:space="0" w:color="FFFFFF"/>
              <w:left w:val="nil"/>
              <w:bottom w:val="single" w:sz="8" w:space="0" w:color="FFFFFF"/>
              <w:right w:val="nil"/>
            </w:tcBorders>
            <w:tcMar>
              <w:top w:w="0" w:type="dxa"/>
              <w:left w:w="53" w:type="dxa"/>
              <w:bottom w:w="0" w:type="dxa"/>
              <w:right w:w="53" w:type="dxa"/>
            </w:tcMar>
            <w:vAlign w:val="bottom"/>
          </w:tcPr>
          <w:p w14:paraId="1A189DAA" w14:textId="77777777" w:rsidR="001614AC" w:rsidRDefault="004468F9">
            <w:pPr>
              <w:keepNext/>
              <w:spacing w:before="55" w:after="30" w:line="288" w:lineRule="auto"/>
              <w:jc w:val="center"/>
            </w:pPr>
            <w:r>
              <w:rPr>
                <w:rFonts w:ascii="Arial" w:eastAsia="Arial" w:hAnsi="Arial" w:cs="Arial"/>
                <w:b/>
                <w:color w:val="000000"/>
                <w:sz w:val="14"/>
              </w:rPr>
              <w:t>Cure % During the 2nd Quarter</w:t>
            </w:r>
          </w:p>
        </w:tc>
        <w:tc>
          <w:tcPr>
            <w:tcW w:w="105" w:type="dxa"/>
            <w:tcBorders>
              <w:top w:val="single" w:sz="8" w:space="0" w:color="FFFFFF"/>
              <w:left w:val="nil"/>
              <w:bottom w:val="single" w:sz="8" w:space="0" w:color="FFFFFF"/>
              <w:right w:val="nil"/>
            </w:tcBorders>
            <w:tcMar>
              <w:top w:w="0" w:type="dxa"/>
              <w:left w:w="0" w:type="dxa"/>
              <w:bottom w:w="0" w:type="dxa"/>
              <w:right w:w="0" w:type="dxa"/>
            </w:tcMar>
            <w:vAlign w:val="bottom"/>
          </w:tcPr>
          <w:p w14:paraId="3D654F69" w14:textId="77777777" w:rsidR="001614AC" w:rsidRDefault="001614AC">
            <w:pPr>
              <w:keepNext/>
            </w:pPr>
          </w:p>
        </w:tc>
        <w:tc>
          <w:tcPr>
            <w:tcW w:w="1095" w:type="dxa"/>
            <w:gridSpan w:val="3"/>
            <w:tcBorders>
              <w:top w:val="single" w:sz="8" w:space="0" w:color="FFFFFF"/>
              <w:left w:val="nil"/>
              <w:bottom w:val="single" w:sz="8" w:space="0" w:color="FFFFFF"/>
              <w:right w:val="nil"/>
            </w:tcBorders>
            <w:tcMar>
              <w:top w:w="0" w:type="dxa"/>
              <w:left w:w="53" w:type="dxa"/>
              <w:bottom w:w="0" w:type="dxa"/>
              <w:right w:w="53" w:type="dxa"/>
            </w:tcMar>
            <w:vAlign w:val="bottom"/>
          </w:tcPr>
          <w:p w14:paraId="72A44203" w14:textId="77777777" w:rsidR="001614AC" w:rsidRDefault="004468F9">
            <w:pPr>
              <w:keepNext/>
              <w:spacing w:before="55" w:after="30" w:line="288" w:lineRule="auto"/>
              <w:jc w:val="center"/>
            </w:pPr>
            <w:r>
              <w:rPr>
                <w:rFonts w:ascii="Arial" w:eastAsia="Arial" w:hAnsi="Arial" w:cs="Arial"/>
                <w:b/>
                <w:color w:val="000000"/>
                <w:sz w:val="14"/>
              </w:rPr>
              <w:t>Reserve for Losses</w:t>
            </w:r>
          </w:p>
        </w:tc>
        <w:tc>
          <w:tcPr>
            <w:tcW w:w="105" w:type="dxa"/>
            <w:tcBorders>
              <w:top w:val="single" w:sz="8" w:space="0" w:color="FFFFFF"/>
              <w:left w:val="nil"/>
              <w:bottom w:val="single" w:sz="8" w:space="0" w:color="FFFFFF"/>
              <w:right w:val="nil"/>
            </w:tcBorders>
            <w:tcMar>
              <w:top w:w="0" w:type="dxa"/>
              <w:left w:w="0" w:type="dxa"/>
              <w:bottom w:w="0" w:type="dxa"/>
              <w:right w:w="0" w:type="dxa"/>
            </w:tcMar>
            <w:vAlign w:val="bottom"/>
          </w:tcPr>
          <w:p w14:paraId="22856940" w14:textId="77777777" w:rsidR="001614AC" w:rsidRDefault="001614AC">
            <w:pPr>
              <w:keepNext/>
            </w:pPr>
          </w:p>
        </w:tc>
        <w:tc>
          <w:tcPr>
            <w:tcW w:w="900" w:type="dxa"/>
            <w:gridSpan w:val="2"/>
            <w:tcBorders>
              <w:top w:val="single" w:sz="8" w:space="0" w:color="FFFFFF"/>
              <w:left w:val="nil"/>
              <w:bottom w:val="single" w:sz="8" w:space="0" w:color="FFFFFF"/>
              <w:right w:val="nil"/>
            </w:tcBorders>
            <w:tcMar>
              <w:top w:w="0" w:type="dxa"/>
              <w:left w:w="53" w:type="dxa"/>
              <w:bottom w:w="0" w:type="dxa"/>
              <w:right w:w="53" w:type="dxa"/>
            </w:tcMar>
            <w:vAlign w:val="bottom"/>
          </w:tcPr>
          <w:p w14:paraId="73236EF9" w14:textId="77777777" w:rsidR="001614AC" w:rsidRDefault="004468F9">
            <w:pPr>
              <w:keepNext/>
              <w:spacing w:before="55" w:after="30" w:line="288" w:lineRule="auto"/>
              <w:jc w:val="center"/>
            </w:pPr>
            <w:r>
              <w:rPr>
                <w:rFonts w:ascii="Arial" w:eastAsia="Arial" w:hAnsi="Arial" w:cs="Arial"/>
                <w:b/>
                <w:color w:val="000000"/>
                <w:sz w:val="14"/>
              </w:rPr>
              <w:t>% of Reserve</w:t>
            </w:r>
          </w:p>
        </w:tc>
      </w:tr>
      <w:tr w:rsidR="001614AC" w14:paraId="72FD57DA" w14:textId="77777777">
        <w:trPr>
          <w:cantSplit/>
        </w:trPr>
        <w:tc>
          <w:tcPr>
            <w:tcW w:w="3360" w:type="dxa"/>
            <w:tcBorders>
              <w:top w:val="single" w:sz="8" w:space="0" w:color="FFFFFF"/>
              <w:left w:val="nil"/>
              <w:bottom w:val="single" w:sz="8" w:space="0" w:color="C7C9C7"/>
              <w:right w:val="nil"/>
            </w:tcBorders>
            <w:tcMar>
              <w:top w:w="0" w:type="dxa"/>
              <w:left w:w="53" w:type="dxa"/>
              <w:bottom w:w="0" w:type="dxa"/>
              <w:right w:w="53" w:type="dxa"/>
            </w:tcMar>
            <w:vAlign w:val="bottom"/>
          </w:tcPr>
          <w:p w14:paraId="15297502" w14:textId="77777777" w:rsidR="001614AC" w:rsidRDefault="004468F9">
            <w:pPr>
              <w:keepNext/>
              <w:spacing w:before="55" w:after="30" w:line="288" w:lineRule="auto"/>
              <w:rPr>
                <w:rFonts w:ascii="Arial" w:eastAsia="Arial" w:hAnsi="Arial" w:cs="Arial"/>
                <w:color w:val="8B8886"/>
                <w:sz w:val="16"/>
              </w:rPr>
            </w:pPr>
            <w:r>
              <w:rPr>
                <w:rFonts w:ascii="Arial" w:eastAsia="Arial" w:hAnsi="Arial" w:cs="Arial"/>
                <w:color w:val="8B8886"/>
                <w:sz w:val="16"/>
              </w:rPr>
              <w:t xml:space="preserve">($ </w:t>
            </w:r>
            <w:r>
              <w:rPr>
                <w:rFonts w:ascii="Arial" w:eastAsia="Arial" w:hAnsi="Arial" w:cs="Arial"/>
                <w:color w:val="8B8886"/>
                <w:sz w:val="16"/>
              </w:rPr>
              <w:t>in thousands)</w:t>
            </w:r>
          </w:p>
        </w:tc>
        <w:tc>
          <w:tcPr>
            <w:tcW w:w="105" w:type="dxa"/>
            <w:tcBorders>
              <w:top w:val="nil"/>
              <w:left w:val="nil"/>
              <w:bottom w:val="single" w:sz="8" w:space="0" w:color="C7C9C7"/>
              <w:right w:val="nil"/>
            </w:tcBorders>
            <w:tcMar>
              <w:top w:w="0" w:type="dxa"/>
              <w:left w:w="0" w:type="dxa"/>
              <w:bottom w:w="0" w:type="dxa"/>
              <w:right w:w="0" w:type="dxa"/>
            </w:tcMar>
            <w:vAlign w:val="bottom"/>
          </w:tcPr>
          <w:p w14:paraId="727A9834" w14:textId="77777777" w:rsidR="001614AC" w:rsidRDefault="001614AC">
            <w:pPr>
              <w:keepNext/>
            </w:pPr>
          </w:p>
        </w:tc>
        <w:tc>
          <w:tcPr>
            <w:tcW w:w="900" w:type="dxa"/>
            <w:gridSpan w:val="2"/>
            <w:tcBorders>
              <w:top w:val="single" w:sz="8" w:space="0" w:color="FFFFFF"/>
              <w:left w:val="nil"/>
              <w:bottom w:val="single" w:sz="8" w:space="0" w:color="C7C9C7"/>
              <w:right w:val="nil"/>
            </w:tcBorders>
            <w:shd w:val="clear" w:color="auto" w:fill="F4F4F4"/>
            <w:tcMar>
              <w:top w:w="0" w:type="dxa"/>
              <w:left w:w="53" w:type="dxa"/>
              <w:bottom w:w="0" w:type="dxa"/>
              <w:right w:w="53" w:type="dxa"/>
            </w:tcMar>
            <w:vAlign w:val="bottom"/>
          </w:tcPr>
          <w:p w14:paraId="642DF1DC" w14:textId="77777777" w:rsidR="001614AC" w:rsidRDefault="004468F9">
            <w:pPr>
              <w:keepNext/>
              <w:spacing w:before="55" w:after="30" w:line="288" w:lineRule="auto"/>
              <w:jc w:val="center"/>
            </w:pPr>
            <w:r>
              <w:rPr>
                <w:rFonts w:ascii="Arial" w:eastAsia="Arial" w:hAnsi="Arial" w:cs="Arial"/>
                <w:b/>
                <w:color w:val="000000"/>
                <w:sz w:val="18"/>
              </w:rPr>
              <w:t>#</w:t>
            </w:r>
          </w:p>
        </w:tc>
        <w:tc>
          <w:tcPr>
            <w:tcW w:w="105" w:type="dxa"/>
            <w:tcBorders>
              <w:top w:val="single" w:sz="8" w:space="0" w:color="FFFFFF"/>
              <w:left w:val="nil"/>
              <w:bottom w:val="single" w:sz="8" w:space="0" w:color="C7C9C7"/>
              <w:right w:val="nil"/>
            </w:tcBorders>
            <w:tcMar>
              <w:top w:w="0" w:type="dxa"/>
              <w:left w:w="0" w:type="dxa"/>
              <w:bottom w:w="0" w:type="dxa"/>
              <w:right w:w="0" w:type="dxa"/>
            </w:tcMar>
            <w:vAlign w:val="bottom"/>
          </w:tcPr>
          <w:p w14:paraId="51A45F36" w14:textId="77777777" w:rsidR="001614AC" w:rsidRDefault="001614AC">
            <w:pPr>
              <w:keepNext/>
            </w:pPr>
          </w:p>
        </w:tc>
        <w:tc>
          <w:tcPr>
            <w:tcW w:w="900" w:type="dxa"/>
            <w:gridSpan w:val="2"/>
            <w:tcBorders>
              <w:top w:val="single" w:sz="8" w:space="0" w:color="FFFFFF"/>
              <w:left w:val="nil"/>
              <w:bottom w:val="single" w:sz="8" w:space="0" w:color="C7C9C7"/>
              <w:right w:val="nil"/>
            </w:tcBorders>
            <w:shd w:val="clear" w:color="auto" w:fill="F4F4F4"/>
            <w:tcMar>
              <w:top w:w="0" w:type="dxa"/>
              <w:left w:w="53" w:type="dxa"/>
              <w:bottom w:w="0" w:type="dxa"/>
              <w:right w:w="53" w:type="dxa"/>
            </w:tcMar>
            <w:vAlign w:val="bottom"/>
          </w:tcPr>
          <w:p w14:paraId="29E56FBD" w14:textId="77777777" w:rsidR="001614AC" w:rsidRDefault="004468F9">
            <w:pPr>
              <w:keepNext/>
              <w:spacing w:before="55" w:after="30" w:line="288" w:lineRule="auto"/>
              <w:jc w:val="center"/>
            </w:pPr>
            <w:r>
              <w:rPr>
                <w:rFonts w:ascii="Arial" w:eastAsia="Arial" w:hAnsi="Arial" w:cs="Arial"/>
                <w:b/>
                <w:color w:val="000000"/>
                <w:sz w:val="18"/>
              </w:rPr>
              <w:t>%</w:t>
            </w:r>
          </w:p>
        </w:tc>
        <w:tc>
          <w:tcPr>
            <w:tcW w:w="105" w:type="dxa"/>
            <w:tcBorders>
              <w:top w:val="single" w:sz="8" w:space="0" w:color="FFFFFF"/>
              <w:left w:val="nil"/>
              <w:bottom w:val="single" w:sz="8" w:space="0" w:color="C7C9C7"/>
              <w:right w:val="nil"/>
            </w:tcBorders>
            <w:tcMar>
              <w:top w:w="0" w:type="dxa"/>
              <w:left w:w="0" w:type="dxa"/>
              <w:bottom w:w="0" w:type="dxa"/>
              <w:right w:w="0" w:type="dxa"/>
            </w:tcMar>
            <w:vAlign w:val="bottom"/>
          </w:tcPr>
          <w:p w14:paraId="61FC6652" w14:textId="77777777" w:rsidR="001614AC" w:rsidRDefault="001614AC">
            <w:pPr>
              <w:keepNext/>
            </w:pPr>
          </w:p>
        </w:tc>
        <w:tc>
          <w:tcPr>
            <w:tcW w:w="1200" w:type="dxa"/>
            <w:gridSpan w:val="2"/>
            <w:tcBorders>
              <w:top w:val="single" w:sz="8" w:space="0" w:color="FFFFFF"/>
              <w:left w:val="nil"/>
              <w:bottom w:val="single" w:sz="8" w:space="0" w:color="C7C9C7"/>
              <w:right w:val="nil"/>
            </w:tcBorders>
            <w:shd w:val="clear" w:color="auto" w:fill="F4F4F4"/>
            <w:tcMar>
              <w:top w:w="0" w:type="dxa"/>
              <w:left w:w="53" w:type="dxa"/>
              <w:bottom w:w="0" w:type="dxa"/>
              <w:right w:w="53" w:type="dxa"/>
            </w:tcMar>
            <w:vAlign w:val="bottom"/>
          </w:tcPr>
          <w:p w14:paraId="2AEE4EA0" w14:textId="77777777" w:rsidR="001614AC" w:rsidRDefault="004468F9">
            <w:pPr>
              <w:keepNext/>
              <w:spacing w:before="55" w:after="30" w:line="288" w:lineRule="auto"/>
              <w:jc w:val="center"/>
            </w:pPr>
            <w:r>
              <w:rPr>
                <w:rFonts w:ascii="Arial" w:eastAsia="Arial" w:hAnsi="Arial" w:cs="Arial"/>
                <w:b/>
                <w:color w:val="000000"/>
                <w:sz w:val="18"/>
              </w:rPr>
              <w:t>#</w:t>
            </w:r>
          </w:p>
        </w:tc>
        <w:tc>
          <w:tcPr>
            <w:tcW w:w="105" w:type="dxa"/>
            <w:tcBorders>
              <w:top w:val="single" w:sz="8" w:space="0" w:color="FFFFFF"/>
              <w:left w:val="nil"/>
              <w:bottom w:val="single" w:sz="8" w:space="0" w:color="C7C9C7"/>
              <w:right w:val="nil"/>
            </w:tcBorders>
            <w:tcMar>
              <w:top w:w="0" w:type="dxa"/>
              <w:left w:w="0" w:type="dxa"/>
              <w:bottom w:w="0" w:type="dxa"/>
              <w:right w:w="0" w:type="dxa"/>
            </w:tcMar>
            <w:vAlign w:val="bottom"/>
          </w:tcPr>
          <w:p w14:paraId="134B2D1D" w14:textId="77777777" w:rsidR="001614AC" w:rsidRDefault="001614AC">
            <w:pPr>
              <w:keepNext/>
            </w:pPr>
          </w:p>
        </w:tc>
        <w:tc>
          <w:tcPr>
            <w:tcW w:w="1095" w:type="dxa"/>
            <w:gridSpan w:val="2"/>
            <w:tcBorders>
              <w:top w:val="single" w:sz="8" w:space="0" w:color="FFFFFF"/>
              <w:left w:val="nil"/>
              <w:bottom w:val="single" w:sz="8" w:space="0" w:color="C7C9C7"/>
              <w:right w:val="nil"/>
            </w:tcBorders>
            <w:shd w:val="clear" w:color="auto" w:fill="F4F4F4"/>
            <w:tcMar>
              <w:top w:w="0" w:type="dxa"/>
              <w:left w:w="53" w:type="dxa"/>
              <w:bottom w:w="0" w:type="dxa"/>
              <w:right w:w="53" w:type="dxa"/>
            </w:tcMar>
            <w:vAlign w:val="bottom"/>
          </w:tcPr>
          <w:p w14:paraId="460E74F8" w14:textId="77777777" w:rsidR="001614AC" w:rsidRDefault="004468F9">
            <w:pPr>
              <w:keepNext/>
              <w:spacing w:before="55" w:after="30" w:line="288" w:lineRule="auto"/>
              <w:jc w:val="center"/>
            </w:pPr>
            <w:r>
              <w:rPr>
                <w:rFonts w:ascii="Arial" w:eastAsia="Arial" w:hAnsi="Arial" w:cs="Arial"/>
                <w:b/>
                <w:color w:val="000000"/>
                <w:sz w:val="18"/>
              </w:rPr>
              <w:t>%</w:t>
            </w:r>
          </w:p>
        </w:tc>
        <w:tc>
          <w:tcPr>
            <w:tcW w:w="105" w:type="dxa"/>
            <w:tcBorders>
              <w:top w:val="single" w:sz="8" w:space="0" w:color="FFFFFF"/>
              <w:left w:val="nil"/>
              <w:bottom w:val="single" w:sz="8" w:space="0" w:color="C7C9C7"/>
              <w:right w:val="nil"/>
            </w:tcBorders>
            <w:tcMar>
              <w:top w:w="0" w:type="dxa"/>
              <w:left w:w="0" w:type="dxa"/>
              <w:bottom w:w="0" w:type="dxa"/>
              <w:right w:w="0" w:type="dxa"/>
            </w:tcMar>
            <w:vAlign w:val="bottom"/>
          </w:tcPr>
          <w:p w14:paraId="33AA3A37" w14:textId="77777777" w:rsidR="001614AC" w:rsidRDefault="001614AC">
            <w:pPr>
              <w:keepNext/>
            </w:pPr>
          </w:p>
        </w:tc>
        <w:tc>
          <w:tcPr>
            <w:tcW w:w="1095" w:type="dxa"/>
            <w:gridSpan w:val="3"/>
            <w:tcBorders>
              <w:top w:val="single" w:sz="8" w:space="0" w:color="FFFFFF"/>
              <w:left w:val="nil"/>
              <w:bottom w:val="single" w:sz="8" w:space="0" w:color="C7C9C7"/>
              <w:right w:val="nil"/>
            </w:tcBorders>
            <w:shd w:val="clear" w:color="auto" w:fill="F4F4F4"/>
            <w:tcMar>
              <w:top w:w="0" w:type="dxa"/>
              <w:left w:w="53" w:type="dxa"/>
              <w:bottom w:w="0" w:type="dxa"/>
              <w:right w:w="53" w:type="dxa"/>
            </w:tcMar>
            <w:vAlign w:val="bottom"/>
          </w:tcPr>
          <w:p w14:paraId="24882DF1" w14:textId="77777777" w:rsidR="001614AC" w:rsidRDefault="004468F9">
            <w:pPr>
              <w:keepNext/>
              <w:spacing w:before="55" w:after="30" w:line="288" w:lineRule="auto"/>
              <w:jc w:val="center"/>
            </w:pPr>
            <w:r>
              <w:rPr>
                <w:rFonts w:ascii="Arial" w:eastAsia="Arial" w:hAnsi="Arial" w:cs="Arial"/>
                <w:b/>
                <w:color w:val="000000"/>
                <w:sz w:val="18"/>
              </w:rPr>
              <w:t>$</w:t>
            </w:r>
          </w:p>
        </w:tc>
        <w:tc>
          <w:tcPr>
            <w:tcW w:w="105" w:type="dxa"/>
            <w:tcBorders>
              <w:top w:val="single" w:sz="8" w:space="0" w:color="FFFFFF"/>
              <w:left w:val="nil"/>
              <w:bottom w:val="single" w:sz="8" w:space="0" w:color="C7C9C7"/>
              <w:right w:val="nil"/>
            </w:tcBorders>
            <w:tcMar>
              <w:top w:w="0" w:type="dxa"/>
              <w:left w:w="0" w:type="dxa"/>
              <w:bottom w:w="0" w:type="dxa"/>
              <w:right w:w="0" w:type="dxa"/>
            </w:tcMar>
            <w:vAlign w:val="bottom"/>
          </w:tcPr>
          <w:p w14:paraId="175747DA" w14:textId="77777777" w:rsidR="001614AC" w:rsidRDefault="001614AC">
            <w:pPr>
              <w:keepNext/>
            </w:pPr>
          </w:p>
        </w:tc>
        <w:tc>
          <w:tcPr>
            <w:tcW w:w="900" w:type="dxa"/>
            <w:gridSpan w:val="2"/>
            <w:tcBorders>
              <w:top w:val="single" w:sz="8" w:space="0" w:color="FFFFFF"/>
              <w:left w:val="nil"/>
              <w:bottom w:val="single" w:sz="8" w:space="0" w:color="C7C9C7"/>
              <w:right w:val="nil"/>
            </w:tcBorders>
            <w:shd w:val="clear" w:color="auto" w:fill="F4F4F4"/>
            <w:tcMar>
              <w:top w:w="0" w:type="dxa"/>
              <w:left w:w="53" w:type="dxa"/>
              <w:bottom w:w="0" w:type="dxa"/>
              <w:right w:w="53" w:type="dxa"/>
            </w:tcMar>
            <w:vAlign w:val="bottom"/>
          </w:tcPr>
          <w:p w14:paraId="0A6C2CBF" w14:textId="77777777" w:rsidR="001614AC" w:rsidRDefault="004468F9">
            <w:pPr>
              <w:keepNext/>
              <w:spacing w:before="55" w:after="30" w:line="288" w:lineRule="auto"/>
              <w:jc w:val="center"/>
            </w:pPr>
            <w:r>
              <w:rPr>
                <w:rFonts w:ascii="Arial" w:eastAsia="Arial" w:hAnsi="Arial" w:cs="Arial"/>
                <w:b/>
                <w:color w:val="000000"/>
                <w:sz w:val="18"/>
              </w:rPr>
              <w:t>%</w:t>
            </w:r>
          </w:p>
        </w:tc>
      </w:tr>
      <w:tr w:rsidR="001614AC" w14:paraId="4D5D4441" w14:textId="77777777">
        <w:trPr>
          <w:cantSplit/>
        </w:trPr>
        <w:tc>
          <w:tcPr>
            <w:tcW w:w="3360" w:type="dxa"/>
            <w:tcBorders>
              <w:top w:val="single" w:sz="8" w:space="0" w:color="C7C9C7"/>
              <w:left w:val="nil"/>
              <w:bottom w:val="single" w:sz="8" w:space="0" w:color="E6EAED"/>
              <w:right w:val="nil"/>
            </w:tcBorders>
            <w:tcMar>
              <w:top w:w="0" w:type="dxa"/>
              <w:left w:w="53" w:type="dxa"/>
              <w:bottom w:w="0" w:type="dxa"/>
              <w:right w:w="53" w:type="dxa"/>
            </w:tcMar>
            <w:vAlign w:val="bottom"/>
          </w:tcPr>
          <w:p w14:paraId="7C20366F" w14:textId="77777777" w:rsidR="001614AC" w:rsidRDefault="004468F9">
            <w:pPr>
              <w:keepNext/>
              <w:spacing w:before="55" w:after="30" w:line="288" w:lineRule="auto"/>
            </w:pPr>
            <w:r>
              <w:rPr>
                <w:rFonts w:ascii="Arial" w:eastAsia="Arial" w:hAnsi="Arial" w:cs="Arial"/>
                <w:color w:val="000000"/>
                <w:sz w:val="18"/>
              </w:rPr>
              <w:t>Missed payments</w:t>
            </w:r>
          </w:p>
        </w:tc>
        <w:tc>
          <w:tcPr>
            <w:tcW w:w="105" w:type="dxa"/>
            <w:tcBorders>
              <w:top w:val="single" w:sz="8" w:space="0" w:color="C7C9C7"/>
              <w:left w:val="nil"/>
              <w:bottom w:val="nil"/>
              <w:right w:val="nil"/>
            </w:tcBorders>
            <w:tcMar>
              <w:top w:w="0" w:type="dxa"/>
              <w:left w:w="0" w:type="dxa"/>
              <w:bottom w:w="0" w:type="dxa"/>
              <w:right w:w="0" w:type="dxa"/>
            </w:tcMar>
            <w:vAlign w:val="bottom"/>
          </w:tcPr>
          <w:p w14:paraId="7AD5446B" w14:textId="77777777" w:rsidR="001614AC" w:rsidRDefault="001614AC">
            <w:pPr>
              <w:keepNext/>
            </w:pPr>
          </w:p>
        </w:tc>
        <w:tc>
          <w:tcPr>
            <w:tcW w:w="900" w:type="dxa"/>
            <w:gridSpan w:val="2"/>
            <w:tcBorders>
              <w:top w:val="single" w:sz="8" w:space="0" w:color="C7C9C7"/>
              <w:left w:val="nil"/>
              <w:bottom w:val="single" w:sz="8" w:space="0" w:color="E6EAED"/>
              <w:right w:val="nil"/>
            </w:tcBorders>
            <w:tcMar>
              <w:top w:w="0" w:type="dxa"/>
              <w:left w:w="0" w:type="dxa"/>
              <w:bottom w:w="0" w:type="dxa"/>
              <w:right w:w="0" w:type="dxa"/>
            </w:tcMar>
            <w:vAlign w:val="bottom"/>
          </w:tcPr>
          <w:p w14:paraId="62AEC610" w14:textId="77777777" w:rsidR="001614AC" w:rsidRDefault="001614AC">
            <w:pPr>
              <w:keepNext/>
            </w:pPr>
          </w:p>
        </w:tc>
        <w:tc>
          <w:tcPr>
            <w:tcW w:w="105" w:type="dxa"/>
            <w:tcBorders>
              <w:top w:val="single" w:sz="8" w:space="0" w:color="C7C9C7"/>
              <w:left w:val="nil"/>
              <w:bottom w:val="nil"/>
              <w:right w:val="nil"/>
            </w:tcBorders>
            <w:tcMar>
              <w:top w:w="0" w:type="dxa"/>
              <w:left w:w="0" w:type="dxa"/>
              <w:bottom w:w="0" w:type="dxa"/>
              <w:right w:w="0" w:type="dxa"/>
            </w:tcMar>
            <w:vAlign w:val="bottom"/>
          </w:tcPr>
          <w:p w14:paraId="65F14421" w14:textId="77777777" w:rsidR="001614AC" w:rsidRDefault="001614AC">
            <w:pPr>
              <w:keepNext/>
            </w:pPr>
          </w:p>
        </w:tc>
        <w:tc>
          <w:tcPr>
            <w:tcW w:w="900" w:type="dxa"/>
            <w:gridSpan w:val="2"/>
            <w:tcBorders>
              <w:top w:val="single" w:sz="8" w:space="0" w:color="C7C9C7"/>
              <w:left w:val="nil"/>
              <w:bottom w:val="single" w:sz="8" w:space="0" w:color="E6EAED"/>
              <w:right w:val="nil"/>
            </w:tcBorders>
            <w:tcMar>
              <w:top w:w="0" w:type="dxa"/>
              <w:left w:w="0" w:type="dxa"/>
              <w:bottom w:w="0" w:type="dxa"/>
              <w:right w:w="0" w:type="dxa"/>
            </w:tcMar>
            <w:vAlign w:val="bottom"/>
          </w:tcPr>
          <w:p w14:paraId="73CF8A8A" w14:textId="77777777" w:rsidR="001614AC" w:rsidRDefault="001614AC">
            <w:pPr>
              <w:keepNext/>
            </w:pPr>
          </w:p>
        </w:tc>
        <w:tc>
          <w:tcPr>
            <w:tcW w:w="105" w:type="dxa"/>
            <w:tcBorders>
              <w:top w:val="single" w:sz="8" w:space="0" w:color="C7C9C7"/>
              <w:left w:val="nil"/>
              <w:bottom w:val="nil"/>
              <w:right w:val="nil"/>
            </w:tcBorders>
            <w:tcMar>
              <w:top w:w="0" w:type="dxa"/>
              <w:left w:w="0" w:type="dxa"/>
              <w:bottom w:w="0" w:type="dxa"/>
              <w:right w:w="0" w:type="dxa"/>
            </w:tcMar>
            <w:vAlign w:val="bottom"/>
          </w:tcPr>
          <w:p w14:paraId="7C02C731" w14:textId="77777777" w:rsidR="001614AC" w:rsidRDefault="001614AC">
            <w:pPr>
              <w:keepNext/>
            </w:pPr>
          </w:p>
        </w:tc>
        <w:tc>
          <w:tcPr>
            <w:tcW w:w="1200" w:type="dxa"/>
            <w:gridSpan w:val="2"/>
            <w:tcBorders>
              <w:top w:val="single" w:sz="8" w:space="0" w:color="C7C9C7"/>
              <w:left w:val="nil"/>
              <w:bottom w:val="single" w:sz="8" w:space="0" w:color="E6EAED"/>
              <w:right w:val="nil"/>
            </w:tcBorders>
            <w:tcMar>
              <w:top w:w="0" w:type="dxa"/>
              <w:left w:w="0" w:type="dxa"/>
              <w:bottom w:w="0" w:type="dxa"/>
              <w:right w:w="0" w:type="dxa"/>
            </w:tcMar>
            <w:vAlign w:val="bottom"/>
          </w:tcPr>
          <w:p w14:paraId="11A094C5" w14:textId="77777777" w:rsidR="001614AC" w:rsidRDefault="001614AC">
            <w:pPr>
              <w:keepNext/>
            </w:pPr>
          </w:p>
        </w:tc>
        <w:tc>
          <w:tcPr>
            <w:tcW w:w="105" w:type="dxa"/>
            <w:tcBorders>
              <w:top w:val="single" w:sz="8" w:space="0" w:color="C7C9C7"/>
              <w:left w:val="nil"/>
              <w:bottom w:val="nil"/>
              <w:right w:val="nil"/>
            </w:tcBorders>
            <w:tcMar>
              <w:top w:w="0" w:type="dxa"/>
              <w:left w:w="0" w:type="dxa"/>
              <w:bottom w:w="0" w:type="dxa"/>
              <w:right w:w="0" w:type="dxa"/>
            </w:tcMar>
            <w:vAlign w:val="bottom"/>
          </w:tcPr>
          <w:p w14:paraId="587807AE" w14:textId="77777777" w:rsidR="001614AC" w:rsidRDefault="001614AC">
            <w:pPr>
              <w:keepNext/>
            </w:pPr>
          </w:p>
        </w:tc>
        <w:tc>
          <w:tcPr>
            <w:tcW w:w="1095" w:type="dxa"/>
            <w:gridSpan w:val="2"/>
            <w:tcBorders>
              <w:top w:val="single" w:sz="8" w:space="0" w:color="C7C9C7"/>
              <w:left w:val="nil"/>
              <w:bottom w:val="single" w:sz="8" w:space="0" w:color="E6EAED"/>
              <w:right w:val="nil"/>
            </w:tcBorders>
            <w:tcMar>
              <w:top w:w="0" w:type="dxa"/>
              <w:left w:w="0" w:type="dxa"/>
              <w:bottom w:w="0" w:type="dxa"/>
              <w:right w:w="0" w:type="dxa"/>
            </w:tcMar>
            <w:vAlign w:val="bottom"/>
          </w:tcPr>
          <w:p w14:paraId="0FCB8E4F" w14:textId="77777777" w:rsidR="001614AC" w:rsidRDefault="001614AC">
            <w:pPr>
              <w:keepNext/>
            </w:pPr>
          </w:p>
        </w:tc>
        <w:tc>
          <w:tcPr>
            <w:tcW w:w="105" w:type="dxa"/>
            <w:tcBorders>
              <w:top w:val="single" w:sz="8" w:space="0" w:color="C7C9C7"/>
              <w:left w:val="nil"/>
              <w:bottom w:val="nil"/>
              <w:right w:val="nil"/>
            </w:tcBorders>
            <w:tcMar>
              <w:top w:w="0" w:type="dxa"/>
              <w:left w:w="0" w:type="dxa"/>
              <w:bottom w:w="0" w:type="dxa"/>
              <w:right w:w="0" w:type="dxa"/>
            </w:tcMar>
            <w:vAlign w:val="bottom"/>
          </w:tcPr>
          <w:p w14:paraId="0F1F15FD" w14:textId="77777777" w:rsidR="001614AC" w:rsidRDefault="001614AC">
            <w:pPr>
              <w:keepNext/>
            </w:pPr>
          </w:p>
        </w:tc>
        <w:tc>
          <w:tcPr>
            <w:tcW w:w="1095" w:type="dxa"/>
            <w:gridSpan w:val="3"/>
            <w:tcBorders>
              <w:top w:val="single" w:sz="8" w:space="0" w:color="C7C9C7"/>
              <w:left w:val="nil"/>
              <w:bottom w:val="single" w:sz="8" w:space="0" w:color="E6EAED"/>
              <w:right w:val="nil"/>
            </w:tcBorders>
            <w:tcMar>
              <w:top w:w="0" w:type="dxa"/>
              <w:left w:w="0" w:type="dxa"/>
              <w:bottom w:w="0" w:type="dxa"/>
              <w:right w:w="0" w:type="dxa"/>
            </w:tcMar>
            <w:vAlign w:val="bottom"/>
          </w:tcPr>
          <w:p w14:paraId="369B419C" w14:textId="77777777" w:rsidR="001614AC" w:rsidRDefault="001614AC">
            <w:pPr>
              <w:keepNext/>
            </w:pPr>
          </w:p>
        </w:tc>
        <w:tc>
          <w:tcPr>
            <w:tcW w:w="105" w:type="dxa"/>
            <w:tcBorders>
              <w:top w:val="single" w:sz="8" w:space="0" w:color="C7C9C7"/>
              <w:left w:val="nil"/>
              <w:bottom w:val="nil"/>
              <w:right w:val="nil"/>
            </w:tcBorders>
            <w:tcMar>
              <w:top w:w="0" w:type="dxa"/>
              <w:left w:w="0" w:type="dxa"/>
              <w:bottom w:w="0" w:type="dxa"/>
              <w:right w:w="0" w:type="dxa"/>
            </w:tcMar>
            <w:vAlign w:val="bottom"/>
          </w:tcPr>
          <w:p w14:paraId="7D30C812" w14:textId="77777777" w:rsidR="001614AC" w:rsidRDefault="001614AC">
            <w:pPr>
              <w:keepNext/>
            </w:pPr>
          </w:p>
        </w:tc>
        <w:tc>
          <w:tcPr>
            <w:tcW w:w="900" w:type="dxa"/>
            <w:gridSpan w:val="2"/>
            <w:tcBorders>
              <w:top w:val="single" w:sz="8" w:space="0" w:color="C7C9C7"/>
              <w:left w:val="nil"/>
              <w:bottom w:val="single" w:sz="8" w:space="0" w:color="E6EAED"/>
              <w:right w:val="nil"/>
            </w:tcBorders>
            <w:tcMar>
              <w:top w:w="0" w:type="dxa"/>
              <w:left w:w="0" w:type="dxa"/>
              <w:bottom w:w="0" w:type="dxa"/>
              <w:right w:w="0" w:type="dxa"/>
            </w:tcMar>
            <w:vAlign w:val="bottom"/>
          </w:tcPr>
          <w:p w14:paraId="537868E7" w14:textId="77777777" w:rsidR="001614AC" w:rsidRDefault="001614AC">
            <w:pPr>
              <w:keepNext/>
            </w:pPr>
          </w:p>
        </w:tc>
      </w:tr>
      <w:tr w:rsidR="001614AC" w14:paraId="79754E48" w14:textId="77777777">
        <w:trPr>
          <w:cantSplit/>
        </w:trPr>
        <w:tc>
          <w:tcPr>
            <w:tcW w:w="3360" w:type="dxa"/>
            <w:tcBorders>
              <w:top w:val="single" w:sz="8" w:space="0" w:color="E6EAED"/>
              <w:left w:val="nil"/>
              <w:bottom w:val="single" w:sz="8" w:space="0" w:color="E9E9E9"/>
              <w:right w:val="nil"/>
            </w:tcBorders>
            <w:tcMar>
              <w:top w:w="0" w:type="dxa"/>
              <w:left w:w="53" w:type="dxa"/>
              <w:bottom w:w="0" w:type="dxa"/>
              <w:right w:w="53" w:type="dxa"/>
            </w:tcMar>
            <w:vAlign w:val="bottom"/>
          </w:tcPr>
          <w:p w14:paraId="0E103F64" w14:textId="77777777" w:rsidR="001614AC" w:rsidRDefault="004468F9">
            <w:pPr>
              <w:keepNext/>
              <w:spacing w:before="55" w:after="30" w:line="288" w:lineRule="auto"/>
              <w:ind w:left="240"/>
            </w:pPr>
            <w:r>
              <w:rPr>
                <w:rFonts w:ascii="Arial" w:eastAsia="Arial" w:hAnsi="Arial" w:cs="Arial"/>
                <w:color w:val="000000"/>
                <w:sz w:val="18"/>
              </w:rPr>
              <w:t>Three payments or less</w:t>
            </w:r>
          </w:p>
        </w:tc>
        <w:tc>
          <w:tcPr>
            <w:tcW w:w="105" w:type="dxa"/>
            <w:tcBorders>
              <w:top w:val="nil"/>
              <w:left w:val="nil"/>
              <w:bottom w:val="nil"/>
              <w:right w:val="nil"/>
            </w:tcBorders>
            <w:tcMar>
              <w:top w:w="0" w:type="dxa"/>
              <w:left w:w="0" w:type="dxa"/>
              <w:bottom w:w="0" w:type="dxa"/>
              <w:right w:w="0" w:type="dxa"/>
            </w:tcMar>
            <w:vAlign w:val="bottom"/>
          </w:tcPr>
          <w:p w14:paraId="205CA7A3" w14:textId="77777777" w:rsidR="001614AC" w:rsidRDefault="001614AC">
            <w:pPr>
              <w:keepNext/>
            </w:pPr>
          </w:p>
        </w:tc>
        <w:tc>
          <w:tcPr>
            <w:tcW w:w="800" w:type="dxa"/>
            <w:tcBorders>
              <w:top w:val="single" w:sz="8" w:space="0" w:color="E6EAED"/>
              <w:left w:val="nil"/>
              <w:bottom w:val="single" w:sz="8" w:space="0" w:color="E9E9E9"/>
              <w:right w:val="nil"/>
            </w:tcBorders>
            <w:tcMar>
              <w:top w:w="0" w:type="dxa"/>
              <w:left w:w="53" w:type="dxa"/>
              <w:bottom w:w="0" w:type="dxa"/>
              <w:right w:w="0" w:type="dxa"/>
            </w:tcMar>
            <w:vAlign w:val="bottom"/>
          </w:tcPr>
          <w:p w14:paraId="1D97D68F" w14:textId="77777777" w:rsidR="001614AC" w:rsidRDefault="004468F9">
            <w:pPr>
              <w:keepNext/>
              <w:spacing w:before="55" w:after="30" w:line="288" w:lineRule="auto"/>
              <w:jc w:val="right"/>
            </w:pPr>
            <w:r>
              <w:rPr>
                <w:rFonts w:ascii="Arial" w:eastAsia="Arial" w:hAnsi="Arial" w:cs="Arial"/>
                <w:color w:val="000000"/>
                <w:sz w:val="18"/>
              </w:rPr>
              <w:t>6,891 </w:t>
            </w:r>
          </w:p>
        </w:tc>
        <w:tc>
          <w:tcPr>
            <w:tcW w:w="100" w:type="dxa"/>
            <w:tcBorders>
              <w:top w:val="single" w:sz="8" w:space="0" w:color="E6EAED"/>
              <w:left w:val="nil"/>
              <w:bottom w:val="single" w:sz="8" w:space="0" w:color="E9E9E9"/>
              <w:right w:val="nil"/>
            </w:tcBorders>
            <w:tcMar>
              <w:top w:w="0" w:type="dxa"/>
              <w:left w:w="0" w:type="dxa"/>
              <w:bottom w:w="0" w:type="dxa"/>
              <w:right w:w="15" w:type="dxa"/>
            </w:tcMar>
            <w:vAlign w:val="bottom"/>
          </w:tcPr>
          <w:p w14:paraId="650EE438" w14:textId="77777777" w:rsidR="001614AC" w:rsidRDefault="001614AC">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075621FF" w14:textId="77777777" w:rsidR="001614AC" w:rsidRDefault="001614AC">
            <w:pPr>
              <w:keepNext/>
            </w:pPr>
          </w:p>
        </w:tc>
        <w:tc>
          <w:tcPr>
            <w:tcW w:w="800" w:type="dxa"/>
            <w:tcBorders>
              <w:top w:val="single" w:sz="8" w:space="0" w:color="E6EAED"/>
              <w:left w:val="nil"/>
              <w:bottom w:val="single" w:sz="8" w:space="0" w:color="E9E9E9"/>
              <w:right w:val="nil"/>
            </w:tcBorders>
            <w:tcMar>
              <w:top w:w="0" w:type="dxa"/>
              <w:left w:w="53" w:type="dxa"/>
              <w:bottom w:w="0" w:type="dxa"/>
              <w:right w:w="0" w:type="dxa"/>
            </w:tcMar>
            <w:vAlign w:val="bottom"/>
          </w:tcPr>
          <w:p w14:paraId="0E62EB76" w14:textId="77777777" w:rsidR="001614AC" w:rsidRDefault="004468F9">
            <w:pPr>
              <w:keepNext/>
              <w:spacing w:before="55" w:after="30" w:line="288" w:lineRule="auto"/>
              <w:jc w:val="right"/>
            </w:pPr>
            <w:r>
              <w:rPr>
                <w:rFonts w:ascii="Arial" w:eastAsia="Arial" w:hAnsi="Arial" w:cs="Arial"/>
                <w:color w:val="000000"/>
                <w:sz w:val="18"/>
              </w:rPr>
              <w:t>17.0 </w:t>
            </w:r>
          </w:p>
        </w:tc>
        <w:tc>
          <w:tcPr>
            <w:tcW w:w="100" w:type="dxa"/>
            <w:tcBorders>
              <w:top w:val="single" w:sz="8" w:space="0" w:color="E6EAED"/>
              <w:left w:val="nil"/>
              <w:bottom w:val="single" w:sz="8" w:space="0" w:color="E9E9E9"/>
              <w:right w:val="nil"/>
            </w:tcBorders>
            <w:tcMar>
              <w:top w:w="0" w:type="dxa"/>
              <w:left w:w="0" w:type="dxa"/>
              <w:bottom w:w="0" w:type="dxa"/>
              <w:right w:w="15" w:type="dxa"/>
            </w:tcMar>
            <w:vAlign w:val="bottom"/>
          </w:tcPr>
          <w:p w14:paraId="03EFCDB6" w14:textId="77777777" w:rsidR="001614AC" w:rsidRDefault="004468F9">
            <w:pPr>
              <w:keepNext/>
              <w:spacing w:before="55" w:after="30" w:line="288" w:lineRule="auto"/>
              <w:jc w:val="right"/>
            </w:pPr>
            <w:r>
              <w:rPr>
                <w:rFonts w:ascii="Arial" w:eastAsia="Arial" w:hAnsi="Arial" w:cs="Arial"/>
                <w:color w:val="000000"/>
                <w:sz w:val="18"/>
              </w:rPr>
              <w:t>%</w:t>
            </w:r>
          </w:p>
        </w:tc>
        <w:tc>
          <w:tcPr>
            <w:tcW w:w="105" w:type="dxa"/>
            <w:tcBorders>
              <w:top w:val="nil"/>
              <w:left w:val="nil"/>
              <w:bottom w:val="nil"/>
              <w:right w:val="nil"/>
            </w:tcBorders>
            <w:tcMar>
              <w:top w:w="0" w:type="dxa"/>
              <w:left w:w="0" w:type="dxa"/>
              <w:bottom w:w="0" w:type="dxa"/>
              <w:right w:w="0" w:type="dxa"/>
            </w:tcMar>
            <w:vAlign w:val="bottom"/>
          </w:tcPr>
          <w:p w14:paraId="21B3694E" w14:textId="77777777" w:rsidR="001614AC" w:rsidRDefault="001614AC">
            <w:pPr>
              <w:keepNext/>
            </w:pPr>
          </w:p>
        </w:tc>
        <w:tc>
          <w:tcPr>
            <w:tcW w:w="1100" w:type="dxa"/>
            <w:tcBorders>
              <w:top w:val="single" w:sz="8" w:space="0" w:color="E6EAED"/>
              <w:left w:val="nil"/>
              <w:bottom w:val="single" w:sz="8" w:space="0" w:color="E9E9E9"/>
              <w:right w:val="nil"/>
            </w:tcBorders>
            <w:tcMar>
              <w:top w:w="0" w:type="dxa"/>
              <w:left w:w="53" w:type="dxa"/>
              <w:bottom w:w="0" w:type="dxa"/>
              <w:right w:w="0" w:type="dxa"/>
            </w:tcMar>
            <w:vAlign w:val="bottom"/>
          </w:tcPr>
          <w:p w14:paraId="7ADB92EC" w14:textId="77777777" w:rsidR="001614AC" w:rsidRDefault="004468F9">
            <w:pPr>
              <w:keepNext/>
              <w:spacing w:before="55" w:after="30" w:line="288" w:lineRule="auto"/>
              <w:jc w:val="right"/>
            </w:pPr>
            <w:r>
              <w:rPr>
                <w:rFonts w:ascii="Arial" w:eastAsia="Arial" w:hAnsi="Arial" w:cs="Arial"/>
                <w:color w:val="000000"/>
                <w:sz w:val="18"/>
              </w:rPr>
              <w:t>52 </w:t>
            </w:r>
          </w:p>
        </w:tc>
        <w:tc>
          <w:tcPr>
            <w:tcW w:w="100" w:type="dxa"/>
            <w:tcBorders>
              <w:top w:val="single" w:sz="8" w:space="0" w:color="E6EAED"/>
              <w:left w:val="nil"/>
              <w:bottom w:val="single" w:sz="8" w:space="0" w:color="E9E9E9"/>
              <w:right w:val="nil"/>
            </w:tcBorders>
            <w:tcMar>
              <w:top w:w="0" w:type="dxa"/>
              <w:left w:w="0" w:type="dxa"/>
              <w:bottom w:w="0" w:type="dxa"/>
              <w:right w:w="15" w:type="dxa"/>
            </w:tcMar>
            <w:vAlign w:val="bottom"/>
          </w:tcPr>
          <w:p w14:paraId="54A073C6" w14:textId="77777777" w:rsidR="001614AC" w:rsidRDefault="001614AC">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2A865F81" w14:textId="77777777" w:rsidR="001614AC" w:rsidRDefault="001614AC">
            <w:pPr>
              <w:keepNext/>
            </w:pPr>
          </w:p>
        </w:tc>
        <w:tc>
          <w:tcPr>
            <w:tcW w:w="995" w:type="dxa"/>
            <w:tcBorders>
              <w:top w:val="single" w:sz="8" w:space="0" w:color="E6EAED"/>
              <w:left w:val="nil"/>
              <w:bottom w:val="single" w:sz="8" w:space="0" w:color="E9E9E9"/>
              <w:right w:val="nil"/>
            </w:tcBorders>
            <w:tcMar>
              <w:top w:w="0" w:type="dxa"/>
              <w:left w:w="53" w:type="dxa"/>
              <w:bottom w:w="0" w:type="dxa"/>
              <w:right w:w="0" w:type="dxa"/>
            </w:tcMar>
            <w:vAlign w:val="bottom"/>
          </w:tcPr>
          <w:p w14:paraId="000A92E9" w14:textId="77777777" w:rsidR="001614AC" w:rsidRDefault="004468F9">
            <w:pPr>
              <w:keepNext/>
              <w:spacing w:before="55" w:after="30" w:line="288" w:lineRule="auto"/>
              <w:jc w:val="right"/>
            </w:pPr>
            <w:r>
              <w:rPr>
                <w:rFonts w:ascii="Arial" w:eastAsia="Arial" w:hAnsi="Arial" w:cs="Arial"/>
                <w:color w:val="000000"/>
                <w:sz w:val="18"/>
              </w:rPr>
              <w:t>42.8 </w:t>
            </w:r>
          </w:p>
        </w:tc>
        <w:tc>
          <w:tcPr>
            <w:tcW w:w="100" w:type="dxa"/>
            <w:tcBorders>
              <w:top w:val="single" w:sz="8" w:space="0" w:color="E6EAED"/>
              <w:left w:val="nil"/>
              <w:bottom w:val="single" w:sz="8" w:space="0" w:color="E9E9E9"/>
              <w:right w:val="nil"/>
            </w:tcBorders>
            <w:tcMar>
              <w:top w:w="0" w:type="dxa"/>
              <w:left w:w="0" w:type="dxa"/>
              <w:bottom w:w="0" w:type="dxa"/>
              <w:right w:w="15" w:type="dxa"/>
            </w:tcMar>
            <w:vAlign w:val="bottom"/>
          </w:tcPr>
          <w:p w14:paraId="30B2AD37" w14:textId="77777777" w:rsidR="001614AC" w:rsidRDefault="004468F9">
            <w:pPr>
              <w:keepNext/>
              <w:spacing w:before="55" w:after="30" w:line="288" w:lineRule="auto"/>
              <w:jc w:val="right"/>
            </w:pPr>
            <w:r>
              <w:rPr>
                <w:rFonts w:ascii="Arial" w:eastAsia="Arial" w:hAnsi="Arial" w:cs="Arial"/>
                <w:color w:val="000000"/>
                <w:sz w:val="18"/>
              </w:rPr>
              <w:t>%</w:t>
            </w:r>
          </w:p>
        </w:tc>
        <w:tc>
          <w:tcPr>
            <w:tcW w:w="105" w:type="dxa"/>
            <w:tcBorders>
              <w:top w:val="nil"/>
              <w:left w:val="nil"/>
              <w:bottom w:val="nil"/>
              <w:right w:val="nil"/>
            </w:tcBorders>
            <w:tcMar>
              <w:top w:w="0" w:type="dxa"/>
              <w:left w:w="0" w:type="dxa"/>
              <w:bottom w:w="0" w:type="dxa"/>
              <w:right w:w="0" w:type="dxa"/>
            </w:tcMar>
            <w:vAlign w:val="bottom"/>
          </w:tcPr>
          <w:p w14:paraId="51ABF624" w14:textId="77777777" w:rsidR="001614AC" w:rsidRDefault="001614AC">
            <w:pPr>
              <w:keepNext/>
            </w:pPr>
          </w:p>
        </w:tc>
        <w:tc>
          <w:tcPr>
            <w:tcW w:w="160" w:type="dxa"/>
            <w:tcBorders>
              <w:top w:val="single" w:sz="8" w:space="0" w:color="E6EAED"/>
              <w:left w:val="nil"/>
              <w:bottom w:val="single" w:sz="8" w:space="0" w:color="E9E9E9"/>
              <w:right w:val="nil"/>
            </w:tcBorders>
            <w:tcMar>
              <w:top w:w="0" w:type="dxa"/>
              <w:left w:w="53" w:type="dxa"/>
              <w:bottom w:w="0" w:type="dxa"/>
              <w:right w:w="0" w:type="dxa"/>
            </w:tcMar>
            <w:vAlign w:val="bottom"/>
          </w:tcPr>
          <w:p w14:paraId="4D0E9E6A" w14:textId="77777777" w:rsidR="001614AC" w:rsidRDefault="004468F9">
            <w:pPr>
              <w:keepNext/>
              <w:spacing w:before="55" w:after="30" w:line="288" w:lineRule="auto"/>
            </w:pPr>
            <w:r>
              <w:rPr>
                <w:rFonts w:ascii="Arial" w:eastAsia="Arial" w:hAnsi="Arial" w:cs="Arial"/>
                <w:color w:val="000000"/>
                <w:sz w:val="18"/>
              </w:rPr>
              <w:t>$</w:t>
            </w:r>
          </w:p>
        </w:tc>
        <w:tc>
          <w:tcPr>
            <w:tcW w:w="835" w:type="dxa"/>
            <w:tcBorders>
              <w:top w:val="single" w:sz="8" w:space="0" w:color="E6EAED"/>
              <w:left w:val="nil"/>
              <w:bottom w:val="single" w:sz="8" w:space="0" w:color="E9E9E9"/>
              <w:right w:val="nil"/>
            </w:tcBorders>
            <w:tcMar>
              <w:top w:w="0" w:type="dxa"/>
              <w:left w:w="0" w:type="dxa"/>
              <w:bottom w:w="0" w:type="dxa"/>
              <w:right w:w="0" w:type="dxa"/>
            </w:tcMar>
            <w:vAlign w:val="bottom"/>
          </w:tcPr>
          <w:p w14:paraId="44E03275" w14:textId="77777777" w:rsidR="001614AC" w:rsidRDefault="004468F9">
            <w:pPr>
              <w:keepNext/>
              <w:spacing w:before="55" w:after="30" w:line="288" w:lineRule="auto"/>
              <w:jc w:val="right"/>
            </w:pPr>
            <w:r>
              <w:rPr>
                <w:rFonts w:ascii="Arial" w:eastAsia="Arial" w:hAnsi="Arial" w:cs="Arial"/>
                <w:color w:val="000000"/>
                <w:sz w:val="18"/>
              </w:rPr>
              <w:t>63,159 </w:t>
            </w:r>
          </w:p>
        </w:tc>
        <w:tc>
          <w:tcPr>
            <w:tcW w:w="100" w:type="dxa"/>
            <w:tcBorders>
              <w:top w:val="single" w:sz="8" w:space="0" w:color="E6EAED"/>
              <w:left w:val="nil"/>
              <w:bottom w:val="single" w:sz="8" w:space="0" w:color="E9E9E9"/>
              <w:right w:val="nil"/>
            </w:tcBorders>
            <w:tcMar>
              <w:top w:w="0" w:type="dxa"/>
              <w:left w:w="0" w:type="dxa"/>
              <w:bottom w:w="0" w:type="dxa"/>
              <w:right w:w="15" w:type="dxa"/>
            </w:tcMar>
            <w:vAlign w:val="bottom"/>
          </w:tcPr>
          <w:p w14:paraId="67FC8632" w14:textId="77777777" w:rsidR="001614AC" w:rsidRDefault="001614AC">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5DB5283E" w14:textId="77777777" w:rsidR="001614AC" w:rsidRDefault="001614AC">
            <w:pPr>
              <w:keepNext/>
            </w:pPr>
          </w:p>
        </w:tc>
        <w:tc>
          <w:tcPr>
            <w:tcW w:w="800" w:type="dxa"/>
            <w:tcBorders>
              <w:top w:val="single" w:sz="8" w:space="0" w:color="E6EAED"/>
              <w:left w:val="nil"/>
              <w:bottom w:val="single" w:sz="8" w:space="0" w:color="E9E9E9"/>
              <w:right w:val="nil"/>
            </w:tcBorders>
            <w:tcMar>
              <w:top w:w="0" w:type="dxa"/>
              <w:left w:w="53" w:type="dxa"/>
              <w:bottom w:w="0" w:type="dxa"/>
              <w:right w:w="0" w:type="dxa"/>
            </w:tcMar>
            <w:vAlign w:val="bottom"/>
          </w:tcPr>
          <w:p w14:paraId="09D5CAF0" w14:textId="77777777" w:rsidR="001614AC" w:rsidRDefault="004468F9">
            <w:pPr>
              <w:keepNext/>
              <w:spacing w:before="55" w:after="30" w:line="288" w:lineRule="auto"/>
              <w:jc w:val="right"/>
            </w:pPr>
            <w:r>
              <w:rPr>
                <w:rFonts w:ascii="Arial" w:eastAsia="Arial" w:hAnsi="Arial" w:cs="Arial"/>
                <w:color w:val="000000"/>
                <w:sz w:val="18"/>
              </w:rPr>
              <w:t>7.5 </w:t>
            </w:r>
          </w:p>
        </w:tc>
        <w:tc>
          <w:tcPr>
            <w:tcW w:w="100" w:type="dxa"/>
            <w:tcBorders>
              <w:top w:val="single" w:sz="8" w:space="0" w:color="E6EAED"/>
              <w:left w:val="nil"/>
              <w:bottom w:val="single" w:sz="8" w:space="0" w:color="E9E9E9"/>
              <w:right w:val="nil"/>
            </w:tcBorders>
            <w:tcMar>
              <w:top w:w="0" w:type="dxa"/>
              <w:left w:w="0" w:type="dxa"/>
              <w:bottom w:w="0" w:type="dxa"/>
              <w:right w:w="15" w:type="dxa"/>
            </w:tcMar>
            <w:vAlign w:val="bottom"/>
          </w:tcPr>
          <w:p w14:paraId="69D708B1" w14:textId="77777777" w:rsidR="001614AC" w:rsidRDefault="004468F9">
            <w:pPr>
              <w:keepNext/>
              <w:spacing w:before="55" w:after="30" w:line="288" w:lineRule="auto"/>
              <w:jc w:val="right"/>
            </w:pPr>
            <w:r>
              <w:rPr>
                <w:rFonts w:ascii="Arial" w:eastAsia="Arial" w:hAnsi="Arial" w:cs="Arial"/>
                <w:color w:val="000000"/>
                <w:sz w:val="18"/>
              </w:rPr>
              <w:t>%</w:t>
            </w:r>
          </w:p>
        </w:tc>
      </w:tr>
      <w:tr w:rsidR="001614AC" w14:paraId="08DC3D46" w14:textId="77777777">
        <w:trPr>
          <w:cantSplit/>
        </w:trPr>
        <w:tc>
          <w:tcPr>
            <w:tcW w:w="3360" w:type="dxa"/>
            <w:tcBorders>
              <w:top w:val="single" w:sz="8" w:space="0" w:color="E9E9E9"/>
              <w:left w:val="nil"/>
              <w:bottom w:val="single" w:sz="8" w:space="0" w:color="E9E9E9"/>
              <w:right w:val="nil"/>
            </w:tcBorders>
            <w:tcMar>
              <w:top w:w="0" w:type="dxa"/>
              <w:left w:w="53" w:type="dxa"/>
              <w:bottom w:w="0" w:type="dxa"/>
              <w:right w:w="53" w:type="dxa"/>
            </w:tcMar>
            <w:vAlign w:val="bottom"/>
          </w:tcPr>
          <w:p w14:paraId="24491426" w14:textId="77777777" w:rsidR="001614AC" w:rsidRDefault="004468F9">
            <w:pPr>
              <w:keepNext/>
              <w:spacing w:before="55" w:after="30" w:line="288" w:lineRule="auto"/>
              <w:ind w:left="240"/>
            </w:pPr>
            <w:r>
              <w:rPr>
                <w:rFonts w:ascii="Arial" w:eastAsia="Arial" w:hAnsi="Arial" w:cs="Arial"/>
                <w:color w:val="000000"/>
                <w:sz w:val="18"/>
              </w:rPr>
              <w:t>Four to eleven payments</w:t>
            </w:r>
          </w:p>
        </w:tc>
        <w:tc>
          <w:tcPr>
            <w:tcW w:w="105" w:type="dxa"/>
            <w:tcBorders>
              <w:top w:val="nil"/>
              <w:left w:val="nil"/>
              <w:bottom w:val="nil"/>
              <w:right w:val="nil"/>
            </w:tcBorders>
            <w:tcMar>
              <w:top w:w="0" w:type="dxa"/>
              <w:left w:w="0" w:type="dxa"/>
              <w:bottom w:w="0" w:type="dxa"/>
              <w:right w:w="0" w:type="dxa"/>
            </w:tcMar>
            <w:vAlign w:val="bottom"/>
          </w:tcPr>
          <w:p w14:paraId="2296B02D" w14:textId="77777777" w:rsidR="001614AC" w:rsidRDefault="001614AC">
            <w:pPr>
              <w:keepNext/>
            </w:pPr>
          </w:p>
        </w:tc>
        <w:tc>
          <w:tcPr>
            <w:tcW w:w="800" w:type="dxa"/>
            <w:tcBorders>
              <w:top w:val="single" w:sz="8" w:space="0" w:color="E9E9E9"/>
              <w:left w:val="nil"/>
              <w:bottom w:val="single" w:sz="8" w:space="0" w:color="E9E9E9"/>
              <w:right w:val="nil"/>
            </w:tcBorders>
            <w:tcMar>
              <w:top w:w="0" w:type="dxa"/>
              <w:left w:w="53" w:type="dxa"/>
              <w:bottom w:w="0" w:type="dxa"/>
              <w:right w:w="0" w:type="dxa"/>
            </w:tcMar>
            <w:vAlign w:val="bottom"/>
          </w:tcPr>
          <w:p w14:paraId="09F174EF" w14:textId="77777777" w:rsidR="001614AC" w:rsidRDefault="004468F9">
            <w:pPr>
              <w:keepNext/>
              <w:spacing w:before="55" w:after="30" w:line="288" w:lineRule="auto"/>
              <w:jc w:val="right"/>
            </w:pPr>
            <w:r>
              <w:rPr>
                <w:rFonts w:ascii="Arial" w:eastAsia="Arial" w:hAnsi="Arial" w:cs="Arial"/>
                <w:color w:val="000000"/>
                <w:sz w:val="18"/>
              </w:rPr>
              <w:t>14,101 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0F1FAC59" w14:textId="77777777" w:rsidR="001614AC" w:rsidRDefault="001614AC">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4D239CA9" w14:textId="77777777" w:rsidR="001614AC" w:rsidRDefault="001614AC">
            <w:pPr>
              <w:keepNext/>
            </w:pPr>
          </w:p>
        </w:tc>
        <w:tc>
          <w:tcPr>
            <w:tcW w:w="800" w:type="dxa"/>
            <w:tcBorders>
              <w:top w:val="single" w:sz="8" w:space="0" w:color="E9E9E9"/>
              <w:left w:val="nil"/>
              <w:bottom w:val="single" w:sz="8" w:space="0" w:color="E9E9E9"/>
              <w:right w:val="nil"/>
            </w:tcBorders>
            <w:tcMar>
              <w:top w:w="0" w:type="dxa"/>
              <w:left w:w="53" w:type="dxa"/>
              <w:bottom w:w="0" w:type="dxa"/>
              <w:right w:w="0" w:type="dxa"/>
            </w:tcMar>
            <w:vAlign w:val="bottom"/>
          </w:tcPr>
          <w:p w14:paraId="6A3DE06D" w14:textId="77777777" w:rsidR="001614AC" w:rsidRDefault="004468F9">
            <w:pPr>
              <w:keepNext/>
              <w:spacing w:before="55" w:after="30" w:line="288" w:lineRule="auto"/>
              <w:jc w:val="right"/>
            </w:pPr>
            <w:r>
              <w:rPr>
                <w:rFonts w:ascii="Arial" w:eastAsia="Arial" w:hAnsi="Arial" w:cs="Arial"/>
                <w:color w:val="000000"/>
                <w:sz w:val="18"/>
              </w:rPr>
              <w:t>34.9 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62D7980D" w14:textId="77777777" w:rsidR="001614AC" w:rsidRDefault="001614AC">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03F11E7E" w14:textId="77777777" w:rsidR="001614AC" w:rsidRDefault="001614AC">
            <w:pPr>
              <w:keepNext/>
            </w:pPr>
          </w:p>
        </w:tc>
        <w:tc>
          <w:tcPr>
            <w:tcW w:w="1100" w:type="dxa"/>
            <w:tcBorders>
              <w:top w:val="single" w:sz="8" w:space="0" w:color="E9E9E9"/>
              <w:left w:val="nil"/>
              <w:bottom w:val="single" w:sz="8" w:space="0" w:color="E9E9E9"/>
              <w:right w:val="nil"/>
            </w:tcBorders>
            <w:tcMar>
              <w:top w:w="0" w:type="dxa"/>
              <w:left w:w="53" w:type="dxa"/>
              <w:bottom w:w="0" w:type="dxa"/>
              <w:right w:w="0" w:type="dxa"/>
            </w:tcMar>
            <w:vAlign w:val="bottom"/>
          </w:tcPr>
          <w:p w14:paraId="542B6D3D" w14:textId="77777777" w:rsidR="001614AC" w:rsidRDefault="004468F9">
            <w:pPr>
              <w:keepNext/>
              <w:spacing w:before="55" w:after="30" w:line="288" w:lineRule="auto"/>
              <w:jc w:val="right"/>
            </w:pPr>
            <w:r>
              <w:rPr>
                <w:rFonts w:ascii="Arial" w:eastAsia="Arial" w:hAnsi="Arial" w:cs="Arial"/>
                <w:color w:val="000000"/>
                <w:sz w:val="18"/>
              </w:rPr>
              <w:t>135 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210A901C" w14:textId="77777777" w:rsidR="001614AC" w:rsidRDefault="001614AC">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2D473892" w14:textId="77777777" w:rsidR="001614AC" w:rsidRDefault="001614AC">
            <w:pPr>
              <w:keepNext/>
            </w:pPr>
          </w:p>
        </w:tc>
        <w:tc>
          <w:tcPr>
            <w:tcW w:w="995" w:type="dxa"/>
            <w:tcBorders>
              <w:top w:val="single" w:sz="8" w:space="0" w:color="E9E9E9"/>
              <w:left w:val="nil"/>
              <w:bottom w:val="single" w:sz="8" w:space="0" w:color="E9E9E9"/>
              <w:right w:val="nil"/>
            </w:tcBorders>
            <w:tcMar>
              <w:top w:w="0" w:type="dxa"/>
              <w:left w:w="53" w:type="dxa"/>
              <w:bottom w:w="0" w:type="dxa"/>
              <w:right w:w="0" w:type="dxa"/>
            </w:tcMar>
            <w:vAlign w:val="bottom"/>
          </w:tcPr>
          <w:p w14:paraId="20520DEF" w14:textId="77777777" w:rsidR="001614AC" w:rsidRDefault="004468F9">
            <w:pPr>
              <w:keepNext/>
              <w:spacing w:before="55" w:after="30" w:line="288" w:lineRule="auto"/>
              <w:jc w:val="right"/>
            </w:pPr>
            <w:r>
              <w:rPr>
                <w:rFonts w:ascii="Arial" w:eastAsia="Arial" w:hAnsi="Arial" w:cs="Arial"/>
                <w:color w:val="000000"/>
                <w:sz w:val="18"/>
              </w:rPr>
              <w:t>30.1 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06ED5BF3" w14:textId="77777777" w:rsidR="001614AC" w:rsidRDefault="001614AC">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5AED2FC0" w14:textId="77777777" w:rsidR="001614AC" w:rsidRDefault="001614AC">
            <w:pPr>
              <w:keepNext/>
            </w:pPr>
          </w:p>
        </w:tc>
        <w:tc>
          <w:tcPr>
            <w:tcW w:w="99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584DB49C" w14:textId="77777777" w:rsidR="001614AC" w:rsidRDefault="004468F9">
            <w:pPr>
              <w:keepNext/>
              <w:spacing w:before="55" w:after="30" w:line="288" w:lineRule="auto"/>
              <w:jc w:val="right"/>
            </w:pPr>
            <w:r>
              <w:rPr>
                <w:rFonts w:ascii="Arial" w:eastAsia="Arial" w:hAnsi="Arial" w:cs="Arial"/>
                <w:color w:val="000000"/>
                <w:sz w:val="18"/>
              </w:rPr>
              <w:t>221,462 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3816B909" w14:textId="77777777" w:rsidR="001614AC" w:rsidRDefault="001614AC">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5AC56B7B" w14:textId="77777777" w:rsidR="001614AC" w:rsidRDefault="001614AC">
            <w:pPr>
              <w:keepNext/>
            </w:pPr>
          </w:p>
        </w:tc>
        <w:tc>
          <w:tcPr>
            <w:tcW w:w="800" w:type="dxa"/>
            <w:tcBorders>
              <w:top w:val="single" w:sz="8" w:space="0" w:color="E9E9E9"/>
              <w:left w:val="nil"/>
              <w:bottom w:val="single" w:sz="8" w:space="0" w:color="E9E9E9"/>
              <w:right w:val="nil"/>
            </w:tcBorders>
            <w:tcMar>
              <w:top w:w="0" w:type="dxa"/>
              <w:left w:w="53" w:type="dxa"/>
              <w:bottom w:w="0" w:type="dxa"/>
              <w:right w:w="0" w:type="dxa"/>
            </w:tcMar>
            <w:vAlign w:val="bottom"/>
          </w:tcPr>
          <w:p w14:paraId="62B92606" w14:textId="77777777" w:rsidR="001614AC" w:rsidRDefault="004468F9">
            <w:pPr>
              <w:keepNext/>
              <w:spacing w:before="55" w:after="30" w:line="288" w:lineRule="auto"/>
              <w:jc w:val="right"/>
            </w:pPr>
            <w:r>
              <w:rPr>
                <w:rFonts w:ascii="Arial" w:eastAsia="Arial" w:hAnsi="Arial" w:cs="Arial"/>
                <w:color w:val="000000"/>
                <w:sz w:val="18"/>
              </w:rPr>
              <w:t>26.3 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73F493EF" w14:textId="77777777" w:rsidR="001614AC" w:rsidRDefault="001614AC">
            <w:pPr>
              <w:keepNext/>
              <w:spacing w:before="55" w:after="30" w:line="288" w:lineRule="auto"/>
              <w:jc w:val="right"/>
            </w:pPr>
          </w:p>
        </w:tc>
      </w:tr>
      <w:tr w:rsidR="001614AC" w14:paraId="0EF7AF44" w14:textId="77777777">
        <w:trPr>
          <w:cantSplit/>
        </w:trPr>
        <w:tc>
          <w:tcPr>
            <w:tcW w:w="3360" w:type="dxa"/>
            <w:tcBorders>
              <w:top w:val="single" w:sz="8" w:space="0" w:color="E9E9E9"/>
              <w:left w:val="nil"/>
              <w:bottom w:val="single" w:sz="8" w:space="0" w:color="E9E9E9"/>
              <w:right w:val="nil"/>
            </w:tcBorders>
            <w:tcMar>
              <w:top w:w="0" w:type="dxa"/>
              <w:left w:w="53" w:type="dxa"/>
              <w:bottom w:w="0" w:type="dxa"/>
              <w:right w:w="53" w:type="dxa"/>
            </w:tcMar>
            <w:vAlign w:val="bottom"/>
          </w:tcPr>
          <w:p w14:paraId="04276D3E" w14:textId="77777777" w:rsidR="001614AC" w:rsidRDefault="004468F9">
            <w:pPr>
              <w:keepNext/>
              <w:spacing w:before="55" w:after="30" w:line="288" w:lineRule="auto"/>
              <w:ind w:left="240"/>
            </w:pPr>
            <w:r>
              <w:rPr>
                <w:rFonts w:ascii="Arial" w:eastAsia="Arial" w:hAnsi="Arial" w:cs="Arial"/>
                <w:color w:val="000000"/>
                <w:sz w:val="18"/>
              </w:rPr>
              <w:t>Twelve payments or more</w:t>
            </w:r>
          </w:p>
        </w:tc>
        <w:tc>
          <w:tcPr>
            <w:tcW w:w="105" w:type="dxa"/>
            <w:tcBorders>
              <w:top w:val="nil"/>
              <w:left w:val="nil"/>
              <w:bottom w:val="nil"/>
              <w:right w:val="nil"/>
            </w:tcBorders>
            <w:tcMar>
              <w:top w:w="0" w:type="dxa"/>
              <w:left w:w="0" w:type="dxa"/>
              <w:bottom w:w="0" w:type="dxa"/>
              <w:right w:w="0" w:type="dxa"/>
            </w:tcMar>
            <w:vAlign w:val="bottom"/>
          </w:tcPr>
          <w:p w14:paraId="77968995" w14:textId="77777777" w:rsidR="001614AC" w:rsidRDefault="001614AC">
            <w:pPr>
              <w:keepNext/>
            </w:pPr>
          </w:p>
        </w:tc>
        <w:tc>
          <w:tcPr>
            <w:tcW w:w="800" w:type="dxa"/>
            <w:tcBorders>
              <w:top w:val="single" w:sz="8" w:space="0" w:color="E9E9E9"/>
              <w:left w:val="nil"/>
              <w:bottom w:val="single" w:sz="8" w:space="0" w:color="E9E9E9"/>
              <w:right w:val="nil"/>
            </w:tcBorders>
            <w:tcMar>
              <w:top w:w="0" w:type="dxa"/>
              <w:left w:w="53" w:type="dxa"/>
              <w:bottom w:w="0" w:type="dxa"/>
              <w:right w:w="0" w:type="dxa"/>
            </w:tcMar>
            <w:vAlign w:val="bottom"/>
          </w:tcPr>
          <w:p w14:paraId="652923D2" w14:textId="77777777" w:rsidR="001614AC" w:rsidRDefault="004468F9">
            <w:pPr>
              <w:keepNext/>
              <w:spacing w:before="55" w:after="30" w:line="288" w:lineRule="auto"/>
              <w:jc w:val="right"/>
            </w:pPr>
            <w:r>
              <w:rPr>
                <w:rFonts w:ascii="Arial" w:eastAsia="Arial" w:hAnsi="Arial" w:cs="Arial"/>
                <w:color w:val="000000"/>
                <w:sz w:val="18"/>
              </w:rPr>
              <w:t>19,170 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76501184" w14:textId="77777777" w:rsidR="001614AC" w:rsidRDefault="001614AC">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78BCFA2C" w14:textId="77777777" w:rsidR="001614AC" w:rsidRDefault="001614AC">
            <w:pPr>
              <w:keepNext/>
            </w:pPr>
          </w:p>
        </w:tc>
        <w:tc>
          <w:tcPr>
            <w:tcW w:w="800" w:type="dxa"/>
            <w:tcBorders>
              <w:top w:val="single" w:sz="8" w:space="0" w:color="E9E9E9"/>
              <w:left w:val="nil"/>
              <w:bottom w:val="single" w:sz="8" w:space="0" w:color="E9E9E9"/>
              <w:right w:val="nil"/>
            </w:tcBorders>
            <w:tcMar>
              <w:top w:w="0" w:type="dxa"/>
              <w:left w:w="53" w:type="dxa"/>
              <w:bottom w:w="0" w:type="dxa"/>
              <w:right w:w="0" w:type="dxa"/>
            </w:tcMar>
            <w:vAlign w:val="bottom"/>
          </w:tcPr>
          <w:p w14:paraId="04D668B1" w14:textId="77777777" w:rsidR="001614AC" w:rsidRDefault="004468F9">
            <w:pPr>
              <w:keepNext/>
              <w:spacing w:before="55" w:after="30" w:line="288" w:lineRule="auto"/>
              <w:jc w:val="right"/>
            </w:pPr>
            <w:r>
              <w:rPr>
                <w:rFonts w:ascii="Arial" w:eastAsia="Arial" w:hAnsi="Arial" w:cs="Arial"/>
                <w:color w:val="000000"/>
                <w:sz w:val="18"/>
              </w:rPr>
              <w:t>47.4 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307B07C6" w14:textId="77777777" w:rsidR="001614AC" w:rsidRDefault="001614AC">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7AE5F69E" w14:textId="77777777" w:rsidR="001614AC" w:rsidRDefault="001614AC">
            <w:pPr>
              <w:keepNext/>
            </w:pPr>
          </w:p>
        </w:tc>
        <w:tc>
          <w:tcPr>
            <w:tcW w:w="1100" w:type="dxa"/>
            <w:tcBorders>
              <w:top w:val="single" w:sz="8" w:space="0" w:color="E9E9E9"/>
              <w:left w:val="nil"/>
              <w:bottom w:val="single" w:sz="8" w:space="0" w:color="E9E9E9"/>
              <w:right w:val="nil"/>
            </w:tcBorders>
            <w:tcMar>
              <w:top w:w="0" w:type="dxa"/>
              <w:left w:w="53" w:type="dxa"/>
              <w:bottom w:w="0" w:type="dxa"/>
              <w:right w:w="0" w:type="dxa"/>
            </w:tcMar>
            <w:vAlign w:val="bottom"/>
          </w:tcPr>
          <w:p w14:paraId="6332F45F" w14:textId="77777777" w:rsidR="001614AC" w:rsidRDefault="004468F9">
            <w:pPr>
              <w:keepNext/>
              <w:spacing w:before="55" w:after="30" w:line="288" w:lineRule="auto"/>
              <w:jc w:val="right"/>
            </w:pPr>
            <w:r>
              <w:rPr>
                <w:rFonts w:ascii="Arial" w:eastAsia="Arial" w:hAnsi="Arial" w:cs="Arial"/>
                <w:color w:val="000000"/>
                <w:sz w:val="18"/>
              </w:rPr>
              <w:t>822 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34D5CCC9" w14:textId="77777777" w:rsidR="001614AC" w:rsidRDefault="001614AC">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091E008F" w14:textId="77777777" w:rsidR="001614AC" w:rsidRDefault="001614AC">
            <w:pPr>
              <w:keepNext/>
            </w:pPr>
          </w:p>
        </w:tc>
        <w:tc>
          <w:tcPr>
            <w:tcW w:w="995" w:type="dxa"/>
            <w:tcBorders>
              <w:top w:val="single" w:sz="8" w:space="0" w:color="E9E9E9"/>
              <w:left w:val="nil"/>
              <w:bottom w:val="single" w:sz="8" w:space="0" w:color="E9E9E9"/>
              <w:right w:val="nil"/>
            </w:tcBorders>
            <w:tcMar>
              <w:top w:w="0" w:type="dxa"/>
              <w:left w:w="53" w:type="dxa"/>
              <w:bottom w:w="0" w:type="dxa"/>
              <w:right w:w="0" w:type="dxa"/>
            </w:tcMar>
            <w:vAlign w:val="bottom"/>
          </w:tcPr>
          <w:p w14:paraId="5F0810A4" w14:textId="77777777" w:rsidR="001614AC" w:rsidRDefault="004468F9">
            <w:pPr>
              <w:keepNext/>
              <w:spacing w:before="55" w:after="30" w:line="288" w:lineRule="auto"/>
              <w:jc w:val="right"/>
            </w:pPr>
            <w:r>
              <w:rPr>
                <w:rFonts w:ascii="Arial" w:eastAsia="Arial" w:hAnsi="Arial" w:cs="Arial"/>
                <w:color w:val="000000"/>
                <w:sz w:val="18"/>
              </w:rPr>
              <w:t>18.3 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5373413D" w14:textId="77777777" w:rsidR="001614AC" w:rsidRDefault="001614AC">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079A9CF3" w14:textId="77777777" w:rsidR="001614AC" w:rsidRDefault="001614AC">
            <w:pPr>
              <w:keepNext/>
            </w:pPr>
          </w:p>
        </w:tc>
        <w:tc>
          <w:tcPr>
            <w:tcW w:w="99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5183DD4F" w14:textId="77777777" w:rsidR="001614AC" w:rsidRDefault="004468F9">
            <w:pPr>
              <w:keepNext/>
              <w:spacing w:before="55" w:after="30" w:line="288" w:lineRule="auto"/>
              <w:jc w:val="right"/>
            </w:pPr>
            <w:r>
              <w:rPr>
                <w:rFonts w:ascii="Arial" w:eastAsia="Arial" w:hAnsi="Arial" w:cs="Arial"/>
                <w:color w:val="000000"/>
                <w:sz w:val="18"/>
              </w:rPr>
              <w:t>540,250 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4ACE0108" w14:textId="77777777" w:rsidR="001614AC" w:rsidRDefault="001614AC">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5C0A67DF" w14:textId="77777777" w:rsidR="001614AC" w:rsidRDefault="001614AC">
            <w:pPr>
              <w:keepNext/>
            </w:pPr>
          </w:p>
        </w:tc>
        <w:tc>
          <w:tcPr>
            <w:tcW w:w="800" w:type="dxa"/>
            <w:tcBorders>
              <w:top w:val="single" w:sz="8" w:space="0" w:color="E9E9E9"/>
              <w:left w:val="nil"/>
              <w:bottom w:val="single" w:sz="8" w:space="0" w:color="E9E9E9"/>
              <w:right w:val="nil"/>
            </w:tcBorders>
            <w:tcMar>
              <w:top w:w="0" w:type="dxa"/>
              <w:left w:w="53" w:type="dxa"/>
              <w:bottom w:w="0" w:type="dxa"/>
              <w:right w:w="0" w:type="dxa"/>
            </w:tcMar>
            <w:vAlign w:val="bottom"/>
          </w:tcPr>
          <w:p w14:paraId="163FB94B" w14:textId="77777777" w:rsidR="001614AC" w:rsidRDefault="004468F9">
            <w:pPr>
              <w:keepNext/>
              <w:spacing w:before="55" w:after="30" w:line="288" w:lineRule="auto"/>
              <w:jc w:val="right"/>
            </w:pPr>
            <w:r>
              <w:rPr>
                <w:rFonts w:ascii="Arial" w:eastAsia="Arial" w:hAnsi="Arial" w:cs="Arial"/>
                <w:color w:val="000000"/>
                <w:sz w:val="18"/>
              </w:rPr>
              <w:t>64.3 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25B43F93" w14:textId="77777777" w:rsidR="001614AC" w:rsidRDefault="001614AC">
            <w:pPr>
              <w:keepNext/>
              <w:spacing w:before="55" w:after="30" w:line="288" w:lineRule="auto"/>
              <w:jc w:val="right"/>
            </w:pPr>
          </w:p>
        </w:tc>
      </w:tr>
      <w:tr w:rsidR="001614AC" w14:paraId="46831163" w14:textId="77777777">
        <w:trPr>
          <w:cantSplit/>
        </w:trPr>
        <w:tc>
          <w:tcPr>
            <w:tcW w:w="3360" w:type="dxa"/>
            <w:tcBorders>
              <w:top w:val="single" w:sz="8" w:space="0" w:color="E9E9E9"/>
              <w:left w:val="nil"/>
              <w:bottom w:val="nil"/>
              <w:right w:val="nil"/>
            </w:tcBorders>
            <w:tcMar>
              <w:top w:w="0" w:type="dxa"/>
              <w:left w:w="53" w:type="dxa"/>
              <w:bottom w:w="0" w:type="dxa"/>
              <w:right w:w="53" w:type="dxa"/>
            </w:tcMar>
            <w:vAlign w:val="bottom"/>
          </w:tcPr>
          <w:p w14:paraId="4F0B7468" w14:textId="77777777" w:rsidR="001614AC" w:rsidRDefault="004468F9">
            <w:pPr>
              <w:keepNext/>
              <w:spacing w:before="55" w:after="30" w:line="288" w:lineRule="auto"/>
            </w:pPr>
            <w:r>
              <w:rPr>
                <w:rFonts w:ascii="Arial" w:eastAsia="Arial" w:hAnsi="Arial" w:cs="Arial"/>
                <w:color w:val="000000"/>
                <w:sz w:val="18"/>
              </w:rPr>
              <w:t>Pending claims</w:t>
            </w:r>
          </w:p>
        </w:tc>
        <w:tc>
          <w:tcPr>
            <w:tcW w:w="105" w:type="dxa"/>
            <w:tcBorders>
              <w:top w:val="nil"/>
              <w:left w:val="nil"/>
              <w:bottom w:val="nil"/>
              <w:right w:val="nil"/>
            </w:tcBorders>
            <w:tcMar>
              <w:top w:w="0" w:type="dxa"/>
              <w:left w:w="0" w:type="dxa"/>
              <w:bottom w:w="0" w:type="dxa"/>
              <w:right w:w="0" w:type="dxa"/>
            </w:tcMar>
            <w:vAlign w:val="bottom"/>
          </w:tcPr>
          <w:p w14:paraId="057D962C" w14:textId="77777777" w:rsidR="001614AC" w:rsidRDefault="001614AC">
            <w:pPr>
              <w:keepNext/>
            </w:pPr>
          </w:p>
        </w:tc>
        <w:tc>
          <w:tcPr>
            <w:tcW w:w="800" w:type="dxa"/>
            <w:tcBorders>
              <w:top w:val="single" w:sz="8" w:space="0" w:color="E9E9E9"/>
              <w:left w:val="nil"/>
              <w:bottom w:val="single" w:sz="8" w:space="0" w:color="C7C9C7"/>
              <w:right w:val="nil"/>
            </w:tcBorders>
            <w:tcMar>
              <w:top w:w="0" w:type="dxa"/>
              <w:left w:w="53" w:type="dxa"/>
              <w:bottom w:w="0" w:type="dxa"/>
              <w:right w:w="0" w:type="dxa"/>
            </w:tcMar>
            <w:vAlign w:val="bottom"/>
          </w:tcPr>
          <w:p w14:paraId="3DF6C809" w14:textId="77777777" w:rsidR="001614AC" w:rsidRDefault="004468F9">
            <w:pPr>
              <w:keepNext/>
              <w:spacing w:before="55" w:after="30" w:line="288" w:lineRule="auto"/>
              <w:jc w:val="right"/>
            </w:pPr>
            <w:r>
              <w:rPr>
                <w:rFonts w:ascii="Arial" w:eastAsia="Arial" w:hAnsi="Arial" w:cs="Arial"/>
                <w:color w:val="000000"/>
                <w:sz w:val="18"/>
              </w:rPr>
              <w:t>302 </w:t>
            </w:r>
          </w:p>
        </w:tc>
        <w:tc>
          <w:tcPr>
            <w:tcW w:w="100" w:type="dxa"/>
            <w:tcBorders>
              <w:top w:val="single" w:sz="8" w:space="0" w:color="E9E9E9"/>
              <w:left w:val="nil"/>
              <w:bottom w:val="single" w:sz="8" w:space="0" w:color="C7C9C7"/>
              <w:right w:val="nil"/>
            </w:tcBorders>
            <w:tcMar>
              <w:top w:w="0" w:type="dxa"/>
              <w:left w:w="0" w:type="dxa"/>
              <w:bottom w:w="0" w:type="dxa"/>
              <w:right w:w="15" w:type="dxa"/>
            </w:tcMar>
            <w:vAlign w:val="bottom"/>
          </w:tcPr>
          <w:p w14:paraId="3F64E7FF" w14:textId="77777777" w:rsidR="001614AC" w:rsidRDefault="001614AC">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1D24FC9A" w14:textId="77777777" w:rsidR="001614AC" w:rsidRDefault="001614AC">
            <w:pPr>
              <w:keepNext/>
            </w:pPr>
          </w:p>
        </w:tc>
        <w:tc>
          <w:tcPr>
            <w:tcW w:w="800" w:type="dxa"/>
            <w:tcBorders>
              <w:top w:val="single" w:sz="8" w:space="0" w:color="E9E9E9"/>
              <w:left w:val="nil"/>
              <w:bottom w:val="single" w:sz="8" w:space="0" w:color="C7C9C7"/>
              <w:right w:val="nil"/>
            </w:tcBorders>
            <w:tcMar>
              <w:top w:w="0" w:type="dxa"/>
              <w:left w:w="53" w:type="dxa"/>
              <w:bottom w:w="0" w:type="dxa"/>
              <w:right w:w="0" w:type="dxa"/>
            </w:tcMar>
            <w:vAlign w:val="bottom"/>
          </w:tcPr>
          <w:p w14:paraId="2EFB670E" w14:textId="77777777" w:rsidR="001614AC" w:rsidRDefault="004468F9">
            <w:pPr>
              <w:keepNext/>
              <w:spacing w:before="55" w:after="30" w:line="288" w:lineRule="auto"/>
              <w:jc w:val="right"/>
            </w:pPr>
            <w:r>
              <w:rPr>
                <w:rFonts w:ascii="Arial" w:eastAsia="Arial" w:hAnsi="Arial" w:cs="Arial"/>
                <w:color w:val="000000"/>
                <w:sz w:val="18"/>
              </w:rPr>
              <w:t>0.7 </w:t>
            </w:r>
          </w:p>
        </w:tc>
        <w:tc>
          <w:tcPr>
            <w:tcW w:w="100" w:type="dxa"/>
            <w:tcBorders>
              <w:top w:val="single" w:sz="8" w:space="0" w:color="E9E9E9"/>
              <w:left w:val="nil"/>
              <w:bottom w:val="single" w:sz="8" w:space="0" w:color="C7C9C7"/>
              <w:right w:val="nil"/>
            </w:tcBorders>
            <w:tcMar>
              <w:top w:w="0" w:type="dxa"/>
              <w:left w:w="0" w:type="dxa"/>
              <w:bottom w:w="0" w:type="dxa"/>
              <w:right w:w="15" w:type="dxa"/>
            </w:tcMar>
            <w:vAlign w:val="bottom"/>
          </w:tcPr>
          <w:p w14:paraId="7DAD4605" w14:textId="77777777" w:rsidR="001614AC" w:rsidRDefault="001614AC">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7B642805" w14:textId="77777777" w:rsidR="001614AC" w:rsidRDefault="001614AC">
            <w:pPr>
              <w:keepNext/>
            </w:pPr>
          </w:p>
        </w:tc>
        <w:tc>
          <w:tcPr>
            <w:tcW w:w="1200" w:type="dxa"/>
            <w:gridSpan w:val="2"/>
            <w:tcBorders>
              <w:top w:val="single" w:sz="8" w:space="0" w:color="E9E9E9"/>
              <w:left w:val="nil"/>
              <w:bottom w:val="single" w:sz="8" w:space="0" w:color="C7C9C7"/>
              <w:right w:val="nil"/>
            </w:tcBorders>
            <w:tcMar>
              <w:top w:w="0" w:type="dxa"/>
              <w:left w:w="53" w:type="dxa"/>
              <w:bottom w:w="0" w:type="dxa"/>
              <w:right w:w="15" w:type="dxa"/>
            </w:tcMar>
            <w:vAlign w:val="bottom"/>
          </w:tcPr>
          <w:p w14:paraId="4C6051E9" w14:textId="77777777" w:rsidR="001614AC" w:rsidRDefault="004468F9">
            <w:pPr>
              <w:keepNext/>
              <w:spacing w:before="55" w:after="30" w:line="288" w:lineRule="auto"/>
              <w:jc w:val="right"/>
            </w:pPr>
            <w:r>
              <w:rPr>
                <w:rFonts w:ascii="Arial" w:eastAsia="Arial" w:hAnsi="Arial" w:cs="Arial"/>
                <w:color w:val="000000"/>
                <w:sz w:val="18"/>
              </w:rPr>
              <w:t>N/A</w:t>
            </w:r>
          </w:p>
        </w:tc>
        <w:tc>
          <w:tcPr>
            <w:tcW w:w="105" w:type="dxa"/>
            <w:tcBorders>
              <w:top w:val="nil"/>
              <w:left w:val="nil"/>
              <w:bottom w:val="nil"/>
              <w:right w:val="nil"/>
            </w:tcBorders>
            <w:tcMar>
              <w:top w:w="0" w:type="dxa"/>
              <w:left w:w="0" w:type="dxa"/>
              <w:bottom w:w="0" w:type="dxa"/>
              <w:right w:w="0" w:type="dxa"/>
            </w:tcMar>
            <w:vAlign w:val="bottom"/>
          </w:tcPr>
          <w:p w14:paraId="2633287E" w14:textId="77777777" w:rsidR="001614AC" w:rsidRDefault="001614AC">
            <w:pPr>
              <w:keepNext/>
            </w:pPr>
          </w:p>
        </w:tc>
        <w:tc>
          <w:tcPr>
            <w:tcW w:w="995" w:type="dxa"/>
            <w:tcBorders>
              <w:top w:val="single" w:sz="8" w:space="0" w:color="E9E9E9"/>
              <w:left w:val="nil"/>
              <w:bottom w:val="nil"/>
              <w:right w:val="nil"/>
            </w:tcBorders>
            <w:tcMar>
              <w:top w:w="0" w:type="dxa"/>
              <w:left w:w="53" w:type="dxa"/>
              <w:bottom w:w="0" w:type="dxa"/>
              <w:right w:w="0" w:type="dxa"/>
            </w:tcMar>
            <w:vAlign w:val="bottom"/>
          </w:tcPr>
          <w:p w14:paraId="13A5433E" w14:textId="77777777" w:rsidR="001614AC" w:rsidRDefault="004468F9">
            <w:pPr>
              <w:keepNext/>
              <w:spacing w:before="55" w:after="30" w:line="288" w:lineRule="auto"/>
              <w:jc w:val="right"/>
            </w:pPr>
            <w:r>
              <w:rPr>
                <w:rFonts w:ascii="Arial" w:eastAsia="Arial" w:hAnsi="Arial" w:cs="Arial"/>
                <w:color w:val="000000"/>
                <w:sz w:val="18"/>
              </w:rPr>
              <w:t>12.6 </w:t>
            </w:r>
          </w:p>
        </w:tc>
        <w:tc>
          <w:tcPr>
            <w:tcW w:w="100" w:type="dxa"/>
            <w:tcBorders>
              <w:top w:val="single" w:sz="8" w:space="0" w:color="E9E9E9"/>
              <w:left w:val="nil"/>
              <w:bottom w:val="nil"/>
              <w:right w:val="nil"/>
            </w:tcBorders>
            <w:tcMar>
              <w:top w:w="0" w:type="dxa"/>
              <w:left w:w="0" w:type="dxa"/>
              <w:bottom w:w="0" w:type="dxa"/>
              <w:right w:w="15" w:type="dxa"/>
            </w:tcMar>
            <w:vAlign w:val="bottom"/>
          </w:tcPr>
          <w:p w14:paraId="4611505B" w14:textId="77777777" w:rsidR="001614AC" w:rsidRDefault="001614AC">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21447AB1" w14:textId="77777777" w:rsidR="001614AC" w:rsidRDefault="001614AC">
            <w:pPr>
              <w:keepNext/>
            </w:pPr>
          </w:p>
        </w:tc>
        <w:tc>
          <w:tcPr>
            <w:tcW w:w="995" w:type="dxa"/>
            <w:gridSpan w:val="2"/>
            <w:tcBorders>
              <w:top w:val="single" w:sz="8" w:space="0" w:color="E9E9E9"/>
              <w:left w:val="nil"/>
              <w:bottom w:val="single" w:sz="8" w:space="0" w:color="C7C9C7"/>
              <w:right w:val="nil"/>
            </w:tcBorders>
            <w:tcMar>
              <w:top w:w="0" w:type="dxa"/>
              <w:left w:w="53" w:type="dxa"/>
              <w:bottom w:w="0" w:type="dxa"/>
              <w:right w:w="0" w:type="dxa"/>
            </w:tcMar>
            <w:vAlign w:val="bottom"/>
          </w:tcPr>
          <w:p w14:paraId="5B23A4A7" w14:textId="77777777" w:rsidR="001614AC" w:rsidRDefault="004468F9">
            <w:pPr>
              <w:keepNext/>
              <w:spacing w:before="55" w:after="30" w:line="288" w:lineRule="auto"/>
              <w:jc w:val="right"/>
            </w:pPr>
            <w:r>
              <w:rPr>
                <w:rFonts w:ascii="Arial" w:eastAsia="Arial" w:hAnsi="Arial" w:cs="Arial"/>
                <w:color w:val="000000"/>
                <w:sz w:val="18"/>
              </w:rPr>
              <w:t>15,893 </w:t>
            </w:r>
          </w:p>
        </w:tc>
        <w:tc>
          <w:tcPr>
            <w:tcW w:w="100" w:type="dxa"/>
            <w:tcBorders>
              <w:top w:val="single" w:sz="8" w:space="0" w:color="E9E9E9"/>
              <w:left w:val="nil"/>
              <w:bottom w:val="single" w:sz="8" w:space="0" w:color="C7C9C7"/>
              <w:right w:val="nil"/>
            </w:tcBorders>
            <w:tcMar>
              <w:top w:w="0" w:type="dxa"/>
              <w:left w:w="0" w:type="dxa"/>
              <w:bottom w:w="0" w:type="dxa"/>
              <w:right w:w="15" w:type="dxa"/>
            </w:tcMar>
            <w:vAlign w:val="bottom"/>
          </w:tcPr>
          <w:p w14:paraId="01707808" w14:textId="77777777" w:rsidR="001614AC" w:rsidRDefault="001614AC">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52B98AD2" w14:textId="77777777" w:rsidR="001614AC" w:rsidRDefault="001614AC">
            <w:pPr>
              <w:keepNext/>
            </w:pPr>
          </w:p>
        </w:tc>
        <w:tc>
          <w:tcPr>
            <w:tcW w:w="800" w:type="dxa"/>
            <w:tcBorders>
              <w:top w:val="single" w:sz="8" w:space="0" w:color="E9E9E9"/>
              <w:left w:val="nil"/>
              <w:bottom w:val="single" w:sz="8" w:space="0" w:color="C7C9C7"/>
              <w:right w:val="nil"/>
            </w:tcBorders>
            <w:tcMar>
              <w:top w:w="0" w:type="dxa"/>
              <w:left w:w="53" w:type="dxa"/>
              <w:bottom w:w="0" w:type="dxa"/>
              <w:right w:w="0" w:type="dxa"/>
            </w:tcMar>
            <w:vAlign w:val="bottom"/>
          </w:tcPr>
          <w:p w14:paraId="330F71CF" w14:textId="77777777" w:rsidR="001614AC" w:rsidRDefault="004468F9">
            <w:pPr>
              <w:keepNext/>
              <w:spacing w:before="55" w:after="30" w:line="288" w:lineRule="auto"/>
              <w:jc w:val="right"/>
            </w:pPr>
            <w:r>
              <w:rPr>
                <w:rFonts w:ascii="Arial" w:eastAsia="Arial" w:hAnsi="Arial" w:cs="Arial"/>
                <w:color w:val="000000"/>
                <w:sz w:val="18"/>
              </w:rPr>
              <w:t>1.9 </w:t>
            </w:r>
          </w:p>
        </w:tc>
        <w:tc>
          <w:tcPr>
            <w:tcW w:w="100" w:type="dxa"/>
            <w:tcBorders>
              <w:top w:val="single" w:sz="8" w:space="0" w:color="E9E9E9"/>
              <w:left w:val="nil"/>
              <w:bottom w:val="single" w:sz="8" w:space="0" w:color="C7C9C7"/>
              <w:right w:val="nil"/>
            </w:tcBorders>
            <w:tcMar>
              <w:top w:w="0" w:type="dxa"/>
              <w:left w:w="0" w:type="dxa"/>
              <w:bottom w:w="0" w:type="dxa"/>
              <w:right w:w="15" w:type="dxa"/>
            </w:tcMar>
            <w:vAlign w:val="bottom"/>
          </w:tcPr>
          <w:p w14:paraId="728DD721" w14:textId="77777777" w:rsidR="001614AC" w:rsidRDefault="001614AC">
            <w:pPr>
              <w:keepNext/>
              <w:spacing w:before="55" w:after="30" w:line="288" w:lineRule="auto"/>
              <w:jc w:val="right"/>
            </w:pPr>
          </w:p>
        </w:tc>
      </w:tr>
      <w:tr w:rsidR="001614AC" w14:paraId="5CDD1C76" w14:textId="77777777">
        <w:trPr>
          <w:cantSplit/>
        </w:trPr>
        <w:tc>
          <w:tcPr>
            <w:tcW w:w="3360" w:type="dxa"/>
            <w:tcBorders>
              <w:top w:val="nil"/>
              <w:left w:val="nil"/>
              <w:bottom w:val="nil"/>
              <w:right w:val="nil"/>
            </w:tcBorders>
            <w:shd w:val="clear" w:color="auto" w:fill="F4F4F4"/>
            <w:tcMar>
              <w:top w:w="0" w:type="dxa"/>
              <w:left w:w="53" w:type="dxa"/>
              <w:bottom w:w="0" w:type="dxa"/>
              <w:right w:w="53" w:type="dxa"/>
            </w:tcMar>
            <w:vAlign w:val="bottom"/>
          </w:tcPr>
          <w:p w14:paraId="2D3EDB4F" w14:textId="77777777" w:rsidR="001614AC" w:rsidRDefault="004468F9">
            <w:pPr>
              <w:keepNext/>
              <w:spacing w:before="75" w:after="30" w:line="288" w:lineRule="auto"/>
            </w:pPr>
            <w:r>
              <w:rPr>
                <w:rFonts w:ascii="Arial" w:eastAsia="Arial" w:hAnsi="Arial" w:cs="Arial"/>
                <w:color w:val="000000"/>
                <w:sz w:val="18"/>
              </w:rPr>
              <w:t>Total</w:t>
            </w:r>
          </w:p>
        </w:tc>
        <w:tc>
          <w:tcPr>
            <w:tcW w:w="105" w:type="dxa"/>
            <w:tcBorders>
              <w:top w:val="nil"/>
              <w:left w:val="nil"/>
              <w:bottom w:val="nil"/>
              <w:right w:val="nil"/>
            </w:tcBorders>
            <w:shd w:val="clear" w:color="auto" w:fill="F4F4F4"/>
            <w:tcMar>
              <w:top w:w="0" w:type="dxa"/>
              <w:left w:w="0" w:type="dxa"/>
              <w:bottom w:w="0" w:type="dxa"/>
              <w:right w:w="0" w:type="dxa"/>
            </w:tcMar>
            <w:vAlign w:val="bottom"/>
          </w:tcPr>
          <w:p w14:paraId="5F701F18" w14:textId="77777777" w:rsidR="001614AC" w:rsidRDefault="001614AC">
            <w:pPr>
              <w:keepNext/>
            </w:pPr>
          </w:p>
        </w:tc>
        <w:tc>
          <w:tcPr>
            <w:tcW w:w="800" w:type="dxa"/>
            <w:tcBorders>
              <w:top w:val="single" w:sz="8" w:space="0" w:color="C7C9C7"/>
              <w:left w:val="nil"/>
              <w:bottom w:val="double" w:sz="8" w:space="0" w:color="C7C9C7"/>
              <w:right w:val="nil"/>
            </w:tcBorders>
            <w:shd w:val="clear" w:color="auto" w:fill="F4F4F4"/>
            <w:tcMar>
              <w:top w:w="0" w:type="dxa"/>
              <w:left w:w="53" w:type="dxa"/>
              <w:bottom w:w="0" w:type="dxa"/>
              <w:right w:w="0" w:type="dxa"/>
            </w:tcMar>
            <w:vAlign w:val="bottom"/>
          </w:tcPr>
          <w:p w14:paraId="6B65BACD" w14:textId="77777777" w:rsidR="001614AC" w:rsidRDefault="004468F9">
            <w:pPr>
              <w:keepNext/>
              <w:spacing w:before="55" w:after="30" w:line="288" w:lineRule="auto"/>
              <w:jc w:val="right"/>
            </w:pPr>
            <w:r>
              <w:rPr>
                <w:rFonts w:ascii="Arial" w:eastAsia="Arial" w:hAnsi="Arial" w:cs="Arial"/>
                <w:color w:val="000000"/>
                <w:sz w:val="18"/>
              </w:rPr>
              <w:t>40,464 </w:t>
            </w:r>
          </w:p>
        </w:tc>
        <w:tc>
          <w:tcPr>
            <w:tcW w:w="100" w:type="dxa"/>
            <w:tcBorders>
              <w:top w:val="single" w:sz="8" w:space="0" w:color="C7C9C7"/>
              <w:left w:val="nil"/>
              <w:bottom w:val="double" w:sz="8" w:space="0" w:color="C7C9C7"/>
              <w:right w:val="nil"/>
            </w:tcBorders>
            <w:shd w:val="clear" w:color="auto" w:fill="F4F4F4"/>
            <w:tcMar>
              <w:top w:w="0" w:type="dxa"/>
              <w:left w:w="0" w:type="dxa"/>
              <w:bottom w:w="0" w:type="dxa"/>
              <w:right w:w="15" w:type="dxa"/>
            </w:tcMar>
            <w:vAlign w:val="bottom"/>
          </w:tcPr>
          <w:p w14:paraId="38BC3792" w14:textId="77777777" w:rsidR="001614AC" w:rsidRDefault="001614AC">
            <w:pPr>
              <w:keepNext/>
              <w:spacing w:before="55" w:after="30" w:line="288" w:lineRule="auto"/>
              <w:jc w:val="right"/>
            </w:pPr>
          </w:p>
        </w:tc>
        <w:tc>
          <w:tcPr>
            <w:tcW w:w="105" w:type="dxa"/>
            <w:tcBorders>
              <w:top w:val="nil"/>
              <w:left w:val="nil"/>
              <w:bottom w:val="nil"/>
              <w:right w:val="nil"/>
            </w:tcBorders>
            <w:shd w:val="clear" w:color="auto" w:fill="F4F4F4"/>
            <w:tcMar>
              <w:top w:w="0" w:type="dxa"/>
              <w:left w:w="0" w:type="dxa"/>
              <w:bottom w:w="0" w:type="dxa"/>
              <w:right w:w="0" w:type="dxa"/>
            </w:tcMar>
            <w:vAlign w:val="bottom"/>
          </w:tcPr>
          <w:p w14:paraId="27ACA180" w14:textId="77777777" w:rsidR="001614AC" w:rsidRDefault="001614AC">
            <w:pPr>
              <w:keepNext/>
            </w:pPr>
          </w:p>
        </w:tc>
        <w:tc>
          <w:tcPr>
            <w:tcW w:w="800" w:type="dxa"/>
            <w:tcBorders>
              <w:top w:val="single" w:sz="8" w:space="0" w:color="C7C9C7"/>
              <w:left w:val="nil"/>
              <w:bottom w:val="double" w:sz="8" w:space="0" w:color="C7C9C7"/>
              <w:right w:val="nil"/>
            </w:tcBorders>
            <w:shd w:val="clear" w:color="auto" w:fill="F4F4F4"/>
            <w:tcMar>
              <w:top w:w="0" w:type="dxa"/>
              <w:left w:w="53" w:type="dxa"/>
              <w:bottom w:w="0" w:type="dxa"/>
              <w:right w:w="0" w:type="dxa"/>
            </w:tcMar>
            <w:vAlign w:val="bottom"/>
          </w:tcPr>
          <w:p w14:paraId="24BC6D97" w14:textId="77777777" w:rsidR="001614AC" w:rsidRDefault="004468F9">
            <w:pPr>
              <w:keepNext/>
              <w:spacing w:before="55" w:after="30" w:line="288" w:lineRule="auto"/>
              <w:jc w:val="right"/>
            </w:pPr>
            <w:r>
              <w:rPr>
                <w:rFonts w:ascii="Arial" w:eastAsia="Arial" w:hAnsi="Arial" w:cs="Arial"/>
                <w:color w:val="000000"/>
                <w:sz w:val="18"/>
              </w:rPr>
              <w:t>100.0 </w:t>
            </w:r>
          </w:p>
        </w:tc>
        <w:tc>
          <w:tcPr>
            <w:tcW w:w="100" w:type="dxa"/>
            <w:tcBorders>
              <w:top w:val="single" w:sz="8" w:space="0" w:color="C7C9C7"/>
              <w:left w:val="nil"/>
              <w:bottom w:val="double" w:sz="8" w:space="0" w:color="C7C9C7"/>
              <w:right w:val="nil"/>
            </w:tcBorders>
            <w:shd w:val="clear" w:color="auto" w:fill="F4F4F4"/>
            <w:tcMar>
              <w:top w:w="0" w:type="dxa"/>
              <w:left w:w="0" w:type="dxa"/>
              <w:bottom w:w="0" w:type="dxa"/>
              <w:right w:w="15" w:type="dxa"/>
            </w:tcMar>
            <w:vAlign w:val="bottom"/>
          </w:tcPr>
          <w:p w14:paraId="6BC4F545" w14:textId="77777777" w:rsidR="001614AC" w:rsidRDefault="004468F9">
            <w:pPr>
              <w:keepNext/>
              <w:spacing w:before="55" w:after="30" w:line="288" w:lineRule="auto"/>
              <w:jc w:val="right"/>
            </w:pPr>
            <w:r>
              <w:rPr>
                <w:rFonts w:ascii="Arial" w:eastAsia="Arial" w:hAnsi="Arial" w:cs="Arial"/>
                <w:color w:val="000000"/>
                <w:sz w:val="18"/>
              </w:rPr>
              <w:t>%</w:t>
            </w:r>
          </w:p>
        </w:tc>
        <w:tc>
          <w:tcPr>
            <w:tcW w:w="105" w:type="dxa"/>
            <w:tcBorders>
              <w:top w:val="nil"/>
              <w:left w:val="nil"/>
              <w:bottom w:val="nil"/>
              <w:right w:val="nil"/>
            </w:tcBorders>
            <w:shd w:val="clear" w:color="auto" w:fill="F4F4F4"/>
            <w:tcMar>
              <w:top w:w="0" w:type="dxa"/>
              <w:left w:w="0" w:type="dxa"/>
              <w:bottom w:w="0" w:type="dxa"/>
              <w:right w:w="0" w:type="dxa"/>
            </w:tcMar>
            <w:vAlign w:val="bottom"/>
          </w:tcPr>
          <w:p w14:paraId="7E0259D7" w14:textId="77777777" w:rsidR="001614AC" w:rsidRDefault="001614AC">
            <w:pPr>
              <w:keepNext/>
            </w:pPr>
          </w:p>
        </w:tc>
        <w:tc>
          <w:tcPr>
            <w:tcW w:w="1100" w:type="dxa"/>
            <w:tcBorders>
              <w:top w:val="single" w:sz="8" w:space="0" w:color="C7C9C7"/>
              <w:left w:val="nil"/>
              <w:bottom w:val="double" w:sz="8" w:space="0" w:color="C7C9C7"/>
              <w:right w:val="nil"/>
            </w:tcBorders>
            <w:shd w:val="clear" w:color="auto" w:fill="F4F4F4"/>
            <w:tcMar>
              <w:top w:w="0" w:type="dxa"/>
              <w:left w:w="53" w:type="dxa"/>
              <w:bottom w:w="0" w:type="dxa"/>
              <w:right w:w="0" w:type="dxa"/>
            </w:tcMar>
            <w:vAlign w:val="bottom"/>
          </w:tcPr>
          <w:p w14:paraId="3B3D7E06" w14:textId="77777777" w:rsidR="001614AC" w:rsidRDefault="004468F9">
            <w:pPr>
              <w:keepNext/>
              <w:spacing w:before="55" w:after="30" w:line="288" w:lineRule="auto"/>
              <w:jc w:val="right"/>
            </w:pPr>
            <w:r>
              <w:rPr>
                <w:rFonts w:ascii="Arial" w:eastAsia="Arial" w:hAnsi="Arial" w:cs="Arial"/>
                <w:color w:val="000000"/>
                <w:sz w:val="18"/>
              </w:rPr>
              <w:t>1,009 </w:t>
            </w:r>
          </w:p>
        </w:tc>
        <w:tc>
          <w:tcPr>
            <w:tcW w:w="100" w:type="dxa"/>
            <w:tcBorders>
              <w:top w:val="single" w:sz="8" w:space="0" w:color="C7C9C7"/>
              <w:left w:val="nil"/>
              <w:bottom w:val="double" w:sz="8" w:space="0" w:color="C7C9C7"/>
              <w:right w:val="nil"/>
            </w:tcBorders>
            <w:shd w:val="clear" w:color="auto" w:fill="F4F4F4"/>
            <w:tcMar>
              <w:top w:w="0" w:type="dxa"/>
              <w:left w:w="0" w:type="dxa"/>
              <w:bottom w:w="0" w:type="dxa"/>
              <w:right w:w="15" w:type="dxa"/>
            </w:tcMar>
            <w:vAlign w:val="bottom"/>
          </w:tcPr>
          <w:p w14:paraId="41187BD4" w14:textId="77777777" w:rsidR="001614AC" w:rsidRDefault="001614AC">
            <w:pPr>
              <w:keepNext/>
              <w:spacing w:before="55" w:after="30" w:line="288" w:lineRule="auto"/>
              <w:jc w:val="right"/>
            </w:pPr>
          </w:p>
        </w:tc>
        <w:tc>
          <w:tcPr>
            <w:tcW w:w="105" w:type="dxa"/>
            <w:tcBorders>
              <w:top w:val="nil"/>
              <w:left w:val="nil"/>
              <w:bottom w:val="nil"/>
              <w:right w:val="nil"/>
            </w:tcBorders>
            <w:shd w:val="clear" w:color="auto" w:fill="F4F4F4"/>
            <w:tcMar>
              <w:top w:w="0" w:type="dxa"/>
              <w:left w:w="0" w:type="dxa"/>
              <w:bottom w:w="0" w:type="dxa"/>
              <w:right w:w="0" w:type="dxa"/>
            </w:tcMar>
            <w:vAlign w:val="bottom"/>
          </w:tcPr>
          <w:p w14:paraId="63535113" w14:textId="77777777" w:rsidR="001614AC" w:rsidRDefault="001614AC">
            <w:pPr>
              <w:keepNext/>
            </w:pPr>
          </w:p>
        </w:tc>
        <w:tc>
          <w:tcPr>
            <w:tcW w:w="1095" w:type="dxa"/>
            <w:gridSpan w:val="2"/>
            <w:tcBorders>
              <w:top w:val="nil"/>
              <w:left w:val="nil"/>
              <w:bottom w:val="nil"/>
              <w:right w:val="nil"/>
            </w:tcBorders>
            <w:shd w:val="clear" w:color="auto" w:fill="F4F4F4"/>
            <w:tcMar>
              <w:top w:w="0" w:type="dxa"/>
              <w:left w:w="0" w:type="dxa"/>
              <w:bottom w:w="0" w:type="dxa"/>
              <w:right w:w="0" w:type="dxa"/>
            </w:tcMar>
            <w:vAlign w:val="bottom"/>
          </w:tcPr>
          <w:p w14:paraId="0E5A36AC" w14:textId="77777777" w:rsidR="001614AC" w:rsidRDefault="001614AC">
            <w:pPr>
              <w:keepNext/>
            </w:pPr>
          </w:p>
        </w:tc>
        <w:tc>
          <w:tcPr>
            <w:tcW w:w="105" w:type="dxa"/>
            <w:tcBorders>
              <w:top w:val="nil"/>
              <w:left w:val="nil"/>
              <w:bottom w:val="nil"/>
              <w:right w:val="nil"/>
            </w:tcBorders>
            <w:shd w:val="clear" w:color="auto" w:fill="F4F4F4"/>
            <w:tcMar>
              <w:top w:w="0" w:type="dxa"/>
              <w:left w:w="0" w:type="dxa"/>
              <w:bottom w:w="0" w:type="dxa"/>
              <w:right w:w="0" w:type="dxa"/>
            </w:tcMar>
            <w:vAlign w:val="bottom"/>
          </w:tcPr>
          <w:p w14:paraId="35F0261F" w14:textId="77777777" w:rsidR="001614AC" w:rsidRDefault="001614AC">
            <w:pPr>
              <w:keepNext/>
            </w:pPr>
          </w:p>
        </w:tc>
        <w:tc>
          <w:tcPr>
            <w:tcW w:w="995" w:type="dxa"/>
            <w:gridSpan w:val="2"/>
            <w:tcBorders>
              <w:top w:val="single" w:sz="8" w:space="0" w:color="C7C9C7"/>
              <w:left w:val="nil"/>
              <w:bottom w:val="nil"/>
              <w:right w:val="nil"/>
            </w:tcBorders>
            <w:shd w:val="clear" w:color="auto" w:fill="F4F4F4"/>
            <w:tcMar>
              <w:top w:w="0" w:type="dxa"/>
              <w:left w:w="53" w:type="dxa"/>
              <w:bottom w:w="0" w:type="dxa"/>
              <w:right w:w="0" w:type="dxa"/>
            </w:tcMar>
            <w:vAlign w:val="bottom"/>
          </w:tcPr>
          <w:p w14:paraId="58F35198" w14:textId="77777777" w:rsidR="001614AC" w:rsidRDefault="004468F9">
            <w:pPr>
              <w:keepNext/>
              <w:spacing w:before="55" w:after="30" w:line="288" w:lineRule="auto"/>
              <w:jc w:val="right"/>
            </w:pPr>
            <w:r>
              <w:rPr>
                <w:rFonts w:ascii="Arial" w:eastAsia="Arial" w:hAnsi="Arial" w:cs="Arial"/>
                <w:color w:val="000000"/>
                <w:sz w:val="18"/>
              </w:rPr>
              <w:t>840,764 </w:t>
            </w:r>
          </w:p>
        </w:tc>
        <w:tc>
          <w:tcPr>
            <w:tcW w:w="100" w:type="dxa"/>
            <w:tcBorders>
              <w:top w:val="single" w:sz="8" w:space="0" w:color="C7C9C7"/>
              <w:left w:val="nil"/>
              <w:bottom w:val="nil"/>
              <w:right w:val="nil"/>
            </w:tcBorders>
            <w:shd w:val="clear" w:color="auto" w:fill="F4F4F4"/>
            <w:tcMar>
              <w:top w:w="0" w:type="dxa"/>
              <w:left w:w="0" w:type="dxa"/>
              <w:bottom w:w="0" w:type="dxa"/>
              <w:right w:w="15" w:type="dxa"/>
            </w:tcMar>
            <w:vAlign w:val="bottom"/>
          </w:tcPr>
          <w:p w14:paraId="098E285C" w14:textId="77777777" w:rsidR="001614AC" w:rsidRDefault="001614AC">
            <w:pPr>
              <w:keepNext/>
              <w:spacing w:before="55" w:after="30" w:line="288" w:lineRule="auto"/>
              <w:jc w:val="right"/>
            </w:pPr>
          </w:p>
        </w:tc>
        <w:tc>
          <w:tcPr>
            <w:tcW w:w="105" w:type="dxa"/>
            <w:tcBorders>
              <w:top w:val="nil"/>
              <w:left w:val="nil"/>
              <w:bottom w:val="nil"/>
              <w:right w:val="nil"/>
            </w:tcBorders>
            <w:shd w:val="clear" w:color="auto" w:fill="F4F4F4"/>
            <w:tcMar>
              <w:top w:w="0" w:type="dxa"/>
              <w:left w:w="0" w:type="dxa"/>
              <w:bottom w:w="0" w:type="dxa"/>
              <w:right w:w="0" w:type="dxa"/>
            </w:tcMar>
            <w:vAlign w:val="bottom"/>
          </w:tcPr>
          <w:p w14:paraId="2DAF19BB" w14:textId="77777777" w:rsidR="001614AC" w:rsidRDefault="001614AC">
            <w:pPr>
              <w:keepNext/>
            </w:pPr>
          </w:p>
        </w:tc>
        <w:tc>
          <w:tcPr>
            <w:tcW w:w="800" w:type="dxa"/>
            <w:tcBorders>
              <w:top w:val="single" w:sz="8" w:space="0" w:color="C7C9C7"/>
              <w:left w:val="nil"/>
              <w:bottom w:val="double" w:sz="8" w:space="0" w:color="C7C9C7"/>
              <w:right w:val="nil"/>
            </w:tcBorders>
            <w:shd w:val="clear" w:color="auto" w:fill="F4F4F4"/>
            <w:tcMar>
              <w:top w:w="0" w:type="dxa"/>
              <w:left w:w="53" w:type="dxa"/>
              <w:bottom w:w="0" w:type="dxa"/>
              <w:right w:w="0" w:type="dxa"/>
            </w:tcMar>
            <w:vAlign w:val="bottom"/>
          </w:tcPr>
          <w:p w14:paraId="317AD946" w14:textId="77777777" w:rsidR="001614AC" w:rsidRDefault="004468F9">
            <w:pPr>
              <w:keepNext/>
              <w:spacing w:before="55" w:after="30" w:line="288" w:lineRule="auto"/>
              <w:jc w:val="right"/>
            </w:pPr>
            <w:r>
              <w:rPr>
                <w:rFonts w:ascii="Arial" w:eastAsia="Arial" w:hAnsi="Arial" w:cs="Arial"/>
                <w:color w:val="000000"/>
                <w:sz w:val="18"/>
              </w:rPr>
              <w:t>100.0 </w:t>
            </w:r>
          </w:p>
        </w:tc>
        <w:tc>
          <w:tcPr>
            <w:tcW w:w="100" w:type="dxa"/>
            <w:tcBorders>
              <w:top w:val="single" w:sz="8" w:space="0" w:color="C7C9C7"/>
              <w:left w:val="nil"/>
              <w:bottom w:val="double" w:sz="8" w:space="0" w:color="C7C9C7"/>
              <w:right w:val="nil"/>
            </w:tcBorders>
            <w:shd w:val="clear" w:color="auto" w:fill="F4F4F4"/>
            <w:tcMar>
              <w:top w:w="0" w:type="dxa"/>
              <w:left w:w="0" w:type="dxa"/>
              <w:bottom w:w="0" w:type="dxa"/>
              <w:right w:w="15" w:type="dxa"/>
            </w:tcMar>
            <w:vAlign w:val="bottom"/>
          </w:tcPr>
          <w:p w14:paraId="50EE3110" w14:textId="77777777" w:rsidR="001614AC" w:rsidRDefault="004468F9">
            <w:pPr>
              <w:keepNext/>
              <w:spacing w:before="55" w:after="30" w:line="288" w:lineRule="auto"/>
              <w:jc w:val="right"/>
            </w:pPr>
            <w:r>
              <w:rPr>
                <w:rFonts w:ascii="Arial" w:eastAsia="Arial" w:hAnsi="Arial" w:cs="Arial"/>
                <w:color w:val="000000"/>
                <w:sz w:val="18"/>
              </w:rPr>
              <w:t>%</w:t>
            </w:r>
          </w:p>
        </w:tc>
      </w:tr>
      <w:tr w:rsidR="001614AC" w14:paraId="55079303" w14:textId="77777777">
        <w:trPr>
          <w:cantSplit/>
        </w:trPr>
        <w:tc>
          <w:tcPr>
            <w:tcW w:w="3360" w:type="dxa"/>
            <w:tcBorders>
              <w:top w:val="nil"/>
              <w:left w:val="nil"/>
              <w:bottom w:val="single" w:sz="8" w:space="0" w:color="E9E9E9"/>
              <w:right w:val="nil"/>
            </w:tcBorders>
            <w:tcMar>
              <w:top w:w="0" w:type="dxa"/>
              <w:left w:w="53" w:type="dxa"/>
              <w:bottom w:w="0" w:type="dxa"/>
              <w:right w:w="53" w:type="dxa"/>
            </w:tcMar>
            <w:vAlign w:val="bottom"/>
          </w:tcPr>
          <w:p w14:paraId="2999B90E" w14:textId="77777777" w:rsidR="001614AC" w:rsidRDefault="004468F9">
            <w:pPr>
              <w:keepNext/>
              <w:spacing w:before="75" w:after="30" w:line="288" w:lineRule="auto"/>
            </w:pPr>
            <w:r>
              <w:rPr>
                <w:rFonts w:ascii="Arial" w:eastAsia="Arial" w:hAnsi="Arial" w:cs="Arial"/>
                <w:color w:val="000000"/>
                <w:sz w:val="18"/>
              </w:rPr>
              <w:t>IBNR and other</w:t>
            </w:r>
          </w:p>
        </w:tc>
        <w:tc>
          <w:tcPr>
            <w:tcW w:w="105" w:type="dxa"/>
            <w:tcBorders>
              <w:top w:val="nil"/>
              <w:left w:val="nil"/>
              <w:bottom w:val="nil"/>
              <w:right w:val="nil"/>
            </w:tcBorders>
            <w:tcMar>
              <w:top w:w="0" w:type="dxa"/>
              <w:left w:w="0" w:type="dxa"/>
              <w:bottom w:w="0" w:type="dxa"/>
              <w:right w:w="0" w:type="dxa"/>
            </w:tcMar>
            <w:vAlign w:val="bottom"/>
          </w:tcPr>
          <w:p w14:paraId="095D0DEE" w14:textId="77777777" w:rsidR="001614AC" w:rsidRDefault="001614AC">
            <w:pPr>
              <w:keepNext/>
            </w:pPr>
          </w:p>
        </w:tc>
        <w:tc>
          <w:tcPr>
            <w:tcW w:w="900" w:type="dxa"/>
            <w:gridSpan w:val="2"/>
            <w:tcBorders>
              <w:top w:val="double" w:sz="8" w:space="0" w:color="C7C9C7"/>
              <w:left w:val="nil"/>
              <w:bottom w:val="single" w:sz="8" w:space="0" w:color="E9E9E9"/>
              <w:right w:val="nil"/>
            </w:tcBorders>
            <w:tcMar>
              <w:top w:w="0" w:type="dxa"/>
              <w:left w:w="0" w:type="dxa"/>
              <w:bottom w:w="0" w:type="dxa"/>
              <w:right w:w="0" w:type="dxa"/>
            </w:tcMar>
            <w:vAlign w:val="bottom"/>
          </w:tcPr>
          <w:p w14:paraId="51EC0DA5" w14:textId="77777777" w:rsidR="001614AC" w:rsidRDefault="001614AC">
            <w:pPr>
              <w:keepNext/>
            </w:pPr>
          </w:p>
        </w:tc>
        <w:tc>
          <w:tcPr>
            <w:tcW w:w="105" w:type="dxa"/>
            <w:tcBorders>
              <w:top w:val="nil"/>
              <w:left w:val="nil"/>
              <w:bottom w:val="nil"/>
              <w:right w:val="nil"/>
            </w:tcBorders>
            <w:tcMar>
              <w:top w:w="0" w:type="dxa"/>
              <w:left w:w="0" w:type="dxa"/>
              <w:bottom w:w="0" w:type="dxa"/>
              <w:right w:w="0" w:type="dxa"/>
            </w:tcMar>
            <w:vAlign w:val="bottom"/>
          </w:tcPr>
          <w:p w14:paraId="67D456E5" w14:textId="77777777" w:rsidR="001614AC" w:rsidRDefault="001614AC">
            <w:pPr>
              <w:keepNext/>
            </w:pPr>
          </w:p>
        </w:tc>
        <w:tc>
          <w:tcPr>
            <w:tcW w:w="900" w:type="dxa"/>
            <w:gridSpan w:val="2"/>
            <w:tcBorders>
              <w:top w:val="double" w:sz="8" w:space="0" w:color="C7C9C7"/>
              <w:left w:val="nil"/>
              <w:bottom w:val="single" w:sz="8" w:space="0" w:color="E9E9E9"/>
              <w:right w:val="nil"/>
            </w:tcBorders>
            <w:tcMar>
              <w:top w:w="0" w:type="dxa"/>
              <w:left w:w="0" w:type="dxa"/>
              <w:bottom w:w="0" w:type="dxa"/>
              <w:right w:w="0" w:type="dxa"/>
            </w:tcMar>
            <w:vAlign w:val="bottom"/>
          </w:tcPr>
          <w:p w14:paraId="581674DE" w14:textId="77777777" w:rsidR="001614AC" w:rsidRDefault="001614AC">
            <w:pPr>
              <w:keepNext/>
            </w:pPr>
          </w:p>
        </w:tc>
        <w:tc>
          <w:tcPr>
            <w:tcW w:w="105" w:type="dxa"/>
            <w:tcBorders>
              <w:top w:val="nil"/>
              <w:left w:val="nil"/>
              <w:bottom w:val="nil"/>
              <w:right w:val="nil"/>
            </w:tcBorders>
            <w:tcMar>
              <w:top w:w="0" w:type="dxa"/>
              <w:left w:w="0" w:type="dxa"/>
              <w:bottom w:w="0" w:type="dxa"/>
              <w:right w:w="0" w:type="dxa"/>
            </w:tcMar>
            <w:vAlign w:val="bottom"/>
          </w:tcPr>
          <w:p w14:paraId="708E5524" w14:textId="77777777" w:rsidR="001614AC" w:rsidRDefault="001614AC">
            <w:pPr>
              <w:keepNext/>
            </w:pPr>
          </w:p>
        </w:tc>
        <w:tc>
          <w:tcPr>
            <w:tcW w:w="1200" w:type="dxa"/>
            <w:gridSpan w:val="2"/>
            <w:tcBorders>
              <w:top w:val="double" w:sz="8" w:space="0" w:color="C7C9C7"/>
              <w:left w:val="nil"/>
              <w:bottom w:val="single" w:sz="8" w:space="0" w:color="E9E9E9"/>
              <w:right w:val="nil"/>
            </w:tcBorders>
            <w:tcMar>
              <w:top w:w="0" w:type="dxa"/>
              <w:left w:w="0" w:type="dxa"/>
              <w:bottom w:w="0" w:type="dxa"/>
              <w:right w:w="0" w:type="dxa"/>
            </w:tcMar>
            <w:vAlign w:val="bottom"/>
          </w:tcPr>
          <w:p w14:paraId="1F6546E2" w14:textId="77777777" w:rsidR="001614AC" w:rsidRDefault="001614AC">
            <w:pPr>
              <w:keepNext/>
            </w:pPr>
          </w:p>
        </w:tc>
        <w:tc>
          <w:tcPr>
            <w:tcW w:w="105" w:type="dxa"/>
            <w:tcBorders>
              <w:top w:val="nil"/>
              <w:left w:val="nil"/>
              <w:bottom w:val="nil"/>
              <w:right w:val="nil"/>
            </w:tcBorders>
            <w:tcMar>
              <w:top w:w="0" w:type="dxa"/>
              <w:left w:w="0" w:type="dxa"/>
              <w:bottom w:w="0" w:type="dxa"/>
              <w:right w:w="0" w:type="dxa"/>
            </w:tcMar>
            <w:vAlign w:val="bottom"/>
          </w:tcPr>
          <w:p w14:paraId="0B5D08DF" w14:textId="77777777" w:rsidR="001614AC" w:rsidRDefault="001614AC">
            <w:pPr>
              <w:keepNext/>
            </w:pPr>
          </w:p>
        </w:tc>
        <w:tc>
          <w:tcPr>
            <w:tcW w:w="1095" w:type="dxa"/>
            <w:gridSpan w:val="2"/>
            <w:tcBorders>
              <w:top w:val="nil"/>
              <w:left w:val="nil"/>
              <w:bottom w:val="single" w:sz="8" w:space="0" w:color="E9E9E9"/>
              <w:right w:val="nil"/>
            </w:tcBorders>
            <w:tcMar>
              <w:top w:w="0" w:type="dxa"/>
              <w:left w:w="0" w:type="dxa"/>
              <w:bottom w:w="0" w:type="dxa"/>
              <w:right w:w="0" w:type="dxa"/>
            </w:tcMar>
            <w:vAlign w:val="bottom"/>
          </w:tcPr>
          <w:p w14:paraId="0B2A1268" w14:textId="77777777" w:rsidR="001614AC" w:rsidRDefault="001614AC">
            <w:pPr>
              <w:keepNext/>
            </w:pPr>
          </w:p>
        </w:tc>
        <w:tc>
          <w:tcPr>
            <w:tcW w:w="105" w:type="dxa"/>
            <w:tcBorders>
              <w:top w:val="nil"/>
              <w:left w:val="nil"/>
              <w:bottom w:val="nil"/>
              <w:right w:val="nil"/>
            </w:tcBorders>
            <w:tcMar>
              <w:top w:w="0" w:type="dxa"/>
              <w:left w:w="0" w:type="dxa"/>
              <w:bottom w:w="0" w:type="dxa"/>
              <w:right w:w="0" w:type="dxa"/>
            </w:tcMar>
            <w:vAlign w:val="bottom"/>
          </w:tcPr>
          <w:p w14:paraId="6810C684" w14:textId="77777777" w:rsidR="001614AC" w:rsidRDefault="001614AC">
            <w:pPr>
              <w:keepNext/>
            </w:pPr>
          </w:p>
        </w:tc>
        <w:tc>
          <w:tcPr>
            <w:tcW w:w="995" w:type="dxa"/>
            <w:gridSpan w:val="2"/>
            <w:tcBorders>
              <w:top w:val="nil"/>
              <w:left w:val="nil"/>
              <w:bottom w:val="single" w:sz="8" w:space="0" w:color="E9E9E9"/>
              <w:right w:val="nil"/>
            </w:tcBorders>
            <w:tcMar>
              <w:top w:w="0" w:type="dxa"/>
              <w:left w:w="53" w:type="dxa"/>
              <w:bottom w:w="0" w:type="dxa"/>
              <w:right w:w="0" w:type="dxa"/>
            </w:tcMar>
            <w:vAlign w:val="bottom"/>
          </w:tcPr>
          <w:p w14:paraId="669CB2A2" w14:textId="77777777" w:rsidR="001614AC" w:rsidRDefault="004468F9">
            <w:pPr>
              <w:keepNext/>
              <w:spacing w:before="75" w:after="30" w:line="288" w:lineRule="auto"/>
              <w:jc w:val="right"/>
            </w:pPr>
            <w:r>
              <w:rPr>
                <w:rFonts w:ascii="Arial" w:eastAsia="Arial" w:hAnsi="Arial" w:cs="Arial"/>
                <w:color w:val="000000"/>
                <w:sz w:val="18"/>
              </w:rPr>
              <w:t>5,464 </w:t>
            </w:r>
          </w:p>
        </w:tc>
        <w:tc>
          <w:tcPr>
            <w:tcW w:w="100" w:type="dxa"/>
            <w:tcBorders>
              <w:top w:val="nil"/>
              <w:left w:val="nil"/>
              <w:bottom w:val="single" w:sz="8" w:space="0" w:color="E9E9E9"/>
              <w:right w:val="nil"/>
            </w:tcBorders>
            <w:tcMar>
              <w:top w:w="0" w:type="dxa"/>
              <w:left w:w="0" w:type="dxa"/>
              <w:bottom w:w="0" w:type="dxa"/>
              <w:right w:w="15" w:type="dxa"/>
            </w:tcMar>
            <w:vAlign w:val="bottom"/>
          </w:tcPr>
          <w:p w14:paraId="247DD449" w14:textId="77777777" w:rsidR="001614AC" w:rsidRDefault="001614AC">
            <w:pPr>
              <w:keepNext/>
              <w:spacing w:before="7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0A45A96C" w14:textId="77777777" w:rsidR="001614AC" w:rsidRDefault="001614AC">
            <w:pPr>
              <w:keepNext/>
            </w:pPr>
          </w:p>
        </w:tc>
        <w:tc>
          <w:tcPr>
            <w:tcW w:w="900" w:type="dxa"/>
            <w:gridSpan w:val="2"/>
            <w:tcBorders>
              <w:top w:val="double" w:sz="8" w:space="0" w:color="C7C9C7"/>
              <w:left w:val="nil"/>
              <w:bottom w:val="single" w:sz="8" w:space="0" w:color="E9E9E9"/>
              <w:right w:val="nil"/>
            </w:tcBorders>
            <w:tcMar>
              <w:top w:w="0" w:type="dxa"/>
              <w:left w:w="0" w:type="dxa"/>
              <w:bottom w:w="0" w:type="dxa"/>
              <w:right w:w="0" w:type="dxa"/>
            </w:tcMar>
            <w:vAlign w:val="bottom"/>
          </w:tcPr>
          <w:p w14:paraId="2D8150DA" w14:textId="77777777" w:rsidR="001614AC" w:rsidRDefault="001614AC">
            <w:pPr>
              <w:keepNext/>
            </w:pPr>
          </w:p>
        </w:tc>
      </w:tr>
      <w:tr w:rsidR="001614AC" w14:paraId="193E63D1" w14:textId="77777777">
        <w:trPr>
          <w:cantSplit/>
        </w:trPr>
        <w:tc>
          <w:tcPr>
            <w:tcW w:w="3360" w:type="dxa"/>
            <w:tcBorders>
              <w:top w:val="single" w:sz="8" w:space="0" w:color="E9E9E9"/>
              <w:left w:val="nil"/>
              <w:bottom w:val="nil"/>
              <w:right w:val="nil"/>
            </w:tcBorders>
            <w:tcMar>
              <w:top w:w="0" w:type="dxa"/>
              <w:left w:w="53" w:type="dxa"/>
              <w:bottom w:w="0" w:type="dxa"/>
              <w:right w:w="53" w:type="dxa"/>
            </w:tcMar>
            <w:vAlign w:val="bottom"/>
          </w:tcPr>
          <w:p w14:paraId="1E9FAF6F" w14:textId="77777777" w:rsidR="001614AC" w:rsidRDefault="004468F9">
            <w:pPr>
              <w:keepNext/>
              <w:spacing w:before="55" w:after="30" w:line="288" w:lineRule="auto"/>
            </w:pPr>
            <w:r>
              <w:rPr>
                <w:rFonts w:ascii="Arial" w:eastAsia="Arial" w:hAnsi="Arial" w:cs="Arial"/>
                <w:color w:val="000000"/>
                <w:sz w:val="18"/>
              </w:rPr>
              <w:t>LAE</w:t>
            </w:r>
          </w:p>
        </w:tc>
        <w:tc>
          <w:tcPr>
            <w:tcW w:w="105" w:type="dxa"/>
            <w:tcBorders>
              <w:top w:val="nil"/>
              <w:left w:val="nil"/>
              <w:bottom w:val="nil"/>
              <w:right w:val="nil"/>
            </w:tcBorders>
            <w:tcMar>
              <w:top w:w="0" w:type="dxa"/>
              <w:left w:w="0" w:type="dxa"/>
              <w:bottom w:w="0" w:type="dxa"/>
              <w:right w:w="0" w:type="dxa"/>
            </w:tcMar>
            <w:vAlign w:val="bottom"/>
          </w:tcPr>
          <w:p w14:paraId="6F1A0AE4" w14:textId="77777777" w:rsidR="001614AC" w:rsidRDefault="001614AC">
            <w:pPr>
              <w:keepNext/>
            </w:pPr>
          </w:p>
        </w:tc>
        <w:tc>
          <w:tcPr>
            <w:tcW w:w="900" w:type="dxa"/>
            <w:gridSpan w:val="2"/>
            <w:tcBorders>
              <w:top w:val="single" w:sz="8" w:space="0" w:color="E9E9E9"/>
              <w:left w:val="nil"/>
              <w:bottom w:val="nil"/>
              <w:right w:val="nil"/>
            </w:tcBorders>
            <w:tcMar>
              <w:top w:w="0" w:type="dxa"/>
              <w:left w:w="0" w:type="dxa"/>
              <w:bottom w:w="0" w:type="dxa"/>
              <w:right w:w="0" w:type="dxa"/>
            </w:tcMar>
            <w:vAlign w:val="bottom"/>
          </w:tcPr>
          <w:p w14:paraId="5520B74D" w14:textId="77777777" w:rsidR="001614AC" w:rsidRDefault="001614AC">
            <w:pPr>
              <w:keepNext/>
            </w:pPr>
          </w:p>
        </w:tc>
        <w:tc>
          <w:tcPr>
            <w:tcW w:w="105" w:type="dxa"/>
            <w:tcBorders>
              <w:top w:val="nil"/>
              <w:left w:val="nil"/>
              <w:bottom w:val="nil"/>
              <w:right w:val="nil"/>
            </w:tcBorders>
            <w:tcMar>
              <w:top w:w="0" w:type="dxa"/>
              <w:left w:w="0" w:type="dxa"/>
              <w:bottom w:w="0" w:type="dxa"/>
              <w:right w:w="0" w:type="dxa"/>
            </w:tcMar>
            <w:vAlign w:val="bottom"/>
          </w:tcPr>
          <w:p w14:paraId="6324E328" w14:textId="77777777" w:rsidR="001614AC" w:rsidRDefault="001614AC">
            <w:pPr>
              <w:keepNext/>
            </w:pPr>
          </w:p>
        </w:tc>
        <w:tc>
          <w:tcPr>
            <w:tcW w:w="900" w:type="dxa"/>
            <w:gridSpan w:val="2"/>
            <w:tcBorders>
              <w:top w:val="single" w:sz="8" w:space="0" w:color="E9E9E9"/>
              <w:left w:val="nil"/>
              <w:bottom w:val="nil"/>
              <w:right w:val="nil"/>
            </w:tcBorders>
            <w:tcMar>
              <w:top w:w="0" w:type="dxa"/>
              <w:left w:w="0" w:type="dxa"/>
              <w:bottom w:w="0" w:type="dxa"/>
              <w:right w:w="0" w:type="dxa"/>
            </w:tcMar>
            <w:vAlign w:val="bottom"/>
          </w:tcPr>
          <w:p w14:paraId="192B5BBC" w14:textId="77777777" w:rsidR="001614AC" w:rsidRDefault="001614AC">
            <w:pPr>
              <w:keepNext/>
            </w:pPr>
          </w:p>
        </w:tc>
        <w:tc>
          <w:tcPr>
            <w:tcW w:w="105" w:type="dxa"/>
            <w:tcBorders>
              <w:top w:val="nil"/>
              <w:left w:val="nil"/>
              <w:bottom w:val="nil"/>
              <w:right w:val="nil"/>
            </w:tcBorders>
            <w:tcMar>
              <w:top w:w="0" w:type="dxa"/>
              <w:left w:w="0" w:type="dxa"/>
              <w:bottom w:w="0" w:type="dxa"/>
              <w:right w:w="0" w:type="dxa"/>
            </w:tcMar>
            <w:vAlign w:val="bottom"/>
          </w:tcPr>
          <w:p w14:paraId="2F6B0BD9" w14:textId="77777777" w:rsidR="001614AC" w:rsidRDefault="001614AC">
            <w:pPr>
              <w:keepNext/>
            </w:pPr>
          </w:p>
        </w:tc>
        <w:tc>
          <w:tcPr>
            <w:tcW w:w="1200" w:type="dxa"/>
            <w:gridSpan w:val="2"/>
            <w:tcBorders>
              <w:top w:val="single" w:sz="8" w:space="0" w:color="E9E9E9"/>
              <w:left w:val="nil"/>
              <w:bottom w:val="nil"/>
              <w:right w:val="nil"/>
            </w:tcBorders>
            <w:tcMar>
              <w:top w:w="0" w:type="dxa"/>
              <w:left w:w="0" w:type="dxa"/>
              <w:bottom w:w="0" w:type="dxa"/>
              <w:right w:w="0" w:type="dxa"/>
            </w:tcMar>
            <w:vAlign w:val="bottom"/>
          </w:tcPr>
          <w:p w14:paraId="38B2416D" w14:textId="77777777" w:rsidR="001614AC" w:rsidRDefault="001614AC">
            <w:pPr>
              <w:keepNext/>
            </w:pPr>
          </w:p>
        </w:tc>
        <w:tc>
          <w:tcPr>
            <w:tcW w:w="105" w:type="dxa"/>
            <w:tcBorders>
              <w:top w:val="nil"/>
              <w:left w:val="nil"/>
              <w:bottom w:val="nil"/>
              <w:right w:val="nil"/>
            </w:tcBorders>
            <w:tcMar>
              <w:top w:w="0" w:type="dxa"/>
              <w:left w:w="0" w:type="dxa"/>
              <w:bottom w:w="0" w:type="dxa"/>
              <w:right w:w="0" w:type="dxa"/>
            </w:tcMar>
            <w:vAlign w:val="bottom"/>
          </w:tcPr>
          <w:p w14:paraId="2984B1EA" w14:textId="77777777" w:rsidR="001614AC" w:rsidRDefault="001614AC">
            <w:pPr>
              <w:keepNext/>
            </w:pPr>
          </w:p>
        </w:tc>
        <w:tc>
          <w:tcPr>
            <w:tcW w:w="1095" w:type="dxa"/>
            <w:gridSpan w:val="2"/>
            <w:tcBorders>
              <w:top w:val="single" w:sz="8" w:space="0" w:color="E9E9E9"/>
              <w:left w:val="nil"/>
              <w:bottom w:val="nil"/>
              <w:right w:val="nil"/>
            </w:tcBorders>
            <w:tcMar>
              <w:top w:w="0" w:type="dxa"/>
              <w:left w:w="0" w:type="dxa"/>
              <w:bottom w:w="0" w:type="dxa"/>
              <w:right w:w="0" w:type="dxa"/>
            </w:tcMar>
            <w:vAlign w:val="bottom"/>
          </w:tcPr>
          <w:p w14:paraId="62AA2424" w14:textId="77777777" w:rsidR="001614AC" w:rsidRDefault="001614AC">
            <w:pPr>
              <w:keepNext/>
            </w:pPr>
          </w:p>
        </w:tc>
        <w:tc>
          <w:tcPr>
            <w:tcW w:w="105" w:type="dxa"/>
            <w:tcBorders>
              <w:top w:val="nil"/>
              <w:left w:val="nil"/>
              <w:bottom w:val="nil"/>
              <w:right w:val="nil"/>
            </w:tcBorders>
            <w:tcMar>
              <w:top w:w="0" w:type="dxa"/>
              <w:left w:w="0" w:type="dxa"/>
              <w:bottom w:w="0" w:type="dxa"/>
              <w:right w:w="0" w:type="dxa"/>
            </w:tcMar>
            <w:vAlign w:val="bottom"/>
          </w:tcPr>
          <w:p w14:paraId="34395385" w14:textId="77777777" w:rsidR="001614AC" w:rsidRDefault="001614AC">
            <w:pPr>
              <w:keepNext/>
            </w:pPr>
          </w:p>
        </w:tc>
        <w:tc>
          <w:tcPr>
            <w:tcW w:w="995" w:type="dxa"/>
            <w:gridSpan w:val="2"/>
            <w:tcBorders>
              <w:top w:val="single" w:sz="8" w:space="0" w:color="E9E9E9"/>
              <w:left w:val="nil"/>
              <w:bottom w:val="single" w:sz="8" w:space="0" w:color="C7C9C7"/>
              <w:right w:val="nil"/>
            </w:tcBorders>
            <w:tcMar>
              <w:top w:w="0" w:type="dxa"/>
              <w:left w:w="53" w:type="dxa"/>
              <w:bottom w:w="0" w:type="dxa"/>
              <w:right w:w="0" w:type="dxa"/>
            </w:tcMar>
            <w:vAlign w:val="bottom"/>
          </w:tcPr>
          <w:p w14:paraId="1645D203" w14:textId="77777777" w:rsidR="001614AC" w:rsidRDefault="004468F9">
            <w:pPr>
              <w:keepNext/>
              <w:spacing w:before="55" w:after="30" w:line="288" w:lineRule="auto"/>
              <w:jc w:val="right"/>
            </w:pPr>
            <w:r>
              <w:rPr>
                <w:rFonts w:ascii="Arial" w:eastAsia="Arial" w:hAnsi="Arial" w:cs="Arial"/>
                <w:color w:val="000000"/>
                <w:sz w:val="18"/>
              </w:rPr>
              <w:t>21,180 </w:t>
            </w:r>
          </w:p>
        </w:tc>
        <w:tc>
          <w:tcPr>
            <w:tcW w:w="100" w:type="dxa"/>
            <w:tcBorders>
              <w:top w:val="single" w:sz="8" w:space="0" w:color="E9E9E9"/>
              <w:left w:val="nil"/>
              <w:bottom w:val="single" w:sz="8" w:space="0" w:color="C7C9C7"/>
              <w:right w:val="nil"/>
            </w:tcBorders>
            <w:tcMar>
              <w:top w:w="0" w:type="dxa"/>
              <w:left w:w="0" w:type="dxa"/>
              <w:bottom w:w="0" w:type="dxa"/>
              <w:right w:w="15" w:type="dxa"/>
            </w:tcMar>
            <w:vAlign w:val="bottom"/>
          </w:tcPr>
          <w:p w14:paraId="0F967584" w14:textId="77777777" w:rsidR="001614AC" w:rsidRDefault="001614AC">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1A26F3D1" w14:textId="77777777" w:rsidR="001614AC" w:rsidRDefault="001614AC">
            <w:pPr>
              <w:keepNext/>
            </w:pPr>
          </w:p>
        </w:tc>
        <w:tc>
          <w:tcPr>
            <w:tcW w:w="900" w:type="dxa"/>
            <w:gridSpan w:val="2"/>
            <w:tcBorders>
              <w:top w:val="single" w:sz="8" w:space="0" w:color="E9E9E9"/>
              <w:left w:val="nil"/>
              <w:bottom w:val="nil"/>
              <w:right w:val="nil"/>
            </w:tcBorders>
            <w:tcMar>
              <w:top w:w="0" w:type="dxa"/>
              <w:left w:w="0" w:type="dxa"/>
              <w:bottom w:w="0" w:type="dxa"/>
              <w:right w:w="0" w:type="dxa"/>
            </w:tcMar>
            <w:vAlign w:val="bottom"/>
          </w:tcPr>
          <w:p w14:paraId="63644881" w14:textId="77777777" w:rsidR="001614AC" w:rsidRDefault="001614AC">
            <w:pPr>
              <w:keepNext/>
            </w:pPr>
          </w:p>
        </w:tc>
      </w:tr>
      <w:tr w:rsidR="001614AC" w14:paraId="11658AE8" w14:textId="77777777">
        <w:trPr>
          <w:cantSplit/>
        </w:trPr>
        <w:tc>
          <w:tcPr>
            <w:tcW w:w="3360" w:type="dxa"/>
            <w:tcBorders>
              <w:top w:val="nil"/>
              <w:left w:val="nil"/>
              <w:bottom w:val="nil"/>
              <w:right w:val="nil"/>
            </w:tcBorders>
            <w:shd w:val="clear" w:color="auto" w:fill="F4F4F4"/>
            <w:tcMar>
              <w:top w:w="0" w:type="dxa"/>
              <w:left w:w="53" w:type="dxa"/>
              <w:bottom w:w="0" w:type="dxa"/>
              <w:right w:w="53" w:type="dxa"/>
            </w:tcMar>
            <w:vAlign w:val="bottom"/>
          </w:tcPr>
          <w:p w14:paraId="0988126F" w14:textId="77777777" w:rsidR="001614AC" w:rsidRDefault="004468F9">
            <w:pPr>
              <w:spacing w:before="75" w:after="30" w:line="288" w:lineRule="auto"/>
            </w:pPr>
            <w:r>
              <w:rPr>
                <w:rFonts w:ascii="Arial" w:eastAsia="Arial" w:hAnsi="Arial" w:cs="Arial"/>
                <w:color w:val="000000"/>
                <w:sz w:val="18"/>
              </w:rPr>
              <w:t>Total primary reserve</w:t>
            </w:r>
          </w:p>
        </w:tc>
        <w:tc>
          <w:tcPr>
            <w:tcW w:w="105" w:type="dxa"/>
            <w:tcBorders>
              <w:top w:val="nil"/>
              <w:left w:val="nil"/>
              <w:bottom w:val="nil"/>
              <w:right w:val="nil"/>
            </w:tcBorders>
            <w:shd w:val="clear" w:color="auto" w:fill="F4F4F4"/>
            <w:tcMar>
              <w:top w:w="0" w:type="dxa"/>
              <w:left w:w="0" w:type="dxa"/>
              <w:bottom w:w="0" w:type="dxa"/>
              <w:right w:w="0" w:type="dxa"/>
            </w:tcMar>
            <w:vAlign w:val="bottom"/>
          </w:tcPr>
          <w:p w14:paraId="4437E711" w14:textId="77777777" w:rsidR="001614AC" w:rsidRDefault="001614AC"/>
        </w:tc>
        <w:tc>
          <w:tcPr>
            <w:tcW w:w="900" w:type="dxa"/>
            <w:gridSpan w:val="2"/>
            <w:tcBorders>
              <w:top w:val="nil"/>
              <w:left w:val="nil"/>
              <w:bottom w:val="nil"/>
              <w:right w:val="nil"/>
            </w:tcBorders>
            <w:shd w:val="clear" w:color="auto" w:fill="F4F4F4"/>
            <w:tcMar>
              <w:top w:w="0" w:type="dxa"/>
              <w:left w:w="0" w:type="dxa"/>
              <w:bottom w:w="0" w:type="dxa"/>
              <w:right w:w="0" w:type="dxa"/>
            </w:tcMar>
            <w:vAlign w:val="bottom"/>
          </w:tcPr>
          <w:p w14:paraId="2FA8609A" w14:textId="77777777" w:rsidR="001614AC" w:rsidRDefault="001614AC"/>
        </w:tc>
        <w:tc>
          <w:tcPr>
            <w:tcW w:w="105" w:type="dxa"/>
            <w:tcBorders>
              <w:top w:val="nil"/>
              <w:left w:val="nil"/>
              <w:bottom w:val="nil"/>
              <w:right w:val="nil"/>
            </w:tcBorders>
            <w:shd w:val="clear" w:color="auto" w:fill="F4F4F4"/>
            <w:tcMar>
              <w:top w:w="0" w:type="dxa"/>
              <w:left w:w="0" w:type="dxa"/>
              <w:bottom w:w="0" w:type="dxa"/>
              <w:right w:w="0" w:type="dxa"/>
            </w:tcMar>
            <w:vAlign w:val="bottom"/>
          </w:tcPr>
          <w:p w14:paraId="698EBD39" w14:textId="77777777" w:rsidR="001614AC" w:rsidRDefault="001614AC"/>
        </w:tc>
        <w:tc>
          <w:tcPr>
            <w:tcW w:w="900" w:type="dxa"/>
            <w:gridSpan w:val="2"/>
            <w:tcBorders>
              <w:top w:val="nil"/>
              <w:left w:val="nil"/>
              <w:bottom w:val="nil"/>
              <w:right w:val="nil"/>
            </w:tcBorders>
            <w:shd w:val="clear" w:color="auto" w:fill="F4F4F4"/>
            <w:tcMar>
              <w:top w:w="0" w:type="dxa"/>
              <w:left w:w="0" w:type="dxa"/>
              <w:bottom w:w="0" w:type="dxa"/>
              <w:right w:w="0" w:type="dxa"/>
            </w:tcMar>
            <w:vAlign w:val="bottom"/>
          </w:tcPr>
          <w:p w14:paraId="23FE2646" w14:textId="77777777" w:rsidR="001614AC" w:rsidRDefault="001614AC"/>
        </w:tc>
        <w:tc>
          <w:tcPr>
            <w:tcW w:w="105" w:type="dxa"/>
            <w:tcBorders>
              <w:top w:val="nil"/>
              <w:left w:val="nil"/>
              <w:bottom w:val="nil"/>
              <w:right w:val="nil"/>
            </w:tcBorders>
            <w:shd w:val="clear" w:color="auto" w:fill="F4F4F4"/>
            <w:tcMar>
              <w:top w:w="0" w:type="dxa"/>
              <w:left w:w="0" w:type="dxa"/>
              <w:bottom w:w="0" w:type="dxa"/>
              <w:right w:w="0" w:type="dxa"/>
            </w:tcMar>
            <w:vAlign w:val="bottom"/>
          </w:tcPr>
          <w:p w14:paraId="680F1ADA" w14:textId="77777777" w:rsidR="001614AC" w:rsidRDefault="001614AC"/>
        </w:tc>
        <w:tc>
          <w:tcPr>
            <w:tcW w:w="1200" w:type="dxa"/>
            <w:gridSpan w:val="2"/>
            <w:tcBorders>
              <w:top w:val="nil"/>
              <w:left w:val="nil"/>
              <w:bottom w:val="nil"/>
              <w:right w:val="nil"/>
            </w:tcBorders>
            <w:shd w:val="clear" w:color="auto" w:fill="F4F4F4"/>
            <w:tcMar>
              <w:top w:w="0" w:type="dxa"/>
              <w:left w:w="0" w:type="dxa"/>
              <w:bottom w:w="0" w:type="dxa"/>
              <w:right w:w="0" w:type="dxa"/>
            </w:tcMar>
            <w:vAlign w:val="bottom"/>
          </w:tcPr>
          <w:p w14:paraId="26860BB7" w14:textId="77777777" w:rsidR="001614AC" w:rsidRDefault="001614AC"/>
        </w:tc>
        <w:tc>
          <w:tcPr>
            <w:tcW w:w="105" w:type="dxa"/>
            <w:tcBorders>
              <w:top w:val="nil"/>
              <w:left w:val="nil"/>
              <w:bottom w:val="nil"/>
              <w:right w:val="nil"/>
            </w:tcBorders>
            <w:shd w:val="clear" w:color="auto" w:fill="F4F4F4"/>
            <w:tcMar>
              <w:top w:w="0" w:type="dxa"/>
              <w:left w:w="0" w:type="dxa"/>
              <w:bottom w:w="0" w:type="dxa"/>
              <w:right w:w="0" w:type="dxa"/>
            </w:tcMar>
            <w:vAlign w:val="bottom"/>
          </w:tcPr>
          <w:p w14:paraId="7F7C423E" w14:textId="77777777" w:rsidR="001614AC" w:rsidRDefault="001614AC"/>
        </w:tc>
        <w:tc>
          <w:tcPr>
            <w:tcW w:w="1095" w:type="dxa"/>
            <w:gridSpan w:val="2"/>
            <w:tcBorders>
              <w:top w:val="nil"/>
              <w:left w:val="nil"/>
              <w:bottom w:val="nil"/>
              <w:right w:val="nil"/>
            </w:tcBorders>
            <w:shd w:val="clear" w:color="auto" w:fill="F4F4F4"/>
            <w:tcMar>
              <w:top w:w="0" w:type="dxa"/>
              <w:left w:w="0" w:type="dxa"/>
              <w:bottom w:w="0" w:type="dxa"/>
              <w:right w:w="0" w:type="dxa"/>
            </w:tcMar>
            <w:vAlign w:val="bottom"/>
          </w:tcPr>
          <w:p w14:paraId="5D0651C3" w14:textId="77777777" w:rsidR="001614AC" w:rsidRDefault="001614AC"/>
        </w:tc>
        <w:tc>
          <w:tcPr>
            <w:tcW w:w="105" w:type="dxa"/>
            <w:tcBorders>
              <w:top w:val="nil"/>
              <w:left w:val="nil"/>
              <w:bottom w:val="nil"/>
              <w:right w:val="nil"/>
            </w:tcBorders>
            <w:shd w:val="clear" w:color="auto" w:fill="F4F4F4"/>
            <w:tcMar>
              <w:top w:w="0" w:type="dxa"/>
              <w:left w:w="0" w:type="dxa"/>
              <w:bottom w:w="0" w:type="dxa"/>
              <w:right w:w="0" w:type="dxa"/>
            </w:tcMar>
            <w:vAlign w:val="bottom"/>
          </w:tcPr>
          <w:p w14:paraId="567B8ED0" w14:textId="77777777" w:rsidR="001614AC" w:rsidRDefault="001614AC"/>
        </w:tc>
        <w:tc>
          <w:tcPr>
            <w:tcW w:w="160" w:type="dxa"/>
            <w:tcBorders>
              <w:top w:val="single" w:sz="8" w:space="0" w:color="C7C9C7"/>
              <w:left w:val="nil"/>
              <w:bottom w:val="double" w:sz="8" w:space="0" w:color="C7C9C7"/>
              <w:right w:val="nil"/>
            </w:tcBorders>
            <w:shd w:val="clear" w:color="auto" w:fill="F4F4F4"/>
            <w:tcMar>
              <w:top w:w="0" w:type="dxa"/>
              <w:left w:w="53" w:type="dxa"/>
              <w:bottom w:w="0" w:type="dxa"/>
              <w:right w:w="0" w:type="dxa"/>
            </w:tcMar>
            <w:vAlign w:val="bottom"/>
          </w:tcPr>
          <w:p w14:paraId="5D22ADC2" w14:textId="77777777" w:rsidR="001614AC" w:rsidRDefault="004468F9">
            <w:pPr>
              <w:spacing w:before="55" w:after="30" w:line="288" w:lineRule="auto"/>
            </w:pPr>
            <w:r>
              <w:rPr>
                <w:rFonts w:ascii="Arial" w:eastAsia="Arial" w:hAnsi="Arial" w:cs="Arial"/>
                <w:color w:val="000000"/>
                <w:sz w:val="18"/>
              </w:rPr>
              <w:t>$</w:t>
            </w:r>
          </w:p>
        </w:tc>
        <w:tc>
          <w:tcPr>
            <w:tcW w:w="835" w:type="dxa"/>
            <w:tcBorders>
              <w:top w:val="single" w:sz="8" w:space="0" w:color="C7C9C7"/>
              <w:left w:val="nil"/>
              <w:bottom w:val="double" w:sz="8" w:space="0" w:color="C7C9C7"/>
              <w:right w:val="nil"/>
            </w:tcBorders>
            <w:shd w:val="clear" w:color="auto" w:fill="F4F4F4"/>
            <w:tcMar>
              <w:top w:w="0" w:type="dxa"/>
              <w:left w:w="0" w:type="dxa"/>
              <w:bottom w:w="0" w:type="dxa"/>
              <w:right w:w="0" w:type="dxa"/>
            </w:tcMar>
            <w:vAlign w:val="bottom"/>
          </w:tcPr>
          <w:p w14:paraId="1670D068" w14:textId="77777777" w:rsidR="001614AC" w:rsidRDefault="004468F9">
            <w:pPr>
              <w:spacing w:before="55" w:after="30" w:line="288" w:lineRule="auto"/>
              <w:jc w:val="right"/>
            </w:pPr>
            <w:r>
              <w:rPr>
                <w:rFonts w:ascii="Arial" w:eastAsia="Arial" w:hAnsi="Arial" w:cs="Arial"/>
                <w:color w:val="000000"/>
                <w:sz w:val="18"/>
              </w:rPr>
              <w:t>867,408 </w:t>
            </w:r>
          </w:p>
        </w:tc>
        <w:tc>
          <w:tcPr>
            <w:tcW w:w="100" w:type="dxa"/>
            <w:tcBorders>
              <w:top w:val="single" w:sz="8" w:space="0" w:color="C7C9C7"/>
              <w:left w:val="nil"/>
              <w:bottom w:val="double" w:sz="8" w:space="0" w:color="C7C9C7"/>
              <w:right w:val="nil"/>
            </w:tcBorders>
            <w:shd w:val="clear" w:color="auto" w:fill="F4F4F4"/>
            <w:tcMar>
              <w:top w:w="0" w:type="dxa"/>
              <w:left w:w="0" w:type="dxa"/>
              <w:bottom w:w="0" w:type="dxa"/>
              <w:right w:w="15" w:type="dxa"/>
            </w:tcMar>
            <w:vAlign w:val="bottom"/>
          </w:tcPr>
          <w:p w14:paraId="00F7F2F6" w14:textId="77777777" w:rsidR="001614AC" w:rsidRDefault="001614AC">
            <w:pPr>
              <w:spacing w:before="55" w:after="30" w:line="288" w:lineRule="auto"/>
              <w:jc w:val="right"/>
            </w:pPr>
          </w:p>
        </w:tc>
        <w:tc>
          <w:tcPr>
            <w:tcW w:w="105" w:type="dxa"/>
            <w:tcBorders>
              <w:top w:val="nil"/>
              <w:left w:val="nil"/>
              <w:bottom w:val="nil"/>
              <w:right w:val="nil"/>
            </w:tcBorders>
            <w:shd w:val="clear" w:color="auto" w:fill="F4F4F4"/>
            <w:tcMar>
              <w:top w:w="0" w:type="dxa"/>
              <w:left w:w="0" w:type="dxa"/>
              <w:bottom w:w="0" w:type="dxa"/>
              <w:right w:w="0" w:type="dxa"/>
            </w:tcMar>
            <w:vAlign w:val="bottom"/>
          </w:tcPr>
          <w:p w14:paraId="43307E4A" w14:textId="77777777" w:rsidR="001614AC" w:rsidRDefault="001614AC"/>
        </w:tc>
        <w:tc>
          <w:tcPr>
            <w:tcW w:w="900" w:type="dxa"/>
            <w:gridSpan w:val="2"/>
            <w:tcBorders>
              <w:top w:val="nil"/>
              <w:left w:val="nil"/>
              <w:bottom w:val="nil"/>
              <w:right w:val="nil"/>
            </w:tcBorders>
            <w:shd w:val="clear" w:color="auto" w:fill="F4F4F4"/>
            <w:tcMar>
              <w:top w:w="0" w:type="dxa"/>
              <w:left w:w="0" w:type="dxa"/>
              <w:bottom w:w="0" w:type="dxa"/>
              <w:right w:w="0" w:type="dxa"/>
            </w:tcMar>
            <w:vAlign w:val="bottom"/>
          </w:tcPr>
          <w:p w14:paraId="3669BC32" w14:textId="77777777" w:rsidR="001614AC" w:rsidRDefault="001614AC"/>
        </w:tc>
      </w:tr>
    </w:tbl>
    <w:p w14:paraId="7F8E975B" w14:textId="77777777" w:rsidR="001614AC" w:rsidRDefault="001614AC">
      <w:pPr>
        <w:keepNext/>
        <w:spacing w:line="288" w:lineRule="auto"/>
        <w:rPr>
          <w:rFonts w:ascii="Arial" w:eastAsia="Arial" w:hAnsi="Arial" w:cs="Arial"/>
          <w:b/>
          <w:color w:val="64615D"/>
          <w:sz w:val="10"/>
          <w:shd w:val="clear" w:color="auto" w:fill="FFFFFF"/>
        </w:rPr>
      </w:pPr>
    </w:p>
    <w:tbl>
      <w:tblPr>
        <w:tblW w:w="102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8"/>
        <w:gridCol w:w="104"/>
        <w:gridCol w:w="799"/>
        <w:gridCol w:w="100"/>
        <w:gridCol w:w="104"/>
        <w:gridCol w:w="799"/>
        <w:gridCol w:w="176"/>
        <w:gridCol w:w="104"/>
        <w:gridCol w:w="1099"/>
        <w:gridCol w:w="100"/>
        <w:gridCol w:w="104"/>
        <w:gridCol w:w="992"/>
        <w:gridCol w:w="176"/>
        <w:gridCol w:w="104"/>
        <w:gridCol w:w="160"/>
        <w:gridCol w:w="834"/>
        <w:gridCol w:w="100"/>
        <w:gridCol w:w="104"/>
        <w:gridCol w:w="799"/>
        <w:gridCol w:w="176"/>
      </w:tblGrid>
      <w:tr w:rsidR="001614AC" w14:paraId="754ECC33" w14:textId="77777777">
        <w:trPr>
          <w:cantSplit/>
        </w:trPr>
        <w:tc>
          <w:tcPr>
            <w:tcW w:w="3360" w:type="dxa"/>
            <w:tcBorders>
              <w:top w:val="nil"/>
              <w:left w:val="nil"/>
              <w:bottom w:val="single" w:sz="8" w:space="0" w:color="FFFFFF"/>
              <w:right w:val="nil"/>
            </w:tcBorders>
            <w:tcMar>
              <w:top w:w="0" w:type="dxa"/>
              <w:left w:w="0" w:type="dxa"/>
              <w:bottom w:w="0" w:type="dxa"/>
              <w:right w:w="0" w:type="dxa"/>
            </w:tcMar>
            <w:vAlign w:val="bottom"/>
          </w:tcPr>
          <w:p w14:paraId="1C517D4A" w14:textId="77777777" w:rsidR="001614AC" w:rsidRDefault="001614AC">
            <w:pPr>
              <w:keepNext/>
            </w:pPr>
          </w:p>
        </w:tc>
        <w:tc>
          <w:tcPr>
            <w:tcW w:w="105" w:type="dxa"/>
            <w:tcBorders>
              <w:top w:val="nil"/>
              <w:left w:val="nil"/>
              <w:bottom w:val="single" w:sz="8" w:space="0" w:color="FFFFFF"/>
              <w:right w:val="nil"/>
            </w:tcBorders>
            <w:shd w:val="clear" w:color="auto" w:fill="F4F4F4"/>
            <w:tcMar>
              <w:top w:w="0" w:type="dxa"/>
              <w:left w:w="0" w:type="dxa"/>
              <w:bottom w:w="0" w:type="dxa"/>
              <w:right w:w="0" w:type="dxa"/>
            </w:tcMar>
            <w:vAlign w:val="bottom"/>
          </w:tcPr>
          <w:p w14:paraId="7D4043D7" w14:textId="77777777" w:rsidR="001614AC" w:rsidRDefault="001614AC">
            <w:pPr>
              <w:keepNext/>
            </w:pPr>
          </w:p>
        </w:tc>
        <w:tc>
          <w:tcPr>
            <w:tcW w:w="6615" w:type="dxa"/>
            <w:gridSpan w:val="18"/>
            <w:tcBorders>
              <w:top w:val="nil"/>
              <w:left w:val="nil"/>
              <w:bottom w:val="nil"/>
              <w:right w:val="nil"/>
            </w:tcBorders>
            <w:shd w:val="clear" w:color="auto" w:fill="F4F4F4"/>
            <w:tcMar>
              <w:top w:w="0" w:type="dxa"/>
              <w:left w:w="53" w:type="dxa"/>
              <w:bottom w:w="0" w:type="dxa"/>
              <w:right w:w="53" w:type="dxa"/>
            </w:tcMar>
            <w:vAlign w:val="bottom"/>
          </w:tcPr>
          <w:p w14:paraId="257785A5" w14:textId="77777777" w:rsidR="001614AC" w:rsidRDefault="004468F9">
            <w:pPr>
              <w:keepNext/>
              <w:spacing w:before="75" w:after="30" w:line="288" w:lineRule="auto"/>
              <w:jc w:val="center"/>
            </w:pPr>
            <w:r>
              <w:rPr>
                <w:rFonts w:ascii="Arial" w:eastAsia="Arial" w:hAnsi="Arial" w:cs="Arial"/>
                <w:b/>
                <w:color w:val="00BAB3"/>
                <w:sz w:val="18"/>
              </w:rPr>
              <w:t>December 31, 2020</w:t>
            </w:r>
          </w:p>
        </w:tc>
      </w:tr>
      <w:tr w:rsidR="001614AC" w14:paraId="1695AD8A" w14:textId="77777777">
        <w:trPr>
          <w:cantSplit/>
        </w:trPr>
        <w:tc>
          <w:tcPr>
            <w:tcW w:w="3360" w:type="dxa"/>
            <w:tcBorders>
              <w:top w:val="single" w:sz="8" w:space="0" w:color="FFFFFF"/>
              <w:left w:val="nil"/>
              <w:bottom w:val="nil"/>
              <w:right w:val="nil"/>
            </w:tcBorders>
            <w:tcMar>
              <w:top w:w="0" w:type="dxa"/>
              <w:left w:w="53" w:type="dxa"/>
              <w:bottom w:w="0" w:type="dxa"/>
              <w:right w:w="53" w:type="dxa"/>
            </w:tcMar>
            <w:vAlign w:val="bottom"/>
          </w:tcPr>
          <w:p w14:paraId="6AFCC8BF" w14:textId="77777777" w:rsidR="001614AC" w:rsidRDefault="001614AC">
            <w:pPr>
              <w:keepNext/>
              <w:spacing w:before="55" w:after="30" w:line="288" w:lineRule="auto"/>
            </w:pPr>
          </w:p>
        </w:tc>
        <w:tc>
          <w:tcPr>
            <w:tcW w:w="105" w:type="dxa"/>
            <w:tcBorders>
              <w:top w:val="single" w:sz="8" w:space="0" w:color="FFFFFF"/>
              <w:left w:val="nil"/>
              <w:bottom w:val="nil"/>
              <w:right w:val="nil"/>
            </w:tcBorders>
            <w:tcMar>
              <w:top w:w="0" w:type="dxa"/>
              <w:left w:w="0" w:type="dxa"/>
              <w:bottom w:w="0" w:type="dxa"/>
              <w:right w:w="0" w:type="dxa"/>
            </w:tcMar>
            <w:vAlign w:val="bottom"/>
          </w:tcPr>
          <w:p w14:paraId="7EAE29EA" w14:textId="77777777" w:rsidR="001614AC" w:rsidRDefault="001614AC">
            <w:pPr>
              <w:keepNext/>
            </w:pPr>
          </w:p>
        </w:tc>
        <w:tc>
          <w:tcPr>
            <w:tcW w:w="1905" w:type="dxa"/>
            <w:gridSpan w:val="5"/>
            <w:tcBorders>
              <w:top w:val="single" w:sz="8" w:space="0" w:color="FFFFFF"/>
              <w:left w:val="nil"/>
              <w:bottom w:val="nil"/>
              <w:right w:val="nil"/>
            </w:tcBorders>
            <w:tcMar>
              <w:top w:w="0" w:type="dxa"/>
              <w:left w:w="53" w:type="dxa"/>
              <w:bottom w:w="0" w:type="dxa"/>
              <w:right w:w="53" w:type="dxa"/>
            </w:tcMar>
            <w:vAlign w:val="bottom"/>
          </w:tcPr>
          <w:p w14:paraId="7A8AF0D0" w14:textId="77777777" w:rsidR="001614AC" w:rsidRDefault="004468F9">
            <w:pPr>
              <w:keepNext/>
              <w:spacing w:before="55" w:after="30" w:line="288" w:lineRule="auto"/>
              <w:jc w:val="center"/>
            </w:pPr>
            <w:r>
              <w:rPr>
                <w:rFonts w:ascii="Arial" w:eastAsia="Arial" w:hAnsi="Arial" w:cs="Arial"/>
                <w:b/>
                <w:color w:val="000000"/>
                <w:sz w:val="16"/>
              </w:rPr>
              <w:t>Total</w:t>
            </w:r>
          </w:p>
        </w:tc>
        <w:tc>
          <w:tcPr>
            <w:tcW w:w="105" w:type="dxa"/>
            <w:tcBorders>
              <w:top w:val="single" w:sz="8" w:space="0" w:color="FFFFFF"/>
              <w:left w:val="nil"/>
              <w:bottom w:val="single" w:sz="8" w:space="0" w:color="FFFFFF"/>
              <w:right w:val="nil"/>
            </w:tcBorders>
            <w:tcMar>
              <w:top w:w="0" w:type="dxa"/>
              <w:left w:w="0" w:type="dxa"/>
              <w:bottom w:w="0" w:type="dxa"/>
              <w:right w:w="0" w:type="dxa"/>
            </w:tcMar>
            <w:vAlign w:val="bottom"/>
          </w:tcPr>
          <w:p w14:paraId="3F4550AD" w14:textId="77777777" w:rsidR="001614AC" w:rsidRDefault="001614AC">
            <w:pPr>
              <w:keepNext/>
            </w:pPr>
          </w:p>
        </w:tc>
        <w:tc>
          <w:tcPr>
            <w:tcW w:w="1200" w:type="dxa"/>
            <w:gridSpan w:val="2"/>
            <w:tcBorders>
              <w:top w:val="single" w:sz="8" w:space="0" w:color="FFFFFF"/>
              <w:left w:val="nil"/>
              <w:bottom w:val="single" w:sz="8" w:space="0" w:color="FFFFFF"/>
              <w:right w:val="nil"/>
            </w:tcBorders>
            <w:tcMar>
              <w:top w:w="0" w:type="dxa"/>
              <w:left w:w="53" w:type="dxa"/>
              <w:bottom w:w="0" w:type="dxa"/>
              <w:right w:w="53" w:type="dxa"/>
            </w:tcMar>
            <w:vAlign w:val="bottom"/>
          </w:tcPr>
          <w:p w14:paraId="6134D317" w14:textId="77777777" w:rsidR="001614AC" w:rsidRDefault="004468F9">
            <w:pPr>
              <w:keepNext/>
              <w:spacing w:before="55" w:after="30" w:line="288" w:lineRule="auto"/>
              <w:jc w:val="center"/>
            </w:pPr>
            <w:r>
              <w:rPr>
                <w:rFonts w:ascii="Arial" w:eastAsia="Arial" w:hAnsi="Arial" w:cs="Arial"/>
                <w:b/>
                <w:color w:val="000000"/>
                <w:sz w:val="14"/>
              </w:rPr>
              <w:t>Foreclosure Stage Defaulted Loans</w:t>
            </w:r>
          </w:p>
        </w:tc>
        <w:tc>
          <w:tcPr>
            <w:tcW w:w="105" w:type="dxa"/>
            <w:tcBorders>
              <w:top w:val="single" w:sz="8" w:space="0" w:color="FFFFFF"/>
              <w:left w:val="nil"/>
              <w:bottom w:val="single" w:sz="8" w:space="0" w:color="FFFFFF"/>
              <w:right w:val="nil"/>
            </w:tcBorders>
            <w:tcMar>
              <w:top w:w="0" w:type="dxa"/>
              <w:left w:w="0" w:type="dxa"/>
              <w:bottom w:w="0" w:type="dxa"/>
              <w:right w:w="0" w:type="dxa"/>
            </w:tcMar>
            <w:vAlign w:val="bottom"/>
          </w:tcPr>
          <w:p w14:paraId="4292F5D1" w14:textId="77777777" w:rsidR="001614AC" w:rsidRDefault="001614AC">
            <w:pPr>
              <w:keepNext/>
            </w:pPr>
          </w:p>
        </w:tc>
        <w:tc>
          <w:tcPr>
            <w:tcW w:w="1095" w:type="dxa"/>
            <w:gridSpan w:val="2"/>
            <w:tcBorders>
              <w:top w:val="single" w:sz="8" w:space="0" w:color="FFFFFF"/>
              <w:left w:val="nil"/>
              <w:bottom w:val="single" w:sz="8" w:space="0" w:color="FFFFFF"/>
              <w:right w:val="nil"/>
            </w:tcBorders>
            <w:tcMar>
              <w:top w:w="0" w:type="dxa"/>
              <w:left w:w="53" w:type="dxa"/>
              <w:bottom w:w="0" w:type="dxa"/>
              <w:right w:w="53" w:type="dxa"/>
            </w:tcMar>
            <w:vAlign w:val="bottom"/>
          </w:tcPr>
          <w:p w14:paraId="1AED3250" w14:textId="77777777" w:rsidR="001614AC" w:rsidRDefault="004468F9">
            <w:pPr>
              <w:keepNext/>
              <w:spacing w:before="55" w:after="30" w:line="288" w:lineRule="auto"/>
              <w:jc w:val="center"/>
            </w:pPr>
            <w:r>
              <w:rPr>
                <w:rFonts w:ascii="Arial" w:eastAsia="Arial" w:hAnsi="Arial" w:cs="Arial"/>
                <w:b/>
                <w:color w:val="000000"/>
                <w:sz w:val="14"/>
              </w:rPr>
              <w:t>Cure % During the 4th Quarter</w:t>
            </w:r>
          </w:p>
        </w:tc>
        <w:tc>
          <w:tcPr>
            <w:tcW w:w="105" w:type="dxa"/>
            <w:tcBorders>
              <w:top w:val="single" w:sz="8" w:space="0" w:color="FFFFFF"/>
              <w:left w:val="nil"/>
              <w:bottom w:val="single" w:sz="8" w:space="0" w:color="FFFFFF"/>
              <w:right w:val="nil"/>
            </w:tcBorders>
            <w:tcMar>
              <w:top w:w="0" w:type="dxa"/>
              <w:left w:w="0" w:type="dxa"/>
              <w:bottom w:w="0" w:type="dxa"/>
              <w:right w:w="0" w:type="dxa"/>
            </w:tcMar>
            <w:vAlign w:val="bottom"/>
          </w:tcPr>
          <w:p w14:paraId="18AFE34F" w14:textId="77777777" w:rsidR="001614AC" w:rsidRDefault="001614AC">
            <w:pPr>
              <w:keepNext/>
            </w:pPr>
          </w:p>
        </w:tc>
        <w:tc>
          <w:tcPr>
            <w:tcW w:w="1095" w:type="dxa"/>
            <w:gridSpan w:val="3"/>
            <w:tcBorders>
              <w:top w:val="single" w:sz="8" w:space="0" w:color="FFFFFF"/>
              <w:left w:val="nil"/>
              <w:bottom w:val="single" w:sz="8" w:space="0" w:color="FFFFFF"/>
              <w:right w:val="nil"/>
            </w:tcBorders>
            <w:tcMar>
              <w:top w:w="0" w:type="dxa"/>
              <w:left w:w="53" w:type="dxa"/>
              <w:bottom w:w="0" w:type="dxa"/>
              <w:right w:w="53" w:type="dxa"/>
            </w:tcMar>
            <w:vAlign w:val="bottom"/>
          </w:tcPr>
          <w:p w14:paraId="2EB002AD" w14:textId="77777777" w:rsidR="001614AC" w:rsidRDefault="004468F9">
            <w:pPr>
              <w:keepNext/>
              <w:spacing w:before="55" w:after="30" w:line="288" w:lineRule="auto"/>
              <w:jc w:val="center"/>
            </w:pPr>
            <w:r>
              <w:rPr>
                <w:rFonts w:ascii="Arial" w:eastAsia="Arial" w:hAnsi="Arial" w:cs="Arial"/>
                <w:b/>
                <w:color w:val="000000"/>
                <w:sz w:val="14"/>
              </w:rPr>
              <w:t>Reserve for Losses</w:t>
            </w:r>
          </w:p>
        </w:tc>
        <w:tc>
          <w:tcPr>
            <w:tcW w:w="105" w:type="dxa"/>
            <w:tcBorders>
              <w:top w:val="single" w:sz="8" w:space="0" w:color="FFFFFF"/>
              <w:left w:val="nil"/>
              <w:bottom w:val="single" w:sz="8" w:space="0" w:color="FFFFFF"/>
              <w:right w:val="nil"/>
            </w:tcBorders>
            <w:tcMar>
              <w:top w:w="0" w:type="dxa"/>
              <w:left w:w="0" w:type="dxa"/>
              <w:bottom w:w="0" w:type="dxa"/>
              <w:right w:w="0" w:type="dxa"/>
            </w:tcMar>
            <w:vAlign w:val="bottom"/>
          </w:tcPr>
          <w:p w14:paraId="31636A6F" w14:textId="77777777" w:rsidR="001614AC" w:rsidRDefault="001614AC">
            <w:pPr>
              <w:keepNext/>
            </w:pPr>
          </w:p>
        </w:tc>
        <w:tc>
          <w:tcPr>
            <w:tcW w:w="900" w:type="dxa"/>
            <w:gridSpan w:val="2"/>
            <w:tcBorders>
              <w:top w:val="single" w:sz="8" w:space="0" w:color="FFFFFF"/>
              <w:left w:val="nil"/>
              <w:bottom w:val="single" w:sz="8" w:space="0" w:color="FFFFFF"/>
              <w:right w:val="nil"/>
            </w:tcBorders>
            <w:tcMar>
              <w:top w:w="0" w:type="dxa"/>
              <w:left w:w="53" w:type="dxa"/>
              <w:bottom w:w="0" w:type="dxa"/>
              <w:right w:w="53" w:type="dxa"/>
            </w:tcMar>
            <w:vAlign w:val="bottom"/>
          </w:tcPr>
          <w:p w14:paraId="4DF6F805" w14:textId="77777777" w:rsidR="001614AC" w:rsidRDefault="004468F9">
            <w:pPr>
              <w:keepNext/>
              <w:spacing w:before="55" w:after="30" w:line="288" w:lineRule="auto"/>
              <w:jc w:val="center"/>
            </w:pPr>
            <w:r>
              <w:rPr>
                <w:rFonts w:ascii="Arial" w:eastAsia="Arial" w:hAnsi="Arial" w:cs="Arial"/>
                <w:b/>
                <w:color w:val="000000"/>
                <w:sz w:val="14"/>
              </w:rPr>
              <w:t>% of Reserve</w:t>
            </w:r>
          </w:p>
        </w:tc>
      </w:tr>
      <w:tr w:rsidR="001614AC" w14:paraId="61863754" w14:textId="77777777">
        <w:trPr>
          <w:cantSplit/>
        </w:trPr>
        <w:tc>
          <w:tcPr>
            <w:tcW w:w="3360" w:type="dxa"/>
            <w:tcBorders>
              <w:top w:val="nil"/>
              <w:left w:val="nil"/>
              <w:bottom w:val="single" w:sz="8" w:space="0" w:color="C7C9C7"/>
              <w:right w:val="nil"/>
            </w:tcBorders>
            <w:tcMar>
              <w:top w:w="0" w:type="dxa"/>
              <w:left w:w="53" w:type="dxa"/>
              <w:bottom w:w="0" w:type="dxa"/>
              <w:right w:w="53" w:type="dxa"/>
            </w:tcMar>
            <w:vAlign w:val="bottom"/>
          </w:tcPr>
          <w:p w14:paraId="072F32D2" w14:textId="77777777" w:rsidR="001614AC" w:rsidRDefault="004468F9">
            <w:pPr>
              <w:keepNext/>
              <w:spacing w:before="75" w:after="30" w:line="288" w:lineRule="auto"/>
            </w:pPr>
            <w:r>
              <w:rPr>
                <w:rFonts w:ascii="Arial" w:eastAsia="Arial" w:hAnsi="Arial" w:cs="Arial"/>
                <w:color w:val="8B8886"/>
                <w:sz w:val="16"/>
              </w:rPr>
              <w:t>($ in thousands)</w:t>
            </w:r>
          </w:p>
        </w:tc>
        <w:tc>
          <w:tcPr>
            <w:tcW w:w="105" w:type="dxa"/>
            <w:tcBorders>
              <w:top w:val="nil"/>
              <w:left w:val="nil"/>
              <w:bottom w:val="single" w:sz="8" w:space="0" w:color="C7C9C7"/>
              <w:right w:val="nil"/>
            </w:tcBorders>
            <w:tcMar>
              <w:top w:w="0" w:type="dxa"/>
              <w:left w:w="0" w:type="dxa"/>
              <w:bottom w:w="0" w:type="dxa"/>
              <w:right w:w="0" w:type="dxa"/>
            </w:tcMar>
            <w:vAlign w:val="bottom"/>
          </w:tcPr>
          <w:p w14:paraId="38BD51CB" w14:textId="77777777" w:rsidR="001614AC" w:rsidRDefault="001614AC">
            <w:pPr>
              <w:keepNext/>
            </w:pPr>
          </w:p>
        </w:tc>
        <w:tc>
          <w:tcPr>
            <w:tcW w:w="900" w:type="dxa"/>
            <w:gridSpan w:val="2"/>
            <w:tcBorders>
              <w:top w:val="single" w:sz="8" w:space="0" w:color="FFFFFF"/>
              <w:left w:val="nil"/>
              <w:bottom w:val="single" w:sz="8" w:space="0" w:color="C7C9C7"/>
              <w:right w:val="nil"/>
            </w:tcBorders>
            <w:shd w:val="clear" w:color="auto" w:fill="F4F4F4"/>
            <w:tcMar>
              <w:top w:w="0" w:type="dxa"/>
              <w:left w:w="53" w:type="dxa"/>
              <w:bottom w:w="0" w:type="dxa"/>
              <w:right w:w="53" w:type="dxa"/>
            </w:tcMar>
            <w:vAlign w:val="bottom"/>
          </w:tcPr>
          <w:p w14:paraId="51F7B8BA" w14:textId="77777777" w:rsidR="001614AC" w:rsidRDefault="004468F9">
            <w:pPr>
              <w:keepNext/>
              <w:spacing w:before="55" w:after="30" w:line="288" w:lineRule="auto"/>
              <w:jc w:val="center"/>
            </w:pPr>
            <w:r>
              <w:rPr>
                <w:rFonts w:ascii="Arial" w:eastAsia="Arial" w:hAnsi="Arial" w:cs="Arial"/>
                <w:b/>
                <w:color w:val="000000"/>
                <w:sz w:val="18"/>
              </w:rPr>
              <w:t>#</w:t>
            </w:r>
          </w:p>
        </w:tc>
        <w:tc>
          <w:tcPr>
            <w:tcW w:w="105" w:type="dxa"/>
            <w:tcBorders>
              <w:top w:val="single" w:sz="8" w:space="0" w:color="FFFFFF"/>
              <w:left w:val="nil"/>
              <w:bottom w:val="single" w:sz="8" w:space="0" w:color="C7C9C7"/>
              <w:right w:val="nil"/>
            </w:tcBorders>
            <w:tcMar>
              <w:top w:w="0" w:type="dxa"/>
              <w:left w:w="0" w:type="dxa"/>
              <w:bottom w:w="0" w:type="dxa"/>
              <w:right w:w="0" w:type="dxa"/>
            </w:tcMar>
            <w:vAlign w:val="bottom"/>
          </w:tcPr>
          <w:p w14:paraId="2776AB90" w14:textId="77777777" w:rsidR="001614AC" w:rsidRDefault="001614AC">
            <w:pPr>
              <w:keepNext/>
            </w:pPr>
          </w:p>
        </w:tc>
        <w:tc>
          <w:tcPr>
            <w:tcW w:w="900" w:type="dxa"/>
            <w:gridSpan w:val="2"/>
            <w:tcBorders>
              <w:top w:val="single" w:sz="8" w:space="0" w:color="FFFFFF"/>
              <w:left w:val="nil"/>
              <w:bottom w:val="single" w:sz="8" w:space="0" w:color="C7C9C7"/>
              <w:right w:val="nil"/>
            </w:tcBorders>
            <w:shd w:val="clear" w:color="auto" w:fill="F4F4F4"/>
            <w:tcMar>
              <w:top w:w="0" w:type="dxa"/>
              <w:left w:w="53" w:type="dxa"/>
              <w:bottom w:w="0" w:type="dxa"/>
              <w:right w:w="53" w:type="dxa"/>
            </w:tcMar>
            <w:vAlign w:val="bottom"/>
          </w:tcPr>
          <w:p w14:paraId="0EA06DAF" w14:textId="77777777" w:rsidR="001614AC" w:rsidRDefault="004468F9">
            <w:pPr>
              <w:keepNext/>
              <w:spacing w:before="55" w:after="30" w:line="288" w:lineRule="auto"/>
              <w:jc w:val="center"/>
            </w:pPr>
            <w:r>
              <w:rPr>
                <w:rFonts w:ascii="Arial" w:eastAsia="Arial" w:hAnsi="Arial" w:cs="Arial"/>
                <w:b/>
                <w:color w:val="000000"/>
                <w:sz w:val="18"/>
              </w:rPr>
              <w:t>%</w:t>
            </w:r>
          </w:p>
        </w:tc>
        <w:tc>
          <w:tcPr>
            <w:tcW w:w="105" w:type="dxa"/>
            <w:tcBorders>
              <w:top w:val="single" w:sz="8" w:space="0" w:color="FFFFFF"/>
              <w:left w:val="nil"/>
              <w:bottom w:val="single" w:sz="8" w:space="0" w:color="C7C9C7"/>
              <w:right w:val="nil"/>
            </w:tcBorders>
            <w:tcMar>
              <w:top w:w="0" w:type="dxa"/>
              <w:left w:w="0" w:type="dxa"/>
              <w:bottom w:w="0" w:type="dxa"/>
              <w:right w:w="0" w:type="dxa"/>
            </w:tcMar>
            <w:vAlign w:val="bottom"/>
          </w:tcPr>
          <w:p w14:paraId="3B9C9928" w14:textId="77777777" w:rsidR="001614AC" w:rsidRDefault="001614AC">
            <w:pPr>
              <w:keepNext/>
            </w:pPr>
          </w:p>
        </w:tc>
        <w:tc>
          <w:tcPr>
            <w:tcW w:w="1200" w:type="dxa"/>
            <w:gridSpan w:val="2"/>
            <w:tcBorders>
              <w:top w:val="single" w:sz="8" w:space="0" w:color="FFFFFF"/>
              <w:left w:val="nil"/>
              <w:bottom w:val="single" w:sz="8" w:space="0" w:color="C7C9C7"/>
              <w:right w:val="nil"/>
            </w:tcBorders>
            <w:shd w:val="clear" w:color="auto" w:fill="F4F4F4"/>
            <w:tcMar>
              <w:top w:w="0" w:type="dxa"/>
              <w:left w:w="53" w:type="dxa"/>
              <w:bottom w:w="0" w:type="dxa"/>
              <w:right w:w="53" w:type="dxa"/>
            </w:tcMar>
            <w:vAlign w:val="bottom"/>
          </w:tcPr>
          <w:p w14:paraId="01AC716C" w14:textId="77777777" w:rsidR="001614AC" w:rsidRDefault="004468F9">
            <w:pPr>
              <w:keepNext/>
              <w:spacing w:before="55" w:after="30" w:line="288" w:lineRule="auto"/>
              <w:jc w:val="center"/>
            </w:pPr>
            <w:r>
              <w:rPr>
                <w:rFonts w:ascii="Arial" w:eastAsia="Arial" w:hAnsi="Arial" w:cs="Arial"/>
                <w:b/>
                <w:color w:val="000000"/>
                <w:sz w:val="18"/>
              </w:rPr>
              <w:t>#</w:t>
            </w:r>
          </w:p>
        </w:tc>
        <w:tc>
          <w:tcPr>
            <w:tcW w:w="105" w:type="dxa"/>
            <w:tcBorders>
              <w:top w:val="single" w:sz="8" w:space="0" w:color="FFFFFF"/>
              <w:left w:val="nil"/>
              <w:bottom w:val="single" w:sz="8" w:space="0" w:color="C7C9C7"/>
              <w:right w:val="nil"/>
            </w:tcBorders>
            <w:tcMar>
              <w:top w:w="0" w:type="dxa"/>
              <w:left w:w="0" w:type="dxa"/>
              <w:bottom w:w="0" w:type="dxa"/>
              <w:right w:w="0" w:type="dxa"/>
            </w:tcMar>
            <w:vAlign w:val="bottom"/>
          </w:tcPr>
          <w:p w14:paraId="4F87E033" w14:textId="77777777" w:rsidR="001614AC" w:rsidRDefault="001614AC">
            <w:pPr>
              <w:keepNext/>
            </w:pPr>
          </w:p>
        </w:tc>
        <w:tc>
          <w:tcPr>
            <w:tcW w:w="1095" w:type="dxa"/>
            <w:gridSpan w:val="2"/>
            <w:tcBorders>
              <w:top w:val="single" w:sz="8" w:space="0" w:color="FFFFFF"/>
              <w:left w:val="nil"/>
              <w:bottom w:val="single" w:sz="8" w:space="0" w:color="C7C9C7"/>
              <w:right w:val="nil"/>
            </w:tcBorders>
            <w:shd w:val="clear" w:color="auto" w:fill="F4F4F4"/>
            <w:tcMar>
              <w:top w:w="0" w:type="dxa"/>
              <w:left w:w="53" w:type="dxa"/>
              <w:bottom w:w="0" w:type="dxa"/>
              <w:right w:w="53" w:type="dxa"/>
            </w:tcMar>
            <w:vAlign w:val="bottom"/>
          </w:tcPr>
          <w:p w14:paraId="2AB0E590" w14:textId="77777777" w:rsidR="001614AC" w:rsidRDefault="004468F9">
            <w:pPr>
              <w:keepNext/>
              <w:spacing w:before="55" w:after="30" w:line="288" w:lineRule="auto"/>
              <w:jc w:val="center"/>
            </w:pPr>
            <w:r>
              <w:rPr>
                <w:rFonts w:ascii="Arial" w:eastAsia="Arial" w:hAnsi="Arial" w:cs="Arial"/>
                <w:b/>
                <w:color w:val="000000"/>
                <w:sz w:val="18"/>
              </w:rPr>
              <w:t>%</w:t>
            </w:r>
          </w:p>
        </w:tc>
        <w:tc>
          <w:tcPr>
            <w:tcW w:w="105" w:type="dxa"/>
            <w:tcBorders>
              <w:top w:val="single" w:sz="8" w:space="0" w:color="FFFFFF"/>
              <w:left w:val="nil"/>
              <w:bottom w:val="single" w:sz="8" w:space="0" w:color="C7C9C7"/>
              <w:right w:val="nil"/>
            </w:tcBorders>
            <w:tcMar>
              <w:top w:w="0" w:type="dxa"/>
              <w:left w:w="0" w:type="dxa"/>
              <w:bottom w:w="0" w:type="dxa"/>
              <w:right w:w="0" w:type="dxa"/>
            </w:tcMar>
            <w:vAlign w:val="bottom"/>
          </w:tcPr>
          <w:p w14:paraId="5F639868" w14:textId="77777777" w:rsidR="001614AC" w:rsidRDefault="001614AC">
            <w:pPr>
              <w:keepNext/>
            </w:pPr>
          </w:p>
        </w:tc>
        <w:tc>
          <w:tcPr>
            <w:tcW w:w="1095" w:type="dxa"/>
            <w:gridSpan w:val="3"/>
            <w:tcBorders>
              <w:top w:val="single" w:sz="8" w:space="0" w:color="FFFFFF"/>
              <w:left w:val="nil"/>
              <w:bottom w:val="single" w:sz="8" w:space="0" w:color="C7C9C7"/>
              <w:right w:val="nil"/>
            </w:tcBorders>
            <w:shd w:val="clear" w:color="auto" w:fill="F4F4F4"/>
            <w:tcMar>
              <w:top w:w="0" w:type="dxa"/>
              <w:left w:w="53" w:type="dxa"/>
              <w:bottom w:w="0" w:type="dxa"/>
              <w:right w:w="53" w:type="dxa"/>
            </w:tcMar>
            <w:vAlign w:val="bottom"/>
          </w:tcPr>
          <w:p w14:paraId="0ADAB87C" w14:textId="77777777" w:rsidR="001614AC" w:rsidRDefault="004468F9">
            <w:pPr>
              <w:keepNext/>
              <w:spacing w:before="55" w:after="30" w:line="288" w:lineRule="auto"/>
              <w:jc w:val="center"/>
            </w:pPr>
            <w:r>
              <w:rPr>
                <w:rFonts w:ascii="Arial" w:eastAsia="Arial" w:hAnsi="Arial" w:cs="Arial"/>
                <w:b/>
                <w:color w:val="000000"/>
                <w:sz w:val="18"/>
              </w:rPr>
              <w:t>$</w:t>
            </w:r>
          </w:p>
        </w:tc>
        <w:tc>
          <w:tcPr>
            <w:tcW w:w="105" w:type="dxa"/>
            <w:tcBorders>
              <w:top w:val="single" w:sz="8" w:space="0" w:color="FFFFFF"/>
              <w:left w:val="nil"/>
              <w:bottom w:val="single" w:sz="8" w:space="0" w:color="C7C9C7"/>
              <w:right w:val="nil"/>
            </w:tcBorders>
            <w:tcMar>
              <w:top w:w="0" w:type="dxa"/>
              <w:left w:w="0" w:type="dxa"/>
              <w:bottom w:w="0" w:type="dxa"/>
              <w:right w:w="0" w:type="dxa"/>
            </w:tcMar>
            <w:vAlign w:val="bottom"/>
          </w:tcPr>
          <w:p w14:paraId="03E41357" w14:textId="77777777" w:rsidR="001614AC" w:rsidRDefault="001614AC">
            <w:pPr>
              <w:keepNext/>
            </w:pPr>
          </w:p>
        </w:tc>
        <w:tc>
          <w:tcPr>
            <w:tcW w:w="900" w:type="dxa"/>
            <w:gridSpan w:val="2"/>
            <w:tcBorders>
              <w:top w:val="single" w:sz="8" w:space="0" w:color="FFFFFF"/>
              <w:left w:val="nil"/>
              <w:bottom w:val="single" w:sz="8" w:space="0" w:color="C7C9C7"/>
              <w:right w:val="nil"/>
            </w:tcBorders>
            <w:shd w:val="clear" w:color="auto" w:fill="F4F4F4"/>
            <w:tcMar>
              <w:top w:w="0" w:type="dxa"/>
              <w:left w:w="53" w:type="dxa"/>
              <w:bottom w:w="0" w:type="dxa"/>
              <w:right w:w="53" w:type="dxa"/>
            </w:tcMar>
            <w:vAlign w:val="bottom"/>
          </w:tcPr>
          <w:p w14:paraId="5FC69D1C" w14:textId="77777777" w:rsidR="001614AC" w:rsidRDefault="004468F9">
            <w:pPr>
              <w:keepNext/>
              <w:spacing w:before="55" w:after="30" w:line="288" w:lineRule="auto"/>
              <w:jc w:val="center"/>
            </w:pPr>
            <w:r>
              <w:rPr>
                <w:rFonts w:ascii="Arial" w:eastAsia="Arial" w:hAnsi="Arial" w:cs="Arial"/>
                <w:b/>
                <w:color w:val="000000"/>
                <w:sz w:val="18"/>
              </w:rPr>
              <w:t>%</w:t>
            </w:r>
          </w:p>
        </w:tc>
      </w:tr>
      <w:tr w:rsidR="001614AC" w14:paraId="342D912A" w14:textId="77777777">
        <w:trPr>
          <w:cantSplit/>
        </w:trPr>
        <w:tc>
          <w:tcPr>
            <w:tcW w:w="3360" w:type="dxa"/>
            <w:tcBorders>
              <w:top w:val="single" w:sz="8" w:space="0" w:color="C7C9C7"/>
              <w:left w:val="nil"/>
              <w:bottom w:val="single" w:sz="8" w:space="0" w:color="E6EAED"/>
              <w:right w:val="nil"/>
            </w:tcBorders>
            <w:tcMar>
              <w:top w:w="0" w:type="dxa"/>
              <w:left w:w="53" w:type="dxa"/>
              <w:bottom w:w="0" w:type="dxa"/>
              <w:right w:w="53" w:type="dxa"/>
            </w:tcMar>
            <w:vAlign w:val="bottom"/>
          </w:tcPr>
          <w:p w14:paraId="75056A87" w14:textId="77777777" w:rsidR="001614AC" w:rsidRDefault="004468F9">
            <w:pPr>
              <w:keepNext/>
              <w:spacing w:before="55" w:after="30" w:line="288" w:lineRule="auto"/>
            </w:pPr>
            <w:r>
              <w:rPr>
                <w:rFonts w:ascii="Arial" w:eastAsia="Arial" w:hAnsi="Arial" w:cs="Arial"/>
                <w:color w:val="000000"/>
                <w:sz w:val="18"/>
              </w:rPr>
              <w:t>Missed payments</w:t>
            </w:r>
          </w:p>
        </w:tc>
        <w:tc>
          <w:tcPr>
            <w:tcW w:w="105" w:type="dxa"/>
            <w:tcBorders>
              <w:top w:val="single" w:sz="8" w:space="0" w:color="C7C9C7"/>
              <w:left w:val="nil"/>
              <w:bottom w:val="nil"/>
              <w:right w:val="nil"/>
            </w:tcBorders>
            <w:tcMar>
              <w:top w:w="0" w:type="dxa"/>
              <w:left w:w="0" w:type="dxa"/>
              <w:bottom w:w="0" w:type="dxa"/>
              <w:right w:w="0" w:type="dxa"/>
            </w:tcMar>
            <w:vAlign w:val="bottom"/>
          </w:tcPr>
          <w:p w14:paraId="6BD4B527" w14:textId="77777777" w:rsidR="001614AC" w:rsidRDefault="001614AC">
            <w:pPr>
              <w:keepNext/>
            </w:pPr>
          </w:p>
        </w:tc>
        <w:tc>
          <w:tcPr>
            <w:tcW w:w="900" w:type="dxa"/>
            <w:gridSpan w:val="2"/>
            <w:tcBorders>
              <w:top w:val="single" w:sz="8" w:space="0" w:color="C7C9C7"/>
              <w:left w:val="nil"/>
              <w:bottom w:val="single" w:sz="8" w:space="0" w:color="E6EAED"/>
              <w:right w:val="nil"/>
            </w:tcBorders>
            <w:tcMar>
              <w:top w:w="0" w:type="dxa"/>
              <w:left w:w="0" w:type="dxa"/>
              <w:bottom w:w="0" w:type="dxa"/>
              <w:right w:w="0" w:type="dxa"/>
            </w:tcMar>
            <w:vAlign w:val="bottom"/>
          </w:tcPr>
          <w:p w14:paraId="5A367999" w14:textId="77777777" w:rsidR="001614AC" w:rsidRDefault="001614AC">
            <w:pPr>
              <w:keepNext/>
            </w:pPr>
          </w:p>
        </w:tc>
        <w:tc>
          <w:tcPr>
            <w:tcW w:w="105" w:type="dxa"/>
            <w:tcBorders>
              <w:top w:val="single" w:sz="8" w:space="0" w:color="C7C9C7"/>
              <w:left w:val="nil"/>
              <w:bottom w:val="nil"/>
              <w:right w:val="nil"/>
            </w:tcBorders>
            <w:tcMar>
              <w:top w:w="0" w:type="dxa"/>
              <w:left w:w="0" w:type="dxa"/>
              <w:bottom w:w="0" w:type="dxa"/>
              <w:right w:w="0" w:type="dxa"/>
            </w:tcMar>
            <w:vAlign w:val="bottom"/>
          </w:tcPr>
          <w:p w14:paraId="76E3DA17" w14:textId="77777777" w:rsidR="001614AC" w:rsidRDefault="001614AC">
            <w:pPr>
              <w:keepNext/>
            </w:pPr>
          </w:p>
        </w:tc>
        <w:tc>
          <w:tcPr>
            <w:tcW w:w="900" w:type="dxa"/>
            <w:gridSpan w:val="2"/>
            <w:tcBorders>
              <w:top w:val="single" w:sz="8" w:space="0" w:color="C7C9C7"/>
              <w:left w:val="nil"/>
              <w:bottom w:val="single" w:sz="8" w:space="0" w:color="E6EAED"/>
              <w:right w:val="nil"/>
            </w:tcBorders>
            <w:tcMar>
              <w:top w:w="0" w:type="dxa"/>
              <w:left w:w="0" w:type="dxa"/>
              <w:bottom w:w="0" w:type="dxa"/>
              <w:right w:w="0" w:type="dxa"/>
            </w:tcMar>
            <w:vAlign w:val="bottom"/>
          </w:tcPr>
          <w:p w14:paraId="1E3299B2" w14:textId="77777777" w:rsidR="001614AC" w:rsidRDefault="001614AC">
            <w:pPr>
              <w:keepNext/>
            </w:pPr>
          </w:p>
        </w:tc>
        <w:tc>
          <w:tcPr>
            <w:tcW w:w="105" w:type="dxa"/>
            <w:tcBorders>
              <w:top w:val="single" w:sz="8" w:space="0" w:color="C7C9C7"/>
              <w:left w:val="nil"/>
              <w:bottom w:val="nil"/>
              <w:right w:val="nil"/>
            </w:tcBorders>
            <w:tcMar>
              <w:top w:w="0" w:type="dxa"/>
              <w:left w:w="0" w:type="dxa"/>
              <w:bottom w:w="0" w:type="dxa"/>
              <w:right w:w="0" w:type="dxa"/>
            </w:tcMar>
            <w:vAlign w:val="bottom"/>
          </w:tcPr>
          <w:p w14:paraId="163F0687" w14:textId="77777777" w:rsidR="001614AC" w:rsidRDefault="001614AC">
            <w:pPr>
              <w:keepNext/>
            </w:pPr>
          </w:p>
        </w:tc>
        <w:tc>
          <w:tcPr>
            <w:tcW w:w="1200" w:type="dxa"/>
            <w:gridSpan w:val="2"/>
            <w:tcBorders>
              <w:top w:val="single" w:sz="8" w:space="0" w:color="C7C9C7"/>
              <w:left w:val="nil"/>
              <w:bottom w:val="single" w:sz="8" w:space="0" w:color="E6EAED"/>
              <w:right w:val="nil"/>
            </w:tcBorders>
            <w:tcMar>
              <w:top w:w="0" w:type="dxa"/>
              <w:left w:w="0" w:type="dxa"/>
              <w:bottom w:w="0" w:type="dxa"/>
              <w:right w:w="0" w:type="dxa"/>
            </w:tcMar>
            <w:vAlign w:val="bottom"/>
          </w:tcPr>
          <w:p w14:paraId="0AEA19C0" w14:textId="77777777" w:rsidR="001614AC" w:rsidRDefault="001614AC">
            <w:pPr>
              <w:keepNext/>
            </w:pPr>
          </w:p>
        </w:tc>
        <w:tc>
          <w:tcPr>
            <w:tcW w:w="105" w:type="dxa"/>
            <w:tcBorders>
              <w:top w:val="single" w:sz="8" w:space="0" w:color="C7C9C7"/>
              <w:left w:val="nil"/>
              <w:bottom w:val="nil"/>
              <w:right w:val="nil"/>
            </w:tcBorders>
            <w:tcMar>
              <w:top w:w="0" w:type="dxa"/>
              <w:left w:w="0" w:type="dxa"/>
              <w:bottom w:w="0" w:type="dxa"/>
              <w:right w:w="0" w:type="dxa"/>
            </w:tcMar>
            <w:vAlign w:val="bottom"/>
          </w:tcPr>
          <w:p w14:paraId="51EA90C6" w14:textId="77777777" w:rsidR="001614AC" w:rsidRDefault="001614AC">
            <w:pPr>
              <w:keepNext/>
            </w:pPr>
          </w:p>
        </w:tc>
        <w:tc>
          <w:tcPr>
            <w:tcW w:w="1095" w:type="dxa"/>
            <w:gridSpan w:val="2"/>
            <w:tcBorders>
              <w:top w:val="single" w:sz="8" w:space="0" w:color="C7C9C7"/>
              <w:left w:val="nil"/>
              <w:bottom w:val="single" w:sz="8" w:space="0" w:color="E6EAED"/>
              <w:right w:val="nil"/>
            </w:tcBorders>
            <w:tcMar>
              <w:top w:w="0" w:type="dxa"/>
              <w:left w:w="0" w:type="dxa"/>
              <w:bottom w:w="0" w:type="dxa"/>
              <w:right w:w="0" w:type="dxa"/>
            </w:tcMar>
            <w:vAlign w:val="bottom"/>
          </w:tcPr>
          <w:p w14:paraId="2EC0D459" w14:textId="77777777" w:rsidR="001614AC" w:rsidRDefault="001614AC">
            <w:pPr>
              <w:keepNext/>
            </w:pPr>
          </w:p>
        </w:tc>
        <w:tc>
          <w:tcPr>
            <w:tcW w:w="105" w:type="dxa"/>
            <w:tcBorders>
              <w:top w:val="single" w:sz="8" w:space="0" w:color="C7C9C7"/>
              <w:left w:val="nil"/>
              <w:bottom w:val="nil"/>
              <w:right w:val="nil"/>
            </w:tcBorders>
            <w:tcMar>
              <w:top w:w="0" w:type="dxa"/>
              <w:left w:w="0" w:type="dxa"/>
              <w:bottom w:w="0" w:type="dxa"/>
              <w:right w:w="0" w:type="dxa"/>
            </w:tcMar>
            <w:vAlign w:val="bottom"/>
          </w:tcPr>
          <w:p w14:paraId="369F1AB2" w14:textId="77777777" w:rsidR="001614AC" w:rsidRDefault="001614AC">
            <w:pPr>
              <w:keepNext/>
            </w:pPr>
          </w:p>
        </w:tc>
        <w:tc>
          <w:tcPr>
            <w:tcW w:w="1095" w:type="dxa"/>
            <w:gridSpan w:val="3"/>
            <w:tcBorders>
              <w:top w:val="single" w:sz="8" w:space="0" w:color="C7C9C7"/>
              <w:left w:val="nil"/>
              <w:bottom w:val="single" w:sz="8" w:space="0" w:color="E6EAED"/>
              <w:right w:val="nil"/>
            </w:tcBorders>
            <w:tcMar>
              <w:top w:w="0" w:type="dxa"/>
              <w:left w:w="0" w:type="dxa"/>
              <w:bottom w:w="0" w:type="dxa"/>
              <w:right w:w="0" w:type="dxa"/>
            </w:tcMar>
            <w:vAlign w:val="bottom"/>
          </w:tcPr>
          <w:p w14:paraId="10CFF9A1" w14:textId="77777777" w:rsidR="001614AC" w:rsidRDefault="001614AC">
            <w:pPr>
              <w:keepNext/>
            </w:pPr>
          </w:p>
        </w:tc>
        <w:tc>
          <w:tcPr>
            <w:tcW w:w="105" w:type="dxa"/>
            <w:tcBorders>
              <w:top w:val="single" w:sz="8" w:space="0" w:color="C7C9C7"/>
              <w:left w:val="nil"/>
              <w:bottom w:val="nil"/>
              <w:right w:val="nil"/>
            </w:tcBorders>
            <w:tcMar>
              <w:top w:w="0" w:type="dxa"/>
              <w:left w:w="0" w:type="dxa"/>
              <w:bottom w:w="0" w:type="dxa"/>
              <w:right w:w="0" w:type="dxa"/>
            </w:tcMar>
            <w:vAlign w:val="bottom"/>
          </w:tcPr>
          <w:p w14:paraId="15A85C99" w14:textId="77777777" w:rsidR="001614AC" w:rsidRDefault="001614AC">
            <w:pPr>
              <w:keepNext/>
            </w:pPr>
          </w:p>
        </w:tc>
        <w:tc>
          <w:tcPr>
            <w:tcW w:w="900" w:type="dxa"/>
            <w:gridSpan w:val="2"/>
            <w:tcBorders>
              <w:top w:val="single" w:sz="8" w:space="0" w:color="C7C9C7"/>
              <w:left w:val="nil"/>
              <w:bottom w:val="single" w:sz="8" w:space="0" w:color="E6EAED"/>
              <w:right w:val="nil"/>
            </w:tcBorders>
            <w:tcMar>
              <w:top w:w="0" w:type="dxa"/>
              <w:left w:w="0" w:type="dxa"/>
              <w:bottom w:w="0" w:type="dxa"/>
              <w:right w:w="0" w:type="dxa"/>
            </w:tcMar>
            <w:vAlign w:val="bottom"/>
          </w:tcPr>
          <w:p w14:paraId="76F51B84" w14:textId="77777777" w:rsidR="001614AC" w:rsidRDefault="001614AC">
            <w:pPr>
              <w:keepNext/>
            </w:pPr>
          </w:p>
        </w:tc>
      </w:tr>
      <w:tr w:rsidR="001614AC" w14:paraId="5E795417" w14:textId="77777777">
        <w:trPr>
          <w:cantSplit/>
        </w:trPr>
        <w:tc>
          <w:tcPr>
            <w:tcW w:w="3360" w:type="dxa"/>
            <w:tcBorders>
              <w:top w:val="single" w:sz="8" w:space="0" w:color="E6EAED"/>
              <w:left w:val="nil"/>
              <w:bottom w:val="single" w:sz="8" w:space="0" w:color="E9E9E9"/>
              <w:right w:val="nil"/>
            </w:tcBorders>
            <w:tcMar>
              <w:top w:w="0" w:type="dxa"/>
              <w:left w:w="53" w:type="dxa"/>
              <w:bottom w:w="0" w:type="dxa"/>
              <w:right w:w="53" w:type="dxa"/>
            </w:tcMar>
            <w:vAlign w:val="bottom"/>
          </w:tcPr>
          <w:p w14:paraId="5326B5A0" w14:textId="77777777" w:rsidR="001614AC" w:rsidRDefault="004468F9">
            <w:pPr>
              <w:keepNext/>
              <w:spacing w:before="55" w:after="30" w:line="288" w:lineRule="auto"/>
              <w:ind w:left="240"/>
            </w:pPr>
            <w:r>
              <w:rPr>
                <w:rFonts w:ascii="Arial" w:eastAsia="Arial" w:hAnsi="Arial" w:cs="Arial"/>
                <w:color w:val="000000"/>
                <w:sz w:val="18"/>
              </w:rPr>
              <w:t>Three payments or less</w:t>
            </w:r>
          </w:p>
        </w:tc>
        <w:tc>
          <w:tcPr>
            <w:tcW w:w="105" w:type="dxa"/>
            <w:tcBorders>
              <w:top w:val="nil"/>
              <w:left w:val="nil"/>
              <w:bottom w:val="nil"/>
              <w:right w:val="nil"/>
            </w:tcBorders>
            <w:tcMar>
              <w:top w:w="0" w:type="dxa"/>
              <w:left w:w="0" w:type="dxa"/>
              <w:bottom w:w="0" w:type="dxa"/>
              <w:right w:w="0" w:type="dxa"/>
            </w:tcMar>
            <w:vAlign w:val="bottom"/>
          </w:tcPr>
          <w:p w14:paraId="0F128BE7" w14:textId="77777777" w:rsidR="001614AC" w:rsidRDefault="001614AC">
            <w:pPr>
              <w:keepNext/>
            </w:pPr>
          </w:p>
        </w:tc>
        <w:tc>
          <w:tcPr>
            <w:tcW w:w="800" w:type="dxa"/>
            <w:tcBorders>
              <w:top w:val="single" w:sz="8" w:space="0" w:color="E6EAED"/>
              <w:left w:val="nil"/>
              <w:bottom w:val="single" w:sz="8" w:space="0" w:color="E9E9E9"/>
              <w:right w:val="nil"/>
            </w:tcBorders>
            <w:tcMar>
              <w:top w:w="0" w:type="dxa"/>
              <w:left w:w="53" w:type="dxa"/>
              <w:bottom w:w="0" w:type="dxa"/>
              <w:right w:w="0" w:type="dxa"/>
            </w:tcMar>
            <w:vAlign w:val="bottom"/>
          </w:tcPr>
          <w:p w14:paraId="558DC90D" w14:textId="77777777" w:rsidR="001614AC" w:rsidRDefault="004468F9">
            <w:pPr>
              <w:keepNext/>
              <w:spacing w:before="55" w:after="30" w:line="288" w:lineRule="auto"/>
              <w:jc w:val="right"/>
            </w:pPr>
            <w:r>
              <w:rPr>
                <w:rFonts w:ascii="Arial" w:eastAsia="Arial" w:hAnsi="Arial" w:cs="Arial"/>
                <w:color w:val="000000"/>
                <w:sz w:val="18"/>
              </w:rPr>
              <w:t>12,504 </w:t>
            </w:r>
          </w:p>
        </w:tc>
        <w:tc>
          <w:tcPr>
            <w:tcW w:w="100" w:type="dxa"/>
            <w:tcBorders>
              <w:top w:val="single" w:sz="8" w:space="0" w:color="E6EAED"/>
              <w:left w:val="nil"/>
              <w:bottom w:val="single" w:sz="8" w:space="0" w:color="E9E9E9"/>
              <w:right w:val="nil"/>
            </w:tcBorders>
            <w:tcMar>
              <w:top w:w="0" w:type="dxa"/>
              <w:left w:w="0" w:type="dxa"/>
              <w:bottom w:w="0" w:type="dxa"/>
              <w:right w:w="15" w:type="dxa"/>
            </w:tcMar>
            <w:vAlign w:val="bottom"/>
          </w:tcPr>
          <w:p w14:paraId="3B66D10A" w14:textId="77777777" w:rsidR="001614AC" w:rsidRDefault="001614AC">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726E33E3" w14:textId="77777777" w:rsidR="001614AC" w:rsidRDefault="001614AC">
            <w:pPr>
              <w:keepNext/>
            </w:pPr>
          </w:p>
        </w:tc>
        <w:tc>
          <w:tcPr>
            <w:tcW w:w="800" w:type="dxa"/>
            <w:tcBorders>
              <w:top w:val="single" w:sz="8" w:space="0" w:color="E6EAED"/>
              <w:left w:val="nil"/>
              <w:bottom w:val="single" w:sz="8" w:space="0" w:color="E9E9E9"/>
              <w:right w:val="nil"/>
            </w:tcBorders>
            <w:tcMar>
              <w:top w:w="0" w:type="dxa"/>
              <w:left w:w="53" w:type="dxa"/>
              <w:bottom w:w="0" w:type="dxa"/>
              <w:right w:w="0" w:type="dxa"/>
            </w:tcMar>
            <w:vAlign w:val="bottom"/>
          </w:tcPr>
          <w:p w14:paraId="08C981B5" w14:textId="77777777" w:rsidR="001614AC" w:rsidRDefault="004468F9">
            <w:pPr>
              <w:keepNext/>
              <w:spacing w:before="55" w:after="30" w:line="288" w:lineRule="auto"/>
              <w:jc w:val="right"/>
            </w:pPr>
            <w:r>
              <w:rPr>
                <w:rFonts w:ascii="Arial" w:eastAsia="Arial" w:hAnsi="Arial" w:cs="Arial"/>
                <w:color w:val="000000"/>
                <w:sz w:val="18"/>
              </w:rPr>
              <w:t>22.5 </w:t>
            </w:r>
          </w:p>
        </w:tc>
        <w:tc>
          <w:tcPr>
            <w:tcW w:w="100" w:type="dxa"/>
            <w:tcBorders>
              <w:top w:val="single" w:sz="8" w:space="0" w:color="E6EAED"/>
              <w:left w:val="nil"/>
              <w:bottom w:val="single" w:sz="8" w:space="0" w:color="E9E9E9"/>
              <w:right w:val="nil"/>
            </w:tcBorders>
            <w:tcMar>
              <w:top w:w="0" w:type="dxa"/>
              <w:left w:w="0" w:type="dxa"/>
              <w:bottom w:w="0" w:type="dxa"/>
              <w:right w:w="15" w:type="dxa"/>
            </w:tcMar>
            <w:vAlign w:val="bottom"/>
          </w:tcPr>
          <w:p w14:paraId="3581A225" w14:textId="77777777" w:rsidR="001614AC" w:rsidRDefault="004468F9">
            <w:pPr>
              <w:keepNext/>
              <w:spacing w:before="55" w:after="30" w:line="288" w:lineRule="auto"/>
              <w:jc w:val="right"/>
            </w:pPr>
            <w:r>
              <w:rPr>
                <w:rFonts w:ascii="Arial" w:eastAsia="Arial" w:hAnsi="Arial" w:cs="Arial"/>
                <w:color w:val="000000"/>
                <w:sz w:val="18"/>
              </w:rPr>
              <w:t>%</w:t>
            </w:r>
          </w:p>
        </w:tc>
        <w:tc>
          <w:tcPr>
            <w:tcW w:w="105" w:type="dxa"/>
            <w:tcBorders>
              <w:top w:val="nil"/>
              <w:left w:val="nil"/>
              <w:bottom w:val="nil"/>
              <w:right w:val="nil"/>
            </w:tcBorders>
            <w:tcMar>
              <w:top w:w="0" w:type="dxa"/>
              <w:left w:w="0" w:type="dxa"/>
              <w:bottom w:w="0" w:type="dxa"/>
              <w:right w:w="0" w:type="dxa"/>
            </w:tcMar>
            <w:vAlign w:val="bottom"/>
          </w:tcPr>
          <w:p w14:paraId="4936316B" w14:textId="77777777" w:rsidR="001614AC" w:rsidRDefault="001614AC">
            <w:pPr>
              <w:keepNext/>
            </w:pPr>
          </w:p>
        </w:tc>
        <w:tc>
          <w:tcPr>
            <w:tcW w:w="1100" w:type="dxa"/>
            <w:tcBorders>
              <w:top w:val="single" w:sz="8" w:space="0" w:color="E6EAED"/>
              <w:left w:val="nil"/>
              <w:bottom w:val="single" w:sz="8" w:space="0" w:color="E9E9E9"/>
              <w:right w:val="nil"/>
            </w:tcBorders>
            <w:tcMar>
              <w:top w:w="0" w:type="dxa"/>
              <w:left w:w="53" w:type="dxa"/>
              <w:bottom w:w="0" w:type="dxa"/>
              <w:right w:w="0" w:type="dxa"/>
            </w:tcMar>
            <w:vAlign w:val="bottom"/>
          </w:tcPr>
          <w:p w14:paraId="3F12B6C1" w14:textId="77777777" w:rsidR="001614AC" w:rsidRDefault="004468F9">
            <w:pPr>
              <w:keepNext/>
              <w:spacing w:before="55" w:after="30" w:line="288" w:lineRule="auto"/>
              <w:jc w:val="right"/>
            </w:pPr>
            <w:r>
              <w:rPr>
                <w:rFonts w:ascii="Arial" w:eastAsia="Arial" w:hAnsi="Arial" w:cs="Arial"/>
                <w:color w:val="000000"/>
                <w:sz w:val="18"/>
              </w:rPr>
              <w:t>64 </w:t>
            </w:r>
          </w:p>
        </w:tc>
        <w:tc>
          <w:tcPr>
            <w:tcW w:w="100" w:type="dxa"/>
            <w:tcBorders>
              <w:top w:val="single" w:sz="8" w:space="0" w:color="E6EAED"/>
              <w:left w:val="nil"/>
              <w:bottom w:val="single" w:sz="8" w:space="0" w:color="E9E9E9"/>
              <w:right w:val="nil"/>
            </w:tcBorders>
            <w:tcMar>
              <w:top w:w="0" w:type="dxa"/>
              <w:left w:w="0" w:type="dxa"/>
              <w:bottom w:w="0" w:type="dxa"/>
              <w:right w:w="15" w:type="dxa"/>
            </w:tcMar>
            <w:vAlign w:val="bottom"/>
          </w:tcPr>
          <w:p w14:paraId="4BF9DEA2" w14:textId="77777777" w:rsidR="001614AC" w:rsidRDefault="001614AC">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4BDEC27F" w14:textId="77777777" w:rsidR="001614AC" w:rsidRDefault="001614AC">
            <w:pPr>
              <w:keepNext/>
            </w:pPr>
          </w:p>
        </w:tc>
        <w:tc>
          <w:tcPr>
            <w:tcW w:w="995" w:type="dxa"/>
            <w:tcBorders>
              <w:top w:val="single" w:sz="8" w:space="0" w:color="E6EAED"/>
              <w:left w:val="nil"/>
              <w:bottom w:val="single" w:sz="8" w:space="0" w:color="E9E9E9"/>
              <w:right w:val="nil"/>
            </w:tcBorders>
            <w:tcMar>
              <w:top w:w="0" w:type="dxa"/>
              <w:left w:w="53" w:type="dxa"/>
              <w:bottom w:w="0" w:type="dxa"/>
              <w:right w:w="0" w:type="dxa"/>
            </w:tcMar>
            <w:vAlign w:val="bottom"/>
          </w:tcPr>
          <w:p w14:paraId="3BD84D37" w14:textId="77777777" w:rsidR="001614AC" w:rsidRDefault="004468F9">
            <w:pPr>
              <w:keepNext/>
              <w:spacing w:before="55" w:after="30" w:line="288" w:lineRule="auto"/>
              <w:jc w:val="right"/>
            </w:pPr>
            <w:r>
              <w:rPr>
                <w:rFonts w:ascii="Arial" w:eastAsia="Arial" w:hAnsi="Arial" w:cs="Arial"/>
                <w:color w:val="000000"/>
                <w:sz w:val="18"/>
              </w:rPr>
              <w:t>36.5 </w:t>
            </w:r>
          </w:p>
        </w:tc>
        <w:tc>
          <w:tcPr>
            <w:tcW w:w="100" w:type="dxa"/>
            <w:tcBorders>
              <w:top w:val="single" w:sz="8" w:space="0" w:color="E6EAED"/>
              <w:left w:val="nil"/>
              <w:bottom w:val="single" w:sz="8" w:space="0" w:color="E9E9E9"/>
              <w:right w:val="nil"/>
            </w:tcBorders>
            <w:tcMar>
              <w:top w:w="0" w:type="dxa"/>
              <w:left w:w="0" w:type="dxa"/>
              <w:bottom w:w="0" w:type="dxa"/>
              <w:right w:w="15" w:type="dxa"/>
            </w:tcMar>
            <w:vAlign w:val="bottom"/>
          </w:tcPr>
          <w:p w14:paraId="741710F7" w14:textId="77777777" w:rsidR="001614AC" w:rsidRDefault="004468F9">
            <w:pPr>
              <w:keepNext/>
              <w:spacing w:before="55" w:after="30" w:line="288" w:lineRule="auto"/>
              <w:jc w:val="right"/>
            </w:pPr>
            <w:r>
              <w:rPr>
                <w:rFonts w:ascii="Arial" w:eastAsia="Arial" w:hAnsi="Arial" w:cs="Arial"/>
                <w:color w:val="000000"/>
                <w:sz w:val="18"/>
              </w:rPr>
              <w:t>%</w:t>
            </w:r>
          </w:p>
        </w:tc>
        <w:tc>
          <w:tcPr>
            <w:tcW w:w="105" w:type="dxa"/>
            <w:tcBorders>
              <w:top w:val="nil"/>
              <w:left w:val="nil"/>
              <w:bottom w:val="nil"/>
              <w:right w:val="nil"/>
            </w:tcBorders>
            <w:tcMar>
              <w:top w:w="0" w:type="dxa"/>
              <w:left w:w="0" w:type="dxa"/>
              <w:bottom w:w="0" w:type="dxa"/>
              <w:right w:w="0" w:type="dxa"/>
            </w:tcMar>
            <w:vAlign w:val="bottom"/>
          </w:tcPr>
          <w:p w14:paraId="33F2D9B4" w14:textId="77777777" w:rsidR="001614AC" w:rsidRDefault="001614AC">
            <w:pPr>
              <w:keepNext/>
            </w:pPr>
          </w:p>
        </w:tc>
        <w:tc>
          <w:tcPr>
            <w:tcW w:w="160" w:type="dxa"/>
            <w:tcBorders>
              <w:top w:val="single" w:sz="8" w:space="0" w:color="E6EAED"/>
              <w:left w:val="nil"/>
              <w:bottom w:val="single" w:sz="8" w:space="0" w:color="E9E9E9"/>
              <w:right w:val="nil"/>
            </w:tcBorders>
            <w:tcMar>
              <w:top w:w="0" w:type="dxa"/>
              <w:left w:w="53" w:type="dxa"/>
              <w:bottom w:w="0" w:type="dxa"/>
              <w:right w:w="0" w:type="dxa"/>
            </w:tcMar>
            <w:vAlign w:val="bottom"/>
          </w:tcPr>
          <w:p w14:paraId="06969F8B" w14:textId="77777777" w:rsidR="001614AC" w:rsidRDefault="004468F9">
            <w:pPr>
              <w:keepNext/>
              <w:spacing w:before="55" w:after="30" w:line="288" w:lineRule="auto"/>
            </w:pPr>
            <w:r>
              <w:rPr>
                <w:rFonts w:ascii="Arial" w:eastAsia="Arial" w:hAnsi="Arial" w:cs="Arial"/>
                <w:color w:val="000000"/>
                <w:sz w:val="18"/>
              </w:rPr>
              <w:t>$</w:t>
            </w:r>
          </w:p>
        </w:tc>
        <w:tc>
          <w:tcPr>
            <w:tcW w:w="835" w:type="dxa"/>
            <w:tcBorders>
              <w:top w:val="single" w:sz="8" w:space="0" w:color="E6EAED"/>
              <w:left w:val="nil"/>
              <w:bottom w:val="single" w:sz="8" w:space="0" w:color="E9E9E9"/>
              <w:right w:val="nil"/>
            </w:tcBorders>
            <w:tcMar>
              <w:top w:w="0" w:type="dxa"/>
              <w:left w:w="0" w:type="dxa"/>
              <w:bottom w:w="0" w:type="dxa"/>
              <w:right w:w="0" w:type="dxa"/>
            </w:tcMar>
            <w:vAlign w:val="bottom"/>
          </w:tcPr>
          <w:p w14:paraId="5B73401B" w14:textId="77777777" w:rsidR="001614AC" w:rsidRDefault="004468F9">
            <w:pPr>
              <w:keepNext/>
              <w:spacing w:before="55" w:after="30" w:line="288" w:lineRule="auto"/>
              <w:jc w:val="right"/>
            </w:pPr>
            <w:r>
              <w:rPr>
                <w:rFonts w:ascii="Arial" w:eastAsia="Arial" w:hAnsi="Arial" w:cs="Arial"/>
                <w:color w:val="000000"/>
                <w:sz w:val="18"/>
              </w:rPr>
              <w:t>99,491 </w:t>
            </w:r>
          </w:p>
        </w:tc>
        <w:tc>
          <w:tcPr>
            <w:tcW w:w="100" w:type="dxa"/>
            <w:tcBorders>
              <w:top w:val="single" w:sz="8" w:space="0" w:color="E6EAED"/>
              <w:left w:val="nil"/>
              <w:bottom w:val="single" w:sz="8" w:space="0" w:color="E9E9E9"/>
              <w:right w:val="nil"/>
            </w:tcBorders>
            <w:tcMar>
              <w:top w:w="0" w:type="dxa"/>
              <w:left w:w="0" w:type="dxa"/>
              <w:bottom w:w="0" w:type="dxa"/>
              <w:right w:w="15" w:type="dxa"/>
            </w:tcMar>
            <w:vAlign w:val="bottom"/>
          </w:tcPr>
          <w:p w14:paraId="6F6F36E1" w14:textId="77777777" w:rsidR="001614AC" w:rsidRDefault="001614AC">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1899453C" w14:textId="77777777" w:rsidR="001614AC" w:rsidRDefault="001614AC">
            <w:pPr>
              <w:keepNext/>
            </w:pPr>
          </w:p>
        </w:tc>
        <w:tc>
          <w:tcPr>
            <w:tcW w:w="800" w:type="dxa"/>
            <w:tcBorders>
              <w:top w:val="single" w:sz="8" w:space="0" w:color="E6EAED"/>
              <w:left w:val="nil"/>
              <w:bottom w:val="single" w:sz="8" w:space="0" w:color="E9E9E9"/>
              <w:right w:val="nil"/>
            </w:tcBorders>
            <w:tcMar>
              <w:top w:w="0" w:type="dxa"/>
              <w:left w:w="53" w:type="dxa"/>
              <w:bottom w:w="0" w:type="dxa"/>
              <w:right w:w="0" w:type="dxa"/>
            </w:tcMar>
            <w:vAlign w:val="bottom"/>
          </w:tcPr>
          <w:p w14:paraId="4B01CD10" w14:textId="77777777" w:rsidR="001614AC" w:rsidRDefault="004468F9">
            <w:pPr>
              <w:keepNext/>
              <w:spacing w:before="55" w:after="30" w:line="288" w:lineRule="auto"/>
              <w:jc w:val="right"/>
            </w:pPr>
            <w:r>
              <w:rPr>
                <w:rFonts w:ascii="Arial" w:eastAsia="Arial" w:hAnsi="Arial" w:cs="Arial"/>
                <w:color w:val="000000"/>
                <w:sz w:val="18"/>
              </w:rPr>
              <w:t>12.4 </w:t>
            </w:r>
          </w:p>
        </w:tc>
        <w:tc>
          <w:tcPr>
            <w:tcW w:w="100" w:type="dxa"/>
            <w:tcBorders>
              <w:top w:val="single" w:sz="8" w:space="0" w:color="E6EAED"/>
              <w:left w:val="nil"/>
              <w:bottom w:val="single" w:sz="8" w:space="0" w:color="E9E9E9"/>
              <w:right w:val="nil"/>
            </w:tcBorders>
            <w:tcMar>
              <w:top w:w="0" w:type="dxa"/>
              <w:left w:w="0" w:type="dxa"/>
              <w:bottom w:w="0" w:type="dxa"/>
              <w:right w:w="15" w:type="dxa"/>
            </w:tcMar>
            <w:vAlign w:val="bottom"/>
          </w:tcPr>
          <w:p w14:paraId="1F24B67B" w14:textId="77777777" w:rsidR="001614AC" w:rsidRDefault="004468F9">
            <w:pPr>
              <w:keepNext/>
              <w:spacing w:before="55" w:after="30" w:line="288" w:lineRule="auto"/>
              <w:jc w:val="right"/>
            </w:pPr>
            <w:r>
              <w:rPr>
                <w:rFonts w:ascii="Arial" w:eastAsia="Arial" w:hAnsi="Arial" w:cs="Arial"/>
                <w:color w:val="000000"/>
                <w:sz w:val="18"/>
              </w:rPr>
              <w:t>%</w:t>
            </w:r>
          </w:p>
        </w:tc>
      </w:tr>
      <w:tr w:rsidR="001614AC" w14:paraId="27E4ED55" w14:textId="77777777">
        <w:trPr>
          <w:cantSplit/>
        </w:trPr>
        <w:tc>
          <w:tcPr>
            <w:tcW w:w="3360" w:type="dxa"/>
            <w:tcBorders>
              <w:top w:val="single" w:sz="8" w:space="0" w:color="E9E9E9"/>
              <w:left w:val="nil"/>
              <w:bottom w:val="single" w:sz="8" w:space="0" w:color="E9E9E9"/>
              <w:right w:val="nil"/>
            </w:tcBorders>
            <w:tcMar>
              <w:top w:w="0" w:type="dxa"/>
              <w:left w:w="53" w:type="dxa"/>
              <w:bottom w:w="0" w:type="dxa"/>
              <w:right w:w="53" w:type="dxa"/>
            </w:tcMar>
            <w:vAlign w:val="bottom"/>
          </w:tcPr>
          <w:p w14:paraId="6F9BD42A" w14:textId="77777777" w:rsidR="001614AC" w:rsidRDefault="004468F9">
            <w:pPr>
              <w:keepNext/>
              <w:spacing w:before="55" w:after="30" w:line="288" w:lineRule="auto"/>
              <w:ind w:left="240"/>
            </w:pPr>
            <w:r>
              <w:rPr>
                <w:rFonts w:ascii="Arial" w:eastAsia="Arial" w:hAnsi="Arial" w:cs="Arial"/>
                <w:color w:val="000000"/>
                <w:sz w:val="18"/>
              </w:rPr>
              <w:t>Four to eleven payments</w:t>
            </w:r>
          </w:p>
        </w:tc>
        <w:tc>
          <w:tcPr>
            <w:tcW w:w="105" w:type="dxa"/>
            <w:tcBorders>
              <w:top w:val="nil"/>
              <w:left w:val="nil"/>
              <w:bottom w:val="nil"/>
              <w:right w:val="nil"/>
            </w:tcBorders>
            <w:tcMar>
              <w:top w:w="0" w:type="dxa"/>
              <w:left w:w="0" w:type="dxa"/>
              <w:bottom w:w="0" w:type="dxa"/>
              <w:right w:w="0" w:type="dxa"/>
            </w:tcMar>
            <w:vAlign w:val="bottom"/>
          </w:tcPr>
          <w:p w14:paraId="482738FB" w14:textId="77777777" w:rsidR="001614AC" w:rsidRDefault="001614AC">
            <w:pPr>
              <w:keepNext/>
            </w:pPr>
          </w:p>
        </w:tc>
        <w:tc>
          <w:tcPr>
            <w:tcW w:w="800" w:type="dxa"/>
            <w:tcBorders>
              <w:top w:val="single" w:sz="8" w:space="0" w:color="E9E9E9"/>
              <w:left w:val="nil"/>
              <w:bottom w:val="single" w:sz="8" w:space="0" w:color="E9E9E9"/>
              <w:right w:val="nil"/>
            </w:tcBorders>
            <w:tcMar>
              <w:top w:w="0" w:type="dxa"/>
              <w:left w:w="53" w:type="dxa"/>
              <w:bottom w:w="0" w:type="dxa"/>
              <w:right w:w="0" w:type="dxa"/>
            </w:tcMar>
            <w:vAlign w:val="bottom"/>
          </w:tcPr>
          <w:p w14:paraId="23C1DA6A" w14:textId="77777777" w:rsidR="001614AC" w:rsidRDefault="004468F9">
            <w:pPr>
              <w:keepNext/>
              <w:spacing w:before="55" w:after="30" w:line="288" w:lineRule="auto"/>
              <w:jc w:val="right"/>
            </w:pPr>
            <w:r>
              <w:rPr>
                <w:rFonts w:ascii="Arial" w:eastAsia="Arial" w:hAnsi="Arial" w:cs="Arial"/>
                <w:color w:val="000000"/>
                <w:sz w:val="18"/>
              </w:rPr>
              <w:t>37,691 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5EE4D731" w14:textId="77777777" w:rsidR="001614AC" w:rsidRDefault="001614AC">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0C2065F8" w14:textId="77777777" w:rsidR="001614AC" w:rsidRDefault="001614AC">
            <w:pPr>
              <w:keepNext/>
            </w:pPr>
          </w:p>
        </w:tc>
        <w:tc>
          <w:tcPr>
            <w:tcW w:w="800" w:type="dxa"/>
            <w:tcBorders>
              <w:top w:val="single" w:sz="8" w:space="0" w:color="E9E9E9"/>
              <w:left w:val="nil"/>
              <w:bottom w:val="single" w:sz="8" w:space="0" w:color="E9E9E9"/>
              <w:right w:val="nil"/>
            </w:tcBorders>
            <w:tcMar>
              <w:top w:w="0" w:type="dxa"/>
              <w:left w:w="53" w:type="dxa"/>
              <w:bottom w:w="0" w:type="dxa"/>
              <w:right w:w="0" w:type="dxa"/>
            </w:tcMar>
            <w:vAlign w:val="bottom"/>
          </w:tcPr>
          <w:p w14:paraId="51F49589" w14:textId="77777777" w:rsidR="001614AC" w:rsidRDefault="004468F9">
            <w:pPr>
              <w:keepNext/>
              <w:spacing w:before="55" w:after="30" w:line="288" w:lineRule="auto"/>
              <w:jc w:val="right"/>
            </w:pPr>
            <w:r>
              <w:rPr>
                <w:rFonts w:ascii="Arial" w:eastAsia="Arial" w:hAnsi="Arial" w:cs="Arial"/>
                <w:color w:val="000000"/>
                <w:sz w:val="18"/>
              </w:rPr>
              <w:t>67.9 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2F199CAF" w14:textId="77777777" w:rsidR="001614AC" w:rsidRDefault="001614AC">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049CBF58" w14:textId="77777777" w:rsidR="001614AC" w:rsidRDefault="001614AC">
            <w:pPr>
              <w:keepNext/>
            </w:pPr>
          </w:p>
        </w:tc>
        <w:tc>
          <w:tcPr>
            <w:tcW w:w="1100" w:type="dxa"/>
            <w:tcBorders>
              <w:top w:val="single" w:sz="8" w:space="0" w:color="E9E9E9"/>
              <w:left w:val="nil"/>
              <w:bottom w:val="single" w:sz="8" w:space="0" w:color="E9E9E9"/>
              <w:right w:val="nil"/>
            </w:tcBorders>
            <w:tcMar>
              <w:top w:w="0" w:type="dxa"/>
              <w:left w:w="53" w:type="dxa"/>
              <w:bottom w:w="0" w:type="dxa"/>
              <w:right w:w="0" w:type="dxa"/>
            </w:tcMar>
            <w:vAlign w:val="bottom"/>
          </w:tcPr>
          <w:p w14:paraId="0C653750" w14:textId="77777777" w:rsidR="001614AC" w:rsidRDefault="004468F9">
            <w:pPr>
              <w:keepNext/>
              <w:spacing w:before="55" w:after="30" w:line="288" w:lineRule="auto"/>
              <w:jc w:val="right"/>
            </w:pPr>
            <w:r>
              <w:rPr>
                <w:rFonts w:ascii="Arial" w:eastAsia="Arial" w:hAnsi="Arial" w:cs="Arial"/>
                <w:color w:val="000000"/>
                <w:sz w:val="18"/>
              </w:rPr>
              <w:t>190 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2207AF36" w14:textId="77777777" w:rsidR="001614AC" w:rsidRDefault="001614AC">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1BD97878" w14:textId="77777777" w:rsidR="001614AC" w:rsidRDefault="001614AC">
            <w:pPr>
              <w:keepNext/>
            </w:pPr>
          </w:p>
        </w:tc>
        <w:tc>
          <w:tcPr>
            <w:tcW w:w="995" w:type="dxa"/>
            <w:tcBorders>
              <w:top w:val="single" w:sz="8" w:space="0" w:color="E9E9E9"/>
              <w:left w:val="nil"/>
              <w:bottom w:val="single" w:sz="8" w:space="0" w:color="E9E9E9"/>
              <w:right w:val="nil"/>
            </w:tcBorders>
            <w:tcMar>
              <w:top w:w="0" w:type="dxa"/>
              <w:left w:w="53" w:type="dxa"/>
              <w:bottom w:w="0" w:type="dxa"/>
              <w:right w:w="0" w:type="dxa"/>
            </w:tcMar>
            <w:vAlign w:val="bottom"/>
          </w:tcPr>
          <w:p w14:paraId="00EF62DF" w14:textId="77777777" w:rsidR="001614AC" w:rsidRDefault="004468F9">
            <w:pPr>
              <w:keepNext/>
              <w:spacing w:before="55" w:after="30" w:line="288" w:lineRule="auto"/>
              <w:jc w:val="right"/>
            </w:pPr>
            <w:r>
              <w:rPr>
                <w:rFonts w:ascii="Arial" w:eastAsia="Arial" w:hAnsi="Arial" w:cs="Arial"/>
                <w:color w:val="000000"/>
                <w:sz w:val="18"/>
              </w:rPr>
              <w:t>26.3 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7AB0BF3A" w14:textId="77777777" w:rsidR="001614AC" w:rsidRDefault="001614AC">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69A51971" w14:textId="77777777" w:rsidR="001614AC" w:rsidRDefault="001614AC">
            <w:pPr>
              <w:keepNext/>
            </w:pPr>
          </w:p>
        </w:tc>
        <w:tc>
          <w:tcPr>
            <w:tcW w:w="99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7DCDF5B7" w14:textId="77777777" w:rsidR="001614AC" w:rsidRDefault="004468F9">
            <w:pPr>
              <w:keepNext/>
              <w:spacing w:before="55" w:after="30" w:line="288" w:lineRule="auto"/>
              <w:jc w:val="right"/>
            </w:pPr>
            <w:r>
              <w:rPr>
                <w:rFonts w:ascii="Arial" w:eastAsia="Arial" w:hAnsi="Arial" w:cs="Arial"/>
                <w:color w:val="000000"/>
                <w:sz w:val="18"/>
              </w:rPr>
              <w:t>512,248 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61585C5F" w14:textId="77777777" w:rsidR="001614AC" w:rsidRDefault="001614AC">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15DCA220" w14:textId="77777777" w:rsidR="001614AC" w:rsidRDefault="001614AC">
            <w:pPr>
              <w:keepNext/>
            </w:pPr>
          </w:p>
        </w:tc>
        <w:tc>
          <w:tcPr>
            <w:tcW w:w="800" w:type="dxa"/>
            <w:tcBorders>
              <w:top w:val="single" w:sz="8" w:space="0" w:color="E9E9E9"/>
              <w:left w:val="nil"/>
              <w:bottom w:val="single" w:sz="8" w:space="0" w:color="E9E9E9"/>
              <w:right w:val="nil"/>
            </w:tcBorders>
            <w:tcMar>
              <w:top w:w="0" w:type="dxa"/>
              <w:left w:w="53" w:type="dxa"/>
              <w:bottom w:w="0" w:type="dxa"/>
              <w:right w:w="0" w:type="dxa"/>
            </w:tcMar>
            <w:vAlign w:val="bottom"/>
          </w:tcPr>
          <w:p w14:paraId="4C445188" w14:textId="77777777" w:rsidR="001614AC" w:rsidRDefault="004468F9">
            <w:pPr>
              <w:keepNext/>
              <w:spacing w:before="55" w:after="30" w:line="288" w:lineRule="auto"/>
              <w:jc w:val="right"/>
            </w:pPr>
            <w:r>
              <w:rPr>
                <w:rFonts w:ascii="Arial" w:eastAsia="Arial" w:hAnsi="Arial" w:cs="Arial"/>
                <w:color w:val="000000"/>
                <w:sz w:val="18"/>
              </w:rPr>
              <w:t>64.1 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73F8B92D" w14:textId="77777777" w:rsidR="001614AC" w:rsidRDefault="001614AC">
            <w:pPr>
              <w:keepNext/>
              <w:spacing w:before="55" w:after="30" w:line="288" w:lineRule="auto"/>
              <w:jc w:val="right"/>
            </w:pPr>
          </w:p>
        </w:tc>
      </w:tr>
      <w:tr w:rsidR="001614AC" w14:paraId="0F2A65CE" w14:textId="77777777">
        <w:trPr>
          <w:cantSplit/>
        </w:trPr>
        <w:tc>
          <w:tcPr>
            <w:tcW w:w="3360" w:type="dxa"/>
            <w:tcBorders>
              <w:top w:val="single" w:sz="8" w:space="0" w:color="E9E9E9"/>
              <w:left w:val="nil"/>
              <w:bottom w:val="single" w:sz="8" w:space="0" w:color="E9E9E9"/>
              <w:right w:val="nil"/>
            </w:tcBorders>
            <w:tcMar>
              <w:top w:w="0" w:type="dxa"/>
              <w:left w:w="53" w:type="dxa"/>
              <w:bottom w:w="0" w:type="dxa"/>
              <w:right w:w="53" w:type="dxa"/>
            </w:tcMar>
            <w:vAlign w:val="bottom"/>
          </w:tcPr>
          <w:p w14:paraId="1471A4A2" w14:textId="77777777" w:rsidR="001614AC" w:rsidRDefault="004468F9">
            <w:pPr>
              <w:keepNext/>
              <w:spacing w:before="55" w:after="30" w:line="288" w:lineRule="auto"/>
              <w:ind w:left="240"/>
            </w:pPr>
            <w:r>
              <w:rPr>
                <w:rFonts w:ascii="Arial" w:eastAsia="Arial" w:hAnsi="Arial" w:cs="Arial"/>
                <w:color w:val="000000"/>
                <w:sz w:val="18"/>
              </w:rPr>
              <w:t>Twelve payments or more</w:t>
            </w:r>
          </w:p>
        </w:tc>
        <w:tc>
          <w:tcPr>
            <w:tcW w:w="105" w:type="dxa"/>
            <w:tcBorders>
              <w:top w:val="nil"/>
              <w:left w:val="nil"/>
              <w:bottom w:val="nil"/>
              <w:right w:val="nil"/>
            </w:tcBorders>
            <w:tcMar>
              <w:top w:w="0" w:type="dxa"/>
              <w:left w:w="0" w:type="dxa"/>
              <w:bottom w:w="0" w:type="dxa"/>
              <w:right w:w="0" w:type="dxa"/>
            </w:tcMar>
            <w:vAlign w:val="bottom"/>
          </w:tcPr>
          <w:p w14:paraId="66C58AA7" w14:textId="77777777" w:rsidR="001614AC" w:rsidRDefault="001614AC">
            <w:pPr>
              <w:keepNext/>
            </w:pPr>
          </w:p>
        </w:tc>
        <w:tc>
          <w:tcPr>
            <w:tcW w:w="800" w:type="dxa"/>
            <w:tcBorders>
              <w:top w:val="single" w:sz="8" w:space="0" w:color="E9E9E9"/>
              <w:left w:val="nil"/>
              <w:bottom w:val="single" w:sz="8" w:space="0" w:color="E9E9E9"/>
              <w:right w:val="nil"/>
            </w:tcBorders>
            <w:tcMar>
              <w:top w:w="0" w:type="dxa"/>
              <w:left w:w="53" w:type="dxa"/>
              <w:bottom w:w="0" w:type="dxa"/>
              <w:right w:w="0" w:type="dxa"/>
            </w:tcMar>
            <w:vAlign w:val="bottom"/>
          </w:tcPr>
          <w:p w14:paraId="43652486" w14:textId="77777777" w:rsidR="001614AC" w:rsidRDefault="004468F9">
            <w:pPr>
              <w:keepNext/>
              <w:spacing w:before="55" w:after="30" w:line="288" w:lineRule="auto"/>
              <w:jc w:val="right"/>
            </w:pPr>
            <w:r>
              <w:rPr>
                <w:rFonts w:ascii="Arial" w:eastAsia="Arial" w:hAnsi="Arial" w:cs="Arial"/>
                <w:color w:val="000000"/>
                <w:sz w:val="18"/>
              </w:rPr>
              <w:t>5,067 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1A370C30" w14:textId="77777777" w:rsidR="001614AC" w:rsidRDefault="001614AC">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4CDB494E" w14:textId="77777777" w:rsidR="001614AC" w:rsidRDefault="001614AC">
            <w:pPr>
              <w:keepNext/>
            </w:pPr>
          </w:p>
        </w:tc>
        <w:tc>
          <w:tcPr>
            <w:tcW w:w="800" w:type="dxa"/>
            <w:tcBorders>
              <w:top w:val="single" w:sz="8" w:space="0" w:color="E9E9E9"/>
              <w:left w:val="nil"/>
              <w:bottom w:val="single" w:sz="8" w:space="0" w:color="E9E9E9"/>
              <w:right w:val="nil"/>
            </w:tcBorders>
            <w:tcMar>
              <w:top w:w="0" w:type="dxa"/>
              <w:left w:w="53" w:type="dxa"/>
              <w:bottom w:w="0" w:type="dxa"/>
              <w:right w:w="0" w:type="dxa"/>
            </w:tcMar>
            <w:vAlign w:val="bottom"/>
          </w:tcPr>
          <w:p w14:paraId="13981433" w14:textId="77777777" w:rsidR="001614AC" w:rsidRDefault="004468F9">
            <w:pPr>
              <w:keepNext/>
              <w:spacing w:before="55" w:after="30" w:line="288" w:lineRule="auto"/>
              <w:jc w:val="right"/>
            </w:pPr>
            <w:r>
              <w:rPr>
                <w:rFonts w:ascii="Arial" w:eastAsia="Arial" w:hAnsi="Arial" w:cs="Arial"/>
                <w:color w:val="000000"/>
                <w:sz w:val="18"/>
              </w:rPr>
              <w:t>9.1 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4C4B9A5B" w14:textId="77777777" w:rsidR="001614AC" w:rsidRDefault="001614AC">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0B6D66E2" w14:textId="77777777" w:rsidR="001614AC" w:rsidRDefault="001614AC">
            <w:pPr>
              <w:keepNext/>
            </w:pPr>
          </w:p>
        </w:tc>
        <w:tc>
          <w:tcPr>
            <w:tcW w:w="1100" w:type="dxa"/>
            <w:tcBorders>
              <w:top w:val="single" w:sz="8" w:space="0" w:color="E9E9E9"/>
              <w:left w:val="nil"/>
              <w:bottom w:val="single" w:sz="8" w:space="0" w:color="E9E9E9"/>
              <w:right w:val="nil"/>
            </w:tcBorders>
            <w:tcMar>
              <w:top w:w="0" w:type="dxa"/>
              <w:left w:w="53" w:type="dxa"/>
              <w:bottom w:w="0" w:type="dxa"/>
              <w:right w:w="0" w:type="dxa"/>
            </w:tcMar>
            <w:vAlign w:val="bottom"/>
          </w:tcPr>
          <w:p w14:paraId="7F10AD10" w14:textId="77777777" w:rsidR="001614AC" w:rsidRDefault="004468F9">
            <w:pPr>
              <w:keepNext/>
              <w:spacing w:before="55" w:after="30" w:line="288" w:lineRule="auto"/>
              <w:jc w:val="right"/>
            </w:pPr>
            <w:r>
              <w:rPr>
                <w:rFonts w:ascii="Arial" w:eastAsia="Arial" w:hAnsi="Arial" w:cs="Arial"/>
                <w:color w:val="000000"/>
                <w:sz w:val="18"/>
              </w:rPr>
              <w:t>861 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3DCC2B29" w14:textId="77777777" w:rsidR="001614AC" w:rsidRDefault="001614AC">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5CA0908B" w14:textId="77777777" w:rsidR="001614AC" w:rsidRDefault="001614AC">
            <w:pPr>
              <w:keepNext/>
            </w:pPr>
          </w:p>
        </w:tc>
        <w:tc>
          <w:tcPr>
            <w:tcW w:w="995" w:type="dxa"/>
            <w:tcBorders>
              <w:top w:val="single" w:sz="8" w:space="0" w:color="E9E9E9"/>
              <w:left w:val="nil"/>
              <w:bottom w:val="single" w:sz="8" w:space="0" w:color="E9E9E9"/>
              <w:right w:val="nil"/>
            </w:tcBorders>
            <w:tcMar>
              <w:top w:w="0" w:type="dxa"/>
              <w:left w:w="53" w:type="dxa"/>
              <w:bottom w:w="0" w:type="dxa"/>
              <w:right w:w="0" w:type="dxa"/>
            </w:tcMar>
            <w:vAlign w:val="bottom"/>
          </w:tcPr>
          <w:p w14:paraId="16D61DBC" w14:textId="77777777" w:rsidR="001614AC" w:rsidRDefault="004468F9">
            <w:pPr>
              <w:keepNext/>
              <w:spacing w:before="55" w:after="30" w:line="288" w:lineRule="auto"/>
              <w:jc w:val="right"/>
            </w:pPr>
            <w:r>
              <w:rPr>
                <w:rFonts w:ascii="Arial" w:eastAsia="Arial" w:hAnsi="Arial" w:cs="Arial"/>
                <w:color w:val="000000"/>
                <w:sz w:val="18"/>
              </w:rPr>
              <w:t>5.4 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2F3F64BA" w14:textId="77777777" w:rsidR="001614AC" w:rsidRDefault="001614AC">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2E080C96" w14:textId="77777777" w:rsidR="001614AC" w:rsidRDefault="001614AC">
            <w:pPr>
              <w:keepNext/>
            </w:pPr>
          </w:p>
        </w:tc>
        <w:tc>
          <w:tcPr>
            <w:tcW w:w="99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05D7A83E" w14:textId="77777777" w:rsidR="001614AC" w:rsidRDefault="004468F9">
            <w:pPr>
              <w:keepNext/>
              <w:spacing w:before="55" w:after="30" w:line="288" w:lineRule="auto"/>
              <w:jc w:val="right"/>
            </w:pPr>
            <w:r>
              <w:rPr>
                <w:rFonts w:ascii="Arial" w:eastAsia="Arial" w:hAnsi="Arial" w:cs="Arial"/>
                <w:color w:val="000000"/>
                <w:sz w:val="18"/>
              </w:rPr>
              <w:t>172,161 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3D5E0C85" w14:textId="77777777" w:rsidR="001614AC" w:rsidRDefault="001614AC">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5C13146B" w14:textId="77777777" w:rsidR="001614AC" w:rsidRDefault="001614AC">
            <w:pPr>
              <w:keepNext/>
            </w:pPr>
          </w:p>
        </w:tc>
        <w:tc>
          <w:tcPr>
            <w:tcW w:w="800" w:type="dxa"/>
            <w:tcBorders>
              <w:top w:val="single" w:sz="8" w:space="0" w:color="E9E9E9"/>
              <w:left w:val="nil"/>
              <w:bottom w:val="single" w:sz="8" w:space="0" w:color="E9E9E9"/>
              <w:right w:val="nil"/>
            </w:tcBorders>
            <w:tcMar>
              <w:top w:w="0" w:type="dxa"/>
              <w:left w:w="53" w:type="dxa"/>
              <w:bottom w:w="0" w:type="dxa"/>
              <w:right w:w="0" w:type="dxa"/>
            </w:tcMar>
            <w:vAlign w:val="bottom"/>
          </w:tcPr>
          <w:p w14:paraId="63033F5C" w14:textId="77777777" w:rsidR="001614AC" w:rsidRDefault="004468F9">
            <w:pPr>
              <w:keepNext/>
              <w:spacing w:before="55" w:after="30" w:line="288" w:lineRule="auto"/>
              <w:jc w:val="right"/>
            </w:pPr>
            <w:r>
              <w:rPr>
                <w:rFonts w:ascii="Arial" w:eastAsia="Arial" w:hAnsi="Arial" w:cs="Arial"/>
                <w:color w:val="000000"/>
                <w:sz w:val="18"/>
              </w:rPr>
              <w:t>21.5 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0EA29B3F" w14:textId="77777777" w:rsidR="001614AC" w:rsidRDefault="001614AC">
            <w:pPr>
              <w:keepNext/>
              <w:spacing w:before="55" w:after="30" w:line="288" w:lineRule="auto"/>
              <w:jc w:val="right"/>
            </w:pPr>
          </w:p>
        </w:tc>
      </w:tr>
      <w:tr w:rsidR="001614AC" w14:paraId="4F8848BB" w14:textId="77777777">
        <w:trPr>
          <w:cantSplit/>
        </w:trPr>
        <w:tc>
          <w:tcPr>
            <w:tcW w:w="3360" w:type="dxa"/>
            <w:tcBorders>
              <w:top w:val="single" w:sz="8" w:space="0" w:color="E9E9E9"/>
              <w:left w:val="nil"/>
              <w:bottom w:val="nil"/>
              <w:right w:val="nil"/>
            </w:tcBorders>
            <w:tcMar>
              <w:top w:w="0" w:type="dxa"/>
              <w:left w:w="53" w:type="dxa"/>
              <w:bottom w:w="0" w:type="dxa"/>
              <w:right w:w="53" w:type="dxa"/>
            </w:tcMar>
            <w:vAlign w:val="bottom"/>
          </w:tcPr>
          <w:p w14:paraId="68903FDD" w14:textId="77777777" w:rsidR="001614AC" w:rsidRDefault="004468F9">
            <w:pPr>
              <w:keepNext/>
              <w:spacing w:before="55" w:after="30" w:line="288" w:lineRule="auto"/>
            </w:pPr>
            <w:r>
              <w:rPr>
                <w:rFonts w:ascii="Arial" w:eastAsia="Arial" w:hAnsi="Arial" w:cs="Arial"/>
                <w:color w:val="000000"/>
                <w:sz w:val="18"/>
              </w:rPr>
              <w:t>Pending claims</w:t>
            </w:r>
          </w:p>
        </w:tc>
        <w:tc>
          <w:tcPr>
            <w:tcW w:w="105" w:type="dxa"/>
            <w:tcBorders>
              <w:top w:val="nil"/>
              <w:left w:val="nil"/>
              <w:bottom w:val="nil"/>
              <w:right w:val="nil"/>
            </w:tcBorders>
            <w:tcMar>
              <w:top w:w="0" w:type="dxa"/>
              <w:left w:w="0" w:type="dxa"/>
              <w:bottom w:w="0" w:type="dxa"/>
              <w:right w:w="0" w:type="dxa"/>
            </w:tcMar>
            <w:vAlign w:val="bottom"/>
          </w:tcPr>
          <w:p w14:paraId="00EEEBB0" w14:textId="77777777" w:rsidR="001614AC" w:rsidRDefault="001614AC">
            <w:pPr>
              <w:keepNext/>
            </w:pPr>
          </w:p>
        </w:tc>
        <w:tc>
          <w:tcPr>
            <w:tcW w:w="800" w:type="dxa"/>
            <w:tcBorders>
              <w:top w:val="single" w:sz="8" w:space="0" w:color="E9E9E9"/>
              <w:left w:val="nil"/>
              <w:bottom w:val="single" w:sz="8" w:space="0" w:color="C7C9C7"/>
              <w:right w:val="nil"/>
            </w:tcBorders>
            <w:tcMar>
              <w:top w:w="0" w:type="dxa"/>
              <w:left w:w="53" w:type="dxa"/>
              <w:bottom w:w="0" w:type="dxa"/>
              <w:right w:w="0" w:type="dxa"/>
            </w:tcMar>
            <w:vAlign w:val="bottom"/>
          </w:tcPr>
          <w:p w14:paraId="68D46FB7" w14:textId="77777777" w:rsidR="001614AC" w:rsidRDefault="004468F9">
            <w:pPr>
              <w:keepNext/>
              <w:spacing w:before="55" w:after="30" w:line="288" w:lineRule="auto"/>
              <w:jc w:val="right"/>
            </w:pPr>
            <w:r>
              <w:rPr>
                <w:rFonts w:ascii="Arial" w:eastAsia="Arial" w:hAnsi="Arial" w:cs="Arial"/>
                <w:color w:val="000000"/>
                <w:sz w:val="18"/>
              </w:rPr>
              <w:t>275 </w:t>
            </w:r>
          </w:p>
        </w:tc>
        <w:tc>
          <w:tcPr>
            <w:tcW w:w="100" w:type="dxa"/>
            <w:tcBorders>
              <w:top w:val="single" w:sz="8" w:space="0" w:color="E9E9E9"/>
              <w:left w:val="nil"/>
              <w:bottom w:val="single" w:sz="8" w:space="0" w:color="C7C9C7"/>
              <w:right w:val="nil"/>
            </w:tcBorders>
            <w:tcMar>
              <w:top w:w="0" w:type="dxa"/>
              <w:left w:w="0" w:type="dxa"/>
              <w:bottom w:w="0" w:type="dxa"/>
              <w:right w:w="15" w:type="dxa"/>
            </w:tcMar>
            <w:vAlign w:val="bottom"/>
          </w:tcPr>
          <w:p w14:paraId="38CEA2D6" w14:textId="77777777" w:rsidR="001614AC" w:rsidRDefault="001614AC">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6A49CB80" w14:textId="77777777" w:rsidR="001614AC" w:rsidRDefault="001614AC">
            <w:pPr>
              <w:keepNext/>
            </w:pPr>
          </w:p>
        </w:tc>
        <w:tc>
          <w:tcPr>
            <w:tcW w:w="800" w:type="dxa"/>
            <w:tcBorders>
              <w:top w:val="single" w:sz="8" w:space="0" w:color="E9E9E9"/>
              <w:left w:val="nil"/>
              <w:bottom w:val="single" w:sz="8" w:space="0" w:color="C7C9C7"/>
              <w:right w:val="nil"/>
            </w:tcBorders>
            <w:tcMar>
              <w:top w:w="0" w:type="dxa"/>
              <w:left w:w="53" w:type="dxa"/>
              <w:bottom w:w="0" w:type="dxa"/>
              <w:right w:w="0" w:type="dxa"/>
            </w:tcMar>
            <w:vAlign w:val="bottom"/>
          </w:tcPr>
          <w:p w14:paraId="2C10CC96" w14:textId="77777777" w:rsidR="001614AC" w:rsidRDefault="004468F9">
            <w:pPr>
              <w:keepNext/>
              <w:spacing w:before="55" w:after="30" w:line="288" w:lineRule="auto"/>
              <w:jc w:val="right"/>
            </w:pPr>
            <w:r>
              <w:rPr>
                <w:rFonts w:ascii="Arial" w:eastAsia="Arial" w:hAnsi="Arial" w:cs="Arial"/>
                <w:color w:val="000000"/>
                <w:sz w:val="18"/>
              </w:rPr>
              <w:t>0.5 </w:t>
            </w:r>
          </w:p>
        </w:tc>
        <w:tc>
          <w:tcPr>
            <w:tcW w:w="100" w:type="dxa"/>
            <w:tcBorders>
              <w:top w:val="single" w:sz="8" w:space="0" w:color="E9E9E9"/>
              <w:left w:val="nil"/>
              <w:bottom w:val="single" w:sz="8" w:space="0" w:color="C7C9C7"/>
              <w:right w:val="nil"/>
            </w:tcBorders>
            <w:tcMar>
              <w:top w:w="0" w:type="dxa"/>
              <w:left w:w="0" w:type="dxa"/>
              <w:bottom w:w="0" w:type="dxa"/>
              <w:right w:w="15" w:type="dxa"/>
            </w:tcMar>
            <w:vAlign w:val="bottom"/>
          </w:tcPr>
          <w:p w14:paraId="1B855D3A" w14:textId="77777777" w:rsidR="001614AC" w:rsidRDefault="001614AC">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66563F87" w14:textId="77777777" w:rsidR="001614AC" w:rsidRDefault="001614AC">
            <w:pPr>
              <w:keepNext/>
            </w:pPr>
          </w:p>
        </w:tc>
        <w:tc>
          <w:tcPr>
            <w:tcW w:w="1200" w:type="dxa"/>
            <w:gridSpan w:val="2"/>
            <w:tcBorders>
              <w:top w:val="single" w:sz="8" w:space="0" w:color="E9E9E9"/>
              <w:left w:val="nil"/>
              <w:bottom w:val="single" w:sz="8" w:space="0" w:color="C7C9C7"/>
              <w:right w:val="nil"/>
            </w:tcBorders>
            <w:tcMar>
              <w:top w:w="0" w:type="dxa"/>
              <w:left w:w="53" w:type="dxa"/>
              <w:bottom w:w="0" w:type="dxa"/>
              <w:right w:w="15" w:type="dxa"/>
            </w:tcMar>
            <w:vAlign w:val="bottom"/>
          </w:tcPr>
          <w:p w14:paraId="15D0067F" w14:textId="77777777" w:rsidR="001614AC" w:rsidRDefault="004468F9">
            <w:pPr>
              <w:keepNext/>
              <w:spacing w:before="55" w:after="30" w:line="288" w:lineRule="auto"/>
              <w:jc w:val="right"/>
            </w:pPr>
            <w:r>
              <w:rPr>
                <w:rFonts w:ascii="Arial" w:eastAsia="Arial" w:hAnsi="Arial" w:cs="Arial"/>
                <w:color w:val="000000"/>
                <w:sz w:val="18"/>
              </w:rPr>
              <w:t>N/A</w:t>
            </w:r>
          </w:p>
        </w:tc>
        <w:tc>
          <w:tcPr>
            <w:tcW w:w="105" w:type="dxa"/>
            <w:tcBorders>
              <w:top w:val="nil"/>
              <w:left w:val="nil"/>
              <w:bottom w:val="nil"/>
              <w:right w:val="nil"/>
            </w:tcBorders>
            <w:tcMar>
              <w:top w:w="0" w:type="dxa"/>
              <w:left w:w="0" w:type="dxa"/>
              <w:bottom w:w="0" w:type="dxa"/>
              <w:right w:w="0" w:type="dxa"/>
            </w:tcMar>
            <w:vAlign w:val="bottom"/>
          </w:tcPr>
          <w:p w14:paraId="6895F18D" w14:textId="77777777" w:rsidR="001614AC" w:rsidRDefault="001614AC">
            <w:pPr>
              <w:keepNext/>
            </w:pPr>
          </w:p>
        </w:tc>
        <w:tc>
          <w:tcPr>
            <w:tcW w:w="995" w:type="dxa"/>
            <w:tcBorders>
              <w:top w:val="single" w:sz="8" w:space="0" w:color="E9E9E9"/>
              <w:left w:val="nil"/>
              <w:bottom w:val="nil"/>
              <w:right w:val="nil"/>
            </w:tcBorders>
            <w:tcMar>
              <w:top w:w="0" w:type="dxa"/>
              <w:left w:w="53" w:type="dxa"/>
              <w:bottom w:w="0" w:type="dxa"/>
              <w:right w:w="0" w:type="dxa"/>
            </w:tcMar>
            <w:vAlign w:val="bottom"/>
          </w:tcPr>
          <w:p w14:paraId="5B60AFFF" w14:textId="77777777" w:rsidR="001614AC" w:rsidRDefault="004468F9">
            <w:pPr>
              <w:keepNext/>
              <w:spacing w:before="55" w:after="30" w:line="288" w:lineRule="auto"/>
              <w:jc w:val="right"/>
            </w:pPr>
            <w:r>
              <w:rPr>
                <w:rFonts w:ascii="Arial" w:eastAsia="Arial" w:hAnsi="Arial" w:cs="Arial"/>
                <w:color w:val="000000"/>
                <w:sz w:val="18"/>
              </w:rPr>
              <w:t>8.2 </w:t>
            </w:r>
          </w:p>
        </w:tc>
        <w:tc>
          <w:tcPr>
            <w:tcW w:w="100" w:type="dxa"/>
            <w:tcBorders>
              <w:top w:val="single" w:sz="8" w:space="0" w:color="E9E9E9"/>
              <w:left w:val="nil"/>
              <w:bottom w:val="nil"/>
              <w:right w:val="nil"/>
            </w:tcBorders>
            <w:tcMar>
              <w:top w:w="0" w:type="dxa"/>
              <w:left w:w="0" w:type="dxa"/>
              <w:bottom w:w="0" w:type="dxa"/>
              <w:right w:w="15" w:type="dxa"/>
            </w:tcMar>
            <w:vAlign w:val="bottom"/>
          </w:tcPr>
          <w:p w14:paraId="274CBA8E" w14:textId="77777777" w:rsidR="001614AC" w:rsidRDefault="001614AC">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459DA929" w14:textId="77777777" w:rsidR="001614AC" w:rsidRDefault="001614AC">
            <w:pPr>
              <w:keepNext/>
            </w:pPr>
          </w:p>
        </w:tc>
        <w:tc>
          <w:tcPr>
            <w:tcW w:w="995" w:type="dxa"/>
            <w:gridSpan w:val="2"/>
            <w:tcBorders>
              <w:top w:val="single" w:sz="8" w:space="0" w:color="E9E9E9"/>
              <w:left w:val="nil"/>
              <w:bottom w:val="single" w:sz="8" w:space="0" w:color="C7C9C7"/>
              <w:right w:val="nil"/>
            </w:tcBorders>
            <w:tcMar>
              <w:top w:w="0" w:type="dxa"/>
              <w:left w:w="53" w:type="dxa"/>
              <w:bottom w:w="0" w:type="dxa"/>
              <w:right w:w="0" w:type="dxa"/>
            </w:tcMar>
            <w:vAlign w:val="bottom"/>
          </w:tcPr>
          <w:p w14:paraId="4C6F5FFD" w14:textId="77777777" w:rsidR="001614AC" w:rsidRDefault="004468F9">
            <w:pPr>
              <w:keepNext/>
              <w:spacing w:before="55" w:after="30" w:line="288" w:lineRule="auto"/>
              <w:jc w:val="right"/>
            </w:pPr>
            <w:r>
              <w:rPr>
                <w:rFonts w:ascii="Arial" w:eastAsia="Arial" w:hAnsi="Arial" w:cs="Arial"/>
                <w:color w:val="000000"/>
                <w:sz w:val="18"/>
              </w:rPr>
              <w:t>15,614 </w:t>
            </w:r>
          </w:p>
        </w:tc>
        <w:tc>
          <w:tcPr>
            <w:tcW w:w="100" w:type="dxa"/>
            <w:tcBorders>
              <w:top w:val="single" w:sz="8" w:space="0" w:color="E9E9E9"/>
              <w:left w:val="nil"/>
              <w:bottom w:val="single" w:sz="8" w:space="0" w:color="C7C9C7"/>
              <w:right w:val="nil"/>
            </w:tcBorders>
            <w:tcMar>
              <w:top w:w="0" w:type="dxa"/>
              <w:left w:w="0" w:type="dxa"/>
              <w:bottom w:w="0" w:type="dxa"/>
              <w:right w:w="15" w:type="dxa"/>
            </w:tcMar>
            <w:vAlign w:val="bottom"/>
          </w:tcPr>
          <w:p w14:paraId="67C23B6F" w14:textId="77777777" w:rsidR="001614AC" w:rsidRDefault="001614AC">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216EF8F4" w14:textId="77777777" w:rsidR="001614AC" w:rsidRDefault="001614AC">
            <w:pPr>
              <w:keepNext/>
            </w:pPr>
          </w:p>
        </w:tc>
        <w:tc>
          <w:tcPr>
            <w:tcW w:w="800" w:type="dxa"/>
            <w:tcBorders>
              <w:top w:val="single" w:sz="8" w:space="0" w:color="E9E9E9"/>
              <w:left w:val="nil"/>
              <w:bottom w:val="single" w:sz="8" w:space="0" w:color="C7C9C7"/>
              <w:right w:val="nil"/>
            </w:tcBorders>
            <w:tcMar>
              <w:top w:w="0" w:type="dxa"/>
              <w:left w:w="53" w:type="dxa"/>
              <w:bottom w:w="0" w:type="dxa"/>
              <w:right w:w="0" w:type="dxa"/>
            </w:tcMar>
            <w:vAlign w:val="bottom"/>
          </w:tcPr>
          <w:p w14:paraId="39516422" w14:textId="77777777" w:rsidR="001614AC" w:rsidRDefault="004468F9">
            <w:pPr>
              <w:keepNext/>
              <w:spacing w:before="55" w:after="30" w:line="288" w:lineRule="auto"/>
              <w:jc w:val="right"/>
            </w:pPr>
            <w:r>
              <w:rPr>
                <w:rFonts w:ascii="Arial" w:eastAsia="Arial" w:hAnsi="Arial" w:cs="Arial"/>
                <w:color w:val="000000"/>
                <w:sz w:val="18"/>
              </w:rPr>
              <w:t>2.0 </w:t>
            </w:r>
          </w:p>
        </w:tc>
        <w:tc>
          <w:tcPr>
            <w:tcW w:w="100" w:type="dxa"/>
            <w:tcBorders>
              <w:top w:val="single" w:sz="8" w:space="0" w:color="E9E9E9"/>
              <w:left w:val="nil"/>
              <w:bottom w:val="single" w:sz="8" w:space="0" w:color="C7C9C7"/>
              <w:right w:val="nil"/>
            </w:tcBorders>
            <w:tcMar>
              <w:top w:w="0" w:type="dxa"/>
              <w:left w:w="0" w:type="dxa"/>
              <w:bottom w:w="0" w:type="dxa"/>
              <w:right w:w="15" w:type="dxa"/>
            </w:tcMar>
            <w:vAlign w:val="bottom"/>
          </w:tcPr>
          <w:p w14:paraId="027B4EBD" w14:textId="77777777" w:rsidR="001614AC" w:rsidRDefault="001614AC">
            <w:pPr>
              <w:keepNext/>
              <w:spacing w:before="55" w:after="30" w:line="288" w:lineRule="auto"/>
              <w:jc w:val="right"/>
            </w:pPr>
          </w:p>
        </w:tc>
      </w:tr>
      <w:tr w:rsidR="001614AC" w14:paraId="5874DC58" w14:textId="77777777">
        <w:trPr>
          <w:cantSplit/>
        </w:trPr>
        <w:tc>
          <w:tcPr>
            <w:tcW w:w="3360" w:type="dxa"/>
            <w:tcBorders>
              <w:top w:val="nil"/>
              <w:left w:val="nil"/>
              <w:bottom w:val="nil"/>
              <w:right w:val="nil"/>
            </w:tcBorders>
            <w:shd w:val="clear" w:color="auto" w:fill="F4F4F4"/>
            <w:tcMar>
              <w:top w:w="0" w:type="dxa"/>
              <w:left w:w="53" w:type="dxa"/>
              <w:bottom w:w="0" w:type="dxa"/>
              <w:right w:w="53" w:type="dxa"/>
            </w:tcMar>
            <w:vAlign w:val="bottom"/>
          </w:tcPr>
          <w:p w14:paraId="3A5AFDE3" w14:textId="77777777" w:rsidR="001614AC" w:rsidRDefault="004468F9">
            <w:pPr>
              <w:keepNext/>
              <w:spacing w:before="75" w:after="30" w:line="288" w:lineRule="auto"/>
            </w:pPr>
            <w:r>
              <w:rPr>
                <w:rFonts w:ascii="Arial" w:eastAsia="Arial" w:hAnsi="Arial" w:cs="Arial"/>
                <w:color w:val="000000"/>
                <w:sz w:val="18"/>
              </w:rPr>
              <w:t>Total</w:t>
            </w:r>
          </w:p>
        </w:tc>
        <w:tc>
          <w:tcPr>
            <w:tcW w:w="105" w:type="dxa"/>
            <w:tcBorders>
              <w:top w:val="nil"/>
              <w:left w:val="nil"/>
              <w:bottom w:val="nil"/>
              <w:right w:val="nil"/>
            </w:tcBorders>
            <w:shd w:val="clear" w:color="auto" w:fill="F4F4F4"/>
            <w:tcMar>
              <w:top w:w="0" w:type="dxa"/>
              <w:left w:w="0" w:type="dxa"/>
              <w:bottom w:w="0" w:type="dxa"/>
              <w:right w:w="0" w:type="dxa"/>
            </w:tcMar>
            <w:vAlign w:val="bottom"/>
          </w:tcPr>
          <w:p w14:paraId="4FCAB0AD" w14:textId="77777777" w:rsidR="001614AC" w:rsidRDefault="001614AC">
            <w:pPr>
              <w:keepNext/>
            </w:pPr>
          </w:p>
        </w:tc>
        <w:tc>
          <w:tcPr>
            <w:tcW w:w="800" w:type="dxa"/>
            <w:tcBorders>
              <w:top w:val="single" w:sz="8" w:space="0" w:color="C7C9C7"/>
              <w:left w:val="nil"/>
              <w:bottom w:val="double" w:sz="8" w:space="0" w:color="C7C9C7"/>
              <w:right w:val="nil"/>
            </w:tcBorders>
            <w:shd w:val="clear" w:color="auto" w:fill="F4F4F4"/>
            <w:tcMar>
              <w:top w:w="0" w:type="dxa"/>
              <w:left w:w="53" w:type="dxa"/>
              <w:bottom w:w="0" w:type="dxa"/>
              <w:right w:w="0" w:type="dxa"/>
            </w:tcMar>
            <w:vAlign w:val="bottom"/>
          </w:tcPr>
          <w:p w14:paraId="2DE8B411" w14:textId="77777777" w:rsidR="001614AC" w:rsidRDefault="004468F9">
            <w:pPr>
              <w:keepNext/>
              <w:spacing w:before="55" w:after="30" w:line="288" w:lineRule="auto"/>
              <w:jc w:val="right"/>
            </w:pPr>
            <w:r>
              <w:rPr>
                <w:rFonts w:ascii="Arial" w:eastAsia="Arial" w:hAnsi="Arial" w:cs="Arial"/>
                <w:color w:val="000000"/>
                <w:sz w:val="18"/>
              </w:rPr>
              <w:t>55,537 </w:t>
            </w:r>
          </w:p>
        </w:tc>
        <w:tc>
          <w:tcPr>
            <w:tcW w:w="100" w:type="dxa"/>
            <w:tcBorders>
              <w:top w:val="single" w:sz="8" w:space="0" w:color="C7C9C7"/>
              <w:left w:val="nil"/>
              <w:bottom w:val="double" w:sz="8" w:space="0" w:color="C7C9C7"/>
              <w:right w:val="nil"/>
            </w:tcBorders>
            <w:shd w:val="clear" w:color="auto" w:fill="F4F4F4"/>
            <w:tcMar>
              <w:top w:w="0" w:type="dxa"/>
              <w:left w:w="0" w:type="dxa"/>
              <w:bottom w:w="0" w:type="dxa"/>
              <w:right w:w="15" w:type="dxa"/>
            </w:tcMar>
            <w:vAlign w:val="bottom"/>
          </w:tcPr>
          <w:p w14:paraId="5350B423" w14:textId="77777777" w:rsidR="001614AC" w:rsidRDefault="001614AC">
            <w:pPr>
              <w:keepNext/>
              <w:spacing w:before="55" w:after="30" w:line="288" w:lineRule="auto"/>
              <w:jc w:val="right"/>
            </w:pPr>
          </w:p>
        </w:tc>
        <w:tc>
          <w:tcPr>
            <w:tcW w:w="105" w:type="dxa"/>
            <w:tcBorders>
              <w:top w:val="nil"/>
              <w:left w:val="nil"/>
              <w:bottom w:val="nil"/>
              <w:right w:val="nil"/>
            </w:tcBorders>
            <w:shd w:val="clear" w:color="auto" w:fill="F4F4F4"/>
            <w:tcMar>
              <w:top w:w="0" w:type="dxa"/>
              <w:left w:w="0" w:type="dxa"/>
              <w:bottom w:w="0" w:type="dxa"/>
              <w:right w:w="0" w:type="dxa"/>
            </w:tcMar>
            <w:vAlign w:val="bottom"/>
          </w:tcPr>
          <w:p w14:paraId="5A1B72E3" w14:textId="77777777" w:rsidR="001614AC" w:rsidRDefault="001614AC">
            <w:pPr>
              <w:keepNext/>
            </w:pPr>
          </w:p>
        </w:tc>
        <w:tc>
          <w:tcPr>
            <w:tcW w:w="800" w:type="dxa"/>
            <w:tcBorders>
              <w:top w:val="single" w:sz="8" w:space="0" w:color="C7C9C7"/>
              <w:left w:val="nil"/>
              <w:bottom w:val="double" w:sz="8" w:space="0" w:color="C7C9C7"/>
              <w:right w:val="nil"/>
            </w:tcBorders>
            <w:shd w:val="clear" w:color="auto" w:fill="F4F4F4"/>
            <w:tcMar>
              <w:top w:w="0" w:type="dxa"/>
              <w:left w:w="53" w:type="dxa"/>
              <w:bottom w:w="0" w:type="dxa"/>
              <w:right w:w="0" w:type="dxa"/>
            </w:tcMar>
            <w:vAlign w:val="bottom"/>
          </w:tcPr>
          <w:p w14:paraId="6A1355F0" w14:textId="77777777" w:rsidR="001614AC" w:rsidRDefault="004468F9">
            <w:pPr>
              <w:keepNext/>
              <w:spacing w:before="55" w:after="30" w:line="288" w:lineRule="auto"/>
              <w:jc w:val="right"/>
            </w:pPr>
            <w:r>
              <w:rPr>
                <w:rFonts w:ascii="Arial" w:eastAsia="Arial" w:hAnsi="Arial" w:cs="Arial"/>
                <w:color w:val="000000"/>
                <w:sz w:val="18"/>
              </w:rPr>
              <w:t>100.0 </w:t>
            </w:r>
          </w:p>
        </w:tc>
        <w:tc>
          <w:tcPr>
            <w:tcW w:w="100" w:type="dxa"/>
            <w:tcBorders>
              <w:top w:val="single" w:sz="8" w:space="0" w:color="C7C9C7"/>
              <w:left w:val="nil"/>
              <w:bottom w:val="double" w:sz="8" w:space="0" w:color="C7C9C7"/>
              <w:right w:val="nil"/>
            </w:tcBorders>
            <w:shd w:val="clear" w:color="auto" w:fill="F4F4F4"/>
            <w:tcMar>
              <w:top w:w="0" w:type="dxa"/>
              <w:left w:w="0" w:type="dxa"/>
              <w:bottom w:w="0" w:type="dxa"/>
              <w:right w:w="15" w:type="dxa"/>
            </w:tcMar>
            <w:vAlign w:val="bottom"/>
          </w:tcPr>
          <w:p w14:paraId="02D4D279" w14:textId="77777777" w:rsidR="001614AC" w:rsidRDefault="004468F9">
            <w:pPr>
              <w:keepNext/>
              <w:spacing w:before="55" w:after="30" w:line="288" w:lineRule="auto"/>
              <w:jc w:val="right"/>
            </w:pPr>
            <w:r>
              <w:rPr>
                <w:rFonts w:ascii="Arial" w:eastAsia="Arial" w:hAnsi="Arial" w:cs="Arial"/>
                <w:color w:val="000000"/>
                <w:sz w:val="18"/>
              </w:rPr>
              <w:t>%</w:t>
            </w:r>
          </w:p>
        </w:tc>
        <w:tc>
          <w:tcPr>
            <w:tcW w:w="105" w:type="dxa"/>
            <w:tcBorders>
              <w:top w:val="nil"/>
              <w:left w:val="nil"/>
              <w:bottom w:val="nil"/>
              <w:right w:val="nil"/>
            </w:tcBorders>
            <w:shd w:val="clear" w:color="auto" w:fill="F4F4F4"/>
            <w:tcMar>
              <w:top w:w="0" w:type="dxa"/>
              <w:left w:w="0" w:type="dxa"/>
              <w:bottom w:w="0" w:type="dxa"/>
              <w:right w:w="0" w:type="dxa"/>
            </w:tcMar>
            <w:vAlign w:val="bottom"/>
          </w:tcPr>
          <w:p w14:paraId="399B3038" w14:textId="77777777" w:rsidR="001614AC" w:rsidRDefault="001614AC">
            <w:pPr>
              <w:keepNext/>
            </w:pPr>
          </w:p>
        </w:tc>
        <w:tc>
          <w:tcPr>
            <w:tcW w:w="1100" w:type="dxa"/>
            <w:tcBorders>
              <w:top w:val="single" w:sz="8" w:space="0" w:color="C7C9C7"/>
              <w:left w:val="nil"/>
              <w:bottom w:val="double" w:sz="8" w:space="0" w:color="C7C9C7"/>
              <w:right w:val="nil"/>
            </w:tcBorders>
            <w:shd w:val="clear" w:color="auto" w:fill="F4F4F4"/>
            <w:tcMar>
              <w:top w:w="0" w:type="dxa"/>
              <w:left w:w="53" w:type="dxa"/>
              <w:bottom w:w="0" w:type="dxa"/>
              <w:right w:w="0" w:type="dxa"/>
            </w:tcMar>
            <w:vAlign w:val="bottom"/>
          </w:tcPr>
          <w:p w14:paraId="11959A08" w14:textId="77777777" w:rsidR="001614AC" w:rsidRDefault="004468F9">
            <w:pPr>
              <w:keepNext/>
              <w:spacing w:before="55" w:after="30" w:line="288" w:lineRule="auto"/>
              <w:jc w:val="right"/>
            </w:pPr>
            <w:r>
              <w:rPr>
                <w:rFonts w:ascii="Arial" w:eastAsia="Arial" w:hAnsi="Arial" w:cs="Arial"/>
                <w:color w:val="000000"/>
                <w:sz w:val="18"/>
              </w:rPr>
              <w:t>1,115 </w:t>
            </w:r>
          </w:p>
        </w:tc>
        <w:tc>
          <w:tcPr>
            <w:tcW w:w="100" w:type="dxa"/>
            <w:tcBorders>
              <w:top w:val="single" w:sz="8" w:space="0" w:color="C7C9C7"/>
              <w:left w:val="nil"/>
              <w:bottom w:val="double" w:sz="8" w:space="0" w:color="C7C9C7"/>
              <w:right w:val="nil"/>
            </w:tcBorders>
            <w:shd w:val="clear" w:color="auto" w:fill="F4F4F4"/>
            <w:tcMar>
              <w:top w:w="0" w:type="dxa"/>
              <w:left w:w="0" w:type="dxa"/>
              <w:bottom w:w="0" w:type="dxa"/>
              <w:right w:w="15" w:type="dxa"/>
            </w:tcMar>
            <w:vAlign w:val="bottom"/>
          </w:tcPr>
          <w:p w14:paraId="3342EC8A" w14:textId="77777777" w:rsidR="001614AC" w:rsidRDefault="001614AC">
            <w:pPr>
              <w:keepNext/>
              <w:spacing w:before="55" w:after="30" w:line="288" w:lineRule="auto"/>
              <w:jc w:val="right"/>
            </w:pPr>
          </w:p>
        </w:tc>
        <w:tc>
          <w:tcPr>
            <w:tcW w:w="105" w:type="dxa"/>
            <w:tcBorders>
              <w:top w:val="nil"/>
              <w:left w:val="nil"/>
              <w:bottom w:val="nil"/>
              <w:right w:val="nil"/>
            </w:tcBorders>
            <w:shd w:val="clear" w:color="auto" w:fill="F4F4F4"/>
            <w:tcMar>
              <w:top w:w="0" w:type="dxa"/>
              <w:left w:w="0" w:type="dxa"/>
              <w:bottom w:w="0" w:type="dxa"/>
              <w:right w:w="0" w:type="dxa"/>
            </w:tcMar>
            <w:vAlign w:val="bottom"/>
          </w:tcPr>
          <w:p w14:paraId="2979367D" w14:textId="77777777" w:rsidR="001614AC" w:rsidRDefault="001614AC">
            <w:pPr>
              <w:keepNext/>
            </w:pPr>
          </w:p>
        </w:tc>
        <w:tc>
          <w:tcPr>
            <w:tcW w:w="1095" w:type="dxa"/>
            <w:gridSpan w:val="2"/>
            <w:tcBorders>
              <w:top w:val="nil"/>
              <w:left w:val="nil"/>
              <w:bottom w:val="nil"/>
              <w:right w:val="nil"/>
            </w:tcBorders>
            <w:shd w:val="clear" w:color="auto" w:fill="F4F4F4"/>
            <w:tcMar>
              <w:top w:w="0" w:type="dxa"/>
              <w:left w:w="0" w:type="dxa"/>
              <w:bottom w:w="0" w:type="dxa"/>
              <w:right w:w="0" w:type="dxa"/>
            </w:tcMar>
            <w:vAlign w:val="bottom"/>
          </w:tcPr>
          <w:p w14:paraId="2A2C1069" w14:textId="77777777" w:rsidR="001614AC" w:rsidRDefault="001614AC">
            <w:pPr>
              <w:keepNext/>
            </w:pPr>
          </w:p>
        </w:tc>
        <w:tc>
          <w:tcPr>
            <w:tcW w:w="105" w:type="dxa"/>
            <w:tcBorders>
              <w:top w:val="nil"/>
              <w:left w:val="nil"/>
              <w:bottom w:val="nil"/>
              <w:right w:val="nil"/>
            </w:tcBorders>
            <w:shd w:val="clear" w:color="auto" w:fill="F4F4F4"/>
            <w:tcMar>
              <w:top w:w="0" w:type="dxa"/>
              <w:left w:w="0" w:type="dxa"/>
              <w:bottom w:w="0" w:type="dxa"/>
              <w:right w:w="0" w:type="dxa"/>
            </w:tcMar>
            <w:vAlign w:val="bottom"/>
          </w:tcPr>
          <w:p w14:paraId="777E4C0E" w14:textId="77777777" w:rsidR="001614AC" w:rsidRDefault="001614AC">
            <w:pPr>
              <w:keepNext/>
            </w:pPr>
          </w:p>
        </w:tc>
        <w:tc>
          <w:tcPr>
            <w:tcW w:w="995" w:type="dxa"/>
            <w:gridSpan w:val="2"/>
            <w:tcBorders>
              <w:top w:val="single" w:sz="8" w:space="0" w:color="C7C9C7"/>
              <w:left w:val="nil"/>
              <w:bottom w:val="nil"/>
              <w:right w:val="nil"/>
            </w:tcBorders>
            <w:shd w:val="clear" w:color="auto" w:fill="F4F4F4"/>
            <w:tcMar>
              <w:top w:w="0" w:type="dxa"/>
              <w:left w:w="53" w:type="dxa"/>
              <w:bottom w:w="0" w:type="dxa"/>
              <w:right w:w="0" w:type="dxa"/>
            </w:tcMar>
            <w:vAlign w:val="bottom"/>
          </w:tcPr>
          <w:p w14:paraId="4338B2F7" w14:textId="77777777" w:rsidR="001614AC" w:rsidRDefault="004468F9">
            <w:pPr>
              <w:keepNext/>
              <w:spacing w:before="55" w:after="30" w:line="288" w:lineRule="auto"/>
              <w:jc w:val="right"/>
            </w:pPr>
            <w:r>
              <w:rPr>
                <w:rFonts w:ascii="Arial" w:eastAsia="Arial" w:hAnsi="Arial" w:cs="Arial"/>
                <w:color w:val="000000"/>
                <w:sz w:val="18"/>
              </w:rPr>
              <w:t>799,514 </w:t>
            </w:r>
          </w:p>
        </w:tc>
        <w:tc>
          <w:tcPr>
            <w:tcW w:w="100" w:type="dxa"/>
            <w:tcBorders>
              <w:top w:val="single" w:sz="8" w:space="0" w:color="C7C9C7"/>
              <w:left w:val="nil"/>
              <w:bottom w:val="nil"/>
              <w:right w:val="nil"/>
            </w:tcBorders>
            <w:shd w:val="clear" w:color="auto" w:fill="F4F4F4"/>
            <w:tcMar>
              <w:top w:w="0" w:type="dxa"/>
              <w:left w:w="0" w:type="dxa"/>
              <w:bottom w:w="0" w:type="dxa"/>
              <w:right w:w="15" w:type="dxa"/>
            </w:tcMar>
            <w:vAlign w:val="bottom"/>
          </w:tcPr>
          <w:p w14:paraId="71368D90" w14:textId="77777777" w:rsidR="001614AC" w:rsidRDefault="001614AC">
            <w:pPr>
              <w:keepNext/>
              <w:spacing w:before="55" w:after="30" w:line="288" w:lineRule="auto"/>
              <w:jc w:val="right"/>
            </w:pPr>
          </w:p>
        </w:tc>
        <w:tc>
          <w:tcPr>
            <w:tcW w:w="105" w:type="dxa"/>
            <w:tcBorders>
              <w:top w:val="nil"/>
              <w:left w:val="nil"/>
              <w:bottom w:val="nil"/>
              <w:right w:val="nil"/>
            </w:tcBorders>
            <w:shd w:val="clear" w:color="auto" w:fill="F4F4F4"/>
            <w:tcMar>
              <w:top w:w="0" w:type="dxa"/>
              <w:left w:w="0" w:type="dxa"/>
              <w:bottom w:w="0" w:type="dxa"/>
              <w:right w:w="0" w:type="dxa"/>
            </w:tcMar>
            <w:vAlign w:val="bottom"/>
          </w:tcPr>
          <w:p w14:paraId="54E1B35D" w14:textId="77777777" w:rsidR="001614AC" w:rsidRDefault="001614AC">
            <w:pPr>
              <w:keepNext/>
            </w:pPr>
          </w:p>
        </w:tc>
        <w:tc>
          <w:tcPr>
            <w:tcW w:w="800" w:type="dxa"/>
            <w:tcBorders>
              <w:top w:val="single" w:sz="8" w:space="0" w:color="C7C9C7"/>
              <w:left w:val="nil"/>
              <w:bottom w:val="double" w:sz="8" w:space="0" w:color="C7C9C7"/>
              <w:right w:val="nil"/>
            </w:tcBorders>
            <w:shd w:val="clear" w:color="auto" w:fill="F4F4F4"/>
            <w:tcMar>
              <w:top w:w="0" w:type="dxa"/>
              <w:left w:w="53" w:type="dxa"/>
              <w:bottom w:w="0" w:type="dxa"/>
              <w:right w:w="0" w:type="dxa"/>
            </w:tcMar>
            <w:vAlign w:val="bottom"/>
          </w:tcPr>
          <w:p w14:paraId="71AADFE8" w14:textId="77777777" w:rsidR="001614AC" w:rsidRDefault="004468F9">
            <w:pPr>
              <w:keepNext/>
              <w:spacing w:before="55" w:after="30" w:line="288" w:lineRule="auto"/>
              <w:jc w:val="right"/>
            </w:pPr>
            <w:r>
              <w:rPr>
                <w:rFonts w:ascii="Arial" w:eastAsia="Arial" w:hAnsi="Arial" w:cs="Arial"/>
                <w:color w:val="000000"/>
                <w:sz w:val="18"/>
              </w:rPr>
              <w:t>100.0 </w:t>
            </w:r>
          </w:p>
        </w:tc>
        <w:tc>
          <w:tcPr>
            <w:tcW w:w="100" w:type="dxa"/>
            <w:tcBorders>
              <w:top w:val="single" w:sz="8" w:space="0" w:color="C7C9C7"/>
              <w:left w:val="nil"/>
              <w:bottom w:val="double" w:sz="8" w:space="0" w:color="C7C9C7"/>
              <w:right w:val="nil"/>
            </w:tcBorders>
            <w:shd w:val="clear" w:color="auto" w:fill="F4F4F4"/>
            <w:tcMar>
              <w:top w:w="0" w:type="dxa"/>
              <w:left w:w="0" w:type="dxa"/>
              <w:bottom w:w="0" w:type="dxa"/>
              <w:right w:w="15" w:type="dxa"/>
            </w:tcMar>
            <w:vAlign w:val="bottom"/>
          </w:tcPr>
          <w:p w14:paraId="435CC16A" w14:textId="77777777" w:rsidR="001614AC" w:rsidRDefault="004468F9">
            <w:pPr>
              <w:keepNext/>
              <w:spacing w:before="55" w:after="30" w:line="288" w:lineRule="auto"/>
              <w:jc w:val="right"/>
            </w:pPr>
            <w:r>
              <w:rPr>
                <w:rFonts w:ascii="Arial" w:eastAsia="Arial" w:hAnsi="Arial" w:cs="Arial"/>
                <w:color w:val="000000"/>
                <w:sz w:val="18"/>
              </w:rPr>
              <w:t>%</w:t>
            </w:r>
          </w:p>
        </w:tc>
      </w:tr>
      <w:tr w:rsidR="001614AC" w14:paraId="0A1C5CD8" w14:textId="77777777">
        <w:trPr>
          <w:cantSplit/>
        </w:trPr>
        <w:tc>
          <w:tcPr>
            <w:tcW w:w="3360" w:type="dxa"/>
            <w:tcBorders>
              <w:top w:val="nil"/>
              <w:left w:val="nil"/>
              <w:bottom w:val="single" w:sz="8" w:space="0" w:color="E9E9E9"/>
              <w:right w:val="nil"/>
            </w:tcBorders>
            <w:tcMar>
              <w:top w:w="0" w:type="dxa"/>
              <w:left w:w="53" w:type="dxa"/>
              <w:bottom w:w="0" w:type="dxa"/>
              <w:right w:w="53" w:type="dxa"/>
            </w:tcMar>
            <w:vAlign w:val="bottom"/>
          </w:tcPr>
          <w:p w14:paraId="1635F7D5" w14:textId="77777777" w:rsidR="001614AC" w:rsidRDefault="004468F9">
            <w:pPr>
              <w:keepNext/>
              <w:spacing w:before="75" w:after="30" w:line="288" w:lineRule="auto"/>
            </w:pPr>
            <w:r>
              <w:rPr>
                <w:rFonts w:ascii="Arial" w:eastAsia="Arial" w:hAnsi="Arial" w:cs="Arial"/>
                <w:color w:val="000000"/>
                <w:sz w:val="18"/>
              </w:rPr>
              <w:t>IBNR and other</w:t>
            </w:r>
          </w:p>
        </w:tc>
        <w:tc>
          <w:tcPr>
            <w:tcW w:w="105" w:type="dxa"/>
            <w:tcBorders>
              <w:top w:val="nil"/>
              <w:left w:val="nil"/>
              <w:bottom w:val="nil"/>
              <w:right w:val="nil"/>
            </w:tcBorders>
            <w:tcMar>
              <w:top w:w="0" w:type="dxa"/>
              <w:left w:w="0" w:type="dxa"/>
              <w:bottom w:w="0" w:type="dxa"/>
              <w:right w:w="0" w:type="dxa"/>
            </w:tcMar>
            <w:vAlign w:val="bottom"/>
          </w:tcPr>
          <w:p w14:paraId="2F717461" w14:textId="77777777" w:rsidR="001614AC" w:rsidRDefault="001614AC">
            <w:pPr>
              <w:keepNext/>
            </w:pPr>
          </w:p>
        </w:tc>
        <w:tc>
          <w:tcPr>
            <w:tcW w:w="900" w:type="dxa"/>
            <w:gridSpan w:val="2"/>
            <w:tcBorders>
              <w:top w:val="double" w:sz="8" w:space="0" w:color="C7C9C7"/>
              <w:left w:val="nil"/>
              <w:bottom w:val="single" w:sz="8" w:space="0" w:color="E9E9E9"/>
              <w:right w:val="nil"/>
            </w:tcBorders>
            <w:tcMar>
              <w:top w:w="0" w:type="dxa"/>
              <w:left w:w="0" w:type="dxa"/>
              <w:bottom w:w="0" w:type="dxa"/>
              <w:right w:w="0" w:type="dxa"/>
            </w:tcMar>
            <w:vAlign w:val="bottom"/>
          </w:tcPr>
          <w:p w14:paraId="2E8A8A73" w14:textId="77777777" w:rsidR="001614AC" w:rsidRDefault="001614AC">
            <w:pPr>
              <w:keepNext/>
            </w:pPr>
          </w:p>
        </w:tc>
        <w:tc>
          <w:tcPr>
            <w:tcW w:w="105" w:type="dxa"/>
            <w:tcBorders>
              <w:top w:val="nil"/>
              <w:left w:val="nil"/>
              <w:bottom w:val="nil"/>
              <w:right w:val="nil"/>
            </w:tcBorders>
            <w:tcMar>
              <w:top w:w="0" w:type="dxa"/>
              <w:left w:w="0" w:type="dxa"/>
              <w:bottom w:w="0" w:type="dxa"/>
              <w:right w:w="0" w:type="dxa"/>
            </w:tcMar>
            <w:vAlign w:val="bottom"/>
          </w:tcPr>
          <w:p w14:paraId="13EE361F" w14:textId="77777777" w:rsidR="001614AC" w:rsidRDefault="001614AC">
            <w:pPr>
              <w:keepNext/>
            </w:pPr>
          </w:p>
        </w:tc>
        <w:tc>
          <w:tcPr>
            <w:tcW w:w="900" w:type="dxa"/>
            <w:gridSpan w:val="2"/>
            <w:tcBorders>
              <w:top w:val="double" w:sz="8" w:space="0" w:color="C7C9C7"/>
              <w:left w:val="nil"/>
              <w:bottom w:val="single" w:sz="8" w:space="0" w:color="E9E9E9"/>
              <w:right w:val="nil"/>
            </w:tcBorders>
            <w:tcMar>
              <w:top w:w="0" w:type="dxa"/>
              <w:left w:w="0" w:type="dxa"/>
              <w:bottom w:w="0" w:type="dxa"/>
              <w:right w:w="0" w:type="dxa"/>
            </w:tcMar>
            <w:vAlign w:val="bottom"/>
          </w:tcPr>
          <w:p w14:paraId="349EFCA8" w14:textId="77777777" w:rsidR="001614AC" w:rsidRDefault="001614AC">
            <w:pPr>
              <w:keepNext/>
            </w:pPr>
          </w:p>
        </w:tc>
        <w:tc>
          <w:tcPr>
            <w:tcW w:w="105" w:type="dxa"/>
            <w:tcBorders>
              <w:top w:val="nil"/>
              <w:left w:val="nil"/>
              <w:bottom w:val="nil"/>
              <w:right w:val="nil"/>
            </w:tcBorders>
            <w:tcMar>
              <w:top w:w="0" w:type="dxa"/>
              <w:left w:w="0" w:type="dxa"/>
              <w:bottom w:w="0" w:type="dxa"/>
              <w:right w:w="0" w:type="dxa"/>
            </w:tcMar>
            <w:vAlign w:val="bottom"/>
          </w:tcPr>
          <w:p w14:paraId="524F981D" w14:textId="77777777" w:rsidR="001614AC" w:rsidRDefault="001614AC">
            <w:pPr>
              <w:keepNext/>
            </w:pPr>
          </w:p>
        </w:tc>
        <w:tc>
          <w:tcPr>
            <w:tcW w:w="1200" w:type="dxa"/>
            <w:gridSpan w:val="2"/>
            <w:tcBorders>
              <w:top w:val="double" w:sz="8" w:space="0" w:color="C7C9C7"/>
              <w:left w:val="nil"/>
              <w:bottom w:val="single" w:sz="8" w:space="0" w:color="E9E9E9"/>
              <w:right w:val="nil"/>
            </w:tcBorders>
            <w:tcMar>
              <w:top w:w="0" w:type="dxa"/>
              <w:left w:w="0" w:type="dxa"/>
              <w:bottom w:w="0" w:type="dxa"/>
              <w:right w:w="0" w:type="dxa"/>
            </w:tcMar>
            <w:vAlign w:val="bottom"/>
          </w:tcPr>
          <w:p w14:paraId="528B7DA1" w14:textId="77777777" w:rsidR="001614AC" w:rsidRDefault="001614AC">
            <w:pPr>
              <w:keepNext/>
            </w:pPr>
          </w:p>
        </w:tc>
        <w:tc>
          <w:tcPr>
            <w:tcW w:w="105" w:type="dxa"/>
            <w:tcBorders>
              <w:top w:val="nil"/>
              <w:left w:val="nil"/>
              <w:bottom w:val="nil"/>
              <w:right w:val="nil"/>
            </w:tcBorders>
            <w:tcMar>
              <w:top w:w="0" w:type="dxa"/>
              <w:left w:w="0" w:type="dxa"/>
              <w:bottom w:w="0" w:type="dxa"/>
              <w:right w:w="0" w:type="dxa"/>
            </w:tcMar>
            <w:vAlign w:val="bottom"/>
          </w:tcPr>
          <w:p w14:paraId="4C5F754F" w14:textId="77777777" w:rsidR="001614AC" w:rsidRDefault="001614AC">
            <w:pPr>
              <w:keepNext/>
            </w:pPr>
          </w:p>
        </w:tc>
        <w:tc>
          <w:tcPr>
            <w:tcW w:w="1095" w:type="dxa"/>
            <w:gridSpan w:val="2"/>
            <w:tcBorders>
              <w:top w:val="nil"/>
              <w:left w:val="nil"/>
              <w:bottom w:val="single" w:sz="8" w:space="0" w:color="E9E9E9"/>
              <w:right w:val="nil"/>
            </w:tcBorders>
            <w:tcMar>
              <w:top w:w="0" w:type="dxa"/>
              <w:left w:w="0" w:type="dxa"/>
              <w:bottom w:w="0" w:type="dxa"/>
              <w:right w:w="0" w:type="dxa"/>
            </w:tcMar>
            <w:vAlign w:val="bottom"/>
          </w:tcPr>
          <w:p w14:paraId="05244027" w14:textId="77777777" w:rsidR="001614AC" w:rsidRDefault="001614AC">
            <w:pPr>
              <w:keepNext/>
            </w:pPr>
          </w:p>
        </w:tc>
        <w:tc>
          <w:tcPr>
            <w:tcW w:w="105" w:type="dxa"/>
            <w:tcBorders>
              <w:top w:val="nil"/>
              <w:left w:val="nil"/>
              <w:bottom w:val="nil"/>
              <w:right w:val="nil"/>
            </w:tcBorders>
            <w:tcMar>
              <w:top w:w="0" w:type="dxa"/>
              <w:left w:w="0" w:type="dxa"/>
              <w:bottom w:w="0" w:type="dxa"/>
              <w:right w:w="0" w:type="dxa"/>
            </w:tcMar>
            <w:vAlign w:val="bottom"/>
          </w:tcPr>
          <w:p w14:paraId="5ABDD396" w14:textId="77777777" w:rsidR="001614AC" w:rsidRDefault="001614AC">
            <w:pPr>
              <w:keepNext/>
            </w:pPr>
          </w:p>
        </w:tc>
        <w:tc>
          <w:tcPr>
            <w:tcW w:w="995" w:type="dxa"/>
            <w:gridSpan w:val="2"/>
            <w:tcBorders>
              <w:top w:val="nil"/>
              <w:left w:val="nil"/>
              <w:bottom w:val="single" w:sz="8" w:space="0" w:color="E9E9E9"/>
              <w:right w:val="nil"/>
            </w:tcBorders>
            <w:tcMar>
              <w:top w:w="0" w:type="dxa"/>
              <w:left w:w="53" w:type="dxa"/>
              <w:bottom w:w="0" w:type="dxa"/>
              <w:right w:w="0" w:type="dxa"/>
            </w:tcMar>
            <w:vAlign w:val="bottom"/>
          </w:tcPr>
          <w:p w14:paraId="3F6AFCE8" w14:textId="77777777" w:rsidR="001614AC" w:rsidRDefault="004468F9">
            <w:pPr>
              <w:keepNext/>
              <w:spacing w:before="75" w:after="30" w:line="288" w:lineRule="auto"/>
              <w:jc w:val="right"/>
            </w:pPr>
            <w:r>
              <w:rPr>
                <w:rFonts w:ascii="Arial" w:eastAsia="Arial" w:hAnsi="Arial" w:cs="Arial"/>
                <w:color w:val="000000"/>
                <w:sz w:val="18"/>
              </w:rPr>
              <w:t>9,966 </w:t>
            </w:r>
          </w:p>
        </w:tc>
        <w:tc>
          <w:tcPr>
            <w:tcW w:w="100" w:type="dxa"/>
            <w:tcBorders>
              <w:top w:val="nil"/>
              <w:left w:val="nil"/>
              <w:bottom w:val="single" w:sz="8" w:space="0" w:color="E9E9E9"/>
              <w:right w:val="nil"/>
            </w:tcBorders>
            <w:tcMar>
              <w:top w:w="0" w:type="dxa"/>
              <w:left w:w="0" w:type="dxa"/>
              <w:bottom w:w="0" w:type="dxa"/>
              <w:right w:w="15" w:type="dxa"/>
            </w:tcMar>
            <w:vAlign w:val="bottom"/>
          </w:tcPr>
          <w:p w14:paraId="06751AD7" w14:textId="77777777" w:rsidR="001614AC" w:rsidRDefault="001614AC">
            <w:pPr>
              <w:keepNext/>
              <w:spacing w:before="7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55935351" w14:textId="77777777" w:rsidR="001614AC" w:rsidRDefault="001614AC">
            <w:pPr>
              <w:keepNext/>
            </w:pPr>
          </w:p>
        </w:tc>
        <w:tc>
          <w:tcPr>
            <w:tcW w:w="900" w:type="dxa"/>
            <w:gridSpan w:val="2"/>
            <w:tcBorders>
              <w:top w:val="double" w:sz="8" w:space="0" w:color="C7C9C7"/>
              <w:left w:val="nil"/>
              <w:bottom w:val="single" w:sz="8" w:space="0" w:color="E9E9E9"/>
              <w:right w:val="nil"/>
            </w:tcBorders>
            <w:tcMar>
              <w:top w:w="0" w:type="dxa"/>
              <w:left w:w="0" w:type="dxa"/>
              <w:bottom w:w="0" w:type="dxa"/>
              <w:right w:w="0" w:type="dxa"/>
            </w:tcMar>
            <w:vAlign w:val="bottom"/>
          </w:tcPr>
          <w:p w14:paraId="0FF02086" w14:textId="77777777" w:rsidR="001614AC" w:rsidRDefault="001614AC">
            <w:pPr>
              <w:keepNext/>
            </w:pPr>
          </w:p>
        </w:tc>
      </w:tr>
      <w:tr w:rsidR="001614AC" w14:paraId="5279795E" w14:textId="77777777">
        <w:trPr>
          <w:cantSplit/>
        </w:trPr>
        <w:tc>
          <w:tcPr>
            <w:tcW w:w="3360" w:type="dxa"/>
            <w:tcBorders>
              <w:top w:val="single" w:sz="8" w:space="0" w:color="E9E9E9"/>
              <w:left w:val="nil"/>
              <w:bottom w:val="nil"/>
              <w:right w:val="nil"/>
            </w:tcBorders>
            <w:tcMar>
              <w:top w:w="0" w:type="dxa"/>
              <w:left w:w="53" w:type="dxa"/>
              <w:bottom w:w="0" w:type="dxa"/>
              <w:right w:w="53" w:type="dxa"/>
            </w:tcMar>
            <w:vAlign w:val="bottom"/>
          </w:tcPr>
          <w:p w14:paraId="7D228BBA" w14:textId="77777777" w:rsidR="001614AC" w:rsidRDefault="004468F9">
            <w:pPr>
              <w:keepNext/>
              <w:spacing w:before="55" w:after="30" w:line="288" w:lineRule="auto"/>
            </w:pPr>
            <w:r>
              <w:rPr>
                <w:rFonts w:ascii="Arial" w:eastAsia="Arial" w:hAnsi="Arial" w:cs="Arial"/>
                <w:color w:val="000000"/>
                <w:sz w:val="18"/>
              </w:rPr>
              <w:t>LAE</w:t>
            </w:r>
          </w:p>
        </w:tc>
        <w:tc>
          <w:tcPr>
            <w:tcW w:w="105" w:type="dxa"/>
            <w:tcBorders>
              <w:top w:val="nil"/>
              <w:left w:val="nil"/>
              <w:bottom w:val="nil"/>
              <w:right w:val="nil"/>
            </w:tcBorders>
            <w:tcMar>
              <w:top w:w="0" w:type="dxa"/>
              <w:left w:w="0" w:type="dxa"/>
              <w:bottom w:w="0" w:type="dxa"/>
              <w:right w:w="0" w:type="dxa"/>
            </w:tcMar>
            <w:vAlign w:val="bottom"/>
          </w:tcPr>
          <w:p w14:paraId="315766CB" w14:textId="77777777" w:rsidR="001614AC" w:rsidRDefault="001614AC">
            <w:pPr>
              <w:keepNext/>
            </w:pPr>
          </w:p>
        </w:tc>
        <w:tc>
          <w:tcPr>
            <w:tcW w:w="900" w:type="dxa"/>
            <w:gridSpan w:val="2"/>
            <w:tcBorders>
              <w:top w:val="single" w:sz="8" w:space="0" w:color="E9E9E9"/>
              <w:left w:val="nil"/>
              <w:bottom w:val="nil"/>
              <w:right w:val="nil"/>
            </w:tcBorders>
            <w:tcMar>
              <w:top w:w="0" w:type="dxa"/>
              <w:left w:w="0" w:type="dxa"/>
              <w:bottom w:w="0" w:type="dxa"/>
              <w:right w:w="0" w:type="dxa"/>
            </w:tcMar>
            <w:vAlign w:val="bottom"/>
          </w:tcPr>
          <w:p w14:paraId="010F35EB" w14:textId="77777777" w:rsidR="001614AC" w:rsidRDefault="001614AC">
            <w:pPr>
              <w:keepNext/>
            </w:pPr>
          </w:p>
        </w:tc>
        <w:tc>
          <w:tcPr>
            <w:tcW w:w="105" w:type="dxa"/>
            <w:tcBorders>
              <w:top w:val="nil"/>
              <w:left w:val="nil"/>
              <w:bottom w:val="nil"/>
              <w:right w:val="nil"/>
            </w:tcBorders>
            <w:tcMar>
              <w:top w:w="0" w:type="dxa"/>
              <w:left w:w="0" w:type="dxa"/>
              <w:bottom w:w="0" w:type="dxa"/>
              <w:right w:w="0" w:type="dxa"/>
            </w:tcMar>
            <w:vAlign w:val="bottom"/>
          </w:tcPr>
          <w:p w14:paraId="3F942661" w14:textId="77777777" w:rsidR="001614AC" w:rsidRDefault="001614AC">
            <w:pPr>
              <w:keepNext/>
            </w:pPr>
          </w:p>
        </w:tc>
        <w:tc>
          <w:tcPr>
            <w:tcW w:w="900" w:type="dxa"/>
            <w:gridSpan w:val="2"/>
            <w:tcBorders>
              <w:top w:val="single" w:sz="8" w:space="0" w:color="E9E9E9"/>
              <w:left w:val="nil"/>
              <w:bottom w:val="nil"/>
              <w:right w:val="nil"/>
            </w:tcBorders>
            <w:tcMar>
              <w:top w:w="0" w:type="dxa"/>
              <w:left w:w="0" w:type="dxa"/>
              <w:bottom w:w="0" w:type="dxa"/>
              <w:right w:w="0" w:type="dxa"/>
            </w:tcMar>
            <w:vAlign w:val="bottom"/>
          </w:tcPr>
          <w:p w14:paraId="31911EF2" w14:textId="77777777" w:rsidR="001614AC" w:rsidRDefault="001614AC">
            <w:pPr>
              <w:keepNext/>
            </w:pPr>
          </w:p>
        </w:tc>
        <w:tc>
          <w:tcPr>
            <w:tcW w:w="105" w:type="dxa"/>
            <w:tcBorders>
              <w:top w:val="nil"/>
              <w:left w:val="nil"/>
              <w:bottom w:val="nil"/>
              <w:right w:val="nil"/>
            </w:tcBorders>
            <w:tcMar>
              <w:top w:w="0" w:type="dxa"/>
              <w:left w:w="0" w:type="dxa"/>
              <w:bottom w:w="0" w:type="dxa"/>
              <w:right w:w="0" w:type="dxa"/>
            </w:tcMar>
            <w:vAlign w:val="bottom"/>
          </w:tcPr>
          <w:p w14:paraId="275D08B3" w14:textId="77777777" w:rsidR="001614AC" w:rsidRDefault="001614AC">
            <w:pPr>
              <w:keepNext/>
            </w:pPr>
          </w:p>
        </w:tc>
        <w:tc>
          <w:tcPr>
            <w:tcW w:w="1200" w:type="dxa"/>
            <w:gridSpan w:val="2"/>
            <w:tcBorders>
              <w:top w:val="single" w:sz="8" w:space="0" w:color="E9E9E9"/>
              <w:left w:val="nil"/>
              <w:bottom w:val="nil"/>
              <w:right w:val="nil"/>
            </w:tcBorders>
            <w:tcMar>
              <w:top w:w="0" w:type="dxa"/>
              <w:left w:w="0" w:type="dxa"/>
              <w:bottom w:w="0" w:type="dxa"/>
              <w:right w:w="0" w:type="dxa"/>
            </w:tcMar>
            <w:vAlign w:val="bottom"/>
          </w:tcPr>
          <w:p w14:paraId="37238C40" w14:textId="77777777" w:rsidR="001614AC" w:rsidRDefault="001614AC">
            <w:pPr>
              <w:keepNext/>
            </w:pPr>
          </w:p>
        </w:tc>
        <w:tc>
          <w:tcPr>
            <w:tcW w:w="105" w:type="dxa"/>
            <w:tcBorders>
              <w:top w:val="nil"/>
              <w:left w:val="nil"/>
              <w:bottom w:val="nil"/>
              <w:right w:val="nil"/>
            </w:tcBorders>
            <w:tcMar>
              <w:top w:w="0" w:type="dxa"/>
              <w:left w:w="0" w:type="dxa"/>
              <w:bottom w:w="0" w:type="dxa"/>
              <w:right w:w="0" w:type="dxa"/>
            </w:tcMar>
            <w:vAlign w:val="bottom"/>
          </w:tcPr>
          <w:p w14:paraId="69C84931" w14:textId="77777777" w:rsidR="001614AC" w:rsidRDefault="001614AC">
            <w:pPr>
              <w:keepNext/>
            </w:pPr>
          </w:p>
        </w:tc>
        <w:tc>
          <w:tcPr>
            <w:tcW w:w="1095" w:type="dxa"/>
            <w:gridSpan w:val="2"/>
            <w:tcBorders>
              <w:top w:val="single" w:sz="8" w:space="0" w:color="E9E9E9"/>
              <w:left w:val="nil"/>
              <w:bottom w:val="nil"/>
              <w:right w:val="nil"/>
            </w:tcBorders>
            <w:tcMar>
              <w:top w:w="0" w:type="dxa"/>
              <w:left w:w="0" w:type="dxa"/>
              <w:bottom w:w="0" w:type="dxa"/>
              <w:right w:w="0" w:type="dxa"/>
            </w:tcMar>
            <w:vAlign w:val="bottom"/>
          </w:tcPr>
          <w:p w14:paraId="43ACC3C1" w14:textId="77777777" w:rsidR="001614AC" w:rsidRDefault="001614AC">
            <w:pPr>
              <w:keepNext/>
            </w:pPr>
          </w:p>
        </w:tc>
        <w:tc>
          <w:tcPr>
            <w:tcW w:w="105" w:type="dxa"/>
            <w:tcBorders>
              <w:top w:val="nil"/>
              <w:left w:val="nil"/>
              <w:bottom w:val="nil"/>
              <w:right w:val="nil"/>
            </w:tcBorders>
            <w:tcMar>
              <w:top w:w="0" w:type="dxa"/>
              <w:left w:w="0" w:type="dxa"/>
              <w:bottom w:w="0" w:type="dxa"/>
              <w:right w:w="0" w:type="dxa"/>
            </w:tcMar>
            <w:vAlign w:val="bottom"/>
          </w:tcPr>
          <w:p w14:paraId="55DE8C9E" w14:textId="77777777" w:rsidR="001614AC" w:rsidRDefault="001614AC">
            <w:pPr>
              <w:keepNext/>
            </w:pPr>
          </w:p>
        </w:tc>
        <w:tc>
          <w:tcPr>
            <w:tcW w:w="995" w:type="dxa"/>
            <w:gridSpan w:val="2"/>
            <w:tcBorders>
              <w:top w:val="single" w:sz="8" w:space="0" w:color="E9E9E9"/>
              <w:left w:val="nil"/>
              <w:bottom w:val="single" w:sz="8" w:space="0" w:color="C7C9C7"/>
              <w:right w:val="nil"/>
            </w:tcBorders>
            <w:tcMar>
              <w:top w:w="0" w:type="dxa"/>
              <w:left w:w="53" w:type="dxa"/>
              <w:bottom w:w="0" w:type="dxa"/>
              <w:right w:w="0" w:type="dxa"/>
            </w:tcMar>
            <w:vAlign w:val="bottom"/>
          </w:tcPr>
          <w:p w14:paraId="55C56A81" w14:textId="77777777" w:rsidR="001614AC" w:rsidRDefault="004468F9">
            <w:pPr>
              <w:keepNext/>
              <w:spacing w:before="55" w:after="30" w:line="288" w:lineRule="auto"/>
              <w:jc w:val="right"/>
            </w:pPr>
            <w:r>
              <w:rPr>
                <w:rFonts w:ascii="Arial" w:eastAsia="Arial" w:hAnsi="Arial" w:cs="Arial"/>
                <w:color w:val="000000"/>
                <w:sz w:val="18"/>
              </w:rPr>
              <w:t>20,172 </w:t>
            </w:r>
          </w:p>
        </w:tc>
        <w:tc>
          <w:tcPr>
            <w:tcW w:w="100" w:type="dxa"/>
            <w:tcBorders>
              <w:top w:val="single" w:sz="8" w:space="0" w:color="E9E9E9"/>
              <w:left w:val="nil"/>
              <w:bottom w:val="single" w:sz="8" w:space="0" w:color="C7C9C7"/>
              <w:right w:val="nil"/>
            </w:tcBorders>
            <w:tcMar>
              <w:top w:w="0" w:type="dxa"/>
              <w:left w:w="0" w:type="dxa"/>
              <w:bottom w:w="0" w:type="dxa"/>
              <w:right w:w="15" w:type="dxa"/>
            </w:tcMar>
            <w:vAlign w:val="bottom"/>
          </w:tcPr>
          <w:p w14:paraId="1193C04A" w14:textId="77777777" w:rsidR="001614AC" w:rsidRDefault="001614AC">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6C44A029" w14:textId="77777777" w:rsidR="001614AC" w:rsidRDefault="001614AC">
            <w:pPr>
              <w:keepNext/>
            </w:pPr>
          </w:p>
        </w:tc>
        <w:tc>
          <w:tcPr>
            <w:tcW w:w="900" w:type="dxa"/>
            <w:gridSpan w:val="2"/>
            <w:tcBorders>
              <w:top w:val="single" w:sz="8" w:space="0" w:color="E9E9E9"/>
              <w:left w:val="nil"/>
              <w:bottom w:val="nil"/>
              <w:right w:val="nil"/>
            </w:tcBorders>
            <w:tcMar>
              <w:top w:w="0" w:type="dxa"/>
              <w:left w:w="0" w:type="dxa"/>
              <w:bottom w:w="0" w:type="dxa"/>
              <w:right w:w="0" w:type="dxa"/>
            </w:tcMar>
            <w:vAlign w:val="bottom"/>
          </w:tcPr>
          <w:p w14:paraId="1FC13776" w14:textId="77777777" w:rsidR="001614AC" w:rsidRDefault="001614AC">
            <w:pPr>
              <w:keepNext/>
            </w:pPr>
          </w:p>
        </w:tc>
      </w:tr>
      <w:tr w:rsidR="001614AC" w14:paraId="2D5EEA67" w14:textId="77777777">
        <w:trPr>
          <w:cantSplit/>
        </w:trPr>
        <w:tc>
          <w:tcPr>
            <w:tcW w:w="3360" w:type="dxa"/>
            <w:tcBorders>
              <w:top w:val="nil"/>
              <w:left w:val="nil"/>
              <w:bottom w:val="nil"/>
              <w:right w:val="nil"/>
            </w:tcBorders>
            <w:shd w:val="clear" w:color="auto" w:fill="F4F4F4"/>
            <w:tcMar>
              <w:top w:w="0" w:type="dxa"/>
              <w:left w:w="53" w:type="dxa"/>
              <w:bottom w:w="0" w:type="dxa"/>
              <w:right w:w="53" w:type="dxa"/>
            </w:tcMar>
            <w:vAlign w:val="bottom"/>
          </w:tcPr>
          <w:p w14:paraId="1931DA47" w14:textId="77777777" w:rsidR="001614AC" w:rsidRDefault="004468F9">
            <w:pPr>
              <w:spacing w:before="75" w:after="30" w:line="288" w:lineRule="auto"/>
            </w:pPr>
            <w:r>
              <w:rPr>
                <w:rFonts w:ascii="Arial" w:eastAsia="Arial" w:hAnsi="Arial" w:cs="Arial"/>
                <w:color w:val="000000"/>
                <w:sz w:val="18"/>
              </w:rPr>
              <w:t>Total primary reserve</w:t>
            </w:r>
          </w:p>
        </w:tc>
        <w:tc>
          <w:tcPr>
            <w:tcW w:w="105" w:type="dxa"/>
            <w:tcBorders>
              <w:top w:val="nil"/>
              <w:left w:val="nil"/>
              <w:bottom w:val="nil"/>
              <w:right w:val="nil"/>
            </w:tcBorders>
            <w:shd w:val="clear" w:color="auto" w:fill="F4F4F4"/>
            <w:tcMar>
              <w:top w:w="0" w:type="dxa"/>
              <w:left w:w="0" w:type="dxa"/>
              <w:bottom w:w="0" w:type="dxa"/>
              <w:right w:w="0" w:type="dxa"/>
            </w:tcMar>
            <w:vAlign w:val="bottom"/>
          </w:tcPr>
          <w:p w14:paraId="288F8214" w14:textId="77777777" w:rsidR="001614AC" w:rsidRDefault="001614AC"/>
        </w:tc>
        <w:tc>
          <w:tcPr>
            <w:tcW w:w="900" w:type="dxa"/>
            <w:gridSpan w:val="2"/>
            <w:tcBorders>
              <w:top w:val="nil"/>
              <w:left w:val="nil"/>
              <w:bottom w:val="nil"/>
              <w:right w:val="nil"/>
            </w:tcBorders>
            <w:shd w:val="clear" w:color="auto" w:fill="F4F4F4"/>
            <w:tcMar>
              <w:top w:w="0" w:type="dxa"/>
              <w:left w:w="0" w:type="dxa"/>
              <w:bottom w:w="0" w:type="dxa"/>
              <w:right w:w="0" w:type="dxa"/>
            </w:tcMar>
            <w:vAlign w:val="bottom"/>
          </w:tcPr>
          <w:p w14:paraId="247DFA28" w14:textId="77777777" w:rsidR="001614AC" w:rsidRDefault="001614AC"/>
        </w:tc>
        <w:tc>
          <w:tcPr>
            <w:tcW w:w="105" w:type="dxa"/>
            <w:tcBorders>
              <w:top w:val="nil"/>
              <w:left w:val="nil"/>
              <w:bottom w:val="nil"/>
              <w:right w:val="nil"/>
            </w:tcBorders>
            <w:shd w:val="clear" w:color="auto" w:fill="F4F4F4"/>
            <w:tcMar>
              <w:top w:w="0" w:type="dxa"/>
              <w:left w:w="0" w:type="dxa"/>
              <w:bottom w:w="0" w:type="dxa"/>
              <w:right w:w="0" w:type="dxa"/>
            </w:tcMar>
            <w:vAlign w:val="bottom"/>
          </w:tcPr>
          <w:p w14:paraId="0FF28F8D" w14:textId="77777777" w:rsidR="001614AC" w:rsidRDefault="001614AC"/>
        </w:tc>
        <w:tc>
          <w:tcPr>
            <w:tcW w:w="900" w:type="dxa"/>
            <w:gridSpan w:val="2"/>
            <w:tcBorders>
              <w:top w:val="nil"/>
              <w:left w:val="nil"/>
              <w:bottom w:val="nil"/>
              <w:right w:val="nil"/>
            </w:tcBorders>
            <w:shd w:val="clear" w:color="auto" w:fill="F4F4F4"/>
            <w:tcMar>
              <w:top w:w="0" w:type="dxa"/>
              <w:left w:w="0" w:type="dxa"/>
              <w:bottom w:w="0" w:type="dxa"/>
              <w:right w:w="0" w:type="dxa"/>
            </w:tcMar>
            <w:vAlign w:val="bottom"/>
          </w:tcPr>
          <w:p w14:paraId="6779BE7B" w14:textId="77777777" w:rsidR="001614AC" w:rsidRDefault="001614AC"/>
        </w:tc>
        <w:tc>
          <w:tcPr>
            <w:tcW w:w="105" w:type="dxa"/>
            <w:tcBorders>
              <w:top w:val="nil"/>
              <w:left w:val="nil"/>
              <w:bottom w:val="nil"/>
              <w:right w:val="nil"/>
            </w:tcBorders>
            <w:shd w:val="clear" w:color="auto" w:fill="F4F4F4"/>
            <w:tcMar>
              <w:top w:w="0" w:type="dxa"/>
              <w:left w:w="0" w:type="dxa"/>
              <w:bottom w:w="0" w:type="dxa"/>
              <w:right w:w="0" w:type="dxa"/>
            </w:tcMar>
            <w:vAlign w:val="bottom"/>
          </w:tcPr>
          <w:p w14:paraId="448D5F9B" w14:textId="77777777" w:rsidR="001614AC" w:rsidRDefault="001614AC"/>
        </w:tc>
        <w:tc>
          <w:tcPr>
            <w:tcW w:w="1200" w:type="dxa"/>
            <w:gridSpan w:val="2"/>
            <w:tcBorders>
              <w:top w:val="nil"/>
              <w:left w:val="nil"/>
              <w:bottom w:val="nil"/>
              <w:right w:val="nil"/>
            </w:tcBorders>
            <w:shd w:val="clear" w:color="auto" w:fill="F4F4F4"/>
            <w:tcMar>
              <w:top w:w="0" w:type="dxa"/>
              <w:left w:w="0" w:type="dxa"/>
              <w:bottom w:w="0" w:type="dxa"/>
              <w:right w:w="0" w:type="dxa"/>
            </w:tcMar>
            <w:vAlign w:val="bottom"/>
          </w:tcPr>
          <w:p w14:paraId="7E999EDD" w14:textId="77777777" w:rsidR="001614AC" w:rsidRDefault="001614AC"/>
        </w:tc>
        <w:tc>
          <w:tcPr>
            <w:tcW w:w="105" w:type="dxa"/>
            <w:tcBorders>
              <w:top w:val="nil"/>
              <w:left w:val="nil"/>
              <w:bottom w:val="nil"/>
              <w:right w:val="nil"/>
            </w:tcBorders>
            <w:shd w:val="clear" w:color="auto" w:fill="F4F4F4"/>
            <w:tcMar>
              <w:top w:w="0" w:type="dxa"/>
              <w:left w:w="0" w:type="dxa"/>
              <w:bottom w:w="0" w:type="dxa"/>
              <w:right w:w="0" w:type="dxa"/>
            </w:tcMar>
            <w:vAlign w:val="bottom"/>
          </w:tcPr>
          <w:p w14:paraId="66707127" w14:textId="77777777" w:rsidR="001614AC" w:rsidRDefault="001614AC"/>
        </w:tc>
        <w:tc>
          <w:tcPr>
            <w:tcW w:w="1095" w:type="dxa"/>
            <w:gridSpan w:val="2"/>
            <w:tcBorders>
              <w:top w:val="nil"/>
              <w:left w:val="nil"/>
              <w:bottom w:val="nil"/>
              <w:right w:val="nil"/>
            </w:tcBorders>
            <w:shd w:val="clear" w:color="auto" w:fill="F4F4F4"/>
            <w:tcMar>
              <w:top w:w="0" w:type="dxa"/>
              <w:left w:w="0" w:type="dxa"/>
              <w:bottom w:w="0" w:type="dxa"/>
              <w:right w:w="0" w:type="dxa"/>
            </w:tcMar>
            <w:vAlign w:val="bottom"/>
          </w:tcPr>
          <w:p w14:paraId="02B1E287" w14:textId="77777777" w:rsidR="001614AC" w:rsidRDefault="001614AC"/>
        </w:tc>
        <w:tc>
          <w:tcPr>
            <w:tcW w:w="105" w:type="dxa"/>
            <w:tcBorders>
              <w:top w:val="nil"/>
              <w:left w:val="nil"/>
              <w:bottom w:val="nil"/>
              <w:right w:val="nil"/>
            </w:tcBorders>
            <w:shd w:val="clear" w:color="auto" w:fill="F4F4F4"/>
            <w:tcMar>
              <w:top w:w="0" w:type="dxa"/>
              <w:left w:w="0" w:type="dxa"/>
              <w:bottom w:w="0" w:type="dxa"/>
              <w:right w:w="0" w:type="dxa"/>
            </w:tcMar>
            <w:vAlign w:val="bottom"/>
          </w:tcPr>
          <w:p w14:paraId="7D4C0418" w14:textId="77777777" w:rsidR="001614AC" w:rsidRDefault="001614AC"/>
        </w:tc>
        <w:tc>
          <w:tcPr>
            <w:tcW w:w="160" w:type="dxa"/>
            <w:tcBorders>
              <w:top w:val="single" w:sz="8" w:space="0" w:color="C7C9C7"/>
              <w:left w:val="nil"/>
              <w:bottom w:val="double" w:sz="8" w:space="0" w:color="C7C9C7"/>
              <w:right w:val="nil"/>
            </w:tcBorders>
            <w:shd w:val="clear" w:color="auto" w:fill="F4F4F4"/>
            <w:tcMar>
              <w:top w:w="0" w:type="dxa"/>
              <w:left w:w="53" w:type="dxa"/>
              <w:bottom w:w="0" w:type="dxa"/>
              <w:right w:w="0" w:type="dxa"/>
            </w:tcMar>
            <w:vAlign w:val="bottom"/>
          </w:tcPr>
          <w:p w14:paraId="68460F9E" w14:textId="77777777" w:rsidR="001614AC" w:rsidRDefault="004468F9">
            <w:pPr>
              <w:spacing w:before="55" w:after="30" w:line="288" w:lineRule="auto"/>
            </w:pPr>
            <w:r>
              <w:rPr>
                <w:rFonts w:ascii="Arial" w:eastAsia="Arial" w:hAnsi="Arial" w:cs="Arial"/>
                <w:color w:val="000000"/>
                <w:sz w:val="18"/>
              </w:rPr>
              <w:t>$</w:t>
            </w:r>
          </w:p>
        </w:tc>
        <w:tc>
          <w:tcPr>
            <w:tcW w:w="835" w:type="dxa"/>
            <w:tcBorders>
              <w:top w:val="single" w:sz="8" w:space="0" w:color="C7C9C7"/>
              <w:left w:val="nil"/>
              <w:bottom w:val="double" w:sz="8" w:space="0" w:color="C7C9C7"/>
              <w:right w:val="nil"/>
            </w:tcBorders>
            <w:shd w:val="clear" w:color="auto" w:fill="F4F4F4"/>
            <w:tcMar>
              <w:top w:w="0" w:type="dxa"/>
              <w:left w:w="0" w:type="dxa"/>
              <w:bottom w:w="0" w:type="dxa"/>
              <w:right w:w="0" w:type="dxa"/>
            </w:tcMar>
            <w:vAlign w:val="bottom"/>
          </w:tcPr>
          <w:p w14:paraId="62D21DC0" w14:textId="77777777" w:rsidR="001614AC" w:rsidRDefault="004468F9">
            <w:pPr>
              <w:spacing w:before="55" w:after="30" w:line="288" w:lineRule="auto"/>
              <w:jc w:val="right"/>
            </w:pPr>
            <w:r>
              <w:rPr>
                <w:rFonts w:ascii="Arial" w:eastAsia="Arial" w:hAnsi="Arial" w:cs="Arial"/>
                <w:color w:val="000000"/>
                <w:sz w:val="18"/>
              </w:rPr>
              <w:t>829,652 </w:t>
            </w:r>
          </w:p>
        </w:tc>
        <w:tc>
          <w:tcPr>
            <w:tcW w:w="100" w:type="dxa"/>
            <w:tcBorders>
              <w:top w:val="single" w:sz="8" w:space="0" w:color="C7C9C7"/>
              <w:left w:val="nil"/>
              <w:bottom w:val="double" w:sz="8" w:space="0" w:color="C7C9C7"/>
              <w:right w:val="nil"/>
            </w:tcBorders>
            <w:shd w:val="clear" w:color="auto" w:fill="F4F4F4"/>
            <w:tcMar>
              <w:top w:w="0" w:type="dxa"/>
              <w:left w:w="0" w:type="dxa"/>
              <w:bottom w:w="0" w:type="dxa"/>
              <w:right w:w="15" w:type="dxa"/>
            </w:tcMar>
            <w:vAlign w:val="bottom"/>
          </w:tcPr>
          <w:p w14:paraId="31CC4A88" w14:textId="77777777" w:rsidR="001614AC" w:rsidRDefault="001614AC">
            <w:pPr>
              <w:spacing w:before="55" w:after="30" w:line="288" w:lineRule="auto"/>
              <w:jc w:val="right"/>
            </w:pPr>
          </w:p>
        </w:tc>
        <w:tc>
          <w:tcPr>
            <w:tcW w:w="105" w:type="dxa"/>
            <w:tcBorders>
              <w:top w:val="nil"/>
              <w:left w:val="nil"/>
              <w:bottom w:val="nil"/>
              <w:right w:val="nil"/>
            </w:tcBorders>
            <w:shd w:val="clear" w:color="auto" w:fill="F4F4F4"/>
            <w:tcMar>
              <w:top w:w="0" w:type="dxa"/>
              <w:left w:w="0" w:type="dxa"/>
              <w:bottom w:w="0" w:type="dxa"/>
              <w:right w:w="0" w:type="dxa"/>
            </w:tcMar>
            <w:vAlign w:val="bottom"/>
          </w:tcPr>
          <w:p w14:paraId="05541FF2" w14:textId="77777777" w:rsidR="001614AC" w:rsidRDefault="001614AC"/>
        </w:tc>
        <w:tc>
          <w:tcPr>
            <w:tcW w:w="900" w:type="dxa"/>
            <w:gridSpan w:val="2"/>
            <w:tcBorders>
              <w:top w:val="nil"/>
              <w:left w:val="nil"/>
              <w:bottom w:val="nil"/>
              <w:right w:val="nil"/>
            </w:tcBorders>
            <w:shd w:val="clear" w:color="auto" w:fill="F4F4F4"/>
            <w:tcMar>
              <w:top w:w="0" w:type="dxa"/>
              <w:left w:w="0" w:type="dxa"/>
              <w:bottom w:w="0" w:type="dxa"/>
              <w:right w:w="0" w:type="dxa"/>
            </w:tcMar>
            <w:vAlign w:val="bottom"/>
          </w:tcPr>
          <w:p w14:paraId="075A46E8" w14:textId="77777777" w:rsidR="001614AC" w:rsidRDefault="001614AC"/>
        </w:tc>
      </w:tr>
    </w:tbl>
    <w:p w14:paraId="2D534D22" w14:textId="77777777" w:rsidR="001614AC" w:rsidRDefault="004468F9">
      <w:pPr>
        <w:spacing w:line="288" w:lineRule="auto"/>
        <w:ind w:left="360" w:hanging="360"/>
        <w:rPr>
          <w:rFonts w:ascii="Arial" w:eastAsia="Arial" w:hAnsi="Arial" w:cs="Arial"/>
          <w:b/>
          <w:color w:val="64615D"/>
          <w:sz w:val="16"/>
          <w:shd w:val="clear" w:color="auto" w:fill="FFFFFF"/>
        </w:rPr>
      </w:pPr>
      <w:r>
        <w:rPr>
          <w:rFonts w:ascii="Arial" w:eastAsia="Arial" w:hAnsi="Arial" w:cs="Arial"/>
          <w:color w:val="64615D"/>
          <w:sz w:val="16"/>
        </w:rPr>
        <w:t>N/A – Not applicable</w:t>
      </w:r>
    </w:p>
    <w:p w14:paraId="6FC2D16A" w14:textId="77777777" w:rsidR="001614AC" w:rsidRDefault="004468F9">
      <w:pPr>
        <w:spacing w:before="200" w:after="100" w:line="288" w:lineRule="auto"/>
        <w:ind w:firstLine="450"/>
        <w:rPr>
          <w:rFonts w:ascii="Arial" w:eastAsia="Arial" w:hAnsi="Arial" w:cs="Arial"/>
          <w:b/>
          <w:color w:val="64615D"/>
          <w:sz w:val="18"/>
          <w:shd w:val="clear" w:color="auto" w:fill="FFFFFF"/>
        </w:rPr>
      </w:pPr>
      <w:r>
        <w:rPr>
          <w:rFonts w:ascii="Arial" w:eastAsia="Arial" w:hAnsi="Arial" w:cs="Arial"/>
          <w:sz w:val="18"/>
        </w:rPr>
        <w:t>We develop our Default to Claim Rate estimates based primarily on models that use a variety of loan characteristics to determine the likelihood that a default will reach c</w:t>
      </w:r>
      <w:r>
        <w:rPr>
          <w:rFonts w:ascii="Arial" w:eastAsia="Arial" w:hAnsi="Arial" w:cs="Arial"/>
          <w:sz w:val="18"/>
        </w:rPr>
        <w:t>laim status. Our gross Default to Claim Rate estimates are mainly developed based on the Stage of Default and Time in Default of the underlying defaulted loans, as measured by the progress toward foreclosure sale and the number of months in default. See No</w:t>
      </w:r>
      <w:r>
        <w:rPr>
          <w:rFonts w:ascii="Arial" w:eastAsia="Arial" w:hAnsi="Arial" w:cs="Arial"/>
          <w:sz w:val="18"/>
        </w:rPr>
        <w:t>te 11 of Notes to Consolidated Financial Statements in our 2020 Form 10-K for additional details about our Default to Claim Rate assumptions.</w:t>
      </w:r>
    </w:p>
    <w:p w14:paraId="1FE8B4F7" w14:textId="77777777" w:rsidR="001614AC" w:rsidRDefault="004468F9">
      <w:pPr>
        <w:spacing w:before="100" w:after="100" w:line="288" w:lineRule="auto"/>
        <w:ind w:firstLine="450"/>
        <w:rPr>
          <w:rFonts w:ascii="Arial" w:eastAsia="Arial" w:hAnsi="Arial" w:cs="Arial"/>
          <w:b/>
          <w:i/>
          <w:color w:val="64615D"/>
          <w:sz w:val="22"/>
          <w:shd w:val="clear" w:color="auto" w:fill="FFFFFF"/>
        </w:rPr>
      </w:pPr>
      <w:r>
        <w:rPr>
          <w:rFonts w:ascii="Arial" w:eastAsia="Arial" w:hAnsi="Arial" w:cs="Arial"/>
          <w:sz w:val="18"/>
        </w:rPr>
        <w:t>Our aggregate weighted average net Default to Claim Rate assumption for our primary loans used in estimating our r</w:t>
      </w:r>
      <w:r>
        <w:rPr>
          <w:rFonts w:ascii="Arial" w:eastAsia="Arial" w:hAnsi="Arial" w:cs="Arial"/>
          <w:sz w:val="18"/>
        </w:rPr>
        <w:t xml:space="preserve">eserve for losses, which is net of estimated Claim Denials and Rescissions, was approximately 34% and 24% at June 30, 2021 and December 31, 2020, respectively. This increase was primarily due to a shift in the mix of defaults during the three months ended </w:t>
      </w:r>
      <w:r>
        <w:rPr>
          <w:rFonts w:ascii="Arial" w:eastAsia="Arial" w:hAnsi="Arial" w:cs="Arial"/>
          <w:sz w:val="18"/>
        </w:rPr>
        <w:t>June 30, 2021, given the smaller proportion of loans with fewer missed payments. Our net Default to Claim Rate and loss reserve estimate incorporates our expectations with respect to future Rescissions, Claim Denials and Claim Curtailments. Our estimate of</w:t>
      </w:r>
      <w:r>
        <w:rPr>
          <w:rFonts w:ascii="Arial" w:eastAsia="Arial" w:hAnsi="Arial" w:cs="Arial"/>
          <w:sz w:val="18"/>
        </w:rPr>
        <w:t xml:space="preserve"> such net future Loss Mitigation Activities, inclusive of claim withdrawals, reduced our loss reserve as of June 30, 2021 and December 31, 2020 by $29.8 million and $29.1 million, respectively. These expectations are based primarily on recent claim withdra</w:t>
      </w:r>
      <w:r>
        <w:rPr>
          <w:rFonts w:ascii="Arial" w:eastAsia="Arial" w:hAnsi="Arial" w:cs="Arial"/>
          <w:sz w:val="18"/>
        </w:rPr>
        <w:t>wal activity and our recent experience with respect to the number of claims that have been denied due to the policyholder’s failure to submit sufficient documentation to perfect a claim within the time period permitted under our Master Policies and also ou</w:t>
      </w:r>
      <w:r>
        <w:rPr>
          <w:rFonts w:ascii="Arial" w:eastAsia="Arial" w:hAnsi="Arial" w:cs="Arial"/>
          <w:sz w:val="18"/>
        </w:rPr>
        <w:t xml:space="preserve">r recent experience with respect to the number of insurance certificates that have been rescinded due to fraud, underwriter negligence or other factors. </w:t>
      </w:r>
    </w:p>
    <w:p w14:paraId="3D73191C" w14:textId="77777777" w:rsidR="001614AC" w:rsidRDefault="004468F9">
      <w:pPr>
        <w:spacing w:before="100" w:after="100" w:line="288" w:lineRule="auto"/>
        <w:ind w:firstLine="450"/>
        <w:rPr>
          <w:rFonts w:ascii="Arial" w:eastAsia="Arial" w:hAnsi="Arial" w:cs="Arial"/>
          <w:b/>
          <w:i/>
          <w:color w:val="64615D"/>
          <w:sz w:val="22"/>
          <w:shd w:val="clear" w:color="auto" w:fill="FFFFFF"/>
        </w:rPr>
      </w:pPr>
      <w:r>
        <w:rPr>
          <w:rFonts w:ascii="Arial" w:eastAsia="Arial" w:hAnsi="Arial" w:cs="Arial"/>
          <w:sz w:val="18"/>
        </w:rPr>
        <w:t>Our mortgage insurance total loss reserve as a percentage of our mortgage insurance total RIF was 1.5%</w:t>
      </w:r>
      <w:r>
        <w:rPr>
          <w:rFonts w:ascii="Arial" w:eastAsia="Arial" w:hAnsi="Arial" w:cs="Arial"/>
          <w:sz w:val="18"/>
        </w:rPr>
        <w:t xml:space="preserve"> and 1.4% at June 30, 2021 and December 31, 2020, respectively. See Note 11 of Notes to Unaudited Condensed Consolidated Financial Statements for information regarding our reserves for losses and a reconciliation of our Mortgage segment’s beginning and end</w:t>
      </w:r>
      <w:r>
        <w:rPr>
          <w:rFonts w:ascii="Arial" w:eastAsia="Arial" w:hAnsi="Arial" w:cs="Arial"/>
          <w:sz w:val="18"/>
        </w:rPr>
        <w:t xml:space="preserve">ing reserves for losses and LAE. </w:t>
      </w:r>
    </w:p>
    <w:p w14:paraId="0397158D" w14:textId="77777777" w:rsidR="001614AC" w:rsidRDefault="004468F9">
      <w:pPr>
        <w:spacing w:before="100" w:after="100" w:line="288" w:lineRule="auto"/>
        <w:ind w:firstLine="450"/>
        <w:rPr>
          <w:rFonts w:ascii="Arial" w:eastAsia="Arial" w:hAnsi="Arial" w:cs="Arial"/>
          <w:b/>
          <w:i/>
          <w:color w:val="64615D"/>
          <w:sz w:val="22"/>
          <w:shd w:val="clear" w:color="auto" w:fill="FFFFFF"/>
        </w:rPr>
      </w:pPr>
      <w:r>
        <w:rPr>
          <w:rFonts w:ascii="Arial" w:eastAsia="Arial" w:hAnsi="Arial" w:cs="Arial"/>
          <w:sz w:val="18"/>
        </w:rPr>
        <w:t>We considered the sensitivity of our loss reserve estimates at June 30, 2021 by assessing the potential changes resulting from a parallel shift in Claim Severity and Default to Claim Rate for primary loans. For example, as</w:t>
      </w:r>
      <w:r>
        <w:rPr>
          <w:rFonts w:ascii="Arial" w:eastAsia="Arial" w:hAnsi="Arial" w:cs="Arial"/>
          <w:sz w:val="18"/>
        </w:rPr>
        <w:t>suming all other factors remain constant, for every one percentage point absolute change in primary Claim Severity for our primary insurance risk exposure (which we estimated to be 98.3% of our risk exposure at June 30, 2021, compared to 97.5% at December </w:t>
      </w:r>
      <w:r>
        <w:rPr>
          <w:rFonts w:ascii="Arial" w:eastAsia="Arial" w:hAnsi="Arial" w:cs="Arial"/>
          <w:sz w:val="18"/>
        </w:rPr>
        <w:t xml:space="preserve">31, 2020), we estimated that our total loss reserve at June 30, 2021 would change by approximately $8.6 million. Assuming the portfolio mix and all other factors remain constant, for every one percentage point absolute change in our primary net Default to </w:t>
      </w:r>
      <w:r>
        <w:rPr>
          <w:rFonts w:ascii="Arial" w:eastAsia="Arial" w:hAnsi="Arial" w:cs="Arial"/>
          <w:sz w:val="18"/>
        </w:rPr>
        <w:t>Claim Rate, we estimated a $24.4 million change in our primary loss reserve at June 30, 2021.</w:t>
      </w:r>
    </w:p>
    <w:p w14:paraId="5622758C" w14:textId="77777777" w:rsidR="001614AC" w:rsidRDefault="004468F9">
      <w:pPr>
        <w:spacing w:before="100" w:after="100" w:line="288" w:lineRule="auto"/>
        <w:ind w:firstLine="450"/>
        <w:rPr>
          <w:rFonts w:ascii="Arial" w:eastAsia="Arial" w:hAnsi="Arial" w:cs="Arial"/>
          <w:b/>
          <w:color w:val="64615D"/>
          <w:sz w:val="18"/>
          <w:shd w:val="clear" w:color="auto" w:fill="FFFFFF"/>
        </w:rPr>
      </w:pPr>
      <w:r>
        <w:rPr>
          <w:rFonts w:ascii="Arial" w:eastAsia="Arial" w:hAnsi="Arial" w:cs="Arial"/>
          <w:sz w:val="18"/>
        </w:rPr>
        <w:t xml:space="preserve">Total mortgage insurance claims paid of $4.2 million and $14.7 million for the three and six months ended June 30, 2021, respectively, decreased from claims paid </w:t>
      </w:r>
      <w:r>
        <w:rPr>
          <w:rFonts w:ascii="Arial" w:eastAsia="Arial" w:hAnsi="Arial" w:cs="Arial"/>
          <w:sz w:val="18"/>
        </w:rPr>
        <w:t>of $22.8 million and $46.2 million for the same respective periods in 2020. The decrease in claims paid is primarily attributable to COVID-19-related forbearance plans and suspensions of foreclosure and evictions. Claims paid in both periods also include t</w:t>
      </w:r>
      <w:r>
        <w:rPr>
          <w:rFonts w:ascii="Arial" w:eastAsia="Arial" w:hAnsi="Arial" w:cs="Arial"/>
          <w:sz w:val="18"/>
        </w:rPr>
        <w:t>he impact of commutations and settlements. Although expected claims are included in our reserve for losses, the timing of claims paid is subject to fluctuation from quarter to quarter, based on the rate that defaults cure and other factors (as described in</w:t>
      </w:r>
      <w:r>
        <w:rPr>
          <w:rFonts w:ascii="Arial" w:eastAsia="Arial" w:hAnsi="Arial" w:cs="Arial"/>
          <w:sz w:val="18"/>
        </w:rPr>
        <w:t xml:space="preserve"> “Item 1. Business—Mortgage Insurance—Defaults and Claims” in our 2020 Form 10-K) that make the timing of paid claims difficult to predict. </w:t>
      </w:r>
    </w:p>
    <w:p w14:paraId="030465F6" w14:textId="77777777" w:rsidR="001614AC" w:rsidRDefault="004468F9">
      <w:pPr>
        <w:keepNext/>
        <w:spacing w:before="100" w:after="100" w:line="288" w:lineRule="auto"/>
        <w:ind w:firstLine="450"/>
        <w:rPr>
          <w:rFonts w:ascii="Arial" w:eastAsia="Arial" w:hAnsi="Arial" w:cs="Arial"/>
          <w:b/>
          <w:color w:val="64615D"/>
          <w:sz w:val="18"/>
          <w:shd w:val="clear" w:color="auto" w:fill="FFFFFF"/>
        </w:rPr>
      </w:pPr>
      <w:r>
        <w:rPr>
          <w:rFonts w:ascii="Arial" w:eastAsia="Arial" w:hAnsi="Arial" w:cs="Arial"/>
          <w:sz w:val="18"/>
        </w:rPr>
        <w:lastRenderedPageBreak/>
        <w:t>The following table shows net claims paid and average primary claim paid for the periods indicated.</w:t>
      </w:r>
    </w:p>
    <w:tbl>
      <w:tblPr>
        <w:tblW w:w="102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84"/>
        <w:gridCol w:w="107"/>
        <w:gridCol w:w="163"/>
        <w:gridCol w:w="760"/>
        <w:gridCol w:w="102"/>
        <w:gridCol w:w="77"/>
        <w:gridCol w:w="163"/>
        <w:gridCol w:w="760"/>
        <w:gridCol w:w="102"/>
        <w:gridCol w:w="107"/>
        <w:gridCol w:w="163"/>
        <w:gridCol w:w="760"/>
        <w:gridCol w:w="102"/>
        <w:gridCol w:w="107"/>
        <w:gridCol w:w="163"/>
        <w:gridCol w:w="760"/>
        <w:gridCol w:w="102"/>
      </w:tblGrid>
      <w:tr w:rsidR="001614AC" w14:paraId="50BDBFB1" w14:textId="77777777">
        <w:trPr>
          <w:cantSplit/>
        </w:trPr>
        <w:tc>
          <w:tcPr>
            <w:tcW w:w="10080" w:type="dxa"/>
            <w:gridSpan w:val="17"/>
            <w:tcBorders>
              <w:top w:val="nil"/>
              <w:left w:val="nil"/>
              <w:bottom w:val="single" w:sz="12" w:space="0" w:color="99AAB6"/>
              <w:right w:val="nil"/>
            </w:tcBorders>
            <w:tcMar>
              <w:top w:w="0" w:type="dxa"/>
              <w:left w:w="53" w:type="dxa"/>
              <w:bottom w:w="0" w:type="dxa"/>
              <w:right w:w="53" w:type="dxa"/>
            </w:tcMar>
            <w:vAlign w:val="bottom"/>
          </w:tcPr>
          <w:p w14:paraId="5AC849A2" w14:textId="77777777" w:rsidR="001614AC" w:rsidRDefault="004468F9">
            <w:pPr>
              <w:keepNext/>
              <w:spacing w:before="75" w:after="30" w:line="288" w:lineRule="auto"/>
              <w:rPr>
                <w:rFonts w:ascii="Arial" w:eastAsia="Arial" w:hAnsi="Arial" w:cs="Arial"/>
                <w:b/>
                <w:sz w:val="20"/>
              </w:rPr>
            </w:pPr>
            <w:r>
              <w:rPr>
                <w:rFonts w:ascii="Arial" w:eastAsia="Arial" w:hAnsi="Arial" w:cs="Arial"/>
                <w:b/>
                <w:sz w:val="20"/>
              </w:rPr>
              <w:t>Claims paid</w:t>
            </w:r>
          </w:p>
        </w:tc>
      </w:tr>
      <w:tr w:rsidR="001614AC" w14:paraId="6687F24C" w14:textId="77777777">
        <w:trPr>
          <w:cantSplit/>
          <w:trHeight w:hRule="exact" w:val="135"/>
        </w:trPr>
        <w:tc>
          <w:tcPr>
            <w:tcW w:w="5670" w:type="dxa"/>
            <w:tcBorders>
              <w:top w:val="nil"/>
              <w:left w:val="nil"/>
              <w:bottom w:val="nil"/>
              <w:right w:val="nil"/>
            </w:tcBorders>
            <w:tcMar>
              <w:top w:w="0" w:type="dxa"/>
              <w:left w:w="0" w:type="dxa"/>
              <w:bottom w:w="0" w:type="dxa"/>
              <w:right w:w="0" w:type="dxa"/>
            </w:tcMar>
            <w:vAlign w:val="bottom"/>
          </w:tcPr>
          <w:p w14:paraId="1A6FD31A" w14:textId="77777777" w:rsidR="001614AC" w:rsidRDefault="001614AC">
            <w:pPr>
              <w:keepNext/>
            </w:pPr>
          </w:p>
        </w:tc>
        <w:tc>
          <w:tcPr>
            <w:tcW w:w="105" w:type="dxa"/>
            <w:tcBorders>
              <w:top w:val="single" w:sz="12" w:space="0" w:color="99AAB6"/>
              <w:left w:val="nil"/>
              <w:bottom w:val="nil"/>
              <w:right w:val="nil"/>
            </w:tcBorders>
            <w:tcMar>
              <w:top w:w="0" w:type="dxa"/>
              <w:left w:w="0" w:type="dxa"/>
              <w:bottom w:w="0" w:type="dxa"/>
              <w:right w:w="0" w:type="dxa"/>
            </w:tcMar>
            <w:vAlign w:val="bottom"/>
          </w:tcPr>
          <w:p w14:paraId="4F025234" w14:textId="77777777" w:rsidR="001614AC" w:rsidRDefault="001614AC">
            <w:pPr>
              <w:keepNext/>
            </w:pPr>
          </w:p>
        </w:tc>
        <w:tc>
          <w:tcPr>
            <w:tcW w:w="1005" w:type="dxa"/>
            <w:gridSpan w:val="3"/>
            <w:tcBorders>
              <w:top w:val="single" w:sz="12" w:space="0" w:color="99AAB6"/>
              <w:left w:val="nil"/>
              <w:bottom w:val="nil"/>
              <w:right w:val="nil"/>
            </w:tcBorders>
            <w:tcMar>
              <w:top w:w="0" w:type="dxa"/>
              <w:left w:w="0" w:type="dxa"/>
              <w:bottom w:w="0" w:type="dxa"/>
              <w:right w:w="0" w:type="dxa"/>
            </w:tcMar>
            <w:vAlign w:val="bottom"/>
          </w:tcPr>
          <w:p w14:paraId="271872DA" w14:textId="77777777" w:rsidR="001614AC" w:rsidRDefault="001614AC">
            <w:pPr>
              <w:keepNext/>
            </w:pPr>
          </w:p>
        </w:tc>
        <w:tc>
          <w:tcPr>
            <w:tcW w:w="75" w:type="dxa"/>
            <w:tcBorders>
              <w:top w:val="single" w:sz="12" w:space="0" w:color="99AAB6"/>
              <w:left w:val="nil"/>
              <w:bottom w:val="nil"/>
              <w:right w:val="nil"/>
            </w:tcBorders>
            <w:tcMar>
              <w:top w:w="0" w:type="dxa"/>
              <w:left w:w="0" w:type="dxa"/>
              <w:bottom w:w="0" w:type="dxa"/>
              <w:right w:w="0" w:type="dxa"/>
            </w:tcMar>
            <w:vAlign w:val="bottom"/>
          </w:tcPr>
          <w:p w14:paraId="6FFAE67D" w14:textId="77777777" w:rsidR="001614AC" w:rsidRDefault="001614AC">
            <w:pPr>
              <w:keepNext/>
            </w:pPr>
          </w:p>
        </w:tc>
        <w:tc>
          <w:tcPr>
            <w:tcW w:w="1005" w:type="dxa"/>
            <w:gridSpan w:val="3"/>
            <w:tcBorders>
              <w:top w:val="single" w:sz="12" w:space="0" w:color="99AAB6"/>
              <w:left w:val="nil"/>
              <w:bottom w:val="nil"/>
              <w:right w:val="nil"/>
            </w:tcBorders>
            <w:tcMar>
              <w:top w:w="0" w:type="dxa"/>
              <w:left w:w="0" w:type="dxa"/>
              <w:bottom w:w="0" w:type="dxa"/>
              <w:right w:w="0" w:type="dxa"/>
            </w:tcMar>
            <w:vAlign w:val="bottom"/>
          </w:tcPr>
          <w:p w14:paraId="07694CB0" w14:textId="77777777" w:rsidR="001614AC" w:rsidRDefault="001614AC">
            <w:pPr>
              <w:keepNext/>
            </w:pPr>
          </w:p>
        </w:tc>
        <w:tc>
          <w:tcPr>
            <w:tcW w:w="105" w:type="dxa"/>
            <w:tcBorders>
              <w:top w:val="single" w:sz="12" w:space="0" w:color="99AAB6"/>
              <w:left w:val="nil"/>
              <w:bottom w:val="nil"/>
              <w:right w:val="nil"/>
            </w:tcBorders>
            <w:tcMar>
              <w:top w:w="0" w:type="dxa"/>
              <w:left w:w="0" w:type="dxa"/>
              <w:bottom w:w="0" w:type="dxa"/>
              <w:right w:w="0" w:type="dxa"/>
            </w:tcMar>
            <w:vAlign w:val="bottom"/>
          </w:tcPr>
          <w:p w14:paraId="6DAFB867" w14:textId="77777777" w:rsidR="001614AC" w:rsidRDefault="001614AC">
            <w:pPr>
              <w:keepNext/>
            </w:pPr>
          </w:p>
        </w:tc>
        <w:tc>
          <w:tcPr>
            <w:tcW w:w="1005" w:type="dxa"/>
            <w:gridSpan w:val="3"/>
            <w:tcBorders>
              <w:top w:val="single" w:sz="12" w:space="0" w:color="99AAB6"/>
              <w:left w:val="nil"/>
              <w:bottom w:val="nil"/>
              <w:right w:val="nil"/>
            </w:tcBorders>
            <w:tcMar>
              <w:top w:w="0" w:type="dxa"/>
              <w:left w:w="0" w:type="dxa"/>
              <w:bottom w:w="0" w:type="dxa"/>
              <w:right w:w="0" w:type="dxa"/>
            </w:tcMar>
            <w:vAlign w:val="bottom"/>
          </w:tcPr>
          <w:p w14:paraId="094237AA" w14:textId="77777777" w:rsidR="001614AC" w:rsidRDefault="001614AC">
            <w:pPr>
              <w:keepNext/>
            </w:pPr>
          </w:p>
        </w:tc>
        <w:tc>
          <w:tcPr>
            <w:tcW w:w="105" w:type="dxa"/>
            <w:tcBorders>
              <w:top w:val="single" w:sz="12" w:space="0" w:color="99AAB6"/>
              <w:left w:val="nil"/>
              <w:bottom w:val="nil"/>
              <w:right w:val="nil"/>
            </w:tcBorders>
            <w:tcMar>
              <w:top w:w="0" w:type="dxa"/>
              <w:left w:w="0" w:type="dxa"/>
              <w:bottom w:w="0" w:type="dxa"/>
              <w:right w:w="0" w:type="dxa"/>
            </w:tcMar>
            <w:vAlign w:val="bottom"/>
          </w:tcPr>
          <w:p w14:paraId="4C5E2C21" w14:textId="77777777" w:rsidR="001614AC" w:rsidRDefault="001614AC">
            <w:pPr>
              <w:keepNext/>
            </w:pPr>
          </w:p>
        </w:tc>
        <w:tc>
          <w:tcPr>
            <w:tcW w:w="1005" w:type="dxa"/>
            <w:gridSpan w:val="3"/>
            <w:tcBorders>
              <w:top w:val="single" w:sz="12" w:space="0" w:color="99AAB6"/>
              <w:left w:val="nil"/>
              <w:bottom w:val="nil"/>
              <w:right w:val="nil"/>
            </w:tcBorders>
            <w:tcMar>
              <w:top w:w="0" w:type="dxa"/>
              <w:left w:w="0" w:type="dxa"/>
              <w:bottom w:w="0" w:type="dxa"/>
              <w:right w:w="0" w:type="dxa"/>
            </w:tcMar>
            <w:vAlign w:val="bottom"/>
          </w:tcPr>
          <w:p w14:paraId="53CFD0BE" w14:textId="77777777" w:rsidR="001614AC" w:rsidRDefault="001614AC">
            <w:pPr>
              <w:keepNext/>
            </w:pPr>
          </w:p>
        </w:tc>
      </w:tr>
      <w:tr w:rsidR="001614AC" w14:paraId="5E0ED2C8" w14:textId="77777777">
        <w:trPr>
          <w:cantSplit/>
        </w:trPr>
        <w:tc>
          <w:tcPr>
            <w:tcW w:w="5670" w:type="dxa"/>
            <w:tcBorders>
              <w:top w:val="nil"/>
              <w:left w:val="nil"/>
              <w:bottom w:val="single" w:sz="8" w:space="0" w:color="FFFFFF"/>
              <w:right w:val="nil"/>
            </w:tcBorders>
            <w:tcMar>
              <w:top w:w="0" w:type="dxa"/>
              <w:left w:w="0" w:type="dxa"/>
              <w:bottom w:w="0" w:type="dxa"/>
              <w:right w:w="0" w:type="dxa"/>
            </w:tcMar>
            <w:vAlign w:val="bottom"/>
          </w:tcPr>
          <w:p w14:paraId="08672F52" w14:textId="77777777" w:rsidR="001614AC" w:rsidRDefault="001614AC">
            <w:pPr>
              <w:keepNext/>
            </w:pPr>
          </w:p>
        </w:tc>
        <w:tc>
          <w:tcPr>
            <w:tcW w:w="105" w:type="dxa"/>
            <w:tcBorders>
              <w:top w:val="nil"/>
              <w:left w:val="nil"/>
              <w:bottom w:val="nil"/>
              <w:right w:val="nil"/>
            </w:tcBorders>
            <w:tcMar>
              <w:top w:w="0" w:type="dxa"/>
              <w:left w:w="0" w:type="dxa"/>
              <w:bottom w:w="0" w:type="dxa"/>
              <w:right w:w="0" w:type="dxa"/>
            </w:tcMar>
            <w:vAlign w:val="bottom"/>
          </w:tcPr>
          <w:p w14:paraId="798F0ADE" w14:textId="77777777" w:rsidR="001614AC" w:rsidRDefault="001614AC">
            <w:pPr>
              <w:keepNext/>
            </w:pPr>
          </w:p>
        </w:tc>
        <w:tc>
          <w:tcPr>
            <w:tcW w:w="2085" w:type="dxa"/>
            <w:gridSpan w:val="7"/>
            <w:tcBorders>
              <w:top w:val="nil"/>
              <w:left w:val="nil"/>
              <w:bottom w:val="single" w:sz="8" w:space="0" w:color="FFFFFF"/>
              <w:right w:val="nil"/>
            </w:tcBorders>
            <w:tcMar>
              <w:top w:w="0" w:type="dxa"/>
              <w:left w:w="53" w:type="dxa"/>
              <w:bottom w:w="0" w:type="dxa"/>
              <w:right w:w="53" w:type="dxa"/>
            </w:tcMar>
            <w:vAlign w:val="bottom"/>
          </w:tcPr>
          <w:p w14:paraId="7FA0DBAF" w14:textId="77777777" w:rsidR="001614AC" w:rsidRDefault="004468F9">
            <w:pPr>
              <w:keepNext/>
              <w:spacing w:before="75" w:line="288" w:lineRule="auto"/>
              <w:jc w:val="center"/>
            </w:pPr>
            <w:r>
              <w:rPr>
                <w:rFonts w:ascii="Arial" w:eastAsia="Arial" w:hAnsi="Arial" w:cs="Arial"/>
                <w:b/>
                <w:color w:val="00BAB3"/>
                <w:sz w:val="18"/>
              </w:rPr>
              <w:t>Three Months Ended</w:t>
            </w:r>
          </w:p>
          <w:p w14:paraId="5918BE49" w14:textId="77777777" w:rsidR="001614AC" w:rsidRDefault="004468F9">
            <w:pPr>
              <w:spacing w:after="30" w:line="288" w:lineRule="auto"/>
              <w:jc w:val="center"/>
            </w:pPr>
            <w:r>
              <w:rPr>
                <w:rFonts w:ascii="Arial" w:eastAsia="Arial" w:hAnsi="Arial" w:cs="Arial"/>
                <w:b/>
                <w:color w:val="00BAB3"/>
                <w:sz w:val="18"/>
              </w:rPr>
              <w:t>June 30,</w:t>
            </w:r>
          </w:p>
        </w:tc>
        <w:tc>
          <w:tcPr>
            <w:tcW w:w="105" w:type="dxa"/>
            <w:tcBorders>
              <w:top w:val="nil"/>
              <w:left w:val="nil"/>
              <w:bottom w:val="single" w:sz="8" w:space="0" w:color="FFFFFF"/>
              <w:right w:val="nil"/>
            </w:tcBorders>
            <w:tcMar>
              <w:top w:w="0" w:type="dxa"/>
              <w:left w:w="0" w:type="dxa"/>
              <w:bottom w:w="0" w:type="dxa"/>
              <w:right w:w="0" w:type="dxa"/>
            </w:tcMar>
            <w:vAlign w:val="bottom"/>
          </w:tcPr>
          <w:p w14:paraId="2548DE26" w14:textId="77777777" w:rsidR="001614AC" w:rsidRDefault="001614AC">
            <w:pPr>
              <w:keepNext/>
            </w:pPr>
          </w:p>
        </w:tc>
        <w:tc>
          <w:tcPr>
            <w:tcW w:w="2115" w:type="dxa"/>
            <w:gridSpan w:val="7"/>
            <w:tcBorders>
              <w:top w:val="nil"/>
              <w:left w:val="nil"/>
              <w:bottom w:val="nil"/>
              <w:right w:val="nil"/>
            </w:tcBorders>
            <w:tcMar>
              <w:top w:w="0" w:type="dxa"/>
              <w:left w:w="53" w:type="dxa"/>
              <w:bottom w:w="0" w:type="dxa"/>
              <w:right w:w="53" w:type="dxa"/>
            </w:tcMar>
            <w:vAlign w:val="bottom"/>
          </w:tcPr>
          <w:p w14:paraId="777F134B" w14:textId="77777777" w:rsidR="001614AC" w:rsidRDefault="004468F9">
            <w:pPr>
              <w:keepNext/>
              <w:spacing w:before="75" w:line="288" w:lineRule="auto"/>
              <w:jc w:val="center"/>
            </w:pPr>
            <w:r>
              <w:rPr>
                <w:rFonts w:ascii="Arial" w:eastAsia="Arial" w:hAnsi="Arial" w:cs="Arial"/>
                <w:b/>
                <w:color w:val="00BAB3"/>
                <w:sz w:val="18"/>
              </w:rPr>
              <w:t>Six Months Ended</w:t>
            </w:r>
          </w:p>
          <w:p w14:paraId="61142CFD" w14:textId="77777777" w:rsidR="001614AC" w:rsidRDefault="004468F9">
            <w:pPr>
              <w:spacing w:after="30" w:line="288" w:lineRule="auto"/>
              <w:jc w:val="center"/>
            </w:pPr>
            <w:r>
              <w:rPr>
                <w:rFonts w:ascii="Arial" w:eastAsia="Arial" w:hAnsi="Arial" w:cs="Arial"/>
                <w:b/>
                <w:color w:val="00BAB3"/>
                <w:sz w:val="18"/>
              </w:rPr>
              <w:t>June 30,</w:t>
            </w:r>
          </w:p>
        </w:tc>
      </w:tr>
      <w:tr w:rsidR="001614AC" w14:paraId="2D97735A" w14:textId="77777777">
        <w:trPr>
          <w:cantSplit/>
        </w:trPr>
        <w:tc>
          <w:tcPr>
            <w:tcW w:w="5670" w:type="dxa"/>
            <w:tcBorders>
              <w:top w:val="single" w:sz="8" w:space="0" w:color="FFFFFF"/>
              <w:left w:val="nil"/>
              <w:bottom w:val="single" w:sz="8" w:space="0" w:color="C7C9C7"/>
              <w:right w:val="nil"/>
            </w:tcBorders>
            <w:tcMar>
              <w:top w:w="0" w:type="dxa"/>
              <w:left w:w="53" w:type="dxa"/>
              <w:bottom w:w="0" w:type="dxa"/>
              <w:right w:w="53" w:type="dxa"/>
            </w:tcMar>
            <w:vAlign w:val="bottom"/>
          </w:tcPr>
          <w:p w14:paraId="79B91992" w14:textId="77777777" w:rsidR="001614AC" w:rsidRDefault="004468F9">
            <w:pPr>
              <w:keepNext/>
              <w:spacing w:before="55" w:after="30" w:line="288" w:lineRule="auto"/>
            </w:pPr>
            <w:r>
              <w:rPr>
                <w:rFonts w:ascii="Arial" w:eastAsia="Arial" w:hAnsi="Arial" w:cs="Arial"/>
                <w:color w:val="8B8886"/>
                <w:sz w:val="16"/>
              </w:rPr>
              <w:t>(In thousands)</w:t>
            </w:r>
          </w:p>
        </w:tc>
        <w:tc>
          <w:tcPr>
            <w:tcW w:w="105" w:type="dxa"/>
            <w:tcBorders>
              <w:top w:val="nil"/>
              <w:left w:val="nil"/>
              <w:bottom w:val="single" w:sz="8" w:space="0" w:color="C7C9C7"/>
              <w:right w:val="nil"/>
            </w:tcBorders>
            <w:tcMar>
              <w:top w:w="0" w:type="dxa"/>
              <w:left w:w="0" w:type="dxa"/>
              <w:bottom w:w="0" w:type="dxa"/>
              <w:right w:w="0" w:type="dxa"/>
            </w:tcMar>
            <w:vAlign w:val="bottom"/>
          </w:tcPr>
          <w:p w14:paraId="4D16EADA" w14:textId="77777777" w:rsidR="001614AC" w:rsidRDefault="001614AC">
            <w:pPr>
              <w:keepNext/>
            </w:pPr>
          </w:p>
        </w:tc>
        <w:tc>
          <w:tcPr>
            <w:tcW w:w="1005" w:type="dxa"/>
            <w:gridSpan w:val="3"/>
            <w:tcBorders>
              <w:top w:val="nil"/>
              <w:left w:val="nil"/>
              <w:bottom w:val="single" w:sz="8" w:space="0" w:color="C7C9C7"/>
              <w:right w:val="nil"/>
            </w:tcBorders>
            <w:shd w:val="clear" w:color="auto" w:fill="E6F8F8"/>
            <w:tcMar>
              <w:top w:w="0" w:type="dxa"/>
              <w:left w:w="53" w:type="dxa"/>
              <w:bottom w:w="0" w:type="dxa"/>
              <w:right w:w="53" w:type="dxa"/>
            </w:tcMar>
            <w:vAlign w:val="bottom"/>
          </w:tcPr>
          <w:p w14:paraId="033C8DEF" w14:textId="77777777" w:rsidR="001614AC" w:rsidRDefault="004468F9">
            <w:pPr>
              <w:keepNext/>
              <w:spacing w:before="55" w:after="30" w:line="288" w:lineRule="auto"/>
              <w:jc w:val="center"/>
            </w:pPr>
            <w:r>
              <w:rPr>
                <w:rFonts w:ascii="Arial" w:eastAsia="Arial" w:hAnsi="Arial" w:cs="Arial"/>
                <w:b/>
                <w:color w:val="00BAB3"/>
                <w:sz w:val="18"/>
              </w:rPr>
              <w:t>2021</w:t>
            </w:r>
          </w:p>
        </w:tc>
        <w:tc>
          <w:tcPr>
            <w:tcW w:w="75" w:type="dxa"/>
            <w:tcBorders>
              <w:top w:val="single" w:sz="8" w:space="0" w:color="FFFFFF"/>
              <w:left w:val="nil"/>
              <w:bottom w:val="single" w:sz="8" w:space="0" w:color="C7C9C7"/>
              <w:right w:val="nil"/>
            </w:tcBorders>
            <w:tcMar>
              <w:top w:w="0" w:type="dxa"/>
              <w:left w:w="0" w:type="dxa"/>
              <w:bottom w:w="0" w:type="dxa"/>
              <w:right w:w="0" w:type="dxa"/>
            </w:tcMar>
            <w:vAlign w:val="bottom"/>
          </w:tcPr>
          <w:p w14:paraId="451DAA0B" w14:textId="77777777" w:rsidR="001614AC" w:rsidRDefault="001614AC">
            <w:pPr>
              <w:keepNext/>
            </w:pPr>
          </w:p>
        </w:tc>
        <w:tc>
          <w:tcPr>
            <w:tcW w:w="1005" w:type="dxa"/>
            <w:gridSpan w:val="3"/>
            <w:tcBorders>
              <w:top w:val="single" w:sz="8" w:space="0" w:color="FFFFFF"/>
              <w:left w:val="nil"/>
              <w:bottom w:val="single" w:sz="8" w:space="0" w:color="C7C9C7"/>
              <w:right w:val="nil"/>
            </w:tcBorders>
            <w:shd w:val="clear" w:color="auto" w:fill="F4F4F4"/>
            <w:tcMar>
              <w:top w:w="0" w:type="dxa"/>
              <w:left w:w="53" w:type="dxa"/>
              <w:bottom w:w="0" w:type="dxa"/>
              <w:right w:w="53" w:type="dxa"/>
            </w:tcMar>
            <w:vAlign w:val="bottom"/>
          </w:tcPr>
          <w:p w14:paraId="1E1145E3" w14:textId="77777777" w:rsidR="001614AC" w:rsidRDefault="004468F9">
            <w:pPr>
              <w:keepNext/>
              <w:spacing w:before="55" w:after="30" w:line="288" w:lineRule="auto"/>
              <w:jc w:val="center"/>
            </w:pPr>
            <w:r>
              <w:rPr>
                <w:rFonts w:ascii="Arial" w:eastAsia="Arial" w:hAnsi="Arial" w:cs="Arial"/>
                <w:b/>
                <w:color w:val="00BAB3"/>
                <w:sz w:val="18"/>
              </w:rPr>
              <w:t>2020</w:t>
            </w:r>
          </w:p>
        </w:tc>
        <w:tc>
          <w:tcPr>
            <w:tcW w:w="105" w:type="dxa"/>
            <w:tcBorders>
              <w:top w:val="single" w:sz="8" w:space="0" w:color="FFFFFF"/>
              <w:left w:val="nil"/>
              <w:bottom w:val="single" w:sz="8" w:space="0" w:color="C7C9C7"/>
              <w:right w:val="nil"/>
            </w:tcBorders>
            <w:tcMar>
              <w:top w:w="0" w:type="dxa"/>
              <w:left w:w="0" w:type="dxa"/>
              <w:bottom w:w="0" w:type="dxa"/>
              <w:right w:w="0" w:type="dxa"/>
            </w:tcMar>
            <w:vAlign w:val="bottom"/>
          </w:tcPr>
          <w:p w14:paraId="17B2D070" w14:textId="77777777" w:rsidR="001614AC" w:rsidRDefault="001614AC">
            <w:pPr>
              <w:keepNext/>
            </w:pPr>
          </w:p>
        </w:tc>
        <w:tc>
          <w:tcPr>
            <w:tcW w:w="1005" w:type="dxa"/>
            <w:gridSpan w:val="3"/>
            <w:tcBorders>
              <w:top w:val="single" w:sz="8" w:space="0" w:color="FFFFFF"/>
              <w:left w:val="nil"/>
              <w:bottom w:val="single" w:sz="8" w:space="0" w:color="C7C9C7"/>
              <w:right w:val="nil"/>
            </w:tcBorders>
            <w:shd w:val="clear" w:color="auto" w:fill="E6F8F8"/>
            <w:tcMar>
              <w:top w:w="0" w:type="dxa"/>
              <w:left w:w="53" w:type="dxa"/>
              <w:bottom w:w="0" w:type="dxa"/>
              <w:right w:w="53" w:type="dxa"/>
            </w:tcMar>
            <w:vAlign w:val="bottom"/>
          </w:tcPr>
          <w:p w14:paraId="41F30A4A" w14:textId="77777777" w:rsidR="001614AC" w:rsidRDefault="004468F9">
            <w:pPr>
              <w:keepNext/>
              <w:spacing w:before="55" w:after="30" w:line="288" w:lineRule="auto"/>
              <w:jc w:val="center"/>
            </w:pPr>
            <w:r>
              <w:rPr>
                <w:rFonts w:ascii="Arial" w:eastAsia="Arial" w:hAnsi="Arial" w:cs="Arial"/>
                <w:b/>
                <w:color w:val="00BAB3"/>
                <w:sz w:val="18"/>
              </w:rPr>
              <w:t>2021</w:t>
            </w:r>
          </w:p>
        </w:tc>
        <w:tc>
          <w:tcPr>
            <w:tcW w:w="105" w:type="dxa"/>
            <w:tcBorders>
              <w:top w:val="single" w:sz="8" w:space="0" w:color="FFFFFF"/>
              <w:left w:val="nil"/>
              <w:bottom w:val="single" w:sz="8" w:space="0" w:color="C7C9C7"/>
              <w:right w:val="nil"/>
            </w:tcBorders>
            <w:tcMar>
              <w:top w:w="0" w:type="dxa"/>
              <w:left w:w="0" w:type="dxa"/>
              <w:bottom w:w="0" w:type="dxa"/>
              <w:right w:w="0" w:type="dxa"/>
            </w:tcMar>
            <w:vAlign w:val="bottom"/>
          </w:tcPr>
          <w:p w14:paraId="23DE9C2A" w14:textId="77777777" w:rsidR="001614AC" w:rsidRDefault="001614AC">
            <w:pPr>
              <w:keepNext/>
            </w:pPr>
          </w:p>
        </w:tc>
        <w:tc>
          <w:tcPr>
            <w:tcW w:w="1005" w:type="dxa"/>
            <w:gridSpan w:val="3"/>
            <w:tcBorders>
              <w:top w:val="single" w:sz="8" w:space="0" w:color="FFFFFF"/>
              <w:left w:val="nil"/>
              <w:bottom w:val="single" w:sz="8" w:space="0" w:color="C7C9C7"/>
              <w:right w:val="nil"/>
            </w:tcBorders>
            <w:shd w:val="clear" w:color="auto" w:fill="F4F4F4"/>
            <w:tcMar>
              <w:top w:w="0" w:type="dxa"/>
              <w:left w:w="53" w:type="dxa"/>
              <w:bottom w:w="0" w:type="dxa"/>
              <w:right w:w="53" w:type="dxa"/>
            </w:tcMar>
            <w:vAlign w:val="bottom"/>
          </w:tcPr>
          <w:p w14:paraId="2E19C496" w14:textId="77777777" w:rsidR="001614AC" w:rsidRDefault="004468F9">
            <w:pPr>
              <w:keepNext/>
              <w:spacing w:before="55" w:after="30" w:line="288" w:lineRule="auto"/>
              <w:jc w:val="center"/>
            </w:pPr>
            <w:r>
              <w:rPr>
                <w:rFonts w:ascii="Arial" w:eastAsia="Arial" w:hAnsi="Arial" w:cs="Arial"/>
                <w:b/>
                <w:color w:val="00BAB3"/>
                <w:sz w:val="18"/>
              </w:rPr>
              <w:t>2020</w:t>
            </w:r>
          </w:p>
        </w:tc>
      </w:tr>
      <w:tr w:rsidR="001614AC" w14:paraId="3B818AFB" w14:textId="77777777">
        <w:trPr>
          <w:cantSplit/>
        </w:trPr>
        <w:tc>
          <w:tcPr>
            <w:tcW w:w="5670" w:type="dxa"/>
            <w:tcBorders>
              <w:top w:val="single" w:sz="8" w:space="0" w:color="C7C9C7"/>
              <w:left w:val="nil"/>
              <w:bottom w:val="single" w:sz="8" w:space="0" w:color="E9E9E9"/>
              <w:right w:val="nil"/>
            </w:tcBorders>
            <w:tcMar>
              <w:top w:w="0" w:type="dxa"/>
              <w:left w:w="53" w:type="dxa"/>
              <w:bottom w:w="0" w:type="dxa"/>
              <w:right w:w="53" w:type="dxa"/>
            </w:tcMar>
            <w:vAlign w:val="bottom"/>
          </w:tcPr>
          <w:p w14:paraId="26311AC4" w14:textId="77777777" w:rsidR="001614AC" w:rsidRDefault="004468F9">
            <w:pPr>
              <w:keepNext/>
              <w:spacing w:before="55" w:after="30" w:line="288" w:lineRule="auto"/>
              <w:rPr>
                <w:rFonts w:ascii="Arial" w:eastAsia="Arial" w:hAnsi="Arial" w:cs="Arial"/>
                <w:sz w:val="18"/>
              </w:rPr>
            </w:pPr>
            <w:r>
              <w:rPr>
                <w:rFonts w:ascii="Arial" w:eastAsia="Arial" w:hAnsi="Arial" w:cs="Arial"/>
                <w:sz w:val="18"/>
              </w:rPr>
              <w:t xml:space="preserve">Net claims paid </w:t>
            </w:r>
            <w:r>
              <w:rPr>
                <w:rFonts w:ascii="Arial" w:eastAsia="Arial" w:hAnsi="Arial" w:cs="Arial"/>
                <w:sz w:val="18"/>
                <w:vertAlign w:val="superscript"/>
              </w:rPr>
              <w:t>(1)</w:t>
            </w:r>
          </w:p>
        </w:tc>
        <w:tc>
          <w:tcPr>
            <w:tcW w:w="105" w:type="dxa"/>
            <w:tcBorders>
              <w:top w:val="single" w:sz="8" w:space="0" w:color="C7C9C7"/>
              <w:left w:val="nil"/>
              <w:bottom w:val="nil"/>
              <w:right w:val="nil"/>
            </w:tcBorders>
            <w:tcMar>
              <w:top w:w="0" w:type="dxa"/>
              <w:left w:w="0" w:type="dxa"/>
              <w:bottom w:w="0" w:type="dxa"/>
              <w:right w:w="0" w:type="dxa"/>
            </w:tcMar>
            <w:vAlign w:val="bottom"/>
          </w:tcPr>
          <w:p w14:paraId="44DC873A" w14:textId="77777777" w:rsidR="001614AC" w:rsidRDefault="001614AC">
            <w:pPr>
              <w:keepNext/>
            </w:pPr>
          </w:p>
        </w:tc>
        <w:tc>
          <w:tcPr>
            <w:tcW w:w="1005" w:type="dxa"/>
            <w:gridSpan w:val="3"/>
            <w:tcBorders>
              <w:top w:val="single" w:sz="8" w:space="0" w:color="C7C9C7"/>
              <w:left w:val="nil"/>
              <w:bottom w:val="single" w:sz="8" w:space="0" w:color="E9E9E9"/>
              <w:right w:val="nil"/>
            </w:tcBorders>
            <w:tcMar>
              <w:top w:w="0" w:type="dxa"/>
              <w:left w:w="0" w:type="dxa"/>
              <w:bottom w:w="0" w:type="dxa"/>
              <w:right w:w="0" w:type="dxa"/>
            </w:tcMar>
            <w:vAlign w:val="bottom"/>
          </w:tcPr>
          <w:p w14:paraId="5B3C947C" w14:textId="77777777" w:rsidR="001614AC" w:rsidRDefault="001614AC">
            <w:pPr>
              <w:keepNext/>
            </w:pPr>
          </w:p>
        </w:tc>
        <w:tc>
          <w:tcPr>
            <w:tcW w:w="75" w:type="dxa"/>
            <w:tcBorders>
              <w:top w:val="single" w:sz="8" w:space="0" w:color="C7C9C7"/>
              <w:left w:val="nil"/>
              <w:bottom w:val="nil"/>
              <w:right w:val="nil"/>
            </w:tcBorders>
            <w:tcMar>
              <w:top w:w="0" w:type="dxa"/>
              <w:left w:w="0" w:type="dxa"/>
              <w:bottom w:w="0" w:type="dxa"/>
              <w:right w:w="0" w:type="dxa"/>
            </w:tcMar>
            <w:vAlign w:val="bottom"/>
          </w:tcPr>
          <w:p w14:paraId="3E193FC6" w14:textId="77777777" w:rsidR="001614AC" w:rsidRDefault="001614AC">
            <w:pPr>
              <w:keepNext/>
            </w:pPr>
          </w:p>
        </w:tc>
        <w:tc>
          <w:tcPr>
            <w:tcW w:w="1005" w:type="dxa"/>
            <w:gridSpan w:val="3"/>
            <w:tcBorders>
              <w:top w:val="single" w:sz="8" w:space="0" w:color="C7C9C7"/>
              <w:left w:val="nil"/>
              <w:bottom w:val="single" w:sz="8" w:space="0" w:color="E9E9E9"/>
              <w:right w:val="nil"/>
            </w:tcBorders>
            <w:tcMar>
              <w:top w:w="0" w:type="dxa"/>
              <w:left w:w="0" w:type="dxa"/>
              <w:bottom w:w="0" w:type="dxa"/>
              <w:right w:w="0" w:type="dxa"/>
            </w:tcMar>
            <w:vAlign w:val="bottom"/>
          </w:tcPr>
          <w:p w14:paraId="69B069E4" w14:textId="77777777" w:rsidR="001614AC" w:rsidRDefault="001614AC">
            <w:pPr>
              <w:keepNext/>
            </w:pPr>
          </w:p>
        </w:tc>
        <w:tc>
          <w:tcPr>
            <w:tcW w:w="105" w:type="dxa"/>
            <w:tcBorders>
              <w:top w:val="single" w:sz="8" w:space="0" w:color="C7C9C7"/>
              <w:left w:val="nil"/>
              <w:bottom w:val="nil"/>
              <w:right w:val="nil"/>
            </w:tcBorders>
            <w:tcMar>
              <w:top w:w="0" w:type="dxa"/>
              <w:left w:w="0" w:type="dxa"/>
              <w:bottom w:w="0" w:type="dxa"/>
              <w:right w:w="0" w:type="dxa"/>
            </w:tcMar>
            <w:vAlign w:val="bottom"/>
          </w:tcPr>
          <w:p w14:paraId="2FDB3D4D" w14:textId="77777777" w:rsidR="001614AC" w:rsidRDefault="001614AC">
            <w:pPr>
              <w:keepNext/>
            </w:pPr>
          </w:p>
        </w:tc>
        <w:tc>
          <w:tcPr>
            <w:tcW w:w="1005" w:type="dxa"/>
            <w:gridSpan w:val="3"/>
            <w:tcBorders>
              <w:top w:val="single" w:sz="8" w:space="0" w:color="C7C9C7"/>
              <w:left w:val="nil"/>
              <w:bottom w:val="single" w:sz="8" w:space="0" w:color="E9E9E9"/>
              <w:right w:val="nil"/>
            </w:tcBorders>
            <w:tcMar>
              <w:top w:w="0" w:type="dxa"/>
              <w:left w:w="0" w:type="dxa"/>
              <w:bottom w:w="0" w:type="dxa"/>
              <w:right w:w="0" w:type="dxa"/>
            </w:tcMar>
            <w:vAlign w:val="bottom"/>
          </w:tcPr>
          <w:p w14:paraId="08CB74EA" w14:textId="77777777" w:rsidR="001614AC" w:rsidRDefault="001614AC">
            <w:pPr>
              <w:keepNext/>
            </w:pPr>
          </w:p>
        </w:tc>
        <w:tc>
          <w:tcPr>
            <w:tcW w:w="105" w:type="dxa"/>
            <w:tcBorders>
              <w:top w:val="single" w:sz="8" w:space="0" w:color="C7C9C7"/>
              <w:left w:val="nil"/>
              <w:bottom w:val="nil"/>
              <w:right w:val="nil"/>
            </w:tcBorders>
            <w:tcMar>
              <w:top w:w="0" w:type="dxa"/>
              <w:left w:w="0" w:type="dxa"/>
              <w:bottom w:w="0" w:type="dxa"/>
              <w:right w:w="0" w:type="dxa"/>
            </w:tcMar>
            <w:vAlign w:val="bottom"/>
          </w:tcPr>
          <w:p w14:paraId="0050E27E" w14:textId="77777777" w:rsidR="001614AC" w:rsidRDefault="001614AC">
            <w:pPr>
              <w:keepNext/>
            </w:pPr>
          </w:p>
        </w:tc>
        <w:tc>
          <w:tcPr>
            <w:tcW w:w="1005" w:type="dxa"/>
            <w:gridSpan w:val="3"/>
            <w:tcBorders>
              <w:top w:val="single" w:sz="8" w:space="0" w:color="C7C9C7"/>
              <w:left w:val="nil"/>
              <w:bottom w:val="single" w:sz="8" w:space="0" w:color="E9E9E9"/>
              <w:right w:val="nil"/>
            </w:tcBorders>
            <w:tcMar>
              <w:top w:w="0" w:type="dxa"/>
              <w:left w:w="0" w:type="dxa"/>
              <w:bottom w:w="0" w:type="dxa"/>
              <w:right w:w="0" w:type="dxa"/>
            </w:tcMar>
            <w:vAlign w:val="bottom"/>
          </w:tcPr>
          <w:p w14:paraId="3A0DB911" w14:textId="77777777" w:rsidR="001614AC" w:rsidRDefault="001614AC">
            <w:pPr>
              <w:keepNext/>
            </w:pPr>
          </w:p>
        </w:tc>
      </w:tr>
      <w:tr w:rsidR="001614AC" w14:paraId="3216658D" w14:textId="77777777">
        <w:trPr>
          <w:cantSplit/>
        </w:trPr>
        <w:tc>
          <w:tcPr>
            <w:tcW w:w="5670" w:type="dxa"/>
            <w:tcBorders>
              <w:top w:val="single" w:sz="8" w:space="0" w:color="E9E9E9"/>
              <w:left w:val="nil"/>
              <w:bottom w:val="single" w:sz="8" w:space="0" w:color="E9E9E9"/>
              <w:right w:val="nil"/>
            </w:tcBorders>
            <w:tcMar>
              <w:top w:w="0" w:type="dxa"/>
              <w:left w:w="53" w:type="dxa"/>
              <w:bottom w:w="0" w:type="dxa"/>
              <w:right w:w="53" w:type="dxa"/>
            </w:tcMar>
            <w:vAlign w:val="bottom"/>
          </w:tcPr>
          <w:p w14:paraId="73BDA42F" w14:textId="77777777" w:rsidR="001614AC" w:rsidRDefault="004468F9">
            <w:pPr>
              <w:keepNext/>
              <w:spacing w:before="55" w:after="30" w:line="288" w:lineRule="auto"/>
              <w:ind w:left="240"/>
            </w:pPr>
            <w:r>
              <w:rPr>
                <w:rFonts w:ascii="Arial" w:eastAsia="Arial" w:hAnsi="Arial" w:cs="Arial"/>
                <w:color w:val="000000"/>
                <w:sz w:val="18"/>
              </w:rPr>
              <w:t>Total primary claims paid</w:t>
            </w:r>
          </w:p>
        </w:tc>
        <w:tc>
          <w:tcPr>
            <w:tcW w:w="105" w:type="dxa"/>
            <w:tcBorders>
              <w:top w:val="nil"/>
              <w:left w:val="nil"/>
              <w:bottom w:val="nil"/>
              <w:right w:val="nil"/>
            </w:tcBorders>
            <w:tcMar>
              <w:top w:w="0" w:type="dxa"/>
              <w:left w:w="0" w:type="dxa"/>
              <w:bottom w:w="0" w:type="dxa"/>
              <w:right w:w="0" w:type="dxa"/>
            </w:tcMar>
            <w:vAlign w:val="bottom"/>
          </w:tcPr>
          <w:p w14:paraId="4D509995" w14:textId="77777777" w:rsidR="001614AC" w:rsidRDefault="001614AC">
            <w:pPr>
              <w:keepNext/>
            </w:pPr>
          </w:p>
        </w:tc>
        <w:tc>
          <w:tcPr>
            <w:tcW w:w="160" w:type="dxa"/>
            <w:tcBorders>
              <w:top w:val="single" w:sz="8" w:space="0" w:color="E9E9E9"/>
              <w:left w:val="nil"/>
              <w:bottom w:val="single" w:sz="8" w:space="0" w:color="E9E9E9"/>
              <w:right w:val="nil"/>
            </w:tcBorders>
            <w:tcMar>
              <w:top w:w="0" w:type="dxa"/>
              <w:left w:w="53" w:type="dxa"/>
              <w:bottom w:w="0" w:type="dxa"/>
              <w:right w:w="0" w:type="dxa"/>
            </w:tcMar>
            <w:vAlign w:val="bottom"/>
          </w:tcPr>
          <w:p w14:paraId="2820C25F" w14:textId="77777777" w:rsidR="001614AC" w:rsidRDefault="004468F9">
            <w:pPr>
              <w:keepNext/>
              <w:spacing w:before="55" w:after="30" w:line="288" w:lineRule="auto"/>
            </w:pPr>
            <w:r>
              <w:rPr>
                <w:rFonts w:ascii="Arial" w:eastAsia="Arial" w:hAnsi="Arial" w:cs="Arial"/>
                <w:color w:val="000000"/>
                <w:sz w:val="18"/>
              </w:rPr>
              <w:t>$</w:t>
            </w:r>
          </w:p>
        </w:tc>
        <w:tc>
          <w:tcPr>
            <w:tcW w:w="745" w:type="dxa"/>
            <w:tcBorders>
              <w:top w:val="single" w:sz="8" w:space="0" w:color="E9E9E9"/>
              <w:left w:val="nil"/>
              <w:bottom w:val="single" w:sz="8" w:space="0" w:color="E9E9E9"/>
              <w:right w:val="nil"/>
            </w:tcBorders>
            <w:tcMar>
              <w:top w:w="0" w:type="dxa"/>
              <w:left w:w="0" w:type="dxa"/>
              <w:bottom w:w="0" w:type="dxa"/>
              <w:right w:w="0" w:type="dxa"/>
            </w:tcMar>
            <w:vAlign w:val="bottom"/>
          </w:tcPr>
          <w:p w14:paraId="0BCD76CE" w14:textId="77777777" w:rsidR="001614AC" w:rsidRDefault="004468F9">
            <w:pPr>
              <w:keepNext/>
              <w:spacing w:before="55" w:after="30" w:line="288" w:lineRule="auto"/>
              <w:jc w:val="right"/>
            </w:pPr>
            <w:r>
              <w:rPr>
                <w:rFonts w:ascii="Arial" w:eastAsia="Arial" w:hAnsi="Arial" w:cs="Arial"/>
                <w:color w:val="000000"/>
                <w:sz w:val="18"/>
              </w:rPr>
              <w:t>4,870 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64536A77" w14:textId="77777777" w:rsidR="001614AC" w:rsidRDefault="001614AC">
            <w:pPr>
              <w:keepNext/>
              <w:spacing w:before="55" w:after="30" w:line="288" w:lineRule="auto"/>
              <w:jc w:val="right"/>
            </w:pPr>
          </w:p>
        </w:tc>
        <w:tc>
          <w:tcPr>
            <w:tcW w:w="75" w:type="dxa"/>
            <w:tcBorders>
              <w:top w:val="nil"/>
              <w:left w:val="nil"/>
              <w:bottom w:val="nil"/>
              <w:right w:val="nil"/>
            </w:tcBorders>
            <w:tcMar>
              <w:top w:w="0" w:type="dxa"/>
              <w:left w:w="0" w:type="dxa"/>
              <w:bottom w:w="0" w:type="dxa"/>
              <w:right w:w="0" w:type="dxa"/>
            </w:tcMar>
            <w:vAlign w:val="bottom"/>
          </w:tcPr>
          <w:p w14:paraId="6F2848D2" w14:textId="77777777" w:rsidR="001614AC" w:rsidRDefault="001614AC">
            <w:pPr>
              <w:keepNext/>
            </w:pPr>
          </w:p>
        </w:tc>
        <w:tc>
          <w:tcPr>
            <w:tcW w:w="160" w:type="dxa"/>
            <w:tcBorders>
              <w:top w:val="single" w:sz="8" w:space="0" w:color="E9E9E9"/>
              <w:left w:val="nil"/>
              <w:bottom w:val="single" w:sz="8" w:space="0" w:color="E9E9E9"/>
              <w:right w:val="nil"/>
            </w:tcBorders>
            <w:tcMar>
              <w:top w:w="0" w:type="dxa"/>
              <w:left w:w="53" w:type="dxa"/>
              <w:bottom w:w="0" w:type="dxa"/>
              <w:right w:w="0" w:type="dxa"/>
            </w:tcMar>
            <w:vAlign w:val="bottom"/>
          </w:tcPr>
          <w:p w14:paraId="777E8836" w14:textId="77777777" w:rsidR="001614AC" w:rsidRDefault="004468F9">
            <w:pPr>
              <w:keepNext/>
              <w:spacing w:before="55" w:after="30" w:line="288" w:lineRule="auto"/>
            </w:pPr>
            <w:r>
              <w:rPr>
                <w:rFonts w:ascii="Arial" w:eastAsia="Arial" w:hAnsi="Arial" w:cs="Arial"/>
                <w:color w:val="000000"/>
                <w:sz w:val="18"/>
              </w:rPr>
              <w:t>$</w:t>
            </w:r>
          </w:p>
        </w:tc>
        <w:tc>
          <w:tcPr>
            <w:tcW w:w="745" w:type="dxa"/>
            <w:tcBorders>
              <w:top w:val="single" w:sz="8" w:space="0" w:color="E9E9E9"/>
              <w:left w:val="nil"/>
              <w:bottom w:val="single" w:sz="8" w:space="0" w:color="E9E9E9"/>
              <w:right w:val="nil"/>
            </w:tcBorders>
            <w:tcMar>
              <w:top w:w="0" w:type="dxa"/>
              <w:left w:w="0" w:type="dxa"/>
              <w:bottom w:w="0" w:type="dxa"/>
              <w:right w:w="0" w:type="dxa"/>
            </w:tcMar>
            <w:vAlign w:val="bottom"/>
          </w:tcPr>
          <w:p w14:paraId="4C3C7D6C" w14:textId="77777777" w:rsidR="001614AC" w:rsidRDefault="004468F9">
            <w:pPr>
              <w:keepNext/>
              <w:spacing w:before="55" w:after="30" w:line="288" w:lineRule="auto"/>
              <w:jc w:val="right"/>
            </w:pPr>
            <w:r>
              <w:rPr>
                <w:rFonts w:ascii="Arial" w:eastAsia="Arial" w:hAnsi="Arial" w:cs="Arial"/>
                <w:color w:val="000000"/>
                <w:sz w:val="18"/>
              </w:rPr>
              <w:t>22,144 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47A4712D" w14:textId="77777777" w:rsidR="001614AC" w:rsidRDefault="001614AC">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0A969621" w14:textId="77777777" w:rsidR="001614AC" w:rsidRDefault="001614AC">
            <w:pPr>
              <w:keepNext/>
            </w:pPr>
          </w:p>
        </w:tc>
        <w:tc>
          <w:tcPr>
            <w:tcW w:w="160" w:type="dxa"/>
            <w:tcBorders>
              <w:top w:val="single" w:sz="8" w:space="0" w:color="E9E9E9"/>
              <w:left w:val="nil"/>
              <w:bottom w:val="single" w:sz="8" w:space="0" w:color="E9E9E9"/>
              <w:right w:val="nil"/>
            </w:tcBorders>
            <w:tcMar>
              <w:top w:w="0" w:type="dxa"/>
              <w:left w:w="53" w:type="dxa"/>
              <w:bottom w:w="0" w:type="dxa"/>
              <w:right w:w="0" w:type="dxa"/>
            </w:tcMar>
            <w:vAlign w:val="bottom"/>
          </w:tcPr>
          <w:p w14:paraId="4E0A2E1A" w14:textId="77777777" w:rsidR="001614AC" w:rsidRDefault="004468F9">
            <w:pPr>
              <w:keepNext/>
              <w:spacing w:before="55" w:after="30" w:line="288" w:lineRule="auto"/>
            </w:pPr>
            <w:r>
              <w:rPr>
                <w:rFonts w:ascii="Arial" w:eastAsia="Arial" w:hAnsi="Arial" w:cs="Arial"/>
                <w:color w:val="000000"/>
                <w:sz w:val="18"/>
              </w:rPr>
              <w:t>$</w:t>
            </w:r>
          </w:p>
        </w:tc>
        <w:tc>
          <w:tcPr>
            <w:tcW w:w="745" w:type="dxa"/>
            <w:tcBorders>
              <w:top w:val="single" w:sz="8" w:space="0" w:color="E9E9E9"/>
              <w:left w:val="nil"/>
              <w:bottom w:val="single" w:sz="8" w:space="0" w:color="E9E9E9"/>
              <w:right w:val="nil"/>
            </w:tcBorders>
            <w:tcMar>
              <w:top w:w="0" w:type="dxa"/>
              <w:left w:w="0" w:type="dxa"/>
              <w:bottom w:w="0" w:type="dxa"/>
              <w:right w:w="0" w:type="dxa"/>
            </w:tcMar>
            <w:vAlign w:val="bottom"/>
          </w:tcPr>
          <w:p w14:paraId="77978B89" w14:textId="77777777" w:rsidR="001614AC" w:rsidRDefault="004468F9">
            <w:pPr>
              <w:keepNext/>
              <w:spacing w:before="55" w:after="30" w:line="288" w:lineRule="auto"/>
              <w:jc w:val="right"/>
            </w:pPr>
            <w:r>
              <w:rPr>
                <w:rFonts w:ascii="Arial" w:eastAsia="Arial" w:hAnsi="Arial" w:cs="Arial"/>
                <w:color w:val="000000"/>
                <w:sz w:val="18"/>
              </w:rPr>
              <w:t>11,481 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0BD0FCC9" w14:textId="77777777" w:rsidR="001614AC" w:rsidRDefault="001614AC">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6B7E61CA" w14:textId="77777777" w:rsidR="001614AC" w:rsidRDefault="001614AC">
            <w:pPr>
              <w:keepNext/>
            </w:pPr>
          </w:p>
        </w:tc>
        <w:tc>
          <w:tcPr>
            <w:tcW w:w="160" w:type="dxa"/>
            <w:tcBorders>
              <w:top w:val="single" w:sz="8" w:space="0" w:color="E9E9E9"/>
              <w:left w:val="nil"/>
              <w:bottom w:val="single" w:sz="8" w:space="0" w:color="E9E9E9"/>
              <w:right w:val="nil"/>
            </w:tcBorders>
            <w:tcMar>
              <w:top w:w="0" w:type="dxa"/>
              <w:left w:w="53" w:type="dxa"/>
              <w:bottom w:w="0" w:type="dxa"/>
              <w:right w:w="0" w:type="dxa"/>
            </w:tcMar>
            <w:vAlign w:val="bottom"/>
          </w:tcPr>
          <w:p w14:paraId="6A7A7A1E" w14:textId="77777777" w:rsidR="001614AC" w:rsidRDefault="004468F9">
            <w:pPr>
              <w:keepNext/>
              <w:spacing w:before="55" w:after="30" w:line="288" w:lineRule="auto"/>
            </w:pPr>
            <w:r>
              <w:rPr>
                <w:rFonts w:ascii="Arial" w:eastAsia="Arial" w:hAnsi="Arial" w:cs="Arial"/>
                <w:color w:val="000000"/>
                <w:sz w:val="18"/>
              </w:rPr>
              <w:t>$</w:t>
            </w:r>
          </w:p>
        </w:tc>
        <w:tc>
          <w:tcPr>
            <w:tcW w:w="745" w:type="dxa"/>
            <w:tcBorders>
              <w:top w:val="single" w:sz="8" w:space="0" w:color="E9E9E9"/>
              <w:left w:val="nil"/>
              <w:bottom w:val="single" w:sz="8" w:space="0" w:color="E9E9E9"/>
              <w:right w:val="nil"/>
            </w:tcBorders>
            <w:tcMar>
              <w:top w:w="0" w:type="dxa"/>
              <w:left w:w="0" w:type="dxa"/>
              <w:bottom w:w="0" w:type="dxa"/>
              <w:right w:w="0" w:type="dxa"/>
            </w:tcMar>
            <w:vAlign w:val="bottom"/>
          </w:tcPr>
          <w:p w14:paraId="77ABB4ED" w14:textId="77777777" w:rsidR="001614AC" w:rsidRDefault="004468F9">
            <w:pPr>
              <w:keepNext/>
              <w:spacing w:before="55" w:after="30" w:line="288" w:lineRule="auto"/>
              <w:jc w:val="right"/>
            </w:pPr>
            <w:r>
              <w:rPr>
                <w:rFonts w:ascii="Arial" w:eastAsia="Arial" w:hAnsi="Arial" w:cs="Arial"/>
                <w:color w:val="000000"/>
                <w:sz w:val="18"/>
              </w:rPr>
              <w:t>46,502 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1148D4BF" w14:textId="77777777" w:rsidR="001614AC" w:rsidRDefault="001614AC">
            <w:pPr>
              <w:keepNext/>
              <w:spacing w:before="55" w:after="30" w:line="288" w:lineRule="auto"/>
              <w:jc w:val="right"/>
            </w:pPr>
          </w:p>
        </w:tc>
      </w:tr>
      <w:tr w:rsidR="001614AC" w14:paraId="033CB486" w14:textId="77777777">
        <w:trPr>
          <w:cantSplit/>
        </w:trPr>
        <w:tc>
          <w:tcPr>
            <w:tcW w:w="5670" w:type="dxa"/>
            <w:tcBorders>
              <w:top w:val="single" w:sz="8" w:space="0" w:color="E9E9E9"/>
              <w:left w:val="nil"/>
              <w:bottom w:val="nil"/>
              <w:right w:val="nil"/>
            </w:tcBorders>
            <w:tcMar>
              <w:top w:w="0" w:type="dxa"/>
              <w:left w:w="53" w:type="dxa"/>
              <w:bottom w:w="0" w:type="dxa"/>
              <w:right w:w="53" w:type="dxa"/>
            </w:tcMar>
            <w:vAlign w:val="bottom"/>
          </w:tcPr>
          <w:p w14:paraId="2042949D" w14:textId="77777777" w:rsidR="001614AC" w:rsidRDefault="004468F9">
            <w:pPr>
              <w:keepNext/>
              <w:spacing w:before="55" w:after="30" w:line="288" w:lineRule="auto"/>
              <w:ind w:left="240"/>
            </w:pPr>
            <w:r>
              <w:rPr>
                <w:rFonts w:ascii="Arial" w:eastAsia="Arial" w:hAnsi="Arial" w:cs="Arial"/>
                <w:color w:val="000000"/>
                <w:sz w:val="18"/>
              </w:rPr>
              <w:t>Total pool and other</w:t>
            </w:r>
          </w:p>
        </w:tc>
        <w:tc>
          <w:tcPr>
            <w:tcW w:w="105" w:type="dxa"/>
            <w:tcBorders>
              <w:top w:val="nil"/>
              <w:left w:val="nil"/>
              <w:bottom w:val="nil"/>
              <w:right w:val="nil"/>
            </w:tcBorders>
            <w:tcMar>
              <w:top w:w="0" w:type="dxa"/>
              <w:left w:w="0" w:type="dxa"/>
              <w:bottom w:w="0" w:type="dxa"/>
              <w:right w:w="0" w:type="dxa"/>
            </w:tcMar>
            <w:vAlign w:val="bottom"/>
          </w:tcPr>
          <w:p w14:paraId="354BFBF7" w14:textId="77777777" w:rsidR="001614AC" w:rsidRDefault="001614AC">
            <w:pPr>
              <w:keepNext/>
            </w:pPr>
          </w:p>
        </w:tc>
        <w:tc>
          <w:tcPr>
            <w:tcW w:w="905" w:type="dxa"/>
            <w:gridSpan w:val="2"/>
            <w:tcBorders>
              <w:top w:val="single" w:sz="8" w:space="0" w:color="E9E9E9"/>
              <w:left w:val="nil"/>
              <w:bottom w:val="single" w:sz="8" w:space="0" w:color="C7C9C7"/>
              <w:right w:val="nil"/>
            </w:tcBorders>
            <w:tcMar>
              <w:top w:w="0" w:type="dxa"/>
              <w:left w:w="53" w:type="dxa"/>
              <w:bottom w:w="0" w:type="dxa"/>
              <w:right w:w="0" w:type="dxa"/>
            </w:tcMar>
            <w:vAlign w:val="bottom"/>
          </w:tcPr>
          <w:p w14:paraId="3F0DFDA9" w14:textId="77777777" w:rsidR="001614AC" w:rsidRDefault="004468F9">
            <w:pPr>
              <w:keepNext/>
              <w:spacing w:before="55" w:after="30" w:line="288" w:lineRule="auto"/>
              <w:jc w:val="right"/>
            </w:pPr>
            <w:r>
              <w:rPr>
                <w:rFonts w:ascii="Arial" w:eastAsia="Arial" w:hAnsi="Arial" w:cs="Arial"/>
                <w:color w:val="000000"/>
                <w:sz w:val="18"/>
              </w:rPr>
              <w:t>(649)</w:t>
            </w:r>
          </w:p>
        </w:tc>
        <w:tc>
          <w:tcPr>
            <w:tcW w:w="100" w:type="dxa"/>
            <w:tcBorders>
              <w:top w:val="single" w:sz="8" w:space="0" w:color="E9E9E9"/>
              <w:left w:val="nil"/>
              <w:bottom w:val="single" w:sz="8" w:space="0" w:color="C7C9C7"/>
              <w:right w:val="nil"/>
            </w:tcBorders>
            <w:tcMar>
              <w:top w:w="0" w:type="dxa"/>
              <w:left w:w="0" w:type="dxa"/>
              <w:bottom w:w="0" w:type="dxa"/>
              <w:right w:w="15" w:type="dxa"/>
            </w:tcMar>
            <w:vAlign w:val="bottom"/>
          </w:tcPr>
          <w:p w14:paraId="16C90873" w14:textId="77777777" w:rsidR="001614AC" w:rsidRDefault="001614AC">
            <w:pPr>
              <w:keepNext/>
              <w:spacing w:before="55" w:after="30" w:line="288" w:lineRule="auto"/>
              <w:jc w:val="right"/>
            </w:pPr>
          </w:p>
        </w:tc>
        <w:tc>
          <w:tcPr>
            <w:tcW w:w="75" w:type="dxa"/>
            <w:tcBorders>
              <w:top w:val="nil"/>
              <w:left w:val="nil"/>
              <w:bottom w:val="nil"/>
              <w:right w:val="nil"/>
            </w:tcBorders>
            <w:tcMar>
              <w:top w:w="0" w:type="dxa"/>
              <w:left w:w="0" w:type="dxa"/>
              <w:bottom w:w="0" w:type="dxa"/>
              <w:right w:w="0" w:type="dxa"/>
            </w:tcMar>
            <w:vAlign w:val="bottom"/>
          </w:tcPr>
          <w:p w14:paraId="3955E544" w14:textId="77777777" w:rsidR="001614AC" w:rsidRDefault="001614AC">
            <w:pPr>
              <w:keepNext/>
            </w:pPr>
          </w:p>
        </w:tc>
        <w:tc>
          <w:tcPr>
            <w:tcW w:w="905" w:type="dxa"/>
            <w:gridSpan w:val="2"/>
            <w:tcBorders>
              <w:top w:val="single" w:sz="8" w:space="0" w:color="E9E9E9"/>
              <w:left w:val="nil"/>
              <w:bottom w:val="single" w:sz="8" w:space="0" w:color="C7C9C7"/>
              <w:right w:val="nil"/>
            </w:tcBorders>
            <w:tcMar>
              <w:top w:w="0" w:type="dxa"/>
              <w:left w:w="53" w:type="dxa"/>
              <w:bottom w:w="0" w:type="dxa"/>
              <w:right w:w="0" w:type="dxa"/>
            </w:tcMar>
            <w:vAlign w:val="bottom"/>
          </w:tcPr>
          <w:p w14:paraId="2F49321A" w14:textId="77777777" w:rsidR="001614AC" w:rsidRDefault="004468F9">
            <w:pPr>
              <w:keepNext/>
              <w:spacing w:before="55" w:after="30" w:line="288" w:lineRule="auto"/>
              <w:jc w:val="right"/>
            </w:pPr>
            <w:r>
              <w:rPr>
                <w:rFonts w:ascii="Arial" w:eastAsia="Arial" w:hAnsi="Arial" w:cs="Arial"/>
                <w:color w:val="000000"/>
                <w:sz w:val="18"/>
              </w:rPr>
              <w:t>639 </w:t>
            </w:r>
          </w:p>
        </w:tc>
        <w:tc>
          <w:tcPr>
            <w:tcW w:w="100" w:type="dxa"/>
            <w:tcBorders>
              <w:top w:val="single" w:sz="8" w:space="0" w:color="E9E9E9"/>
              <w:left w:val="nil"/>
              <w:bottom w:val="single" w:sz="8" w:space="0" w:color="C7C9C7"/>
              <w:right w:val="nil"/>
            </w:tcBorders>
            <w:tcMar>
              <w:top w:w="0" w:type="dxa"/>
              <w:left w:w="0" w:type="dxa"/>
              <w:bottom w:w="0" w:type="dxa"/>
              <w:right w:w="15" w:type="dxa"/>
            </w:tcMar>
            <w:vAlign w:val="bottom"/>
          </w:tcPr>
          <w:p w14:paraId="2613E577" w14:textId="77777777" w:rsidR="001614AC" w:rsidRDefault="001614AC">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6456CDC9" w14:textId="77777777" w:rsidR="001614AC" w:rsidRDefault="001614AC">
            <w:pPr>
              <w:keepNext/>
            </w:pPr>
          </w:p>
        </w:tc>
        <w:tc>
          <w:tcPr>
            <w:tcW w:w="905" w:type="dxa"/>
            <w:gridSpan w:val="2"/>
            <w:tcBorders>
              <w:top w:val="single" w:sz="8" w:space="0" w:color="E9E9E9"/>
              <w:left w:val="nil"/>
              <w:bottom w:val="single" w:sz="8" w:space="0" w:color="C7C9C7"/>
              <w:right w:val="nil"/>
            </w:tcBorders>
            <w:tcMar>
              <w:top w:w="0" w:type="dxa"/>
              <w:left w:w="53" w:type="dxa"/>
              <w:bottom w:w="0" w:type="dxa"/>
              <w:right w:w="0" w:type="dxa"/>
            </w:tcMar>
            <w:vAlign w:val="bottom"/>
          </w:tcPr>
          <w:p w14:paraId="712183C4" w14:textId="77777777" w:rsidR="001614AC" w:rsidRDefault="004468F9">
            <w:pPr>
              <w:keepNext/>
              <w:spacing w:before="55" w:after="30" w:line="288" w:lineRule="auto"/>
              <w:jc w:val="right"/>
            </w:pPr>
            <w:r>
              <w:rPr>
                <w:rFonts w:ascii="Arial" w:eastAsia="Arial" w:hAnsi="Arial" w:cs="Arial"/>
                <w:color w:val="000000"/>
                <w:sz w:val="18"/>
              </w:rPr>
              <w:t>(787)</w:t>
            </w:r>
          </w:p>
        </w:tc>
        <w:tc>
          <w:tcPr>
            <w:tcW w:w="100" w:type="dxa"/>
            <w:tcBorders>
              <w:top w:val="single" w:sz="8" w:space="0" w:color="E9E9E9"/>
              <w:left w:val="nil"/>
              <w:bottom w:val="single" w:sz="8" w:space="0" w:color="C7C9C7"/>
              <w:right w:val="nil"/>
            </w:tcBorders>
            <w:tcMar>
              <w:top w:w="0" w:type="dxa"/>
              <w:left w:w="0" w:type="dxa"/>
              <w:bottom w:w="0" w:type="dxa"/>
              <w:right w:w="15" w:type="dxa"/>
            </w:tcMar>
            <w:vAlign w:val="bottom"/>
          </w:tcPr>
          <w:p w14:paraId="2DC8D7B0" w14:textId="77777777" w:rsidR="001614AC" w:rsidRDefault="001614AC">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0D073A8E" w14:textId="77777777" w:rsidR="001614AC" w:rsidRDefault="001614AC">
            <w:pPr>
              <w:keepNext/>
            </w:pPr>
          </w:p>
        </w:tc>
        <w:tc>
          <w:tcPr>
            <w:tcW w:w="905" w:type="dxa"/>
            <w:gridSpan w:val="2"/>
            <w:tcBorders>
              <w:top w:val="single" w:sz="8" w:space="0" w:color="E9E9E9"/>
              <w:left w:val="nil"/>
              <w:bottom w:val="single" w:sz="8" w:space="0" w:color="C7C9C7"/>
              <w:right w:val="nil"/>
            </w:tcBorders>
            <w:tcMar>
              <w:top w:w="0" w:type="dxa"/>
              <w:left w:w="53" w:type="dxa"/>
              <w:bottom w:w="0" w:type="dxa"/>
              <w:right w:w="0" w:type="dxa"/>
            </w:tcMar>
            <w:vAlign w:val="bottom"/>
          </w:tcPr>
          <w:p w14:paraId="695E153A" w14:textId="77777777" w:rsidR="001614AC" w:rsidRDefault="004468F9">
            <w:pPr>
              <w:keepNext/>
              <w:spacing w:before="55" w:after="30" w:line="288" w:lineRule="auto"/>
              <w:jc w:val="right"/>
            </w:pPr>
            <w:r>
              <w:rPr>
                <w:rFonts w:ascii="Arial" w:eastAsia="Arial" w:hAnsi="Arial" w:cs="Arial"/>
                <w:color w:val="000000"/>
                <w:sz w:val="18"/>
              </w:rPr>
              <w:t>(272)</w:t>
            </w:r>
          </w:p>
        </w:tc>
        <w:tc>
          <w:tcPr>
            <w:tcW w:w="100" w:type="dxa"/>
            <w:tcBorders>
              <w:top w:val="single" w:sz="8" w:space="0" w:color="E9E9E9"/>
              <w:left w:val="nil"/>
              <w:bottom w:val="single" w:sz="8" w:space="0" w:color="C7C9C7"/>
              <w:right w:val="nil"/>
            </w:tcBorders>
            <w:tcMar>
              <w:top w:w="0" w:type="dxa"/>
              <w:left w:w="0" w:type="dxa"/>
              <w:bottom w:w="0" w:type="dxa"/>
              <w:right w:w="15" w:type="dxa"/>
            </w:tcMar>
            <w:vAlign w:val="bottom"/>
          </w:tcPr>
          <w:p w14:paraId="59614263" w14:textId="77777777" w:rsidR="001614AC" w:rsidRDefault="001614AC">
            <w:pPr>
              <w:keepNext/>
              <w:spacing w:before="55" w:after="30" w:line="288" w:lineRule="auto"/>
              <w:jc w:val="right"/>
            </w:pPr>
          </w:p>
        </w:tc>
      </w:tr>
      <w:tr w:rsidR="001614AC" w14:paraId="28A68A11" w14:textId="77777777">
        <w:trPr>
          <w:cantSplit/>
        </w:trPr>
        <w:tc>
          <w:tcPr>
            <w:tcW w:w="5670" w:type="dxa"/>
            <w:tcBorders>
              <w:top w:val="nil"/>
              <w:left w:val="nil"/>
              <w:bottom w:val="nil"/>
              <w:right w:val="nil"/>
            </w:tcBorders>
            <w:shd w:val="clear" w:color="auto" w:fill="F4F4F4"/>
            <w:tcMar>
              <w:top w:w="0" w:type="dxa"/>
              <w:left w:w="53" w:type="dxa"/>
              <w:bottom w:w="0" w:type="dxa"/>
              <w:right w:w="53" w:type="dxa"/>
            </w:tcMar>
            <w:vAlign w:val="bottom"/>
          </w:tcPr>
          <w:p w14:paraId="4AE62304" w14:textId="77777777" w:rsidR="001614AC" w:rsidRDefault="004468F9">
            <w:pPr>
              <w:keepNext/>
              <w:spacing w:before="75" w:after="30" w:line="288" w:lineRule="auto"/>
              <w:ind w:left="240"/>
            </w:pPr>
            <w:r>
              <w:rPr>
                <w:rFonts w:ascii="Arial" w:eastAsia="Arial" w:hAnsi="Arial" w:cs="Arial"/>
                <w:color w:val="000000"/>
                <w:sz w:val="18"/>
              </w:rPr>
              <w:t>Subtotal</w:t>
            </w:r>
          </w:p>
        </w:tc>
        <w:tc>
          <w:tcPr>
            <w:tcW w:w="105" w:type="dxa"/>
            <w:tcBorders>
              <w:top w:val="nil"/>
              <w:left w:val="nil"/>
              <w:bottom w:val="nil"/>
              <w:right w:val="nil"/>
            </w:tcBorders>
            <w:shd w:val="clear" w:color="auto" w:fill="F4F4F4"/>
            <w:tcMar>
              <w:top w:w="0" w:type="dxa"/>
              <w:left w:w="0" w:type="dxa"/>
              <w:bottom w:w="0" w:type="dxa"/>
              <w:right w:w="0" w:type="dxa"/>
            </w:tcMar>
            <w:vAlign w:val="bottom"/>
          </w:tcPr>
          <w:p w14:paraId="79DA1BFB" w14:textId="77777777" w:rsidR="001614AC" w:rsidRDefault="001614AC">
            <w:pPr>
              <w:keepNext/>
            </w:pPr>
          </w:p>
        </w:tc>
        <w:tc>
          <w:tcPr>
            <w:tcW w:w="905" w:type="dxa"/>
            <w:gridSpan w:val="2"/>
            <w:tcBorders>
              <w:top w:val="single" w:sz="8" w:space="0" w:color="C7C9C7"/>
              <w:left w:val="nil"/>
              <w:bottom w:val="nil"/>
              <w:right w:val="nil"/>
            </w:tcBorders>
            <w:shd w:val="clear" w:color="auto" w:fill="F4F4F4"/>
            <w:tcMar>
              <w:top w:w="0" w:type="dxa"/>
              <w:left w:w="53" w:type="dxa"/>
              <w:bottom w:w="0" w:type="dxa"/>
              <w:right w:w="0" w:type="dxa"/>
            </w:tcMar>
            <w:vAlign w:val="bottom"/>
          </w:tcPr>
          <w:p w14:paraId="3F70609F" w14:textId="77777777" w:rsidR="001614AC" w:rsidRDefault="004468F9">
            <w:pPr>
              <w:keepNext/>
              <w:spacing w:before="55" w:after="30" w:line="288" w:lineRule="auto"/>
              <w:jc w:val="right"/>
            </w:pPr>
            <w:r>
              <w:rPr>
                <w:rFonts w:ascii="Arial" w:eastAsia="Arial" w:hAnsi="Arial" w:cs="Arial"/>
                <w:color w:val="000000"/>
                <w:sz w:val="18"/>
              </w:rPr>
              <w:t>4,221 </w:t>
            </w:r>
          </w:p>
        </w:tc>
        <w:tc>
          <w:tcPr>
            <w:tcW w:w="100" w:type="dxa"/>
            <w:tcBorders>
              <w:top w:val="single" w:sz="8" w:space="0" w:color="C7C9C7"/>
              <w:left w:val="nil"/>
              <w:bottom w:val="nil"/>
              <w:right w:val="nil"/>
            </w:tcBorders>
            <w:shd w:val="clear" w:color="auto" w:fill="F4F4F4"/>
            <w:tcMar>
              <w:top w:w="0" w:type="dxa"/>
              <w:left w:w="0" w:type="dxa"/>
              <w:bottom w:w="0" w:type="dxa"/>
              <w:right w:w="15" w:type="dxa"/>
            </w:tcMar>
            <w:vAlign w:val="bottom"/>
          </w:tcPr>
          <w:p w14:paraId="55379817" w14:textId="77777777" w:rsidR="001614AC" w:rsidRDefault="001614AC">
            <w:pPr>
              <w:keepNext/>
              <w:spacing w:before="55" w:after="30" w:line="288" w:lineRule="auto"/>
              <w:jc w:val="right"/>
            </w:pPr>
          </w:p>
        </w:tc>
        <w:tc>
          <w:tcPr>
            <w:tcW w:w="75" w:type="dxa"/>
            <w:tcBorders>
              <w:top w:val="nil"/>
              <w:left w:val="nil"/>
              <w:bottom w:val="nil"/>
              <w:right w:val="nil"/>
            </w:tcBorders>
            <w:shd w:val="clear" w:color="auto" w:fill="F4F4F4"/>
            <w:tcMar>
              <w:top w:w="0" w:type="dxa"/>
              <w:left w:w="0" w:type="dxa"/>
              <w:bottom w:w="0" w:type="dxa"/>
              <w:right w:w="0" w:type="dxa"/>
            </w:tcMar>
            <w:vAlign w:val="bottom"/>
          </w:tcPr>
          <w:p w14:paraId="50D28C83" w14:textId="77777777" w:rsidR="001614AC" w:rsidRDefault="001614AC">
            <w:pPr>
              <w:keepNext/>
            </w:pPr>
          </w:p>
        </w:tc>
        <w:tc>
          <w:tcPr>
            <w:tcW w:w="905" w:type="dxa"/>
            <w:gridSpan w:val="2"/>
            <w:tcBorders>
              <w:top w:val="single" w:sz="8" w:space="0" w:color="C7C9C7"/>
              <w:left w:val="nil"/>
              <w:bottom w:val="nil"/>
              <w:right w:val="nil"/>
            </w:tcBorders>
            <w:shd w:val="clear" w:color="auto" w:fill="F4F4F4"/>
            <w:tcMar>
              <w:top w:w="0" w:type="dxa"/>
              <w:left w:w="53" w:type="dxa"/>
              <w:bottom w:w="0" w:type="dxa"/>
              <w:right w:w="0" w:type="dxa"/>
            </w:tcMar>
            <w:vAlign w:val="bottom"/>
          </w:tcPr>
          <w:p w14:paraId="3865557B" w14:textId="77777777" w:rsidR="001614AC" w:rsidRDefault="004468F9">
            <w:pPr>
              <w:keepNext/>
              <w:spacing w:before="55" w:after="30" w:line="288" w:lineRule="auto"/>
              <w:jc w:val="right"/>
            </w:pPr>
            <w:r>
              <w:rPr>
                <w:rFonts w:ascii="Arial" w:eastAsia="Arial" w:hAnsi="Arial" w:cs="Arial"/>
                <w:color w:val="000000"/>
                <w:sz w:val="18"/>
              </w:rPr>
              <w:t>22,783 </w:t>
            </w:r>
          </w:p>
        </w:tc>
        <w:tc>
          <w:tcPr>
            <w:tcW w:w="100" w:type="dxa"/>
            <w:tcBorders>
              <w:top w:val="single" w:sz="8" w:space="0" w:color="C7C9C7"/>
              <w:left w:val="nil"/>
              <w:bottom w:val="nil"/>
              <w:right w:val="nil"/>
            </w:tcBorders>
            <w:shd w:val="clear" w:color="auto" w:fill="F4F4F4"/>
            <w:tcMar>
              <w:top w:w="0" w:type="dxa"/>
              <w:left w:w="0" w:type="dxa"/>
              <w:bottom w:w="0" w:type="dxa"/>
              <w:right w:w="15" w:type="dxa"/>
            </w:tcMar>
            <w:vAlign w:val="bottom"/>
          </w:tcPr>
          <w:p w14:paraId="228D2BFF" w14:textId="77777777" w:rsidR="001614AC" w:rsidRDefault="001614AC">
            <w:pPr>
              <w:keepNext/>
              <w:spacing w:before="55" w:after="30" w:line="288" w:lineRule="auto"/>
              <w:jc w:val="right"/>
            </w:pPr>
          </w:p>
        </w:tc>
        <w:tc>
          <w:tcPr>
            <w:tcW w:w="105" w:type="dxa"/>
            <w:tcBorders>
              <w:top w:val="nil"/>
              <w:left w:val="nil"/>
              <w:bottom w:val="nil"/>
              <w:right w:val="nil"/>
            </w:tcBorders>
            <w:shd w:val="clear" w:color="auto" w:fill="F4F4F4"/>
            <w:tcMar>
              <w:top w:w="0" w:type="dxa"/>
              <w:left w:w="0" w:type="dxa"/>
              <w:bottom w:w="0" w:type="dxa"/>
              <w:right w:w="0" w:type="dxa"/>
            </w:tcMar>
            <w:vAlign w:val="bottom"/>
          </w:tcPr>
          <w:p w14:paraId="1CDDA716" w14:textId="77777777" w:rsidR="001614AC" w:rsidRDefault="001614AC">
            <w:pPr>
              <w:keepNext/>
            </w:pPr>
          </w:p>
        </w:tc>
        <w:tc>
          <w:tcPr>
            <w:tcW w:w="905" w:type="dxa"/>
            <w:gridSpan w:val="2"/>
            <w:tcBorders>
              <w:top w:val="single" w:sz="8" w:space="0" w:color="C7C9C7"/>
              <w:left w:val="nil"/>
              <w:bottom w:val="nil"/>
              <w:right w:val="nil"/>
            </w:tcBorders>
            <w:shd w:val="clear" w:color="auto" w:fill="F4F4F4"/>
            <w:tcMar>
              <w:top w:w="0" w:type="dxa"/>
              <w:left w:w="53" w:type="dxa"/>
              <w:bottom w:w="0" w:type="dxa"/>
              <w:right w:w="0" w:type="dxa"/>
            </w:tcMar>
            <w:vAlign w:val="bottom"/>
          </w:tcPr>
          <w:p w14:paraId="7E5FBB79" w14:textId="77777777" w:rsidR="001614AC" w:rsidRDefault="004468F9">
            <w:pPr>
              <w:keepNext/>
              <w:spacing w:before="55" w:after="30" w:line="288" w:lineRule="auto"/>
              <w:jc w:val="right"/>
            </w:pPr>
            <w:r>
              <w:rPr>
                <w:rFonts w:ascii="Arial" w:eastAsia="Arial" w:hAnsi="Arial" w:cs="Arial"/>
                <w:color w:val="000000"/>
                <w:sz w:val="18"/>
              </w:rPr>
              <w:t>10,694 </w:t>
            </w:r>
          </w:p>
        </w:tc>
        <w:tc>
          <w:tcPr>
            <w:tcW w:w="100" w:type="dxa"/>
            <w:tcBorders>
              <w:top w:val="single" w:sz="8" w:space="0" w:color="C7C9C7"/>
              <w:left w:val="nil"/>
              <w:bottom w:val="nil"/>
              <w:right w:val="nil"/>
            </w:tcBorders>
            <w:shd w:val="clear" w:color="auto" w:fill="F4F4F4"/>
            <w:tcMar>
              <w:top w:w="0" w:type="dxa"/>
              <w:left w:w="0" w:type="dxa"/>
              <w:bottom w:w="0" w:type="dxa"/>
              <w:right w:w="15" w:type="dxa"/>
            </w:tcMar>
            <w:vAlign w:val="bottom"/>
          </w:tcPr>
          <w:p w14:paraId="39A811E9" w14:textId="77777777" w:rsidR="001614AC" w:rsidRDefault="001614AC">
            <w:pPr>
              <w:keepNext/>
              <w:spacing w:before="55" w:after="30" w:line="288" w:lineRule="auto"/>
              <w:jc w:val="right"/>
            </w:pPr>
          </w:p>
        </w:tc>
        <w:tc>
          <w:tcPr>
            <w:tcW w:w="105" w:type="dxa"/>
            <w:tcBorders>
              <w:top w:val="nil"/>
              <w:left w:val="nil"/>
              <w:bottom w:val="nil"/>
              <w:right w:val="nil"/>
            </w:tcBorders>
            <w:shd w:val="clear" w:color="auto" w:fill="F4F4F4"/>
            <w:tcMar>
              <w:top w:w="0" w:type="dxa"/>
              <w:left w:w="0" w:type="dxa"/>
              <w:bottom w:w="0" w:type="dxa"/>
              <w:right w:w="0" w:type="dxa"/>
            </w:tcMar>
            <w:vAlign w:val="bottom"/>
          </w:tcPr>
          <w:p w14:paraId="7FC3E258" w14:textId="77777777" w:rsidR="001614AC" w:rsidRDefault="001614AC">
            <w:pPr>
              <w:keepNext/>
            </w:pPr>
          </w:p>
        </w:tc>
        <w:tc>
          <w:tcPr>
            <w:tcW w:w="905" w:type="dxa"/>
            <w:gridSpan w:val="2"/>
            <w:tcBorders>
              <w:top w:val="single" w:sz="8" w:space="0" w:color="C7C9C7"/>
              <w:left w:val="nil"/>
              <w:bottom w:val="nil"/>
              <w:right w:val="nil"/>
            </w:tcBorders>
            <w:shd w:val="clear" w:color="auto" w:fill="F4F4F4"/>
            <w:tcMar>
              <w:top w:w="0" w:type="dxa"/>
              <w:left w:w="53" w:type="dxa"/>
              <w:bottom w:w="0" w:type="dxa"/>
              <w:right w:w="0" w:type="dxa"/>
            </w:tcMar>
            <w:vAlign w:val="bottom"/>
          </w:tcPr>
          <w:p w14:paraId="18CF4DD8" w14:textId="77777777" w:rsidR="001614AC" w:rsidRDefault="004468F9">
            <w:pPr>
              <w:keepNext/>
              <w:spacing w:before="55" w:after="30" w:line="288" w:lineRule="auto"/>
              <w:jc w:val="right"/>
            </w:pPr>
            <w:r>
              <w:rPr>
                <w:rFonts w:ascii="Arial" w:eastAsia="Arial" w:hAnsi="Arial" w:cs="Arial"/>
                <w:color w:val="000000"/>
                <w:sz w:val="18"/>
              </w:rPr>
              <w:t>46,230 </w:t>
            </w:r>
          </w:p>
        </w:tc>
        <w:tc>
          <w:tcPr>
            <w:tcW w:w="100" w:type="dxa"/>
            <w:tcBorders>
              <w:top w:val="single" w:sz="8" w:space="0" w:color="C7C9C7"/>
              <w:left w:val="nil"/>
              <w:bottom w:val="nil"/>
              <w:right w:val="nil"/>
            </w:tcBorders>
            <w:shd w:val="clear" w:color="auto" w:fill="F4F4F4"/>
            <w:tcMar>
              <w:top w:w="0" w:type="dxa"/>
              <w:left w:w="0" w:type="dxa"/>
              <w:bottom w:w="0" w:type="dxa"/>
              <w:right w:w="15" w:type="dxa"/>
            </w:tcMar>
            <w:vAlign w:val="bottom"/>
          </w:tcPr>
          <w:p w14:paraId="63EA2551" w14:textId="77777777" w:rsidR="001614AC" w:rsidRDefault="001614AC">
            <w:pPr>
              <w:keepNext/>
              <w:spacing w:before="55" w:after="30" w:line="288" w:lineRule="auto"/>
              <w:jc w:val="right"/>
            </w:pPr>
          </w:p>
        </w:tc>
      </w:tr>
      <w:tr w:rsidR="001614AC" w14:paraId="24F12DFA" w14:textId="77777777">
        <w:trPr>
          <w:cantSplit/>
        </w:trPr>
        <w:tc>
          <w:tcPr>
            <w:tcW w:w="5670" w:type="dxa"/>
            <w:tcBorders>
              <w:top w:val="nil"/>
              <w:left w:val="nil"/>
              <w:bottom w:val="nil"/>
              <w:right w:val="nil"/>
            </w:tcBorders>
            <w:tcMar>
              <w:top w:w="0" w:type="dxa"/>
              <w:left w:w="53" w:type="dxa"/>
              <w:bottom w:w="0" w:type="dxa"/>
              <w:right w:w="53" w:type="dxa"/>
            </w:tcMar>
            <w:vAlign w:val="bottom"/>
          </w:tcPr>
          <w:p w14:paraId="180B6866" w14:textId="77777777" w:rsidR="001614AC" w:rsidRDefault="004468F9">
            <w:pPr>
              <w:keepNext/>
              <w:spacing w:before="75" w:after="30" w:line="288" w:lineRule="auto"/>
              <w:rPr>
                <w:rFonts w:ascii="Arial" w:eastAsia="Arial" w:hAnsi="Arial" w:cs="Arial"/>
                <w:sz w:val="18"/>
              </w:rPr>
            </w:pPr>
            <w:r>
              <w:rPr>
                <w:rFonts w:ascii="Arial" w:eastAsia="Arial" w:hAnsi="Arial" w:cs="Arial"/>
                <w:sz w:val="18"/>
              </w:rPr>
              <w:t xml:space="preserve">Impact of commutations and settlements </w:t>
            </w:r>
            <w:r>
              <w:rPr>
                <w:rFonts w:ascii="Arial" w:eastAsia="Arial" w:hAnsi="Arial" w:cs="Arial"/>
                <w:sz w:val="18"/>
                <w:vertAlign w:val="superscript"/>
              </w:rPr>
              <w:t xml:space="preserve">(2) </w:t>
            </w:r>
          </w:p>
        </w:tc>
        <w:tc>
          <w:tcPr>
            <w:tcW w:w="105" w:type="dxa"/>
            <w:tcBorders>
              <w:top w:val="nil"/>
              <w:left w:val="nil"/>
              <w:bottom w:val="nil"/>
              <w:right w:val="nil"/>
            </w:tcBorders>
            <w:tcMar>
              <w:top w:w="0" w:type="dxa"/>
              <w:left w:w="0" w:type="dxa"/>
              <w:bottom w:w="0" w:type="dxa"/>
              <w:right w:w="0" w:type="dxa"/>
            </w:tcMar>
            <w:vAlign w:val="bottom"/>
          </w:tcPr>
          <w:p w14:paraId="08B0C9B4" w14:textId="77777777" w:rsidR="001614AC" w:rsidRDefault="001614AC">
            <w:pPr>
              <w:keepNext/>
            </w:pPr>
          </w:p>
        </w:tc>
        <w:tc>
          <w:tcPr>
            <w:tcW w:w="905" w:type="dxa"/>
            <w:gridSpan w:val="2"/>
            <w:tcBorders>
              <w:top w:val="nil"/>
              <w:left w:val="nil"/>
              <w:bottom w:val="single" w:sz="8" w:space="0" w:color="C7C9C7"/>
              <w:right w:val="nil"/>
            </w:tcBorders>
            <w:tcMar>
              <w:top w:w="0" w:type="dxa"/>
              <w:left w:w="53" w:type="dxa"/>
              <w:bottom w:w="0" w:type="dxa"/>
              <w:right w:w="0" w:type="dxa"/>
            </w:tcMar>
            <w:vAlign w:val="bottom"/>
          </w:tcPr>
          <w:p w14:paraId="0136BE29" w14:textId="77777777" w:rsidR="001614AC" w:rsidRDefault="004468F9">
            <w:pPr>
              <w:keepNext/>
              <w:spacing w:before="75" w:after="30" w:line="288" w:lineRule="auto"/>
              <w:jc w:val="right"/>
            </w:pPr>
            <w:r>
              <w:rPr>
                <w:rFonts w:ascii="Arial" w:eastAsia="Arial" w:hAnsi="Arial" w:cs="Arial"/>
                <w:color w:val="000000"/>
                <w:sz w:val="18"/>
              </w:rPr>
              <w:t>— </w:t>
            </w:r>
          </w:p>
        </w:tc>
        <w:tc>
          <w:tcPr>
            <w:tcW w:w="100" w:type="dxa"/>
            <w:tcBorders>
              <w:top w:val="nil"/>
              <w:left w:val="nil"/>
              <w:bottom w:val="single" w:sz="8" w:space="0" w:color="C7C9C7"/>
              <w:right w:val="nil"/>
            </w:tcBorders>
            <w:tcMar>
              <w:top w:w="0" w:type="dxa"/>
              <w:left w:w="0" w:type="dxa"/>
              <w:bottom w:w="0" w:type="dxa"/>
              <w:right w:w="15" w:type="dxa"/>
            </w:tcMar>
            <w:vAlign w:val="bottom"/>
          </w:tcPr>
          <w:p w14:paraId="2C29CE1D" w14:textId="77777777" w:rsidR="001614AC" w:rsidRDefault="001614AC">
            <w:pPr>
              <w:keepNext/>
              <w:spacing w:before="75" w:after="30" w:line="288" w:lineRule="auto"/>
              <w:jc w:val="right"/>
            </w:pPr>
          </w:p>
        </w:tc>
        <w:tc>
          <w:tcPr>
            <w:tcW w:w="75" w:type="dxa"/>
            <w:tcBorders>
              <w:top w:val="nil"/>
              <w:left w:val="nil"/>
              <w:bottom w:val="nil"/>
              <w:right w:val="nil"/>
            </w:tcBorders>
            <w:tcMar>
              <w:top w:w="0" w:type="dxa"/>
              <w:left w:w="0" w:type="dxa"/>
              <w:bottom w:w="0" w:type="dxa"/>
              <w:right w:w="0" w:type="dxa"/>
            </w:tcMar>
            <w:vAlign w:val="bottom"/>
          </w:tcPr>
          <w:p w14:paraId="5AD4F03F" w14:textId="77777777" w:rsidR="001614AC" w:rsidRDefault="001614AC">
            <w:pPr>
              <w:keepNext/>
            </w:pPr>
          </w:p>
        </w:tc>
        <w:tc>
          <w:tcPr>
            <w:tcW w:w="905" w:type="dxa"/>
            <w:gridSpan w:val="2"/>
            <w:tcBorders>
              <w:top w:val="nil"/>
              <w:left w:val="nil"/>
              <w:bottom w:val="single" w:sz="8" w:space="0" w:color="C7C9C7"/>
              <w:right w:val="nil"/>
            </w:tcBorders>
            <w:tcMar>
              <w:top w:w="0" w:type="dxa"/>
              <w:left w:w="53" w:type="dxa"/>
              <w:bottom w:w="0" w:type="dxa"/>
              <w:right w:w="0" w:type="dxa"/>
            </w:tcMar>
            <w:vAlign w:val="bottom"/>
          </w:tcPr>
          <w:p w14:paraId="361191B1" w14:textId="77777777" w:rsidR="001614AC" w:rsidRDefault="004468F9">
            <w:pPr>
              <w:keepNext/>
              <w:spacing w:before="75" w:after="30" w:line="288" w:lineRule="auto"/>
              <w:jc w:val="right"/>
            </w:pPr>
            <w:r>
              <w:rPr>
                <w:rFonts w:ascii="Arial" w:eastAsia="Arial" w:hAnsi="Arial" w:cs="Arial"/>
                <w:color w:val="000000"/>
                <w:sz w:val="18"/>
              </w:rPr>
              <w:t>— </w:t>
            </w:r>
          </w:p>
        </w:tc>
        <w:tc>
          <w:tcPr>
            <w:tcW w:w="100" w:type="dxa"/>
            <w:tcBorders>
              <w:top w:val="nil"/>
              <w:left w:val="nil"/>
              <w:bottom w:val="single" w:sz="8" w:space="0" w:color="C7C9C7"/>
              <w:right w:val="nil"/>
            </w:tcBorders>
            <w:tcMar>
              <w:top w:w="0" w:type="dxa"/>
              <w:left w:w="0" w:type="dxa"/>
              <w:bottom w:w="0" w:type="dxa"/>
              <w:right w:w="15" w:type="dxa"/>
            </w:tcMar>
            <w:vAlign w:val="bottom"/>
          </w:tcPr>
          <w:p w14:paraId="5B0F0B91" w14:textId="77777777" w:rsidR="001614AC" w:rsidRDefault="001614AC">
            <w:pPr>
              <w:keepNext/>
              <w:spacing w:before="7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6B3B9277" w14:textId="77777777" w:rsidR="001614AC" w:rsidRDefault="001614AC">
            <w:pPr>
              <w:keepNext/>
            </w:pPr>
          </w:p>
        </w:tc>
        <w:tc>
          <w:tcPr>
            <w:tcW w:w="905" w:type="dxa"/>
            <w:gridSpan w:val="2"/>
            <w:tcBorders>
              <w:top w:val="nil"/>
              <w:left w:val="nil"/>
              <w:bottom w:val="single" w:sz="8" w:space="0" w:color="C7C9C7"/>
              <w:right w:val="nil"/>
            </w:tcBorders>
            <w:tcMar>
              <w:top w:w="0" w:type="dxa"/>
              <w:left w:w="53" w:type="dxa"/>
              <w:bottom w:w="0" w:type="dxa"/>
              <w:right w:w="0" w:type="dxa"/>
            </w:tcMar>
            <w:vAlign w:val="bottom"/>
          </w:tcPr>
          <w:p w14:paraId="676EC26F" w14:textId="77777777" w:rsidR="001614AC" w:rsidRDefault="004468F9">
            <w:pPr>
              <w:keepNext/>
              <w:spacing w:before="75" w:after="30" w:line="288" w:lineRule="auto"/>
              <w:jc w:val="right"/>
            </w:pPr>
            <w:r>
              <w:rPr>
                <w:rFonts w:ascii="Arial" w:eastAsia="Arial" w:hAnsi="Arial" w:cs="Arial"/>
                <w:color w:val="000000"/>
                <w:sz w:val="18"/>
              </w:rPr>
              <w:t>4,000 </w:t>
            </w:r>
          </w:p>
        </w:tc>
        <w:tc>
          <w:tcPr>
            <w:tcW w:w="100" w:type="dxa"/>
            <w:tcBorders>
              <w:top w:val="nil"/>
              <w:left w:val="nil"/>
              <w:bottom w:val="single" w:sz="8" w:space="0" w:color="C7C9C7"/>
              <w:right w:val="nil"/>
            </w:tcBorders>
            <w:tcMar>
              <w:top w:w="0" w:type="dxa"/>
              <w:left w:w="0" w:type="dxa"/>
              <w:bottom w:w="0" w:type="dxa"/>
              <w:right w:w="15" w:type="dxa"/>
            </w:tcMar>
            <w:vAlign w:val="bottom"/>
          </w:tcPr>
          <w:p w14:paraId="1F26090C" w14:textId="77777777" w:rsidR="001614AC" w:rsidRDefault="001614AC">
            <w:pPr>
              <w:keepNext/>
              <w:spacing w:before="7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1135DA58" w14:textId="77777777" w:rsidR="001614AC" w:rsidRDefault="001614AC">
            <w:pPr>
              <w:keepNext/>
            </w:pPr>
          </w:p>
        </w:tc>
        <w:tc>
          <w:tcPr>
            <w:tcW w:w="905" w:type="dxa"/>
            <w:gridSpan w:val="2"/>
            <w:tcBorders>
              <w:top w:val="nil"/>
              <w:left w:val="nil"/>
              <w:bottom w:val="single" w:sz="8" w:space="0" w:color="C7C9C7"/>
              <w:right w:val="nil"/>
            </w:tcBorders>
            <w:tcMar>
              <w:top w:w="0" w:type="dxa"/>
              <w:left w:w="53" w:type="dxa"/>
              <w:bottom w:w="0" w:type="dxa"/>
              <w:right w:w="0" w:type="dxa"/>
            </w:tcMar>
            <w:vAlign w:val="bottom"/>
          </w:tcPr>
          <w:p w14:paraId="5A06124C" w14:textId="77777777" w:rsidR="001614AC" w:rsidRDefault="004468F9">
            <w:pPr>
              <w:keepNext/>
              <w:spacing w:before="75" w:after="30" w:line="288" w:lineRule="auto"/>
              <w:jc w:val="right"/>
            </w:pPr>
            <w:r>
              <w:rPr>
                <w:rFonts w:ascii="Arial" w:eastAsia="Arial" w:hAnsi="Arial" w:cs="Arial"/>
                <w:color w:val="000000"/>
                <w:sz w:val="18"/>
              </w:rPr>
              <w:t>(56)</w:t>
            </w:r>
          </w:p>
        </w:tc>
        <w:tc>
          <w:tcPr>
            <w:tcW w:w="100" w:type="dxa"/>
            <w:tcBorders>
              <w:top w:val="nil"/>
              <w:left w:val="nil"/>
              <w:bottom w:val="single" w:sz="8" w:space="0" w:color="C7C9C7"/>
              <w:right w:val="nil"/>
            </w:tcBorders>
            <w:tcMar>
              <w:top w:w="0" w:type="dxa"/>
              <w:left w:w="0" w:type="dxa"/>
              <w:bottom w:w="0" w:type="dxa"/>
              <w:right w:w="15" w:type="dxa"/>
            </w:tcMar>
            <w:vAlign w:val="bottom"/>
          </w:tcPr>
          <w:p w14:paraId="35F8CD85" w14:textId="77777777" w:rsidR="001614AC" w:rsidRDefault="001614AC">
            <w:pPr>
              <w:keepNext/>
              <w:spacing w:before="75" w:after="30" w:line="288" w:lineRule="auto"/>
              <w:jc w:val="right"/>
            </w:pPr>
          </w:p>
        </w:tc>
      </w:tr>
      <w:tr w:rsidR="001614AC" w14:paraId="7186D096" w14:textId="77777777">
        <w:trPr>
          <w:cantSplit/>
        </w:trPr>
        <w:tc>
          <w:tcPr>
            <w:tcW w:w="5670" w:type="dxa"/>
            <w:tcBorders>
              <w:top w:val="nil"/>
              <w:left w:val="nil"/>
              <w:bottom w:val="nil"/>
              <w:right w:val="nil"/>
            </w:tcBorders>
            <w:shd w:val="clear" w:color="auto" w:fill="F4F4F4"/>
            <w:tcMar>
              <w:top w:w="0" w:type="dxa"/>
              <w:left w:w="53" w:type="dxa"/>
              <w:bottom w:w="0" w:type="dxa"/>
              <w:right w:w="53" w:type="dxa"/>
            </w:tcMar>
            <w:vAlign w:val="bottom"/>
          </w:tcPr>
          <w:p w14:paraId="537D8E4F" w14:textId="77777777" w:rsidR="001614AC" w:rsidRDefault="004468F9">
            <w:pPr>
              <w:keepNext/>
              <w:spacing w:before="75" w:after="30" w:line="288" w:lineRule="auto"/>
            </w:pPr>
            <w:r>
              <w:rPr>
                <w:rFonts w:ascii="Arial" w:eastAsia="Arial" w:hAnsi="Arial" w:cs="Arial"/>
                <w:color w:val="000000"/>
                <w:sz w:val="18"/>
              </w:rPr>
              <w:t>Total net claims paid</w:t>
            </w:r>
          </w:p>
        </w:tc>
        <w:tc>
          <w:tcPr>
            <w:tcW w:w="105" w:type="dxa"/>
            <w:tcBorders>
              <w:top w:val="nil"/>
              <w:left w:val="nil"/>
              <w:bottom w:val="nil"/>
              <w:right w:val="nil"/>
            </w:tcBorders>
            <w:shd w:val="clear" w:color="auto" w:fill="F4F4F4"/>
            <w:tcMar>
              <w:top w:w="0" w:type="dxa"/>
              <w:left w:w="0" w:type="dxa"/>
              <w:bottom w:w="0" w:type="dxa"/>
              <w:right w:w="0" w:type="dxa"/>
            </w:tcMar>
            <w:vAlign w:val="bottom"/>
          </w:tcPr>
          <w:p w14:paraId="12C95946" w14:textId="77777777" w:rsidR="001614AC" w:rsidRDefault="001614AC">
            <w:pPr>
              <w:keepNext/>
            </w:pPr>
          </w:p>
        </w:tc>
        <w:tc>
          <w:tcPr>
            <w:tcW w:w="160" w:type="dxa"/>
            <w:tcBorders>
              <w:top w:val="single" w:sz="8" w:space="0" w:color="C7C9C7"/>
              <w:left w:val="nil"/>
              <w:bottom w:val="double" w:sz="8" w:space="0" w:color="C7C9C7"/>
              <w:right w:val="nil"/>
            </w:tcBorders>
            <w:shd w:val="clear" w:color="auto" w:fill="F4F4F4"/>
            <w:tcMar>
              <w:top w:w="0" w:type="dxa"/>
              <w:left w:w="53" w:type="dxa"/>
              <w:bottom w:w="0" w:type="dxa"/>
              <w:right w:w="0" w:type="dxa"/>
            </w:tcMar>
            <w:vAlign w:val="bottom"/>
          </w:tcPr>
          <w:p w14:paraId="51728D79" w14:textId="77777777" w:rsidR="001614AC" w:rsidRDefault="004468F9">
            <w:pPr>
              <w:keepNext/>
              <w:spacing w:before="55" w:after="30" w:line="288" w:lineRule="auto"/>
            </w:pPr>
            <w:r>
              <w:rPr>
                <w:rFonts w:ascii="Arial" w:eastAsia="Arial" w:hAnsi="Arial" w:cs="Arial"/>
                <w:color w:val="000000"/>
                <w:sz w:val="18"/>
              </w:rPr>
              <w:t>$</w:t>
            </w:r>
          </w:p>
        </w:tc>
        <w:tc>
          <w:tcPr>
            <w:tcW w:w="745" w:type="dxa"/>
            <w:tcBorders>
              <w:top w:val="single" w:sz="8" w:space="0" w:color="C7C9C7"/>
              <w:left w:val="nil"/>
              <w:bottom w:val="double" w:sz="8" w:space="0" w:color="C7C9C7"/>
              <w:right w:val="nil"/>
            </w:tcBorders>
            <w:shd w:val="clear" w:color="auto" w:fill="F4F4F4"/>
            <w:tcMar>
              <w:top w:w="0" w:type="dxa"/>
              <w:left w:w="0" w:type="dxa"/>
              <w:bottom w:w="0" w:type="dxa"/>
              <w:right w:w="0" w:type="dxa"/>
            </w:tcMar>
            <w:vAlign w:val="bottom"/>
          </w:tcPr>
          <w:p w14:paraId="32AA39E4" w14:textId="77777777" w:rsidR="001614AC" w:rsidRDefault="004468F9">
            <w:pPr>
              <w:keepNext/>
              <w:spacing w:before="55" w:after="30" w:line="288" w:lineRule="auto"/>
              <w:jc w:val="right"/>
            </w:pPr>
            <w:r>
              <w:rPr>
                <w:rFonts w:ascii="Arial" w:eastAsia="Arial" w:hAnsi="Arial" w:cs="Arial"/>
                <w:color w:val="000000"/>
                <w:sz w:val="18"/>
              </w:rPr>
              <w:t>4,221 </w:t>
            </w:r>
          </w:p>
        </w:tc>
        <w:tc>
          <w:tcPr>
            <w:tcW w:w="100" w:type="dxa"/>
            <w:tcBorders>
              <w:top w:val="single" w:sz="8" w:space="0" w:color="C7C9C7"/>
              <w:left w:val="nil"/>
              <w:bottom w:val="double" w:sz="8" w:space="0" w:color="C7C9C7"/>
              <w:right w:val="nil"/>
            </w:tcBorders>
            <w:shd w:val="clear" w:color="auto" w:fill="F4F4F4"/>
            <w:tcMar>
              <w:top w:w="0" w:type="dxa"/>
              <w:left w:w="0" w:type="dxa"/>
              <w:bottom w:w="0" w:type="dxa"/>
              <w:right w:w="15" w:type="dxa"/>
            </w:tcMar>
            <w:vAlign w:val="bottom"/>
          </w:tcPr>
          <w:p w14:paraId="477BBEFD" w14:textId="77777777" w:rsidR="001614AC" w:rsidRDefault="001614AC">
            <w:pPr>
              <w:keepNext/>
              <w:spacing w:before="55" w:after="30" w:line="288" w:lineRule="auto"/>
              <w:jc w:val="right"/>
            </w:pPr>
          </w:p>
        </w:tc>
        <w:tc>
          <w:tcPr>
            <w:tcW w:w="75" w:type="dxa"/>
            <w:tcBorders>
              <w:top w:val="nil"/>
              <w:left w:val="nil"/>
              <w:bottom w:val="nil"/>
              <w:right w:val="nil"/>
            </w:tcBorders>
            <w:shd w:val="clear" w:color="auto" w:fill="F4F4F4"/>
            <w:tcMar>
              <w:top w:w="0" w:type="dxa"/>
              <w:left w:w="0" w:type="dxa"/>
              <w:bottom w:w="0" w:type="dxa"/>
              <w:right w:w="0" w:type="dxa"/>
            </w:tcMar>
            <w:vAlign w:val="bottom"/>
          </w:tcPr>
          <w:p w14:paraId="715ABD9C" w14:textId="77777777" w:rsidR="001614AC" w:rsidRDefault="001614AC">
            <w:pPr>
              <w:keepNext/>
            </w:pPr>
          </w:p>
        </w:tc>
        <w:tc>
          <w:tcPr>
            <w:tcW w:w="160" w:type="dxa"/>
            <w:tcBorders>
              <w:top w:val="single" w:sz="8" w:space="0" w:color="C7C9C7"/>
              <w:left w:val="nil"/>
              <w:bottom w:val="double" w:sz="8" w:space="0" w:color="C7C9C7"/>
              <w:right w:val="nil"/>
            </w:tcBorders>
            <w:shd w:val="clear" w:color="auto" w:fill="F4F4F4"/>
            <w:tcMar>
              <w:top w:w="0" w:type="dxa"/>
              <w:left w:w="53" w:type="dxa"/>
              <w:bottom w:w="0" w:type="dxa"/>
              <w:right w:w="0" w:type="dxa"/>
            </w:tcMar>
            <w:vAlign w:val="bottom"/>
          </w:tcPr>
          <w:p w14:paraId="4128F15F" w14:textId="77777777" w:rsidR="001614AC" w:rsidRDefault="004468F9">
            <w:pPr>
              <w:keepNext/>
              <w:spacing w:before="55" w:after="30" w:line="288" w:lineRule="auto"/>
            </w:pPr>
            <w:r>
              <w:rPr>
                <w:rFonts w:ascii="Arial" w:eastAsia="Arial" w:hAnsi="Arial" w:cs="Arial"/>
                <w:color w:val="000000"/>
                <w:sz w:val="18"/>
              </w:rPr>
              <w:t>$</w:t>
            </w:r>
          </w:p>
        </w:tc>
        <w:tc>
          <w:tcPr>
            <w:tcW w:w="745" w:type="dxa"/>
            <w:tcBorders>
              <w:top w:val="single" w:sz="8" w:space="0" w:color="C7C9C7"/>
              <w:left w:val="nil"/>
              <w:bottom w:val="double" w:sz="8" w:space="0" w:color="C7C9C7"/>
              <w:right w:val="nil"/>
            </w:tcBorders>
            <w:shd w:val="clear" w:color="auto" w:fill="F4F4F4"/>
            <w:tcMar>
              <w:top w:w="0" w:type="dxa"/>
              <w:left w:w="0" w:type="dxa"/>
              <w:bottom w:w="0" w:type="dxa"/>
              <w:right w:w="0" w:type="dxa"/>
            </w:tcMar>
            <w:vAlign w:val="bottom"/>
          </w:tcPr>
          <w:p w14:paraId="5AC0B256" w14:textId="77777777" w:rsidR="001614AC" w:rsidRDefault="004468F9">
            <w:pPr>
              <w:keepNext/>
              <w:spacing w:before="55" w:after="30" w:line="288" w:lineRule="auto"/>
              <w:jc w:val="right"/>
            </w:pPr>
            <w:r>
              <w:rPr>
                <w:rFonts w:ascii="Arial" w:eastAsia="Arial" w:hAnsi="Arial" w:cs="Arial"/>
                <w:color w:val="000000"/>
                <w:sz w:val="18"/>
              </w:rPr>
              <w:t>22,783 </w:t>
            </w:r>
          </w:p>
        </w:tc>
        <w:tc>
          <w:tcPr>
            <w:tcW w:w="100" w:type="dxa"/>
            <w:tcBorders>
              <w:top w:val="single" w:sz="8" w:space="0" w:color="C7C9C7"/>
              <w:left w:val="nil"/>
              <w:bottom w:val="double" w:sz="8" w:space="0" w:color="C7C9C7"/>
              <w:right w:val="nil"/>
            </w:tcBorders>
            <w:shd w:val="clear" w:color="auto" w:fill="F4F4F4"/>
            <w:tcMar>
              <w:top w:w="0" w:type="dxa"/>
              <w:left w:w="0" w:type="dxa"/>
              <w:bottom w:w="0" w:type="dxa"/>
              <w:right w:w="15" w:type="dxa"/>
            </w:tcMar>
            <w:vAlign w:val="bottom"/>
          </w:tcPr>
          <w:p w14:paraId="2D866B81" w14:textId="77777777" w:rsidR="001614AC" w:rsidRDefault="001614AC">
            <w:pPr>
              <w:keepNext/>
              <w:spacing w:before="55" w:after="30" w:line="288" w:lineRule="auto"/>
              <w:jc w:val="right"/>
            </w:pPr>
          </w:p>
        </w:tc>
        <w:tc>
          <w:tcPr>
            <w:tcW w:w="105" w:type="dxa"/>
            <w:tcBorders>
              <w:top w:val="nil"/>
              <w:left w:val="nil"/>
              <w:bottom w:val="nil"/>
              <w:right w:val="nil"/>
            </w:tcBorders>
            <w:shd w:val="clear" w:color="auto" w:fill="F4F4F4"/>
            <w:tcMar>
              <w:top w:w="0" w:type="dxa"/>
              <w:left w:w="0" w:type="dxa"/>
              <w:bottom w:w="0" w:type="dxa"/>
              <w:right w:w="0" w:type="dxa"/>
            </w:tcMar>
            <w:vAlign w:val="bottom"/>
          </w:tcPr>
          <w:p w14:paraId="18D6FAAC" w14:textId="77777777" w:rsidR="001614AC" w:rsidRDefault="001614AC">
            <w:pPr>
              <w:keepNext/>
            </w:pPr>
          </w:p>
        </w:tc>
        <w:tc>
          <w:tcPr>
            <w:tcW w:w="160" w:type="dxa"/>
            <w:tcBorders>
              <w:top w:val="single" w:sz="8" w:space="0" w:color="C7C9C7"/>
              <w:left w:val="nil"/>
              <w:bottom w:val="double" w:sz="8" w:space="0" w:color="C7C9C7"/>
              <w:right w:val="nil"/>
            </w:tcBorders>
            <w:shd w:val="clear" w:color="auto" w:fill="F4F4F4"/>
            <w:tcMar>
              <w:top w:w="0" w:type="dxa"/>
              <w:left w:w="53" w:type="dxa"/>
              <w:bottom w:w="0" w:type="dxa"/>
              <w:right w:w="0" w:type="dxa"/>
            </w:tcMar>
            <w:vAlign w:val="bottom"/>
          </w:tcPr>
          <w:p w14:paraId="0A5B64EA" w14:textId="77777777" w:rsidR="001614AC" w:rsidRDefault="004468F9">
            <w:pPr>
              <w:keepNext/>
              <w:spacing w:before="55" w:after="30" w:line="288" w:lineRule="auto"/>
            </w:pPr>
            <w:r>
              <w:rPr>
                <w:rFonts w:ascii="Arial" w:eastAsia="Arial" w:hAnsi="Arial" w:cs="Arial"/>
                <w:color w:val="000000"/>
                <w:sz w:val="18"/>
              </w:rPr>
              <w:t>$</w:t>
            </w:r>
          </w:p>
        </w:tc>
        <w:tc>
          <w:tcPr>
            <w:tcW w:w="745" w:type="dxa"/>
            <w:tcBorders>
              <w:top w:val="single" w:sz="8" w:space="0" w:color="C7C9C7"/>
              <w:left w:val="nil"/>
              <w:bottom w:val="double" w:sz="8" w:space="0" w:color="C7C9C7"/>
              <w:right w:val="nil"/>
            </w:tcBorders>
            <w:shd w:val="clear" w:color="auto" w:fill="F4F4F4"/>
            <w:tcMar>
              <w:top w:w="0" w:type="dxa"/>
              <w:left w:w="0" w:type="dxa"/>
              <w:bottom w:w="0" w:type="dxa"/>
              <w:right w:w="0" w:type="dxa"/>
            </w:tcMar>
            <w:vAlign w:val="bottom"/>
          </w:tcPr>
          <w:p w14:paraId="6F3B22F9" w14:textId="77777777" w:rsidR="001614AC" w:rsidRDefault="004468F9">
            <w:pPr>
              <w:keepNext/>
              <w:spacing w:before="55" w:after="30" w:line="288" w:lineRule="auto"/>
              <w:jc w:val="right"/>
            </w:pPr>
            <w:r>
              <w:rPr>
                <w:rFonts w:ascii="Arial" w:eastAsia="Arial" w:hAnsi="Arial" w:cs="Arial"/>
                <w:color w:val="000000"/>
                <w:sz w:val="18"/>
              </w:rPr>
              <w:t>14,694 </w:t>
            </w:r>
          </w:p>
        </w:tc>
        <w:tc>
          <w:tcPr>
            <w:tcW w:w="100" w:type="dxa"/>
            <w:tcBorders>
              <w:top w:val="single" w:sz="8" w:space="0" w:color="C7C9C7"/>
              <w:left w:val="nil"/>
              <w:bottom w:val="double" w:sz="8" w:space="0" w:color="C7C9C7"/>
              <w:right w:val="nil"/>
            </w:tcBorders>
            <w:shd w:val="clear" w:color="auto" w:fill="F4F4F4"/>
            <w:tcMar>
              <w:top w:w="0" w:type="dxa"/>
              <w:left w:w="0" w:type="dxa"/>
              <w:bottom w:w="0" w:type="dxa"/>
              <w:right w:w="15" w:type="dxa"/>
            </w:tcMar>
            <w:vAlign w:val="bottom"/>
          </w:tcPr>
          <w:p w14:paraId="4AB98C9D" w14:textId="77777777" w:rsidR="001614AC" w:rsidRDefault="001614AC">
            <w:pPr>
              <w:keepNext/>
              <w:spacing w:before="55" w:after="30" w:line="288" w:lineRule="auto"/>
              <w:jc w:val="right"/>
            </w:pPr>
          </w:p>
        </w:tc>
        <w:tc>
          <w:tcPr>
            <w:tcW w:w="105" w:type="dxa"/>
            <w:tcBorders>
              <w:top w:val="nil"/>
              <w:left w:val="nil"/>
              <w:bottom w:val="nil"/>
              <w:right w:val="nil"/>
            </w:tcBorders>
            <w:shd w:val="clear" w:color="auto" w:fill="F4F4F4"/>
            <w:tcMar>
              <w:top w:w="0" w:type="dxa"/>
              <w:left w:w="0" w:type="dxa"/>
              <w:bottom w:w="0" w:type="dxa"/>
              <w:right w:w="0" w:type="dxa"/>
            </w:tcMar>
            <w:vAlign w:val="bottom"/>
          </w:tcPr>
          <w:p w14:paraId="4B543B13" w14:textId="77777777" w:rsidR="001614AC" w:rsidRDefault="001614AC">
            <w:pPr>
              <w:keepNext/>
            </w:pPr>
          </w:p>
        </w:tc>
        <w:tc>
          <w:tcPr>
            <w:tcW w:w="160" w:type="dxa"/>
            <w:tcBorders>
              <w:top w:val="single" w:sz="8" w:space="0" w:color="C7C9C7"/>
              <w:left w:val="nil"/>
              <w:bottom w:val="double" w:sz="8" w:space="0" w:color="C7C9C7"/>
              <w:right w:val="nil"/>
            </w:tcBorders>
            <w:shd w:val="clear" w:color="auto" w:fill="F4F4F4"/>
            <w:tcMar>
              <w:top w:w="0" w:type="dxa"/>
              <w:left w:w="53" w:type="dxa"/>
              <w:bottom w:w="0" w:type="dxa"/>
              <w:right w:w="0" w:type="dxa"/>
            </w:tcMar>
            <w:vAlign w:val="bottom"/>
          </w:tcPr>
          <w:p w14:paraId="796B3226" w14:textId="77777777" w:rsidR="001614AC" w:rsidRDefault="004468F9">
            <w:pPr>
              <w:keepNext/>
              <w:spacing w:before="55" w:after="30" w:line="288" w:lineRule="auto"/>
            </w:pPr>
            <w:r>
              <w:rPr>
                <w:rFonts w:ascii="Arial" w:eastAsia="Arial" w:hAnsi="Arial" w:cs="Arial"/>
                <w:color w:val="000000"/>
                <w:sz w:val="18"/>
              </w:rPr>
              <w:t>$</w:t>
            </w:r>
          </w:p>
        </w:tc>
        <w:tc>
          <w:tcPr>
            <w:tcW w:w="745" w:type="dxa"/>
            <w:tcBorders>
              <w:top w:val="single" w:sz="8" w:space="0" w:color="C7C9C7"/>
              <w:left w:val="nil"/>
              <w:bottom w:val="double" w:sz="8" w:space="0" w:color="C7C9C7"/>
              <w:right w:val="nil"/>
            </w:tcBorders>
            <w:shd w:val="clear" w:color="auto" w:fill="F4F4F4"/>
            <w:tcMar>
              <w:top w:w="0" w:type="dxa"/>
              <w:left w:w="0" w:type="dxa"/>
              <w:bottom w:w="0" w:type="dxa"/>
              <w:right w:w="0" w:type="dxa"/>
            </w:tcMar>
            <w:vAlign w:val="bottom"/>
          </w:tcPr>
          <w:p w14:paraId="206FCB60" w14:textId="77777777" w:rsidR="001614AC" w:rsidRDefault="004468F9">
            <w:pPr>
              <w:keepNext/>
              <w:spacing w:before="55" w:after="30" w:line="288" w:lineRule="auto"/>
              <w:jc w:val="right"/>
            </w:pPr>
            <w:r>
              <w:rPr>
                <w:rFonts w:ascii="Arial" w:eastAsia="Arial" w:hAnsi="Arial" w:cs="Arial"/>
                <w:color w:val="000000"/>
                <w:sz w:val="18"/>
              </w:rPr>
              <w:t>46,174 </w:t>
            </w:r>
          </w:p>
        </w:tc>
        <w:tc>
          <w:tcPr>
            <w:tcW w:w="100" w:type="dxa"/>
            <w:tcBorders>
              <w:top w:val="single" w:sz="8" w:space="0" w:color="C7C9C7"/>
              <w:left w:val="nil"/>
              <w:bottom w:val="double" w:sz="8" w:space="0" w:color="C7C9C7"/>
              <w:right w:val="nil"/>
            </w:tcBorders>
            <w:shd w:val="clear" w:color="auto" w:fill="F4F4F4"/>
            <w:tcMar>
              <w:top w:w="0" w:type="dxa"/>
              <w:left w:w="0" w:type="dxa"/>
              <w:bottom w:w="0" w:type="dxa"/>
              <w:right w:w="15" w:type="dxa"/>
            </w:tcMar>
            <w:vAlign w:val="bottom"/>
          </w:tcPr>
          <w:p w14:paraId="7BD9E72E" w14:textId="77777777" w:rsidR="001614AC" w:rsidRDefault="001614AC">
            <w:pPr>
              <w:keepNext/>
              <w:spacing w:before="55" w:after="30" w:line="288" w:lineRule="auto"/>
              <w:jc w:val="right"/>
            </w:pPr>
          </w:p>
        </w:tc>
      </w:tr>
      <w:tr w:rsidR="001614AC" w14:paraId="1664B6AB" w14:textId="77777777">
        <w:trPr>
          <w:cantSplit/>
        </w:trPr>
        <w:tc>
          <w:tcPr>
            <w:tcW w:w="5670" w:type="dxa"/>
            <w:tcBorders>
              <w:top w:val="nil"/>
              <w:left w:val="nil"/>
              <w:bottom w:val="single" w:sz="8" w:space="0" w:color="E9E9E9"/>
              <w:right w:val="nil"/>
            </w:tcBorders>
            <w:tcMar>
              <w:top w:w="0" w:type="dxa"/>
              <w:left w:w="0" w:type="dxa"/>
              <w:bottom w:w="0" w:type="dxa"/>
              <w:right w:w="0" w:type="dxa"/>
            </w:tcMar>
            <w:vAlign w:val="bottom"/>
          </w:tcPr>
          <w:p w14:paraId="5BFCF484" w14:textId="77777777" w:rsidR="001614AC" w:rsidRDefault="001614AC">
            <w:pPr>
              <w:keepNext/>
            </w:pPr>
          </w:p>
        </w:tc>
        <w:tc>
          <w:tcPr>
            <w:tcW w:w="105" w:type="dxa"/>
            <w:tcBorders>
              <w:top w:val="nil"/>
              <w:left w:val="nil"/>
              <w:bottom w:val="nil"/>
              <w:right w:val="nil"/>
            </w:tcBorders>
            <w:tcMar>
              <w:top w:w="0" w:type="dxa"/>
              <w:left w:w="0" w:type="dxa"/>
              <w:bottom w:w="0" w:type="dxa"/>
              <w:right w:w="0" w:type="dxa"/>
            </w:tcMar>
            <w:vAlign w:val="bottom"/>
          </w:tcPr>
          <w:p w14:paraId="123D46B2" w14:textId="77777777" w:rsidR="001614AC" w:rsidRDefault="001614AC">
            <w:pPr>
              <w:keepNext/>
            </w:pPr>
          </w:p>
        </w:tc>
        <w:tc>
          <w:tcPr>
            <w:tcW w:w="1005" w:type="dxa"/>
            <w:gridSpan w:val="3"/>
            <w:tcBorders>
              <w:top w:val="double" w:sz="8" w:space="0" w:color="C7C9C7"/>
              <w:left w:val="nil"/>
              <w:bottom w:val="single" w:sz="8" w:space="0" w:color="E9E9E9"/>
              <w:right w:val="nil"/>
            </w:tcBorders>
            <w:tcMar>
              <w:top w:w="0" w:type="dxa"/>
              <w:left w:w="0" w:type="dxa"/>
              <w:bottom w:w="0" w:type="dxa"/>
              <w:right w:w="0" w:type="dxa"/>
            </w:tcMar>
            <w:vAlign w:val="bottom"/>
          </w:tcPr>
          <w:p w14:paraId="53CDCCDD" w14:textId="77777777" w:rsidR="001614AC" w:rsidRDefault="001614AC">
            <w:pPr>
              <w:keepNext/>
            </w:pPr>
          </w:p>
        </w:tc>
        <w:tc>
          <w:tcPr>
            <w:tcW w:w="75" w:type="dxa"/>
            <w:tcBorders>
              <w:top w:val="nil"/>
              <w:left w:val="nil"/>
              <w:bottom w:val="nil"/>
              <w:right w:val="nil"/>
            </w:tcBorders>
            <w:tcMar>
              <w:top w:w="0" w:type="dxa"/>
              <w:left w:w="0" w:type="dxa"/>
              <w:bottom w:w="0" w:type="dxa"/>
              <w:right w:w="0" w:type="dxa"/>
            </w:tcMar>
            <w:vAlign w:val="bottom"/>
          </w:tcPr>
          <w:p w14:paraId="19392EF4" w14:textId="77777777" w:rsidR="001614AC" w:rsidRDefault="001614AC">
            <w:pPr>
              <w:keepNext/>
            </w:pPr>
          </w:p>
        </w:tc>
        <w:tc>
          <w:tcPr>
            <w:tcW w:w="1005" w:type="dxa"/>
            <w:gridSpan w:val="3"/>
            <w:tcBorders>
              <w:top w:val="double" w:sz="8" w:space="0" w:color="C7C9C7"/>
              <w:left w:val="nil"/>
              <w:bottom w:val="single" w:sz="8" w:space="0" w:color="E9E9E9"/>
              <w:right w:val="nil"/>
            </w:tcBorders>
            <w:tcMar>
              <w:top w:w="0" w:type="dxa"/>
              <w:left w:w="0" w:type="dxa"/>
              <w:bottom w:w="0" w:type="dxa"/>
              <w:right w:w="0" w:type="dxa"/>
            </w:tcMar>
            <w:vAlign w:val="bottom"/>
          </w:tcPr>
          <w:p w14:paraId="41CAF300" w14:textId="77777777" w:rsidR="001614AC" w:rsidRDefault="001614AC">
            <w:pPr>
              <w:keepNext/>
            </w:pPr>
          </w:p>
        </w:tc>
        <w:tc>
          <w:tcPr>
            <w:tcW w:w="105" w:type="dxa"/>
            <w:tcBorders>
              <w:top w:val="nil"/>
              <w:left w:val="nil"/>
              <w:bottom w:val="nil"/>
              <w:right w:val="nil"/>
            </w:tcBorders>
            <w:tcMar>
              <w:top w:w="0" w:type="dxa"/>
              <w:left w:w="0" w:type="dxa"/>
              <w:bottom w:w="0" w:type="dxa"/>
              <w:right w:w="0" w:type="dxa"/>
            </w:tcMar>
            <w:vAlign w:val="bottom"/>
          </w:tcPr>
          <w:p w14:paraId="21D90EDC" w14:textId="77777777" w:rsidR="001614AC" w:rsidRDefault="001614AC">
            <w:pPr>
              <w:keepNext/>
            </w:pPr>
          </w:p>
        </w:tc>
        <w:tc>
          <w:tcPr>
            <w:tcW w:w="1005" w:type="dxa"/>
            <w:gridSpan w:val="3"/>
            <w:tcBorders>
              <w:top w:val="double" w:sz="8" w:space="0" w:color="C7C9C7"/>
              <w:left w:val="nil"/>
              <w:bottom w:val="single" w:sz="8" w:space="0" w:color="E9E9E9"/>
              <w:right w:val="nil"/>
            </w:tcBorders>
            <w:tcMar>
              <w:top w:w="0" w:type="dxa"/>
              <w:left w:w="0" w:type="dxa"/>
              <w:bottom w:w="0" w:type="dxa"/>
              <w:right w:w="0" w:type="dxa"/>
            </w:tcMar>
            <w:vAlign w:val="bottom"/>
          </w:tcPr>
          <w:p w14:paraId="1F1BC8D1" w14:textId="77777777" w:rsidR="001614AC" w:rsidRDefault="001614AC">
            <w:pPr>
              <w:keepNext/>
            </w:pPr>
          </w:p>
        </w:tc>
        <w:tc>
          <w:tcPr>
            <w:tcW w:w="105" w:type="dxa"/>
            <w:tcBorders>
              <w:top w:val="nil"/>
              <w:left w:val="nil"/>
              <w:bottom w:val="nil"/>
              <w:right w:val="nil"/>
            </w:tcBorders>
            <w:tcMar>
              <w:top w:w="0" w:type="dxa"/>
              <w:left w:w="0" w:type="dxa"/>
              <w:bottom w:w="0" w:type="dxa"/>
              <w:right w:w="0" w:type="dxa"/>
            </w:tcMar>
            <w:vAlign w:val="bottom"/>
          </w:tcPr>
          <w:p w14:paraId="07F3CAED" w14:textId="77777777" w:rsidR="001614AC" w:rsidRDefault="001614AC">
            <w:pPr>
              <w:keepNext/>
            </w:pPr>
          </w:p>
        </w:tc>
        <w:tc>
          <w:tcPr>
            <w:tcW w:w="1005" w:type="dxa"/>
            <w:gridSpan w:val="3"/>
            <w:tcBorders>
              <w:top w:val="double" w:sz="8" w:space="0" w:color="C7C9C7"/>
              <w:left w:val="nil"/>
              <w:bottom w:val="single" w:sz="8" w:space="0" w:color="E9E9E9"/>
              <w:right w:val="nil"/>
            </w:tcBorders>
            <w:tcMar>
              <w:top w:w="0" w:type="dxa"/>
              <w:left w:w="0" w:type="dxa"/>
              <w:bottom w:w="0" w:type="dxa"/>
              <w:right w:w="0" w:type="dxa"/>
            </w:tcMar>
            <w:vAlign w:val="bottom"/>
          </w:tcPr>
          <w:p w14:paraId="2EBCA723" w14:textId="77777777" w:rsidR="001614AC" w:rsidRDefault="001614AC">
            <w:pPr>
              <w:keepNext/>
            </w:pPr>
          </w:p>
        </w:tc>
      </w:tr>
      <w:tr w:rsidR="001614AC" w14:paraId="40B02948" w14:textId="77777777">
        <w:trPr>
          <w:cantSplit/>
        </w:trPr>
        <w:tc>
          <w:tcPr>
            <w:tcW w:w="5670" w:type="dxa"/>
            <w:tcBorders>
              <w:top w:val="single" w:sz="8" w:space="0" w:color="E9E9E9"/>
              <w:left w:val="nil"/>
              <w:bottom w:val="single" w:sz="8" w:space="0" w:color="E9E9E9"/>
              <w:right w:val="nil"/>
            </w:tcBorders>
            <w:tcMar>
              <w:top w:w="0" w:type="dxa"/>
              <w:left w:w="53" w:type="dxa"/>
              <w:bottom w:w="0" w:type="dxa"/>
              <w:right w:w="53" w:type="dxa"/>
            </w:tcMar>
            <w:vAlign w:val="bottom"/>
          </w:tcPr>
          <w:p w14:paraId="30C08681" w14:textId="77777777" w:rsidR="001614AC" w:rsidRDefault="004468F9">
            <w:pPr>
              <w:keepNext/>
              <w:spacing w:before="55" w:after="30" w:line="288" w:lineRule="auto"/>
              <w:rPr>
                <w:rFonts w:ascii="Arial" w:eastAsia="Arial" w:hAnsi="Arial" w:cs="Arial"/>
                <w:sz w:val="18"/>
              </w:rPr>
            </w:pPr>
            <w:r>
              <w:rPr>
                <w:rFonts w:ascii="Arial" w:eastAsia="Arial" w:hAnsi="Arial" w:cs="Arial"/>
                <w:sz w:val="18"/>
              </w:rPr>
              <w:t xml:space="preserve">Total average net primary claim paid </w:t>
            </w:r>
            <w:r>
              <w:rPr>
                <w:rFonts w:ascii="Arial" w:eastAsia="Arial" w:hAnsi="Arial" w:cs="Arial"/>
                <w:sz w:val="18"/>
                <w:vertAlign w:val="superscript"/>
              </w:rPr>
              <w:t xml:space="preserve">(1) (3) </w:t>
            </w:r>
          </w:p>
        </w:tc>
        <w:tc>
          <w:tcPr>
            <w:tcW w:w="105" w:type="dxa"/>
            <w:tcBorders>
              <w:top w:val="nil"/>
              <w:left w:val="nil"/>
              <w:bottom w:val="nil"/>
              <w:right w:val="nil"/>
            </w:tcBorders>
            <w:tcMar>
              <w:top w:w="0" w:type="dxa"/>
              <w:left w:w="0" w:type="dxa"/>
              <w:bottom w:w="0" w:type="dxa"/>
              <w:right w:w="0" w:type="dxa"/>
            </w:tcMar>
            <w:vAlign w:val="bottom"/>
          </w:tcPr>
          <w:p w14:paraId="64F4C82C" w14:textId="77777777" w:rsidR="001614AC" w:rsidRDefault="001614AC">
            <w:pPr>
              <w:keepNext/>
            </w:pPr>
          </w:p>
        </w:tc>
        <w:tc>
          <w:tcPr>
            <w:tcW w:w="160" w:type="dxa"/>
            <w:tcBorders>
              <w:top w:val="single" w:sz="8" w:space="0" w:color="E9E9E9"/>
              <w:left w:val="nil"/>
              <w:bottom w:val="single" w:sz="8" w:space="0" w:color="E9E9E9"/>
              <w:right w:val="nil"/>
            </w:tcBorders>
            <w:tcMar>
              <w:top w:w="0" w:type="dxa"/>
              <w:left w:w="53" w:type="dxa"/>
              <w:bottom w:w="0" w:type="dxa"/>
              <w:right w:w="0" w:type="dxa"/>
            </w:tcMar>
            <w:vAlign w:val="bottom"/>
          </w:tcPr>
          <w:p w14:paraId="1DB01A80" w14:textId="77777777" w:rsidR="001614AC" w:rsidRDefault="004468F9">
            <w:pPr>
              <w:keepNext/>
              <w:spacing w:before="55" w:after="30" w:line="288" w:lineRule="auto"/>
            </w:pPr>
            <w:r>
              <w:rPr>
                <w:rFonts w:ascii="Arial" w:eastAsia="Arial" w:hAnsi="Arial" w:cs="Arial"/>
                <w:color w:val="000000"/>
                <w:sz w:val="18"/>
              </w:rPr>
              <w:t>$</w:t>
            </w:r>
          </w:p>
        </w:tc>
        <w:tc>
          <w:tcPr>
            <w:tcW w:w="745" w:type="dxa"/>
            <w:tcBorders>
              <w:top w:val="single" w:sz="8" w:space="0" w:color="E9E9E9"/>
              <w:left w:val="nil"/>
              <w:bottom w:val="single" w:sz="8" w:space="0" w:color="E9E9E9"/>
              <w:right w:val="nil"/>
            </w:tcBorders>
            <w:tcMar>
              <w:top w:w="0" w:type="dxa"/>
              <w:left w:w="0" w:type="dxa"/>
              <w:bottom w:w="0" w:type="dxa"/>
              <w:right w:w="0" w:type="dxa"/>
            </w:tcMar>
            <w:vAlign w:val="bottom"/>
          </w:tcPr>
          <w:p w14:paraId="07F5642A" w14:textId="77777777" w:rsidR="001614AC" w:rsidRDefault="004468F9">
            <w:pPr>
              <w:keepNext/>
              <w:spacing w:before="55" w:after="30" w:line="288" w:lineRule="auto"/>
              <w:jc w:val="right"/>
            </w:pPr>
            <w:r>
              <w:rPr>
                <w:rFonts w:ascii="Arial" w:eastAsia="Arial" w:hAnsi="Arial" w:cs="Arial"/>
                <w:color w:val="000000"/>
                <w:sz w:val="18"/>
              </w:rPr>
              <w:t>46.8 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6C10538E" w14:textId="77777777" w:rsidR="001614AC" w:rsidRDefault="001614AC">
            <w:pPr>
              <w:keepNext/>
              <w:spacing w:before="55" w:after="30" w:line="288" w:lineRule="auto"/>
              <w:jc w:val="right"/>
            </w:pPr>
          </w:p>
        </w:tc>
        <w:tc>
          <w:tcPr>
            <w:tcW w:w="75" w:type="dxa"/>
            <w:tcBorders>
              <w:top w:val="nil"/>
              <w:left w:val="nil"/>
              <w:bottom w:val="nil"/>
              <w:right w:val="nil"/>
            </w:tcBorders>
            <w:tcMar>
              <w:top w:w="0" w:type="dxa"/>
              <w:left w:w="0" w:type="dxa"/>
              <w:bottom w:w="0" w:type="dxa"/>
              <w:right w:w="0" w:type="dxa"/>
            </w:tcMar>
            <w:vAlign w:val="bottom"/>
          </w:tcPr>
          <w:p w14:paraId="4962668C" w14:textId="77777777" w:rsidR="001614AC" w:rsidRDefault="001614AC">
            <w:pPr>
              <w:keepNext/>
            </w:pPr>
          </w:p>
        </w:tc>
        <w:tc>
          <w:tcPr>
            <w:tcW w:w="160" w:type="dxa"/>
            <w:tcBorders>
              <w:top w:val="single" w:sz="8" w:space="0" w:color="E9E9E9"/>
              <w:left w:val="nil"/>
              <w:bottom w:val="single" w:sz="8" w:space="0" w:color="E9E9E9"/>
              <w:right w:val="nil"/>
            </w:tcBorders>
            <w:tcMar>
              <w:top w:w="0" w:type="dxa"/>
              <w:left w:w="53" w:type="dxa"/>
              <w:bottom w:w="0" w:type="dxa"/>
              <w:right w:w="0" w:type="dxa"/>
            </w:tcMar>
            <w:vAlign w:val="bottom"/>
          </w:tcPr>
          <w:p w14:paraId="5F04DB5B" w14:textId="77777777" w:rsidR="001614AC" w:rsidRDefault="004468F9">
            <w:pPr>
              <w:keepNext/>
              <w:spacing w:before="55" w:after="30" w:line="288" w:lineRule="auto"/>
            </w:pPr>
            <w:r>
              <w:rPr>
                <w:rFonts w:ascii="Arial" w:eastAsia="Arial" w:hAnsi="Arial" w:cs="Arial"/>
                <w:color w:val="000000"/>
                <w:sz w:val="18"/>
              </w:rPr>
              <w:t>$</w:t>
            </w:r>
          </w:p>
        </w:tc>
        <w:tc>
          <w:tcPr>
            <w:tcW w:w="745" w:type="dxa"/>
            <w:tcBorders>
              <w:top w:val="single" w:sz="8" w:space="0" w:color="E9E9E9"/>
              <w:left w:val="nil"/>
              <w:bottom w:val="single" w:sz="8" w:space="0" w:color="E9E9E9"/>
              <w:right w:val="nil"/>
            </w:tcBorders>
            <w:tcMar>
              <w:top w:w="0" w:type="dxa"/>
              <w:left w:w="0" w:type="dxa"/>
              <w:bottom w:w="0" w:type="dxa"/>
              <w:right w:w="0" w:type="dxa"/>
            </w:tcMar>
            <w:vAlign w:val="bottom"/>
          </w:tcPr>
          <w:p w14:paraId="58600B5F" w14:textId="77777777" w:rsidR="001614AC" w:rsidRDefault="004468F9">
            <w:pPr>
              <w:keepNext/>
              <w:spacing w:before="55" w:after="30" w:line="288" w:lineRule="auto"/>
              <w:jc w:val="right"/>
            </w:pPr>
            <w:r>
              <w:rPr>
                <w:rFonts w:ascii="Arial" w:eastAsia="Arial" w:hAnsi="Arial" w:cs="Arial"/>
                <w:color w:val="000000"/>
                <w:sz w:val="18"/>
              </w:rPr>
              <w:t>47.9 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77A12921" w14:textId="77777777" w:rsidR="001614AC" w:rsidRDefault="001614AC">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7CB3CD39" w14:textId="77777777" w:rsidR="001614AC" w:rsidRDefault="001614AC">
            <w:pPr>
              <w:keepNext/>
            </w:pPr>
          </w:p>
        </w:tc>
        <w:tc>
          <w:tcPr>
            <w:tcW w:w="160" w:type="dxa"/>
            <w:tcBorders>
              <w:top w:val="single" w:sz="8" w:space="0" w:color="E9E9E9"/>
              <w:left w:val="nil"/>
              <w:bottom w:val="single" w:sz="8" w:space="0" w:color="E9E9E9"/>
              <w:right w:val="nil"/>
            </w:tcBorders>
            <w:tcMar>
              <w:top w:w="0" w:type="dxa"/>
              <w:left w:w="53" w:type="dxa"/>
              <w:bottom w:w="0" w:type="dxa"/>
              <w:right w:w="0" w:type="dxa"/>
            </w:tcMar>
            <w:vAlign w:val="bottom"/>
          </w:tcPr>
          <w:p w14:paraId="18D4F5D3" w14:textId="77777777" w:rsidR="001614AC" w:rsidRDefault="004468F9">
            <w:pPr>
              <w:keepNext/>
              <w:spacing w:before="55" w:after="30" w:line="288" w:lineRule="auto"/>
            </w:pPr>
            <w:r>
              <w:rPr>
                <w:rFonts w:ascii="Arial" w:eastAsia="Arial" w:hAnsi="Arial" w:cs="Arial"/>
                <w:color w:val="000000"/>
                <w:sz w:val="18"/>
              </w:rPr>
              <w:t>$</w:t>
            </w:r>
          </w:p>
        </w:tc>
        <w:tc>
          <w:tcPr>
            <w:tcW w:w="745" w:type="dxa"/>
            <w:tcBorders>
              <w:top w:val="single" w:sz="8" w:space="0" w:color="E9E9E9"/>
              <w:left w:val="nil"/>
              <w:bottom w:val="single" w:sz="8" w:space="0" w:color="E9E9E9"/>
              <w:right w:val="nil"/>
            </w:tcBorders>
            <w:tcMar>
              <w:top w:w="0" w:type="dxa"/>
              <w:left w:w="0" w:type="dxa"/>
              <w:bottom w:w="0" w:type="dxa"/>
              <w:right w:w="0" w:type="dxa"/>
            </w:tcMar>
            <w:vAlign w:val="bottom"/>
          </w:tcPr>
          <w:p w14:paraId="3CE76BB4" w14:textId="77777777" w:rsidR="001614AC" w:rsidRDefault="004468F9">
            <w:pPr>
              <w:keepNext/>
              <w:spacing w:before="55" w:after="30" w:line="288" w:lineRule="auto"/>
              <w:jc w:val="right"/>
            </w:pPr>
            <w:r>
              <w:rPr>
                <w:rFonts w:ascii="Arial" w:eastAsia="Arial" w:hAnsi="Arial" w:cs="Arial"/>
                <w:color w:val="000000"/>
                <w:sz w:val="18"/>
              </w:rPr>
              <w:t>45.2 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151BC03F" w14:textId="77777777" w:rsidR="001614AC" w:rsidRDefault="001614AC">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64AADAEB" w14:textId="77777777" w:rsidR="001614AC" w:rsidRDefault="001614AC">
            <w:pPr>
              <w:keepNext/>
            </w:pPr>
          </w:p>
        </w:tc>
        <w:tc>
          <w:tcPr>
            <w:tcW w:w="160" w:type="dxa"/>
            <w:tcBorders>
              <w:top w:val="single" w:sz="8" w:space="0" w:color="E9E9E9"/>
              <w:left w:val="nil"/>
              <w:bottom w:val="single" w:sz="8" w:space="0" w:color="E9E9E9"/>
              <w:right w:val="nil"/>
            </w:tcBorders>
            <w:tcMar>
              <w:top w:w="0" w:type="dxa"/>
              <w:left w:w="53" w:type="dxa"/>
              <w:bottom w:w="0" w:type="dxa"/>
              <w:right w:w="0" w:type="dxa"/>
            </w:tcMar>
            <w:vAlign w:val="bottom"/>
          </w:tcPr>
          <w:p w14:paraId="099D65C1" w14:textId="77777777" w:rsidR="001614AC" w:rsidRDefault="004468F9">
            <w:pPr>
              <w:keepNext/>
              <w:spacing w:before="55" w:after="30" w:line="288" w:lineRule="auto"/>
            </w:pPr>
            <w:r>
              <w:rPr>
                <w:rFonts w:ascii="Arial" w:eastAsia="Arial" w:hAnsi="Arial" w:cs="Arial"/>
                <w:color w:val="000000"/>
                <w:sz w:val="18"/>
              </w:rPr>
              <w:t>$</w:t>
            </w:r>
          </w:p>
        </w:tc>
        <w:tc>
          <w:tcPr>
            <w:tcW w:w="745" w:type="dxa"/>
            <w:tcBorders>
              <w:top w:val="single" w:sz="8" w:space="0" w:color="E9E9E9"/>
              <w:left w:val="nil"/>
              <w:bottom w:val="single" w:sz="8" w:space="0" w:color="E9E9E9"/>
              <w:right w:val="nil"/>
            </w:tcBorders>
            <w:tcMar>
              <w:top w:w="0" w:type="dxa"/>
              <w:left w:w="0" w:type="dxa"/>
              <w:bottom w:w="0" w:type="dxa"/>
              <w:right w:w="0" w:type="dxa"/>
            </w:tcMar>
            <w:vAlign w:val="bottom"/>
          </w:tcPr>
          <w:p w14:paraId="765564AB" w14:textId="77777777" w:rsidR="001614AC" w:rsidRDefault="004468F9">
            <w:pPr>
              <w:keepNext/>
              <w:spacing w:before="55" w:after="30" w:line="288" w:lineRule="auto"/>
              <w:jc w:val="right"/>
            </w:pPr>
            <w:r>
              <w:rPr>
                <w:rFonts w:ascii="Arial" w:eastAsia="Arial" w:hAnsi="Arial" w:cs="Arial"/>
                <w:color w:val="000000"/>
                <w:sz w:val="18"/>
              </w:rPr>
              <w:t>49.2 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4503DFDE" w14:textId="77777777" w:rsidR="001614AC" w:rsidRDefault="001614AC">
            <w:pPr>
              <w:keepNext/>
              <w:spacing w:before="55" w:after="30" w:line="288" w:lineRule="auto"/>
              <w:jc w:val="right"/>
            </w:pPr>
          </w:p>
        </w:tc>
      </w:tr>
      <w:tr w:rsidR="001614AC" w14:paraId="75BA07B3" w14:textId="77777777">
        <w:trPr>
          <w:cantSplit/>
        </w:trPr>
        <w:tc>
          <w:tcPr>
            <w:tcW w:w="5670" w:type="dxa"/>
            <w:tcBorders>
              <w:top w:val="single" w:sz="8" w:space="0" w:color="E9E9E9"/>
              <w:left w:val="nil"/>
              <w:bottom w:val="single" w:sz="8" w:space="0" w:color="E9E9E9"/>
              <w:right w:val="nil"/>
            </w:tcBorders>
            <w:tcMar>
              <w:top w:w="0" w:type="dxa"/>
              <w:left w:w="53" w:type="dxa"/>
              <w:bottom w:w="0" w:type="dxa"/>
              <w:right w:w="53" w:type="dxa"/>
            </w:tcMar>
            <w:vAlign w:val="bottom"/>
          </w:tcPr>
          <w:p w14:paraId="412C7CA2" w14:textId="77777777" w:rsidR="001614AC" w:rsidRDefault="004468F9">
            <w:pPr>
              <w:spacing w:before="55" w:after="30" w:line="288" w:lineRule="auto"/>
              <w:rPr>
                <w:rFonts w:ascii="Arial" w:eastAsia="Arial" w:hAnsi="Arial" w:cs="Arial"/>
                <w:sz w:val="18"/>
              </w:rPr>
            </w:pPr>
            <w:r>
              <w:rPr>
                <w:rFonts w:ascii="Arial" w:eastAsia="Arial" w:hAnsi="Arial" w:cs="Arial"/>
                <w:sz w:val="18"/>
              </w:rPr>
              <w:t>Average direct primary claim paid</w:t>
            </w:r>
            <w:r>
              <w:rPr>
                <w:rFonts w:ascii="Arial" w:eastAsia="Arial" w:hAnsi="Arial" w:cs="Arial"/>
                <w:sz w:val="18"/>
                <w:vertAlign w:val="superscript"/>
              </w:rPr>
              <w:t xml:space="preserve"> (3) (4) </w:t>
            </w:r>
          </w:p>
        </w:tc>
        <w:tc>
          <w:tcPr>
            <w:tcW w:w="105" w:type="dxa"/>
            <w:tcBorders>
              <w:top w:val="nil"/>
              <w:left w:val="nil"/>
              <w:bottom w:val="nil"/>
              <w:right w:val="nil"/>
            </w:tcBorders>
            <w:tcMar>
              <w:top w:w="0" w:type="dxa"/>
              <w:left w:w="0" w:type="dxa"/>
              <w:bottom w:w="0" w:type="dxa"/>
              <w:right w:w="0" w:type="dxa"/>
            </w:tcMar>
            <w:vAlign w:val="bottom"/>
          </w:tcPr>
          <w:p w14:paraId="62B625A5" w14:textId="77777777" w:rsidR="001614AC" w:rsidRDefault="001614AC"/>
        </w:tc>
        <w:tc>
          <w:tcPr>
            <w:tcW w:w="160" w:type="dxa"/>
            <w:tcBorders>
              <w:top w:val="single" w:sz="8" w:space="0" w:color="E9E9E9"/>
              <w:left w:val="nil"/>
              <w:bottom w:val="single" w:sz="8" w:space="0" w:color="E9E9E9"/>
              <w:right w:val="nil"/>
            </w:tcBorders>
            <w:tcMar>
              <w:top w:w="0" w:type="dxa"/>
              <w:left w:w="53" w:type="dxa"/>
              <w:bottom w:w="0" w:type="dxa"/>
              <w:right w:w="0" w:type="dxa"/>
            </w:tcMar>
            <w:vAlign w:val="bottom"/>
          </w:tcPr>
          <w:p w14:paraId="00CF2022" w14:textId="77777777" w:rsidR="001614AC" w:rsidRDefault="004468F9">
            <w:pPr>
              <w:spacing w:before="55" w:after="30" w:line="288" w:lineRule="auto"/>
            </w:pPr>
            <w:r>
              <w:rPr>
                <w:rFonts w:ascii="Arial" w:eastAsia="Arial" w:hAnsi="Arial" w:cs="Arial"/>
                <w:color w:val="000000"/>
                <w:sz w:val="18"/>
              </w:rPr>
              <w:t>$</w:t>
            </w:r>
          </w:p>
        </w:tc>
        <w:tc>
          <w:tcPr>
            <w:tcW w:w="745" w:type="dxa"/>
            <w:tcBorders>
              <w:top w:val="single" w:sz="8" w:space="0" w:color="E9E9E9"/>
              <w:left w:val="nil"/>
              <w:bottom w:val="single" w:sz="8" w:space="0" w:color="E9E9E9"/>
              <w:right w:val="nil"/>
            </w:tcBorders>
            <w:tcMar>
              <w:top w:w="0" w:type="dxa"/>
              <w:left w:w="0" w:type="dxa"/>
              <w:bottom w:w="0" w:type="dxa"/>
              <w:right w:w="0" w:type="dxa"/>
            </w:tcMar>
            <w:vAlign w:val="bottom"/>
          </w:tcPr>
          <w:p w14:paraId="25106F20" w14:textId="77777777" w:rsidR="001614AC" w:rsidRDefault="004468F9">
            <w:pPr>
              <w:spacing w:before="55" w:after="30" w:line="288" w:lineRule="auto"/>
              <w:jc w:val="right"/>
            </w:pPr>
            <w:r>
              <w:rPr>
                <w:rFonts w:ascii="Arial" w:eastAsia="Arial" w:hAnsi="Arial" w:cs="Arial"/>
                <w:color w:val="000000"/>
                <w:sz w:val="18"/>
              </w:rPr>
              <w:t>48.4 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0283F001" w14:textId="77777777" w:rsidR="001614AC" w:rsidRDefault="001614AC">
            <w:pPr>
              <w:spacing w:before="55" w:after="30" w:line="288" w:lineRule="auto"/>
              <w:jc w:val="right"/>
            </w:pPr>
          </w:p>
        </w:tc>
        <w:tc>
          <w:tcPr>
            <w:tcW w:w="75" w:type="dxa"/>
            <w:tcBorders>
              <w:top w:val="nil"/>
              <w:left w:val="nil"/>
              <w:bottom w:val="nil"/>
              <w:right w:val="nil"/>
            </w:tcBorders>
            <w:tcMar>
              <w:top w:w="0" w:type="dxa"/>
              <w:left w:w="0" w:type="dxa"/>
              <w:bottom w:w="0" w:type="dxa"/>
              <w:right w:w="0" w:type="dxa"/>
            </w:tcMar>
            <w:vAlign w:val="bottom"/>
          </w:tcPr>
          <w:p w14:paraId="1A9AF905" w14:textId="77777777" w:rsidR="001614AC" w:rsidRDefault="001614AC"/>
        </w:tc>
        <w:tc>
          <w:tcPr>
            <w:tcW w:w="160" w:type="dxa"/>
            <w:tcBorders>
              <w:top w:val="single" w:sz="8" w:space="0" w:color="E9E9E9"/>
              <w:left w:val="nil"/>
              <w:bottom w:val="single" w:sz="8" w:space="0" w:color="E9E9E9"/>
              <w:right w:val="nil"/>
            </w:tcBorders>
            <w:tcMar>
              <w:top w:w="0" w:type="dxa"/>
              <w:left w:w="53" w:type="dxa"/>
              <w:bottom w:w="0" w:type="dxa"/>
              <w:right w:w="0" w:type="dxa"/>
            </w:tcMar>
            <w:vAlign w:val="bottom"/>
          </w:tcPr>
          <w:p w14:paraId="464FFBD0" w14:textId="77777777" w:rsidR="001614AC" w:rsidRDefault="004468F9">
            <w:pPr>
              <w:spacing w:before="55" w:after="30" w:line="288" w:lineRule="auto"/>
            </w:pPr>
            <w:r>
              <w:rPr>
                <w:rFonts w:ascii="Arial" w:eastAsia="Arial" w:hAnsi="Arial" w:cs="Arial"/>
                <w:color w:val="000000"/>
                <w:sz w:val="18"/>
              </w:rPr>
              <w:t>$</w:t>
            </w:r>
          </w:p>
        </w:tc>
        <w:tc>
          <w:tcPr>
            <w:tcW w:w="745" w:type="dxa"/>
            <w:tcBorders>
              <w:top w:val="single" w:sz="8" w:space="0" w:color="E9E9E9"/>
              <w:left w:val="nil"/>
              <w:bottom w:val="single" w:sz="8" w:space="0" w:color="E9E9E9"/>
              <w:right w:val="nil"/>
            </w:tcBorders>
            <w:tcMar>
              <w:top w:w="0" w:type="dxa"/>
              <w:left w:w="0" w:type="dxa"/>
              <w:bottom w:w="0" w:type="dxa"/>
              <w:right w:w="0" w:type="dxa"/>
            </w:tcMar>
            <w:vAlign w:val="bottom"/>
          </w:tcPr>
          <w:p w14:paraId="057C3C3C" w14:textId="77777777" w:rsidR="001614AC" w:rsidRDefault="004468F9">
            <w:pPr>
              <w:spacing w:before="55" w:after="30" w:line="288" w:lineRule="auto"/>
              <w:jc w:val="right"/>
            </w:pPr>
            <w:r>
              <w:rPr>
                <w:rFonts w:ascii="Arial" w:eastAsia="Arial" w:hAnsi="Arial" w:cs="Arial"/>
                <w:color w:val="000000"/>
                <w:sz w:val="18"/>
              </w:rPr>
              <w:t>49.0 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0A1F878B" w14:textId="77777777" w:rsidR="001614AC" w:rsidRDefault="001614AC">
            <w:pPr>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769F8662" w14:textId="77777777" w:rsidR="001614AC" w:rsidRDefault="001614AC"/>
        </w:tc>
        <w:tc>
          <w:tcPr>
            <w:tcW w:w="160" w:type="dxa"/>
            <w:tcBorders>
              <w:top w:val="single" w:sz="8" w:space="0" w:color="E9E9E9"/>
              <w:left w:val="nil"/>
              <w:bottom w:val="single" w:sz="8" w:space="0" w:color="E9E9E9"/>
              <w:right w:val="nil"/>
            </w:tcBorders>
            <w:tcMar>
              <w:top w:w="0" w:type="dxa"/>
              <w:left w:w="53" w:type="dxa"/>
              <w:bottom w:w="0" w:type="dxa"/>
              <w:right w:w="0" w:type="dxa"/>
            </w:tcMar>
            <w:vAlign w:val="bottom"/>
          </w:tcPr>
          <w:p w14:paraId="60F341DB" w14:textId="77777777" w:rsidR="001614AC" w:rsidRDefault="004468F9">
            <w:pPr>
              <w:spacing w:before="55" w:after="30" w:line="288" w:lineRule="auto"/>
            </w:pPr>
            <w:r>
              <w:rPr>
                <w:rFonts w:ascii="Arial" w:eastAsia="Arial" w:hAnsi="Arial" w:cs="Arial"/>
                <w:color w:val="000000"/>
                <w:sz w:val="18"/>
              </w:rPr>
              <w:t>$</w:t>
            </w:r>
          </w:p>
        </w:tc>
        <w:tc>
          <w:tcPr>
            <w:tcW w:w="745" w:type="dxa"/>
            <w:tcBorders>
              <w:top w:val="single" w:sz="8" w:space="0" w:color="E9E9E9"/>
              <w:left w:val="nil"/>
              <w:bottom w:val="single" w:sz="8" w:space="0" w:color="E9E9E9"/>
              <w:right w:val="nil"/>
            </w:tcBorders>
            <w:tcMar>
              <w:top w:w="0" w:type="dxa"/>
              <w:left w:w="0" w:type="dxa"/>
              <w:bottom w:w="0" w:type="dxa"/>
              <w:right w:w="0" w:type="dxa"/>
            </w:tcMar>
            <w:vAlign w:val="bottom"/>
          </w:tcPr>
          <w:p w14:paraId="6F3249E5" w14:textId="77777777" w:rsidR="001614AC" w:rsidRDefault="004468F9">
            <w:pPr>
              <w:spacing w:before="55" w:after="30" w:line="288" w:lineRule="auto"/>
              <w:jc w:val="right"/>
            </w:pPr>
            <w:r>
              <w:rPr>
                <w:rFonts w:ascii="Arial" w:eastAsia="Arial" w:hAnsi="Arial" w:cs="Arial"/>
                <w:color w:val="000000"/>
                <w:sz w:val="18"/>
              </w:rPr>
              <w:t>46.8 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7749C023" w14:textId="77777777" w:rsidR="001614AC" w:rsidRDefault="001614AC">
            <w:pPr>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635CF8EC" w14:textId="77777777" w:rsidR="001614AC" w:rsidRDefault="001614AC"/>
        </w:tc>
        <w:tc>
          <w:tcPr>
            <w:tcW w:w="160" w:type="dxa"/>
            <w:tcBorders>
              <w:top w:val="single" w:sz="8" w:space="0" w:color="E9E9E9"/>
              <w:left w:val="nil"/>
              <w:bottom w:val="single" w:sz="8" w:space="0" w:color="E9E9E9"/>
              <w:right w:val="nil"/>
            </w:tcBorders>
            <w:tcMar>
              <w:top w:w="0" w:type="dxa"/>
              <w:left w:w="53" w:type="dxa"/>
              <w:bottom w:w="0" w:type="dxa"/>
              <w:right w:w="0" w:type="dxa"/>
            </w:tcMar>
            <w:vAlign w:val="bottom"/>
          </w:tcPr>
          <w:p w14:paraId="00C65978" w14:textId="77777777" w:rsidR="001614AC" w:rsidRDefault="004468F9">
            <w:pPr>
              <w:spacing w:before="55" w:after="30" w:line="288" w:lineRule="auto"/>
            </w:pPr>
            <w:r>
              <w:rPr>
                <w:rFonts w:ascii="Arial" w:eastAsia="Arial" w:hAnsi="Arial" w:cs="Arial"/>
                <w:color w:val="000000"/>
                <w:sz w:val="18"/>
              </w:rPr>
              <w:t>$</w:t>
            </w:r>
          </w:p>
        </w:tc>
        <w:tc>
          <w:tcPr>
            <w:tcW w:w="745" w:type="dxa"/>
            <w:tcBorders>
              <w:top w:val="single" w:sz="8" w:space="0" w:color="E9E9E9"/>
              <w:left w:val="nil"/>
              <w:bottom w:val="single" w:sz="8" w:space="0" w:color="E9E9E9"/>
              <w:right w:val="nil"/>
            </w:tcBorders>
            <w:tcMar>
              <w:top w:w="0" w:type="dxa"/>
              <w:left w:w="0" w:type="dxa"/>
              <w:bottom w:w="0" w:type="dxa"/>
              <w:right w:w="0" w:type="dxa"/>
            </w:tcMar>
            <w:vAlign w:val="bottom"/>
          </w:tcPr>
          <w:p w14:paraId="5462FB01" w14:textId="77777777" w:rsidR="001614AC" w:rsidRDefault="004468F9">
            <w:pPr>
              <w:spacing w:before="55" w:after="30" w:line="288" w:lineRule="auto"/>
              <w:jc w:val="right"/>
            </w:pPr>
            <w:r>
              <w:rPr>
                <w:rFonts w:ascii="Arial" w:eastAsia="Arial" w:hAnsi="Arial" w:cs="Arial"/>
                <w:color w:val="000000"/>
                <w:sz w:val="18"/>
              </w:rPr>
              <w:t>50.2 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744427DC" w14:textId="77777777" w:rsidR="001614AC" w:rsidRDefault="001614AC">
            <w:pPr>
              <w:spacing w:before="55" w:after="30" w:line="288" w:lineRule="auto"/>
              <w:jc w:val="right"/>
            </w:pPr>
          </w:p>
        </w:tc>
      </w:tr>
    </w:tbl>
    <w:p w14:paraId="7CC643B4" w14:textId="77777777" w:rsidR="001614AC" w:rsidRDefault="004468F9" w:rsidP="004468F9">
      <w:pPr>
        <w:numPr>
          <w:ilvl w:val="0"/>
          <w:numId w:val="39"/>
        </w:numPr>
        <w:spacing w:line="288" w:lineRule="auto"/>
        <w:ind w:left="360"/>
        <w:rPr>
          <w:rFonts w:ascii="Arial" w:eastAsia="Arial" w:hAnsi="Arial" w:cs="Arial"/>
          <w:b/>
          <w:color w:val="64615D"/>
          <w:sz w:val="16"/>
          <w:shd w:val="clear" w:color="auto" w:fill="FFFFFF"/>
        </w:rPr>
      </w:pPr>
      <w:r>
        <w:rPr>
          <w:rFonts w:ascii="Arial" w:eastAsia="Arial" w:hAnsi="Arial" w:cs="Arial"/>
          <w:color w:val="64615D"/>
          <w:sz w:val="16"/>
        </w:rPr>
        <w:t xml:space="preserve">Includes the impact of reinsurance recoveries and LAE. </w:t>
      </w:r>
    </w:p>
    <w:p w14:paraId="5D203CF6" w14:textId="77777777" w:rsidR="001614AC" w:rsidRDefault="004468F9" w:rsidP="004468F9">
      <w:pPr>
        <w:numPr>
          <w:ilvl w:val="0"/>
          <w:numId w:val="39"/>
        </w:numPr>
        <w:spacing w:line="288" w:lineRule="auto"/>
        <w:ind w:left="360"/>
        <w:rPr>
          <w:rFonts w:ascii="Arial" w:eastAsia="Arial" w:hAnsi="Arial" w:cs="Arial"/>
          <w:b/>
          <w:color w:val="64615D"/>
          <w:sz w:val="16"/>
          <w:shd w:val="clear" w:color="auto" w:fill="FFFFFF"/>
        </w:rPr>
      </w:pPr>
      <w:r>
        <w:rPr>
          <w:rFonts w:ascii="Arial" w:eastAsia="Arial" w:hAnsi="Arial" w:cs="Arial"/>
          <w:color w:val="64615D"/>
          <w:sz w:val="16"/>
        </w:rPr>
        <w:t>Includes payments to commute mortgage insurance coverage on certain performing and non-performing loans. For the six months ended June 30, 2021, primarily includes payments made to settle certain previously disclosed legal proceedings.</w:t>
      </w:r>
    </w:p>
    <w:p w14:paraId="38CF8ADA" w14:textId="77777777" w:rsidR="001614AC" w:rsidRDefault="004468F9" w:rsidP="004468F9">
      <w:pPr>
        <w:numPr>
          <w:ilvl w:val="0"/>
          <w:numId w:val="39"/>
        </w:numPr>
        <w:spacing w:line="288" w:lineRule="auto"/>
        <w:ind w:left="360"/>
        <w:rPr>
          <w:rFonts w:ascii="Arial" w:eastAsia="Arial" w:hAnsi="Arial" w:cs="Arial"/>
          <w:b/>
          <w:color w:val="64615D"/>
          <w:sz w:val="16"/>
          <w:shd w:val="clear" w:color="auto" w:fill="FFFFFF"/>
        </w:rPr>
      </w:pPr>
      <w:r>
        <w:rPr>
          <w:rFonts w:ascii="Arial" w:eastAsia="Arial" w:hAnsi="Arial" w:cs="Arial"/>
          <w:color w:val="64615D"/>
          <w:sz w:val="16"/>
        </w:rPr>
        <w:t>Calculated without g</w:t>
      </w:r>
      <w:r>
        <w:rPr>
          <w:rFonts w:ascii="Arial" w:eastAsia="Arial" w:hAnsi="Arial" w:cs="Arial"/>
          <w:color w:val="64615D"/>
          <w:sz w:val="16"/>
        </w:rPr>
        <w:t>iving effect to the impact of other commutations and settlements.</w:t>
      </w:r>
    </w:p>
    <w:p w14:paraId="0D0E8CBD" w14:textId="77777777" w:rsidR="001614AC" w:rsidRDefault="004468F9" w:rsidP="004468F9">
      <w:pPr>
        <w:numPr>
          <w:ilvl w:val="0"/>
          <w:numId w:val="39"/>
        </w:numPr>
        <w:spacing w:line="288" w:lineRule="auto"/>
        <w:ind w:left="360"/>
        <w:rPr>
          <w:rFonts w:ascii="Arial" w:eastAsia="Arial" w:hAnsi="Arial" w:cs="Arial"/>
          <w:b/>
          <w:color w:val="64615D"/>
          <w:sz w:val="16"/>
          <w:shd w:val="clear" w:color="auto" w:fill="FFFFFF"/>
        </w:rPr>
      </w:pPr>
      <w:r>
        <w:rPr>
          <w:rFonts w:ascii="Arial" w:eastAsia="Arial" w:hAnsi="Arial" w:cs="Arial"/>
          <w:color w:val="64615D"/>
          <w:sz w:val="16"/>
        </w:rPr>
        <w:t xml:space="preserve">Before reinsurance recoveries. </w:t>
      </w:r>
    </w:p>
    <w:p w14:paraId="0239E357" w14:textId="77777777" w:rsidR="001614AC" w:rsidRDefault="004468F9">
      <w:pPr>
        <w:spacing w:before="200" w:after="100" w:line="288" w:lineRule="auto"/>
        <w:ind w:firstLine="450"/>
        <w:rPr>
          <w:rFonts w:ascii="Arial" w:eastAsia="Arial" w:hAnsi="Arial" w:cs="Arial"/>
          <w:b/>
          <w:i/>
          <w:color w:val="64615D"/>
          <w:sz w:val="22"/>
          <w:shd w:val="clear" w:color="auto" w:fill="FFFFFF"/>
        </w:rPr>
      </w:pPr>
      <w:r>
        <w:rPr>
          <w:rFonts w:ascii="Arial" w:eastAsia="Arial" w:hAnsi="Arial" w:cs="Arial"/>
          <w:b/>
          <w:i/>
          <w:sz w:val="18"/>
        </w:rPr>
        <w:t xml:space="preserve">Other Operating Expenses. </w:t>
      </w:r>
      <w:r>
        <w:rPr>
          <w:rFonts w:ascii="Arial" w:eastAsia="Arial" w:hAnsi="Arial" w:cs="Arial"/>
          <w:sz w:val="18"/>
        </w:rPr>
        <w:t>Other operating expenses for the three and six months ended June 30, 2021 increased as compared to the same periods in 2020, primari</w:t>
      </w:r>
      <w:r>
        <w:rPr>
          <w:rFonts w:ascii="Arial" w:eastAsia="Arial" w:hAnsi="Arial" w:cs="Arial"/>
          <w:sz w:val="18"/>
        </w:rPr>
        <w:t xml:space="preserve">ly due to: (i) an increase in variable and share-based incentive compensation expense in 2021, including as part of allocated corporate operating expenses and (ii) a decrease in ceding commissions. </w:t>
      </w:r>
    </w:p>
    <w:p w14:paraId="01D32852" w14:textId="77777777" w:rsidR="001614AC" w:rsidRDefault="004468F9">
      <w:pPr>
        <w:spacing w:before="100" w:after="100" w:line="288" w:lineRule="auto"/>
        <w:ind w:firstLine="450"/>
        <w:rPr>
          <w:rFonts w:ascii="Arial" w:eastAsia="Arial" w:hAnsi="Arial" w:cs="Arial"/>
          <w:b/>
          <w:i/>
          <w:color w:val="64615D"/>
          <w:sz w:val="22"/>
          <w:shd w:val="clear" w:color="auto" w:fill="FFFFFF"/>
        </w:rPr>
      </w:pPr>
      <w:r>
        <w:rPr>
          <w:rFonts w:ascii="Arial" w:eastAsia="Arial" w:hAnsi="Arial" w:cs="Arial"/>
          <w:sz w:val="18"/>
        </w:rPr>
        <w:t>Our expense ratio on a net premiums earned basis represen</w:t>
      </w:r>
      <w:r>
        <w:rPr>
          <w:rFonts w:ascii="Arial" w:eastAsia="Arial" w:hAnsi="Arial" w:cs="Arial"/>
          <w:sz w:val="18"/>
        </w:rPr>
        <w:t>ts our Mortgage segment’s operating expenses (which include policy acquisition costs and other operating expenses, as well as allocated corporate operating expenses), expressed as a percentage of net premiums earned. Our expense ratio was 26.4% and 24.4% f</w:t>
      </w:r>
      <w:r>
        <w:rPr>
          <w:rFonts w:ascii="Arial" w:eastAsia="Arial" w:hAnsi="Arial" w:cs="Arial"/>
          <w:sz w:val="18"/>
        </w:rPr>
        <w:t>or the three and six months ended June 30, 2021, respectively, compared to 20.2% and 21.1% for the same periods in 2020, respectively. The increase in other operating expenses, as compared to the same periods in the prior year, was the primary driver of th</w:t>
      </w:r>
      <w:r>
        <w:rPr>
          <w:rFonts w:ascii="Arial" w:eastAsia="Arial" w:hAnsi="Arial" w:cs="Arial"/>
          <w:sz w:val="18"/>
        </w:rPr>
        <w:t>e increase in the expense ratio.</w:t>
      </w:r>
    </w:p>
    <w:p w14:paraId="1CBE8F9C" w14:textId="77777777" w:rsidR="001614AC" w:rsidRDefault="004468F9">
      <w:pPr>
        <w:spacing w:before="100" w:line="288" w:lineRule="auto"/>
        <w:ind w:firstLine="450"/>
        <w:rPr>
          <w:rFonts w:ascii="Calibri" w:eastAsia="Calibri" w:hAnsi="Calibri" w:cs="Calibri"/>
          <w:b/>
          <w:i/>
          <w:color w:val="64615D"/>
          <w:sz w:val="22"/>
          <w:shd w:val="clear" w:color="auto" w:fill="FFFF00"/>
        </w:rPr>
      </w:pPr>
      <w:r>
        <w:rPr>
          <w:rFonts w:ascii="Arial" w:eastAsia="Arial" w:hAnsi="Arial" w:cs="Arial"/>
          <w:b/>
          <w:i/>
          <w:sz w:val="18"/>
        </w:rPr>
        <w:t>Interest Expense.</w:t>
      </w:r>
      <w:r>
        <w:rPr>
          <w:rFonts w:ascii="Arial" w:eastAsia="Arial" w:hAnsi="Arial" w:cs="Arial"/>
          <w:i/>
          <w:sz w:val="18"/>
        </w:rPr>
        <w:t xml:space="preserve"> </w:t>
      </w:r>
      <w:r>
        <w:rPr>
          <w:rFonts w:ascii="Arial" w:eastAsia="Arial" w:hAnsi="Arial" w:cs="Arial"/>
          <w:sz w:val="18"/>
        </w:rPr>
        <w:t>The increase in interest expense for the three and six months ended June 30, 2021, as compared to the same periods in 2020, primarily reflects an increase in our senior notes outstanding in 2021 compared t</w:t>
      </w:r>
      <w:r>
        <w:rPr>
          <w:rFonts w:ascii="Arial" w:eastAsia="Arial" w:hAnsi="Arial" w:cs="Arial"/>
          <w:sz w:val="18"/>
        </w:rPr>
        <w:t>o 2020. See Note 12 of Notes to Unaudited Condensed Consolidated Financial Statements for additional information on our senior notes.</w:t>
      </w:r>
    </w:p>
    <w:p w14:paraId="55981886" w14:textId="77777777" w:rsidR="001614AC" w:rsidRDefault="001614AC">
      <w:pPr>
        <w:spacing w:before="100" w:line="288" w:lineRule="auto"/>
        <w:ind w:firstLine="450"/>
        <w:rPr>
          <w:rFonts w:ascii="Arial" w:eastAsia="Arial" w:hAnsi="Arial" w:cs="Arial"/>
          <w:b/>
          <w:color w:val="64615D"/>
          <w:sz w:val="16"/>
          <w:shd w:val="clear" w:color="auto" w:fill="FFFFFF"/>
        </w:rPr>
        <w:sectPr w:rsidR="001614AC">
          <w:headerReference w:type="default" r:id="rId48"/>
          <w:type w:val="continuous"/>
          <w:pgSz w:w="12240" w:h="15840"/>
          <w:pgMar w:top="1260" w:right="1080" w:bottom="1080" w:left="1080" w:header="270" w:footer="270" w:gutter="0"/>
          <w:cols w:space="708"/>
        </w:sectPr>
      </w:pPr>
    </w:p>
    <w:p w14:paraId="46F1C278" w14:textId="77777777" w:rsidR="001614AC" w:rsidRDefault="004468F9">
      <w:pPr>
        <w:keepNext/>
        <w:spacing w:before="200" w:after="160" w:line="288" w:lineRule="auto"/>
        <w:ind w:left="360" w:hanging="360"/>
        <w:rPr>
          <w:rFonts w:ascii="Arial" w:eastAsia="Arial" w:hAnsi="Arial" w:cs="Arial"/>
          <w:b/>
          <w:color w:val="4D6B80"/>
          <w:sz w:val="30"/>
        </w:rPr>
      </w:pPr>
      <w:bookmarkStart w:id="34" w:name="Section35"/>
      <w:bookmarkEnd w:id="34"/>
      <w:r>
        <w:rPr>
          <w:rFonts w:ascii="Arial" w:eastAsia="Arial" w:hAnsi="Arial" w:cs="Arial"/>
          <w:b/>
          <w:color w:val="4D6B80"/>
          <w:sz w:val="30"/>
        </w:rPr>
        <w:t>Results of Operations—homegenius</w:t>
      </w:r>
    </w:p>
    <w:p w14:paraId="43BE3DC0" w14:textId="77777777" w:rsidR="001614AC" w:rsidRDefault="004468F9">
      <w:pPr>
        <w:spacing w:before="180" w:after="140" w:line="288" w:lineRule="auto"/>
        <w:rPr>
          <w:rFonts w:ascii="Arial" w:eastAsia="Arial" w:hAnsi="Arial" w:cs="Arial"/>
          <w:b/>
          <w:color w:val="002B49"/>
          <w:sz w:val="26"/>
        </w:rPr>
      </w:pPr>
      <w:r>
        <w:rPr>
          <w:rFonts w:ascii="Arial" w:eastAsia="Arial" w:hAnsi="Arial" w:cs="Arial"/>
          <w:b/>
          <w:color w:val="002B49"/>
          <w:sz w:val="26"/>
        </w:rPr>
        <w:t xml:space="preserve">Three and Six Months Ended June 30, 2021 Compared to Three and Six Months Ended June 30, 2020 </w:t>
      </w:r>
    </w:p>
    <w:p w14:paraId="7453C584" w14:textId="77777777" w:rsidR="001614AC" w:rsidRDefault="004468F9">
      <w:pPr>
        <w:spacing w:before="100" w:line="288" w:lineRule="auto"/>
        <w:ind w:firstLine="450"/>
        <w:rPr>
          <w:rFonts w:ascii="Arial" w:eastAsia="Arial" w:hAnsi="Arial" w:cs="Arial"/>
          <w:b/>
          <w:color w:val="4D6B80"/>
          <w:sz w:val="18"/>
        </w:rPr>
      </w:pPr>
      <w:r>
        <w:rPr>
          <w:rFonts w:ascii="Arial" w:eastAsia="Arial" w:hAnsi="Arial" w:cs="Arial"/>
          <w:sz w:val="18"/>
        </w:rPr>
        <w:t>As noted above in Results of Operations—Consolidated and as further discussed in Note 4 of Notes to Unaudited Condensed Consolidated Financial Statements, we made certain modifications to our segment reporting in 2020. These changes to our reportable segme</w:t>
      </w:r>
      <w:r>
        <w:rPr>
          <w:rFonts w:ascii="Arial" w:eastAsia="Arial" w:hAnsi="Arial" w:cs="Arial"/>
          <w:sz w:val="18"/>
        </w:rPr>
        <w:t xml:space="preserve">nts have been reflected in our homegenius segment operating results for all periods presented. The following table summarizes our homegenius segment’s results of operations for the three and six months ended June 30, 2021 and 2020. </w:t>
      </w:r>
    </w:p>
    <w:tbl>
      <w:tblPr>
        <w:tblW w:w="102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39"/>
        <w:gridCol w:w="108"/>
        <w:gridCol w:w="163"/>
        <w:gridCol w:w="760"/>
        <w:gridCol w:w="102"/>
        <w:gridCol w:w="107"/>
        <w:gridCol w:w="163"/>
        <w:gridCol w:w="760"/>
        <w:gridCol w:w="102"/>
        <w:gridCol w:w="107"/>
        <w:gridCol w:w="163"/>
        <w:gridCol w:w="1035"/>
        <w:gridCol w:w="102"/>
        <w:gridCol w:w="107"/>
        <w:gridCol w:w="163"/>
        <w:gridCol w:w="760"/>
        <w:gridCol w:w="102"/>
        <w:gridCol w:w="107"/>
        <w:gridCol w:w="163"/>
        <w:gridCol w:w="760"/>
        <w:gridCol w:w="102"/>
        <w:gridCol w:w="107"/>
        <w:gridCol w:w="163"/>
        <w:gridCol w:w="1035"/>
        <w:gridCol w:w="102"/>
      </w:tblGrid>
      <w:tr w:rsidR="001614AC" w14:paraId="791690FD" w14:textId="77777777">
        <w:trPr>
          <w:cantSplit/>
        </w:trPr>
        <w:tc>
          <w:tcPr>
            <w:tcW w:w="10080" w:type="dxa"/>
            <w:gridSpan w:val="25"/>
            <w:tcBorders>
              <w:top w:val="nil"/>
              <w:left w:val="nil"/>
              <w:bottom w:val="single" w:sz="12" w:space="0" w:color="99AAB6"/>
              <w:right w:val="nil"/>
            </w:tcBorders>
            <w:tcMar>
              <w:top w:w="0" w:type="dxa"/>
              <w:left w:w="53" w:type="dxa"/>
              <w:bottom w:w="0" w:type="dxa"/>
              <w:right w:w="53" w:type="dxa"/>
            </w:tcMar>
            <w:vAlign w:val="bottom"/>
          </w:tcPr>
          <w:p w14:paraId="4CCD3FD4" w14:textId="77777777" w:rsidR="001614AC" w:rsidRDefault="004468F9">
            <w:pPr>
              <w:keepNext/>
              <w:spacing w:before="75" w:after="30" w:line="288" w:lineRule="auto"/>
              <w:rPr>
                <w:rFonts w:ascii="Arial" w:eastAsia="Arial" w:hAnsi="Arial" w:cs="Arial"/>
                <w:b/>
                <w:sz w:val="20"/>
              </w:rPr>
            </w:pPr>
            <w:r>
              <w:rPr>
                <w:rFonts w:ascii="Arial" w:eastAsia="Arial" w:hAnsi="Arial" w:cs="Arial"/>
                <w:b/>
                <w:sz w:val="20"/>
              </w:rPr>
              <w:lastRenderedPageBreak/>
              <w:t xml:space="preserve">Summary results of </w:t>
            </w:r>
            <w:r>
              <w:rPr>
                <w:rFonts w:ascii="Arial" w:eastAsia="Arial" w:hAnsi="Arial" w:cs="Arial"/>
                <w:b/>
                <w:sz w:val="20"/>
              </w:rPr>
              <w:t>operations - homegenius</w:t>
            </w:r>
          </w:p>
        </w:tc>
      </w:tr>
      <w:tr w:rsidR="001614AC" w14:paraId="2D2BD546" w14:textId="77777777">
        <w:trPr>
          <w:cantSplit/>
          <w:trHeight w:hRule="exact" w:val="135"/>
        </w:trPr>
        <w:tc>
          <w:tcPr>
            <w:tcW w:w="2880" w:type="dxa"/>
            <w:tcBorders>
              <w:top w:val="nil"/>
              <w:left w:val="nil"/>
              <w:bottom w:val="single" w:sz="8" w:space="0" w:color="FFFFFF"/>
              <w:right w:val="nil"/>
            </w:tcBorders>
            <w:tcMar>
              <w:top w:w="0" w:type="dxa"/>
              <w:left w:w="0" w:type="dxa"/>
              <w:bottom w:w="0" w:type="dxa"/>
              <w:right w:w="0" w:type="dxa"/>
            </w:tcMar>
            <w:vAlign w:val="bottom"/>
          </w:tcPr>
          <w:p w14:paraId="71C5261B" w14:textId="77777777" w:rsidR="001614AC" w:rsidRDefault="001614AC">
            <w:pPr>
              <w:keepNext/>
            </w:pPr>
          </w:p>
        </w:tc>
        <w:tc>
          <w:tcPr>
            <w:tcW w:w="105" w:type="dxa"/>
            <w:tcBorders>
              <w:top w:val="single" w:sz="12" w:space="0" w:color="99AAB6"/>
              <w:left w:val="nil"/>
              <w:bottom w:val="nil"/>
              <w:right w:val="nil"/>
            </w:tcBorders>
            <w:tcMar>
              <w:top w:w="0" w:type="dxa"/>
              <w:left w:w="0" w:type="dxa"/>
              <w:bottom w:w="0" w:type="dxa"/>
              <w:right w:w="0" w:type="dxa"/>
            </w:tcMar>
            <w:vAlign w:val="bottom"/>
          </w:tcPr>
          <w:p w14:paraId="3353BEBD" w14:textId="77777777" w:rsidR="001614AC" w:rsidRDefault="001614AC">
            <w:pPr>
              <w:keepNext/>
            </w:pPr>
          </w:p>
        </w:tc>
        <w:tc>
          <w:tcPr>
            <w:tcW w:w="1005" w:type="dxa"/>
            <w:gridSpan w:val="3"/>
            <w:tcBorders>
              <w:top w:val="single" w:sz="12" w:space="0" w:color="99AAB6"/>
              <w:left w:val="nil"/>
              <w:bottom w:val="single" w:sz="8" w:space="0" w:color="FFFFFF"/>
              <w:right w:val="nil"/>
            </w:tcBorders>
            <w:tcMar>
              <w:top w:w="0" w:type="dxa"/>
              <w:left w:w="0" w:type="dxa"/>
              <w:bottom w:w="0" w:type="dxa"/>
              <w:right w:w="0" w:type="dxa"/>
            </w:tcMar>
            <w:vAlign w:val="bottom"/>
          </w:tcPr>
          <w:p w14:paraId="2EC925EA" w14:textId="77777777" w:rsidR="001614AC" w:rsidRDefault="001614AC">
            <w:pPr>
              <w:keepNext/>
            </w:pPr>
          </w:p>
        </w:tc>
        <w:tc>
          <w:tcPr>
            <w:tcW w:w="105" w:type="dxa"/>
            <w:tcBorders>
              <w:top w:val="single" w:sz="12" w:space="0" w:color="99AAB6"/>
              <w:left w:val="nil"/>
              <w:bottom w:val="single" w:sz="8" w:space="0" w:color="FFFFFF"/>
              <w:right w:val="nil"/>
            </w:tcBorders>
            <w:tcMar>
              <w:top w:w="0" w:type="dxa"/>
              <w:left w:w="0" w:type="dxa"/>
              <w:bottom w:w="0" w:type="dxa"/>
              <w:right w:w="0" w:type="dxa"/>
            </w:tcMar>
            <w:vAlign w:val="bottom"/>
          </w:tcPr>
          <w:p w14:paraId="75C03FE5" w14:textId="77777777" w:rsidR="001614AC" w:rsidRDefault="001614AC">
            <w:pPr>
              <w:keepNext/>
            </w:pPr>
          </w:p>
        </w:tc>
        <w:tc>
          <w:tcPr>
            <w:tcW w:w="1005" w:type="dxa"/>
            <w:gridSpan w:val="3"/>
            <w:tcBorders>
              <w:top w:val="single" w:sz="12" w:space="0" w:color="99AAB6"/>
              <w:left w:val="nil"/>
              <w:bottom w:val="single" w:sz="8" w:space="0" w:color="FFFFFF"/>
              <w:right w:val="nil"/>
            </w:tcBorders>
            <w:tcMar>
              <w:top w:w="0" w:type="dxa"/>
              <w:left w:w="0" w:type="dxa"/>
              <w:bottom w:w="0" w:type="dxa"/>
              <w:right w:w="0" w:type="dxa"/>
            </w:tcMar>
            <w:vAlign w:val="bottom"/>
          </w:tcPr>
          <w:p w14:paraId="6B6035BD" w14:textId="77777777" w:rsidR="001614AC" w:rsidRDefault="001614AC">
            <w:pPr>
              <w:keepNext/>
            </w:pPr>
          </w:p>
        </w:tc>
        <w:tc>
          <w:tcPr>
            <w:tcW w:w="105" w:type="dxa"/>
            <w:tcBorders>
              <w:top w:val="single" w:sz="12" w:space="0" w:color="99AAB6"/>
              <w:left w:val="nil"/>
              <w:bottom w:val="single" w:sz="8" w:space="0" w:color="FFFFFF"/>
              <w:right w:val="nil"/>
            </w:tcBorders>
            <w:tcMar>
              <w:top w:w="0" w:type="dxa"/>
              <w:left w:w="0" w:type="dxa"/>
              <w:bottom w:w="0" w:type="dxa"/>
              <w:right w:w="0" w:type="dxa"/>
            </w:tcMar>
            <w:vAlign w:val="bottom"/>
          </w:tcPr>
          <w:p w14:paraId="64FA961C" w14:textId="77777777" w:rsidR="001614AC" w:rsidRDefault="001614AC">
            <w:pPr>
              <w:keepNext/>
            </w:pPr>
          </w:p>
        </w:tc>
        <w:tc>
          <w:tcPr>
            <w:tcW w:w="1275" w:type="dxa"/>
            <w:gridSpan w:val="3"/>
            <w:tcBorders>
              <w:top w:val="single" w:sz="12" w:space="0" w:color="99AAB6"/>
              <w:left w:val="nil"/>
              <w:bottom w:val="single" w:sz="8" w:space="0" w:color="F4F4F4"/>
              <w:right w:val="nil"/>
            </w:tcBorders>
            <w:tcMar>
              <w:top w:w="0" w:type="dxa"/>
              <w:left w:w="0" w:type="dxa"/>
              <w:bottom w:w="0" w:type="dxa"/>
              <w:right w:w="0" w:type="dxa"/>
            </w:tcMar>
            <w:vAlign w:val="bottom"/>
          </w:tcPr>
          <w:p w14:paraId="7C5D9326" w14:textId="77777777" w:rsidR="001614AC" w:rsidRDefault="001614AC">
            <w:pPr>
              <w:keepNext/>
            </w:pPr>
          </w:p>
        </w:tc>
        <w:tc>
          <w:tcPr>
            <w:tcW w:w="105" w:type="dxa"/>
            <w:tcBorders>
              <w:top w:val="single" w:sz="12" w:space="0" w:color="99AAB6"/>
              <w:left w:val="nil"/>
              <w:bottom w:val="single" w:sz="8" w:space="0" w:color="FFFFFF"/>
              <w:right w:val="nil"/>
            </w:tcBorders>
            <w:tcMar>
              <w:top w:w="0" w:type="dxa"/>
              <w:left w:w="0" w:type="dxa"/>
              <w:bottom w:w="0" w:type="dxa"/>
              <w:right w:w="0" w:type="dxa"/>
            </w:tcMar>
            <w:vAlign w:val="bottom"/>
          </w:tcPr>
          <w:p w14:paraId="2CE316FC" w14:textId="77777777" w:rsidR="001614AC" w:rsidRDefault="001614AC">
            <w:pPr>
              <w:keepNext/>
            </w:pPr>
          </w:p>
        </w:tc>
        <w:tc>
          <w:tcPr>
            <w:tcW w:w="1005" w:type="dxa"/>
            <w:gridSpan w:val="3"/>
            <w:tcBorders>
              <w:top w:val="single" w:sz="12" w:space="0" w:color="99AAB6"/>
              <w:left w:val="nil"/>
              <w:bottom w:val="single" w:sz="8" w:space="0" w:color="FFFFFF"/>
              <w:right w:val="nil"/>
            </w:tcBorders>
            <w:tcMar>
              <w:top w:w="0" w:type="dxa"/>
              <w:left w:w="0" w:type="dxa"/>
              <w:bottom w:w="0" w:type="dxa"/>
              <w:right w:w="0" w:type="dxa"/>
            </w:tcMar>
            <w:vAlign w:val="bottom"/>
          </w:tcPr>
          <w:p w14:paraId="1EF596E4" w14:textId="77777777" w:rsidR="001614AC" w:rsidRDefault="001614AC">
            <w:pPr>
              <w:keepNext/>
            </w:pPr>
          </w:p>
        </w:tc>
        <w:tc>
          <w:tcPr>
            <w:tcW w:w="105" w:type="dxa"/>
            <w:tcBorders>
              <w:top w:val="single" w:sz="12" w:space="0" w:color="99AAB6"/>
              <w:left w:val="nil"/>
              <w:bottom w:val="single" w:sz="8" w:space="0" w:color="FFFFFF"/>
              <w:right w:val="nil"/>
            </w:tcBorders>
            <w:tcMar>
              <w:top w:w="0" w:type="dxa"/>
              <w:left w:w="0" w:type="dxa"/>
              <w:bottom w:w="0" w:type="dxa"/>
              <w:right w:w="0" w:type="dxa"/>
            </w:tcMar>
            <w:vAlign w:val="bottom"/>
          </w:tcPr>
          <w:p w14:paraId="4EAA7E65" w14:textId="77777777" w:rsidR="001614AC" w:rsidRDefault="001614AC">
            <w:pPr>
              <w:keepNext/>
            </w:pPr>
          </w:p>
        </w:tc>
        <w:tc>
          <w:tcPr>
            <w:tcW w:w="1005" w:type="dxa"/>
            <w:gridSpan w:val="3"/>
            <w:tcBorders>
              <w:top w:val="single" w:sz="12" w:space="0" w:color="99AAB6"/>
              <w:left w:val="nil"/>
              <w:bottom w:val="single" w:sz="8" w:space="0" w:color="FFFFFF"/>
              <w:right w:val="nil"/>
            </w:tcBorders>
            <w:tcMar>
              <w:top w:w="0" w:type="dxa"/>
              <w:left w:w="0" w:type="dxa"/>
              <w:bottom w:w="0" w:type="dxa"/>
              <w:right w:w="0" w:type="dxa"/>
            </w:tcMar>
            <w:vAlign w:val="bottom"/>
          </w:tcPr>
          <w:p w14:paraId="7DBFD329" w14:textId="77777777" w:rsidR="001614AC" w:rsidRDefault="001614AC">
            <w:pPr>
              <w:keepNext/>
            </w:pPr>
          </w:p>
        </w:tc>
        <w:tc>
          <w:tcPr>
            <w:tcW w:w="105" w:type="dxa"/>
            <w:tcBorders>
              <w:top w:val="single" w:sz="12" w:space="0" w:color="99AAB6"/>
              <w:left w:val="nil"/>
              <w:bottom w:val="single" w:sz="8" w:space="0" w:color="FFFFFF"/>
              <w:right w:val="nil"/>
            </w:tcBorders>
            <w:tcMar>
              <w:top w:w="0" w:type="dxa"/>
              <w:left w:w="0" w:type="dxa"/>
              <w:bottom w:w="0" w:type="dxa"/>
              <w:right w:w="0" w:type="dxa"/>
            </w:tcMar>
            <w:vAlign w:val="bottom"/>
          </w:tcPr>
          <w:p w14:paraId="4314D05E" w14:textId="77777777" w:rsidR="001614AC" w:rsidRDefault="001614AC">
            <w:pPr>
              <w:keepNext/>
            </w:pPr>
          </w:p>
        </w:tc>
        <w:tc>
          <w:tcPr>
            <w:tcW w:w="1275" w:type="dxa"/>
            <w:gridSpan w:val="3"/>
            <w:tcBorders>
              <w:top w:val="single" w:sz="12" w:space="0" w:color="99AAB6"/>
              <w:left w:val="nil"/>
              <w:bottom w:val="single" w:sz="8" w:space="0" w:color="F4F4F4"/>
              <w:right w:val="nil"/>
            </w:tcBorders>
            <w:tcMar>
              <w:top w:w="0" w:type="dxa"/>
              <w:left w:w="0" w:type="dxa"/>
              <w:bottom w:w="0" w:type="dxa"/>
              <w:right w:w="0" w:type="dxa"/>
            </w:tcMar>
            <w:vAlign w:val="bottom"/>
          </w:tcPr>
          <w:p w14:paraId="108A8563" w14:textId="77777777" w:rsidR="001614AC" w:rsidRDefault="001614AC">
            <w:pPr>
              <w:keepNext/>
            </w:pPr>
          </w:p>
        </w:tc>
      </w:tr>
      <w:tr w:rsidR="001614AC" w14:paraId="0562CCE0" w14:textId="77777777">
        <w:trPr>
          <w:cantSplit/>
        </w:trPr>
        <w:tc>
          <w:tcPr>
            <w:tcW w:w="2880" w:type="dxa"/>
            <w:tcBorders>
              <w:top w:val="single" w:sz="8" w:space="0" w:color="FFFFFF"/>
              <w:left w:val="nil"/>
              <w:bottom w:val="single" w:sz="8" w:space="0" w:color="FFFFFF"/>
              <w:right w:val="nil"/>
            </w:tcBorders>
            <w:tcMar>
              <w:top w:w="0" w:type="dxa"/>
              <w:left w:w="0" w:type="dxa"/>
              <w:bottom w:w="0" w:type="dxa"/>
              <w:right w:w="0" w:type="dxa"/>
            </w:tcMar>
            <w:vAlign w:val="bottom"/>
          </w:tcPr>
          <w:p w14:paraId="05A19BA6" w14:textId="77777777" w:rsidR="001614AC" w:rsidRDefault="001614AC">
            <w:pPr>
              <w:keepNext/>
            </w:pPr>
          </w:p>
        </w:tc>
        <w:tc>
          <w:tcPr>
            <w:tcW w:w="105" w:type="dxa"/>
            <w:tcBorders>
              <w:top w:val="nil"/>
              <w:left w:val="nil"/>
              <w:bottom w:val="nil"/>
              <w:right w:val="nil"/>
            </w:tcBorders>
            <w:tcMar>
              <w:top w:w="0" w:type="dxa"/>
              <w:left w:w="0" w:type="dxa"/>
              <w:bottom w:w="0" w:type="dxa"/>
              <w:right w:w="0" w:type="dxa"/>
            </w:tcMar>
            <w:vAlign w:val="bottom"/>
          </w:tcPr>
          <w:p w14:paraId="23DCF225" w14:textId="77777777" w:rsidR="001614AC" w:rsidRDefault="001614AC">
            <w:pPr>
              <w:keepNext/>
            </w:pPr>
          </w:p>
        </w:tc>
        <w:tc>
          <w:tcPr>
            <w:tcW w:w="2115" w:type="dxa"/>
            <w:gridSpan w:val="7"/>
            <w:tcBorders>
              <w:top w:val="nil"/>
              <w:left w:val="nil"/>
              <w:bottom w:val="nil"/>
              <w:right w:val="nil"/>
            </w:tcBorders>
            <w:tcMar>
              <w:top w:w="0" w:type="dxa"/>
              <w:left w:w="53" w:type="dxa"/>
              <w:bottom w:w="0" w:type="dxa"/>
              <w:right w:w="53" w:type="dxa"/>
            </w:tcMar>
            <w:vAlign w:val="bottom"/>
          </w:tcPr>
          <w:p w14:paraId="6E4229D0" w14:textId="77777777" w:rsidR="001614AC" w:rsidRDefault="004468F9">
            <w:pPr>
              <w:keepNext/>
              <w:spacing w:before="55" w:line="288" w:lineRule="auto"/>
              <w:jc w:val="center"/>
            </w:pPr>
            <w:r>
              <w:rPr>
                <w:rFonts w:ascii="Arial" w:eastAsia="Arial" w:hAnsi="Arial" w:cs="Arial"/>
                <w:b/>
                <w:color w:val="00BAB3"/>
                <w:sz w:val="18"/>
              </w:rPr>
              <w:t>Three Months Ended</w:t>
            </w:r>
          </w:p>
          <w:p w14:paraId="7B4B0F7D" w14:textId="77777777" w:rsidR="001614AC" w:rsidRDefault="004468F9">
            <w:pPr>
              <w:spacing w:after="30" w:line="288" w:lineRule="auto"/>
              <w:jc w:val="center"/>
            </w:pPr>
            <w:r>
              <w:rPr>
                <w:rFonts w:ascii="Arial" w:eastAsia="Arial" w:hAnsi="Arial" w:cs="Arial"/>
                <w:b/>
                <w:color w:val="00BAB3"/>
                <w:sz w:val="18"/>
              </w:rPr>
              <w:t>June 30,</w:t>
            </w:r>
          </w:p>
        </w:tc>
        <w:tc>
          <w:tcPr>
            <w:tcW w:w="105" w:type="dxa"/>
            <w:tcBorders>
              <w:top w:val="single" w:sz="8" w:space="0" w:color="FFFFFF"/>
              <w:left w:val="nil"/>
              <w:bottom w:val="single" w:sz="8" w:space="0" w:color="FFFFFF"/>
              <w:right w:val="nil"/>
            </w:tcBorders>
            <w:tcMar>
              <w:top w:w="0" w:type="dxa"/>
              <w:left w:w="0" w:type="dxa"/>
              <w:bottom w:w="0" w:type="dxa"/>
              <w:right w:w="0" w:type="dxa"/>
            </w:tcMar>
            <w:vAlign w:val="bottom"/>
          </w:tcPr>
          <w:p w14:paraId="099E233A" w14:textId="77777777" w:rsidR="001614AC" w:rsidRDefault="001614AC">
            <w:pPr>
              <w:keepNext/>
            </w:pPr>
          </w:p>
        </w:tc>
        <w:tc>
          <w:tcPr>
            <w:tcW w:w="1275" w:type="dxa"/>
            <w:gridSpan w:val="3"/>
            <w:tcBorders>
              <w:top w:val="single" w:sz="8" w:space="0" w:color="F4F4F4"/>
              <w:left w:val="nil"/>
              <w:bottom w:val="single" w:sz="8" w:space="0" w:color="FFFFFF"/>
              <w:right w:val="nil"/>
            </w:tcBorders>
            <w:shd w:val="clear" w:color="auto" w:fill="F4F4F4"/>
            <w:tcMar>
              <w:top w:w="0" w:type="dxa"/>
              <w:left w:w="53" w:type="dxa"/>
              <w:bottom w:w="0" w:type="dxa"/>
              <w:right w:w="53" w:type="dxa"/>
            </w:tcMar>
          </w:tcPr>
          <w:p w14:paraId="12BA2271" w14:textId="77777777" w:rsidR="001614AC" w:rsidRDefault="004468F9">
            <w:pPr>
              <w:keepNext/>
              <w:spacing w:before="55" w:line="288" w:lineRule="auto"/>
              <w:jc w:val="center"/>
              <w:rPr>
                <w:rFonts w:ascii="Arial" w:eastAsia="Arial" w:hAnsi="Arial" w:cs="Arial"/>
                <w:b/>
                <w:sz w:val="18"/>
              </w:rPr>
            </w:pPr>
            <w:r>
              <w:rPr>
                <w:rFonts w:ascii="Arial" w:eastAsia="Arial" w:hAnsi="Arial" w:cs="Arial"/>
                <w:b/>
                <w:sz w:val="18"/>
              </w:rPr>
              <w:t>Change</w:t>
            </w:r>
          </w:p>
          <w:p w14:paraId="09C80FA3" w14:textId="77777777" w:rsidR="001614AC" w:rsidRDefault="004468F9">
            <w:pPr>
              <w:spacing w:after="30" w:line="288" w:lineRule="auto"/>
              <w:jc w:val="center"/>
              <w:rPr>
                <w:rFonts w:ascii="Arial" w:eastAsia="Arial" w:hAnsi="Arial" w:cs="Arial"/>
                <w:b/>
                <w:sz w:val="16"/>
              </w:rPr>
            </w:pPr>
            <w:r>
              <w:rPr>
                <w:rFonts w:ascii="Arial" w:eastAsia="Arial" w:hAnsi="Arial" w:cs="Arial"/>
                <w:b/>
                <w:sz w:val="16"/>
              </w:rPr>
              <w:t>Favorable (Unfavorable)</w:t>
            </w:r>
          </w:p>
        </w:tc>
        <w:tc>
          <w:tcPr>
            <w:tcW w:w="105" w:type="dxa"/>
            <w:tcBorders>
              <w:top w:val="single" w:sz="8" w:space="0" w:color="FFFFFF"/>
              <w:left w:val="nil"/>
              <w:bottom w:val="single" w:sz="8" w:space="0" w:color="FFFFFF"/>
              <w:right w:val="nil"/>
            </w:tcBorders>
            <w:tcMar>
              <w:top w:w="0" w:type="dxa"/>
              <w:left w:w="0" w:type="dxa"/>
              <w:bottom w:w="0" w:type="dxa"/>
              <w:right w:w="0" w:type="dxa"/>
            </w:tcMar>
            <w:vAlign w:val="bottom"/>
          </w:tcPr>
          <w:p w14:paraId="5B0C97BC" w14:textId="77777777" w:rsidR="001614AC" w:rsidRDefault="001614AC">
            <w:pPr>
              <w:keepNext/>
            </w:pPr>
          </w:p>
        </w:tc>
        <w:tc>
          <w:tcPr>
            <w:tcW w:w="2115" w:type="dxa"/>
            <w:gridSpan w:val="7"/>
            <w:tcBorders>
              <w:top w:val="nil"/>
              <w:left w:val="nil"/>
              <w:bottom w:val="nil"/>
              <w:right w:val="nil"/>
            </w:tcBorders>
            <w:tcMar>
              <w:top w:w="0" w:type="dxa"/>
              <w:left w:w="53" w:type="dxa"/>
              <w:bottom w:w="0" w:type="dxa"/>
              <w:right w:w="53" w:type="dxa"/>
            </w:tcMar>
            <w:vAlign w:val="bottom"/>
          </w:tcPr>
          <w:p w14:paraId="0D25F7FE" w14:textId="77777777" w:rsidR="001614AC" w:rsidRDefault="004468F9">
            <w:pPr>
              <w:keepNext/>
              <w:spacing w:before="55" w:line="288" w:lineRule="auto"/>
              <w:jc w:val="center"/>
            </w:pPr>
            <w:r>
              <w:rPr>
                <w:rFonts w:ascii="Arial" w:eastAsia="Arial" w:hAnsi="Arial" w:cs="Arial"/>
                <w:b/>
                <w:color w:val="00BAB3"/>
                <w:sz w:val="18"/>
              </w:rPr>
              <w:t>Six Months Ended</w:t>
            </w:r>
          </w:p>
          <w:p w14:paraId="04A785F2" w14:textId="77777777" w:rsidR="001614AC" w:rsidRDefault="004468F9">
            <w:pPr>
              <w:spacing w:after="30" w:line="288" w:lineRule="auto"/>
              <w:jc w:val="center"/>
            </w:pPr>
            <w:r>
              <w:rPr>
                <w:rFonts w:ascii="Arial" w:eastAsia="Arial" w:hAnsi="Arial" w:cs="Arial"/>
                <w:b/>
                <w:color w:val="00BAB3"/>
                <w:sz w:val="18"/>
              </w:rPr>
              <w:t>June 30,</w:t>
            </w:r>
          </w:p>
        </w:tc>
        <w:tc>
          <w:tcPr>
            <w:tcW w:w="105" w:type="dxa"/>
            <w:tcBorders>
              <w:top w:val="single" w:sz="8" w:space="0" w:color="FFFFFF"/>
              <w:left w:val="nil"/>
              <w:bottom w:val="single" w:sz="8" w:space="0" w:color="FFFFFF"/>
              <w:right w:val="nil"/>
            </w:tcBorders>
            <w:tcMar>
              <w:top w:w="0" w:type="dxa"/>
              <w:left w:w="0" w:type="dxa"/>
              <w:bottom w:w="0" w:type="dxa"/>
              <w:right w:w="0" w:type="dxa"/>
            </w:tcMar>
            <w:vAlign w:val="bottom"/>
          </w:tcPr>
          <w:p w14:paraId="29CA5102" w14:textId="77777777" w:rsidR="001614AC" w:rsidRDefault="001614AC">
            <w:pPr>
              <w:keepNext/>
            </w:pPr>
          </w:p>
        </w:tc>
        <w:tc>
          <w:tcPr>
            <w:tcW w:w="1275" w:type="dxa"/>
            <w:gridSpan w:val="3"/>
            <w:tcBorders>
              <w:top w:val="single" w:sz="8" w:space="0" w:color="F4F4F4"/>
              <w:left w:val="nil"/>
              <w:bottom w:val="single" w:sz="8" w:space="0" w:color="FFFFFF"/>
              <w:right w:val="nil"/>
            </w:tcBorders>
            <w:shd w:val="clear" w:color="auto" w:fill="F4F4F4"/>
            <w:tcMar>
              <w:top w:w="0" w:type="dxa"/>
              <w:left w:w="53" w:type="dxa"/>
              <w:bottom w:w="0" w:type="dxa"/>
              <w:right w:w="53" w:type="dxa"/>
            </w:tcMar>
          </w:tcPr>
          <w:p w14:paraId="51928720" w14:textId="77777777" w:rsidR="001614AC" w:rsidRDefault="004468F9">
            <w:pPr>
              <w:keepNext/>
              <w:spacing w:before="55" w:line="288" w:lineRule="auto"/>
              <w:jc w:val="center"/>
              <w:rPr>
                <w:rFonts w:ascii="Arial" w:eastAsia="Arial" w:hAnsi="Arial" w:cs="Arial"/>
                <w:b/>
                <w:sz w:val="18"/>
              </w:rPr>
            </w:pPr>
            <w:r>
              <w:rPr>
                <w:rFonts w:ascii="Arial" w:eastAsia="Arial" w:hAnsi="Arial" w:cs="Arial"/>
                <w:b/>
                <w:sz w:val="18"/>
              </w:rPr>
              <w:t>Change</w:t>
            </w:r>
          </w:p>
          <w:p w14:paraId="7D56C8D0" w14:textId="77777777" w:rsidR="001614AC" w:rsidRDefault="004468F9">
            <w:pPr>
              <w:spacing w:after="30" w:line="288" w:lineRule="auto"/>
              <w:jc w:val="center"/>
              <w:rPr>
                <w:rFonts w:ascii="Arial" w:eastAsia="Arial" w:hAnsi="Arial" w:cs="Arial"/>
                <w:b/>
                <w:sz w:val="16"/>
              </w:rPr>
            </w:pPr>
            <w:r>
              <w:rPr>
                <w:rFonts w:ascii="Arial" w:eastAsia="Arial" w:hAnsi="Arial" w:cs="Arial"/>
                <w:b/>
                <w:sz w:val="16"/>
              </w:rPr>
              <w:t>Favorable (Unfavorable)</w:t>
            </w:r>
          </w:p>
        </w:tc>
      </w:tr>
      <w:tr w:rsidR="001614AC" w14:paraId="54D07DDE" w14:textId="77777777">
        <w:trPr>
          <w:cantSplit/>
        </w:trPr>
        <w:tc>
          <w:tcPr>
            <w:tcW w:w="2880" w:type="dxa"/>
            <w:tcBorders>
              <w:top w:val="single" w:sz="8" w:space="0" w:color="FFFFFF"/>
              <w:left w:val="nil"/>
              <w:bottom w:val="single" w:sz="8" w:space="0" w:color="C7C9C7"/>
              <w:right w:val="nil"/>
            </w:tcBorders>
            <w:tcMar>
              <w:top w:w="0" w:type="dxa"/>
              <w:left w:w="53" w:type="dxa"/>
              <w:bottom w:w="0" w:type="dxa"/>
              <w:right w:w="53" w:type="dxa"/>
            </w:tcMar>
            <w:vAlign w:val="bottom"/>
          </w:tcPr>
          <w:p w14:paraId="3A5A63D9" w14:textId="77777777" w:rsidR="001614AC" w:rsidRDefault="004468F9">
            <w:pPr>
              <w:keepNext/>
              <w:spacing w:before="55" w:after="30" w:line="288" w:lineRule="auto"/>
            </w:pPr>
            <w:r>
              <w:rPr>
                <w:rFonts w:ascii="Arial" w:eastAsia="Arial" w:hAnsi="Arial" w:cs="Arial"/>
                <w:color w:val="8B8886"/>
                <w:sz w:val="16"/>
              </w:rPr>
              <w:t>(In millions)</w:t>
            </w:r>
          </w:p>
        </w:tc>
        <w:tc>
          <w:tcPr>
            <w:tcW w:w="105" w:type="dxa"/>
            <w:tcBorders>
              <w:top w:val="nil"/>
              <w:left w:val="nil"/>
              <w:bottom w:val="single" w:sz="8" w:space="0" w:color="C7C9C7"/>
              <w:right w:val="nil"/>
            </w:tcBorders>
            <w:tcMar>
              <w:top w:w="0" w:type="dxa"/>
              <w:left w:w="0" w:type="dxa"/>
              <w:bottom w:w="0" w:type="dxa"/>
              <w:right w:w="0" w:type="dxa"/>
            </w:tcMar>
            <w:vAlign w:val="bottom"/>
          </w:tcPr>
          <w:p w14:paraId="38B557B2" w14:textId="77777777" w:rsidR="001614AC" w:rsidRDefault="001614AC">
            <w:pPr>
              <w:keepNext/>
            </w:pPr>
          </w:p>
        </w:tc>
        <w:tc>
          <w:tcPr>
            <w:tcW w:w="1005" w:type="dxa"/>
            <w:gridSpan w:val="3"/>
            <w:tcBorders>
              <w:top w:val="single" w:sz="8" w:space="0" w:color="FFFFFF"/>
              <w:left w:val="nil"/>
              <w:bottom w:val="single" w:sz="8" w:space="0" w:color="C7C9C7"/>
              <w:right w:val="nil"/>
            </w:tcBorders>
            <w:shd w:val="clear" w:color="auto" w:fill="E6F8F8"/>
            <w:tcMar>
              <w:top w:w="0" w:type="dxa"/>
              <w:left w:w="53" w:type="dxa"/>
              <w:bottom w:w="0" w:type="dxa"/>
              <w:right w:w="53" w:type="dxa"/>
            </w:tcMar>
            <w:vAlign w:val="bottom"/>
          </w:tcPr>
          <w:p w14:paraId="1FF215AB" w14:textId="77777777" w:rsidR="001614AC" w:rsidRDefault="004468F9">
            <w:pPr>
              <w:keepNext/>
              <w:spacing w:before="55" w:after="30" w:line="288" w:lineRule="auto"/>
              <w:jc w:val="center"/>
            </w:pPr>
            <w:r>
              <w:rPr>
                <w:rFonts w:ascii="Arial" w:eastAsia="Arial" w:hAnsi="Arial" w:cs="Arial"/>
                <w:b/>
                <w:color w:val="00BAB3"/>
                <w:sz w:val="18"/>
              </w:rPr>
              <w:t>2021</w:t>
            </w:r>
          </w:p>
        </w:tc>
        <w:tc>
          <w:tcPr>
            <w:tcW w:w="105" w:type="dxa"/>
            <w:tcBorders>
              <w:top w:val="single" w:sz="8" w:space="0" w:color="FFFFFF"/>
              <w:left w:val="nil"/>
              <w:bottom w:val="single" w:sz="8" w:space="0" w:color="C7C9C7"/>
              <w:right w:val="nil"/>
            </w:tcBorders>
            <w:tcMar>
              <w:top w:w="0" w:type="dxa"/>
              <w:left w:w="0" w:type="dxa"/>
              <w:bottom w:w="0" w:type="dxa"/>
              <w:right w:w="0" w:type="dxa"/>
            </w:tcMar>
            <w:vAlign w:val="bottom"/>
          </w:tcPr>
          <w:p w14:paraId="2535F7F8" w14:textId="77777777" w:rsidR="001614AC" w:rsidRDefault="001614AC">
            <w:pPr>
              <w:keepNext/>
            </w:pPr>
          </w:p>
        </w:tc>
        <w:tc>
          <w:tcPr>
            <w:tcW w:w="1005" w:type="dxa"/>
            <w:gridSpan w:val="3"/>
            <w:tcBorders>
              <w:top w:val="single" w:sz="8" w:space="0" w:color="FFFFFF"/>
              <w:left w:val="nil"/>
              <w:bottom w:val="single" w:sz="8" w:space="0" w:color="C7C9C7"/>
              <w:right w:val="nil"/>
            </w:tcBorders>
            <w:shd w:val="clear" w:color="auto" w:fill="F4F4F4"/>
            <w:tcMar>
              <w:top w:w="0" w:type="dxa"/>
              <w:left w:w="53" w:type="dxa"/>
              <w:bottom w:w="0" w:type="dxa"/>
              <w:right w:w="53" w:type="dxa"/>
            </w:tcMar>
            <w:vAlign w:val="bottom"/>
          </w:tcPr>
          <w:p w14:paraId="2276BD70" w14:textId="77777777" w:rsidR="001614AC" w:rsidRDefault="004468F9">
            <w:pPr>
              <w:keepNext/>
              <w:spacing w:before="55" w:after="30" w:line="288" w:lineRule="auto"/>
              <w:jc w:val="center"/>
            </w:pPr>
            <w:r>
              <w:rPr>
                <w:rFonts w:ascii="Arial" w:eastAsia="Arial" w:hAnsi="Arial" w:cs="Arial"/>
                <w:b/>
                <w:color w:val="00BAB3"/>
                <w:sz w:val="18"/>
              </w:rPr>
              <w:t>2020</w:t>
            </w:r>
          </w:p>
        </w:tc>
        <w:tc>
          <w:tcPr>
            <w:tcW w:w="105" w:type="dxa"/>
            <w:tcBorders>
              <w:top w:val="single" w:sz="8" w:space="0" w:color="FFFFFF"/>
              <w:left w:val="nil"/>
              <w:bottom w:val="single" w:sz="8" w:space="0" w:color="C7C9C7"/>
              <w:right w:val="nil"/>
            </w:tcBorders>
            <w:tcMar>
              <w:top w:w="0" w:type="dxa"/>
              <w:left w:w="0" w:type="dxa"/>
              <w:bottom w:w="0" w:type="dxa"/>
              <w:right w:w="0" w:type="dxa"/>
            </w:tcMar>
            <w:vAlign w:val="bottom"/>
          </w:tcPr>
          <w:p w14:paraId="404E2B15" w14:textId="77777777" w:rsidR="001614AC" w:rsidRDefault="001614AC">
            <w:pPr>
              <w:keepNext/>
            </w:pPr>
          </w:p>
        </w:tc>
        <w:tc>
          <w:tcPr>
            <w:tcW w:w="1275" w:type="dxa"/>
            <w:gridSpan w:val="3"/>
            <w:tcBorders>
              <w:top w:val="single" w:sz="8" w:space="0" w:color="FFFFFF"/>
              <w:left w:val="nil"/>
              <w:bottom w:val="single" w:sz="8" w:space="0" w:color="C7C9C7"/>
              <w:right w:val="nil"/>
            </w:tcBorders>
            <w:tcMar>
              <w:top w:w="0" w:type="dxa"/>
              <w:left w:w="53" w:type="dxa"/>
              <w:bottom w:w="0" w:type="dxa"/>
              <w:right w:w="53" w:type="dxa"/>
            </w:tcMar>
            <w:vAlign w:val="bottom"/>
          </w:tcPr>
          <w:p w14:paraId="11D7A3B7" w14:textId="77777777" w:rsidR="001614AC" w:rsidRDefault="004468F9">
            <w:pPr>
              <w:keepNext/>
              <w:spacing w:before="55" w:after="30" w:line="288" w:lineRule="auto"/>
              <w:jc w:val="center"/>
            </w:pPr>
            <w:r>
              <w:rPr>
                <w:rFonts w:ascii="Arial" w:eastAsia="Arial" w:hAnsi="Arial" w:cs="Arial"/>
                <w:b/>
                <w:color w:val="00BAB3"/>
                <w:sz w:val="18"/>
              </w:rPr>
              <w:t>2021 vs. 2020</w:t>
            </w:r>
          </w:p>
        </w:tc>
        <w:tc>
          <w:tcPr>
            <w:tcW w:w="105" w:type="dxa"/>
            <w:tcBorders>
              <w:top w:val="single" w:sz="8" w:space="0" w:color="FFFFFF"/>
              <w:left w:val="nil"/>
              <w:bottom w:val="single" w:sz="8" w:space="0" w:color="C7C9C7"/>
              <w:right w:val="nil"/>
            </w:tcBorders>
            <w:tcMar>
              <w:top w:w="0" w:type="dxa"/>
              <w:left w:w="0" w:type="dxa"/>
              <w:bottom w:w="0" w:type="dxa"/>
              <w:right w:w="0" w:type="dxa"/>
            </w:tcMar>
            <w:vAlign w:val="bottom"/>
          </w:tcPr>
          <w:p w14:paraId="18B06A37" w14:textId="77777777" w:rsidR="001614AC" w:rsidRDefault="001614AC">
            <w:pPr>
              <w:keepNext/>
            </w:pPr>
          </w:p>
        </w:tc>
        <w:tc>
          <w:tcPr>
            <w:tcW w:w="1005" w:type="dxa"/>
            <w:gridSpan w:val="3"/>
            <w:tcBorders>
              <w:top w:val="single" w:sz="8" w:space="0" w:color="FFFFFF"/>
              <w:left w:val="nil"/>
              <w:bottom w:val="single" w:sz="8" w:space="0" w:color="C7C9C7"/>
              <w:right w:val="nil"/>
            </w:tcBorders>
            <w:shd w:val="clear" w:color="auto" w:fill="E6F8F8"/>
            <w:tcMar>
              <w:top w:w="0" w:type="dxa"/>
              <w:left w:w="53" w:type="dxa"/>
              <w:bottom w:w="0" w:type="dxa"/>
              <w:right w:w="53" w:type="dxa"/>
            </w:tcMar>
            <w:vAlign w:val="bottom"/>
          </w:tcPr>
          <w:p w14:paraId="42E78570" w14:textId="77777777" w:rsidR="001614AC" w:rsidRDefault="004468F9">
            <w:pPr>
              <w:keepNext/>
              <w:spacing w:before="55" w:after="30" w:line="288" w:lineRule="auto"/>
              <w:jc w:val="center"/>
            </w:pPr>
            <w:r>
              <w:rPr>
                <w:rFonts w:ascii="Arial" w:eastAsia="Arial" w:hAnsi="Arial" w:cs="Arial"/>
                <w:b/>
                <w:color w:val="00BAB3"/>
                <w:sz w:val="18"/>
              </w:rPr>
              <w:t>2021</w:t>
            </w:r>
          </w:p>
        </w:tc>
        <w:tc>
          <w:tcPr>
            <w:tcW w:w="105" w:type="dxa"/>
            <w:tcBorders>
              <w:top w:val="single" w:sz="8" w:space="0" w:color="FFFFFF"/>
              <w:left w:val="nil"/>
              <w:bottom w:val="single" w:sz="8" w:space="0" w:color="C7C9C7"/>
              <w:right w:val="nil"/>
            </w:tcBorders>
            <w:tcMar>
              <w:top w:w="0" w:type="dxa"/>
              <w:left w:w="0" w:type="dxa"/>
              <w:bottom w:w="0" w:type="dxa"/>
              <w:right w:w="0" w:type="dxa"/>
            </w:tcMar>
            <w:vAlign w:val="bottom"/>
          </w:tcPr>
          <w:p w14:paraId="46F70223" w14:textId="77777777" w:rsidR="001614AC" w:rsidRDefault="001614AC">
            <w:pPr>
              <w:keepNext/>
            </w:pPr>
          </w:p>
        </w:tc>
        <w:tc>
          <w:tcPr>
            <w:tcW w:w="1005" w:type="dxa"/>
            <w:gridSpan w:val="3"/>
            <w:tcBorders>
              <w:top w:val="single" w:sz="8" w:space="0" w:color="FFFFFF"/>
              <w:left w:val="nil"/>
              <w:bottom w:val="single" w:sz="8" w:space="0" w:color="C7C9C7"/>
              <w:right w:val="nil"/>
            </w:tcBorders>
            <w:shd w:val="clear" w:color="auto" w:fill="F4F4F4"/>
            <w:tcMar>
              <w:top w:w="0" w:type="dxa"/>
              <w:left w:w="53" w:type="dxa"/>
              <w:bottom w:w="0" w:type="dxa"/>
              <w:right w:w="53" w:type="dxa"/>
            </w:tcMar>
            <w:vAlign w:val="bottom"/>
          </w:tcPr>
          <w:p w14:paraId="0D19DA80" w14:textId="77777777" w:rsidR="001614AC" w:rsidRDefault="004468F9">
            <w:pPr>
              <w:keepNext/>
              <w:spacing w:before="55" w:after="30" w:line="288" w:lineRule="auto"/>
              <w:jc w:val="center"/>
            </w:pPr>
            <w:r>
              <w:rPr>
                <w:rFonts w:ascii="Arial" w:eastAsia="Arial" w:hAnsi="Arial" w:cs="Arial"/>
                <w:b/>
                <w:color w:val="00BAB3"/>
                <w:sz w:val="18"/>
              </w:rPr>
              <w:t>2020</w:t>
            </w:r>
          </w:p>
        </w:tc>
        <w:tc>
          <w:tcPr>
            <w:tcW w:w="105" w:type="dxa"/>
            <w:tcBorders>
              <w:top w:val="single" w:sz="8" w:space="0" w:color="FFFFFF"/>
              <w:left w:val="nil"/>
              <w:bottom w:val="single" w:sz="8" w:space="0" w:color="C7C9C7"/>
              <w:right w:val="nil"/>
            </w:tcBorders>
            <w:tcMar>
              <w:top w:w="0" w:type="dxa"/>
              <w:left w:w="0" w:type="dxa"/>
              <w:bottom w:w="0" w:type="dxa"/>
              <w:right w:w="0" w:type="dxa"/>
            </w:tcMar>
            <w:vAlign w:val="bottom"/>
          </w:tcPr>
          <w:p w14:paraId="33E0158D" w14:textId="77777777" w:rsidR="001614AC" w:rsidRDefault="001614AC">
            <w:pPr>
              <w:keepNext/>
            </w:pPr>
          </w:p>
        </w:tc>
        <w:tc>
          <w:tcPr>
            <w:tcW w:w="1275" w:type="dxa"/>
            <w:gridSpan w:val="3"/>
            <w:tcBorders>
              <w:top w:val="single" w:sz="8" w:space="0" w:color="FFFFFF"/>
              <w:left w:val="nil"/>
              <w:bottom w:val="single" w:sz="8" w:space="0" w:color="C7C9C7"/>
              <w:right w:val="nil"/>
            </w:tcBorders>
            <w:tcMar>
              <w:top w:w="0" w:type="dxa"/>
              <w:left w:w="53" w:type="dxa"/>
              <w:bottom w:w="0" w:type="dxa"/>
              <w:right w:w="53" w:type="dxa"/>
            </w:tcMar>
            <w:vAlign w:val="bottom"/>
          </w:tcPr>
          <w:p w14:paraId="36A78CC7" w14:textId="77777777" w:rsidR="001614AC" w:rsidRDefault="004468F9">
            <w:pPr>
              <w:keepNext/>
              <w:spacing w:before="55" w:after="30" w:line="288" w:lineRule="auto"/>
              <w:jc w:val="center"/>
            </w:pPr>
            <w:r>
              <w:rPr>
                <w:rFonts w:ascii="Arial" w:eastAsia="Arial" w:hAnsi="Arial" w:cs="Arial"/>
                <w:b/>
                <w:color w:val="00BAB3"/>
                <w:sz w:val="18"/>
              </w:rPr>
              <w:t>2021 vs. 2020</w:t>
            </w:r>
          </w:p>
        </w:tc>
      </w:tr>
      <w:tr w:rsidR="001614AC" w14:paraId="59E4B0AD" w14:textId="77777777">
        <w:trPr>
          <w:cantSplit/>
        </w:trPr>
        <w:tc>
          <w:tcPr>
            <w:tcW w:w="2880" w:type="dxa"/>
            <w:tcBorders>
              <w:top w:val="single" w:sz="8" w:space="0" w:color="C7C9C7"/>
              <w:left w:val="nil"/>
              <w:bottom w:val="single" w:sz="8" w:space="0" w:color="E9E9E9"/>
              <w:right w:val="nil"/>
            </w:tcBorders>
            <w:tcMar>
              <w:top w:w="0" w:type="dxa"/>
              <w:left w:w="53" w:type="dxa"/>
              <w:bottom w:w="0" w:type="dxa"/>
              <w:right w:w="53" w:type="dxa"/>
            </w:tcMar>
            <w:vAlign w:val="bottom"/>
          </w:tcPr>
          <w:p w14:paraId="5D7983BD" w14:textId="77777777" w:rsidR="001614AC" w:rsidRDefault="004468F9">
            <w:pPr>
              <w:keepNext/>
              <w:spacing w:before="55" w:after="30" w:line="288" w:lineRule="auto"/>
              <w:rPr>
                <w:rFonts w:ascii="Arial" w:eastAsia="Arial" w:hAnsi="Arial" w:cs="Arial"/>
                <w:sz w:val="18"/>
              </w:rPr>
            </w:pPr>
            <w:r>
              <w:rPr>
                <w:rFonts w:ascii="Arial" w:eastAsia="Arial" w:hAnsi="Arial" w:cs="Arial"/>
                <w:sz w:val="18"/>
              </w:rPr>
              <w:t xml:space="preserve">Adjusted pretax operating income (loss) </w:t>
            </w:r>
            <w:r>
              <w:rPr>
                <w:rFonts w:ascii="Arial" w:eastAsia="Arial" w:hAnsi="Arial" w:cs="Arial"/>
                <w:sz w:val="18"/>
                <w:vertAlign w:val="superscript"/>
              </w:rPr>
              <w:t xml:space="preserve">(1) (2) </w:t>
            </w:r>
          </w:p>
        </w:tc>
        <w:tc>
          <w:tcPr>
            <w:tcW w:w="105" w:type="dxa"/>
            <w:tcBorders>
              <w:top w:val="single" w:sz="8" w:space="0" w:color="C7C9C7"/>
              <w:left w:val="nil"/>
              <w:bottom w:val="nil"/>
              <w:right w:val="nil"/>
            </w:tcBorders>
            <w:tcMar>
              <w:top w:w="0" w:type="dxa"/>
              <w:left w:w="0" w:type="dxa"/>
              <w:bottom w:w="0" w:type="dxa"/>
              <w:right w:w="0" w:type="dxa"/>
            </w:tcMar>
            <w:vAlign w:val="bottom"/>
          </w:tcPr>
          <w:p w14:paraId="19BFDE8D" w14:textId="77777777" w:rsidR="001614AC" w:rsidRDefault="001614AC">
            <w:pPr>
              <w:keepNext/>
            </w:pPr>
          </w:p>
        </w:tc>
        <w:tc>
          <w:tcPr>
            <w:tcW w:w="160" w:type="dxa"/>
            <w:tcBorders>
              <w:top w:val="single" w:sz="8" w:space="0" w:color="C7C9C7"/>
              <w:left w:val="nil"/>
              <w:bottom w:val="single" w:sz="8" w:space="0" w:color="E9E9E9"/>
              <w:right w:val="nil"/>
            </w:tcBorders>
            <w:tcMar>
              <w:top w:w="0" w:type="dxa"/>
              <w:left w:w="53" w:type="dxa"/>
              <w:bottom w:w="0" w:type="dxa"/>
              <w:right w:w="0" w:type="dxa"/>
            </w:tcMar>
            <w:vAlign w:val="bottom"/>
          </w:tcPr>
          <w:p w14:paraId="70C9887C" w14:textId="77777777" w:rsidR="001614AC" w:rsidRDefault="004468F9">
            <w:pPr>
              <w:keepNext/>
              <w:spacing w:before="55" w:after="30" w:line="288" w:lineRule="auto"/>
            </w:pPr>
            <w:r>
              <w:rPr>
                <w:rFonts w:ascii="Arial" w:eastAsia="Arial" w:hAnsi="Arial" w:cs="Arial"/>
                <w:color w:val="000000"/>
                <w:sz w:val="18"/>
              </w:rPr>
              <w:t>$</w:t>
            </w:r>
          </w:p>
        </w:tc>
        <w:tc>
          <w:tcPr>
            <w:tcW w:w="745" w:type="dxa"/>
            <w:tcBorders>
              <w:top w:val="single" w:sz="8" w:space="0" w:color="C7C9C7"/>
              <w:left w:val="nil"/>
              <w:bottom w:val="single" w:sz="8" w:space="0" w:color="E9E9E9"/>
              <w:right w:val="nil"/>
            </w:tcBorders>
            <w:tcMar>
              <w:top w:w="0" w:type="dxa"/>
              <w:left w:w="0" w:type="dxa"/>
              <w:bottom w:w="0" w:type="dxa"/>
              <w:right w:w="0" w:type="dxa"/>
            </w:tcMar>
            <w:vAlign w:val="bottom"/>
          </w:tcPr>
          <w:p w14:paraId="7E85DEE6" w14:textId="77777777" w:rsidR="001614AC" w:rsidRDefault="004468F9">
            <w:pPr>
              <w:keepNext/>
              <w:spacing w:before="55" w:after="30" w:line="288" w:lineRule="auto"/>
              <w:jc w:val="right"/>
            </w:pPr>
            <w:r>
              <w:rPr>
                <w:rFonts w:ascii="Arial" w:eastAsia="Arial" w:hAnsi="Arial" w:cs="Arial"/>
                <w:color w:val="000000"/>
                <w:sz w:val="18"/>
              </w:rPr>
              <w:t>(9.2)</w:t>
            </w:r>
          </w:p>
        </w:tc>
        <w:tc>
          <w:tcPr>
            <w:tcW w:w="100" w:type="dxa"/>
            <w:tcBorders>
              <w:top w:val="single" w:sz="8" w:space="0" w:color="C7C9C7"/>
              <w:left w:val="nil"/>
              <w:bottom w:val="single" w:sz="8" w:space="0" w:color="E9E9E9"/>
              <w:right w:val="nil"/>
            </w:tcBorders>
            <w:tcMar>
              <w:top w:w="0" w:type="dxa"/>
              <w:left w:w="0" w:type="dxa"/>
              <w:bottom w:w="0" w:type="dxa"/>
              <w:right w:w="15" w:type="dxa"/>
            </w:tcMar>
            <w:vAlign w:val="bottom"/>
          </w:tcPr>
          <w:p w14:paraId="70C52672" w14:textId="77777777" w:rsidR="001614AC" w:rsidRDefault="001614AC">
            <w:pPr>
              <w:keepNext/>
              <w:spacing w:before="55" w:after="30" w:line="288" w:lineRule="auto"/>
              <w:jc w:val="right"/>
            </w:pPr>
          </w:p>
        </w:tc>
        <w:tc>
          <w:tcPr>
            <w:tcW w:w="105" w:type="dxa"/>
            <w:tcBorders>
              <w:top w:val="single" w:sz="8" w:space="0" w:color="C7C9C7"/>
              <w:left w:val="nil"/>
              <w:bottom w:val="nil"/>
              <w:right w:val="nil"/>
            </w:tcBorders>
            <w:tcMar>
              <w:top w:w="0" w:type="dxa"/>
              <w:left w:w="0" w:type="dxa"/>
              <w:bottom w:w="0" w:type="dxa"/>
              <w:right w:w="0" w:type="dxa"/>
            </w:tcMar>
            <w:vAlign w:val="bottom"/>
          </w:tcPr>
          <w:p w14:paraId="5660DE38" w14:textId="77777777" w:rsidR="001614AC" w:rsidRDefault="001614AC">
            <w:pPr>
              <w:keepNext/>
            </w:pPr>
          </w:p>
        </w:tc>
        <w:tc>
          <w:tcPr>
            <w:tcW w:w="160" w:type="dxa"/>
            <w:tcBorders>
              <w:top w:val="single" w:sz="8" w:space="0" w:color="C7C9C7"/>
              <w:left w:val="nil"/>
              <w:bottom w:val="single" w:sz="8" w:space="0" w:color="E9E9E9"/>
              <w:right w:val="nil"/>
            </w:tcBorders>
            <w:tcMar>
              <w:top w:w="0" w:type="dxa"/>
              <w:left w:w="53" w:type="dxa"/>
              <w:bottom w:w="0" w:type="dxa"/>
              <w:right w:w="0" w:type="dxa"/>
            </w:tcMar>
            <w:vAlign w:val="bottom"/>
          </w:tcPr>
          <w:p w14:paraId="5D39FF75" w14:textId="77777777" w:rsidR="001614AC" w:rsidRDefault="004468F9">
            <w:pPr>
              <w:keepNext/>
              <w:spacing w:before="55" w:after="30" w:line="288" w:lineRule="auto"/>
            </w:pPr>
            <w:r>
              <w:rPr>
                <w:rFonts w:ascii="Arial" w:eastAsia="Arial" w:hAnsi="Arial" w:cs="Arial"/>
                <w:color w:val="000000"/>
                <w:sz w:val="18"/>
              </w:rPr>
              <w:t>$</w:t>
            </w:r>
          </w:p>
        </w:tc>
        <w:tc>
          <w:tcPr>
            <w:tcW w:w="745" w:type="dxa"/>
            <w:tcBorders>
              <w:top w:val="single" w:sz="8" w:space="0" w:color="C7C9C7"/>
              <w:left w:val="nil"/>
              <w:bottom w:val="single" w:sz="8" w:space="0" w:color="E9E9E9"/>
              <w:right w:val="nil"/>
            </w:tcBorders>
            <w:tcMar>
              <w:top w:w="0" w:type="dxa"/>
              <w:left w:w="0" w:type="dxa"/>
              <w:bottom w:w="0" w:type="dxa"/>
              <w:right w:w="0" w:type="dxa"/>
            </w:tcMar>
            <w:vAlign w:val="bottom"/>
          </w:tcPr>
          <w:p w14:paraId="150A01AD" w14:textId="77777777" w:rsidR="001614AC" w:rsidRDefault="004468F9">
            <w:pPr>
              <w:keepNext/>
              <w:spacing w:before="55" w:after="30" w:line="288" w:lineRule="auto"/>
              <w:jc w:val="right"/>
            </w:pPr>
            <w:r>
              <w:rPr>
                <w:rFonts w:ascii="Arial" w:eastAsia="Arial" w:hAnsi="Arial" w:cs="Arial"/>
                <w:color w:val="000000"/>
                <w:sz w:val="18"/>
              </w:rPr>
              <w:t>(3.9)</w:t>
            </w:r>
          </w:p>
        </w:tc>
        <w:tc>
          <w:tcPr>
            <w:tcW w:w="100" w:type="dxa"/>
            <w:tcBorders>
              <w:top w:val="single" w:sz="8" w:space="0" w:color="C7C9C7"/>
              <w:left w:val="nil"/>
              <w:bottom w:val="single" w:sz="8" w:space="0" w:color="E9E9E9"/>
              <w:right w:val="nil"/>
            </w:tcBorders>
            <w:tcMar>
              <w:top w:w="0" w:type="dxa"/>
              <w:left w:w="0" w:type="dxa"/>
              <w:bottom w:w="0" w:type="dxa"/>
              <w:right w:w="15" w:type="dxa"/>
            </w:tcMar>
            <w:vAlign w:val="bottom"/>
          </w:tcPr>
          <w:p w14:paraId="3BEEF8FA" w14:textId="77777777" w:rsidR="001614AC" w:rsidRDefault="001614AC">
            <w:pPr>
              <w:keepNext/>
              <w:spacing w:before="55" w:after="30" w:line="288" w:lineRule="auto"/>
              <w:jc w:val="right"/>
            </w:pPr>
          </w:p>
        </w:tc>
        <w:tc>
          <w:tcPr>
            <w:tcW w:w="105" w:type="dxa"/>
            <w:tcBorders>
              <w:top w:val="single" w:sz="8" w:space="0" w:color="C7C9C7"/>
              <w:left w:val="nil"/>
              <w:bottom w:val="nil"/>
              <w:right w:val="nil"/>
            </w:tcBorders>
            <w:tcMar>
              <w:top w:w="0" w:type="dxa"/>
              <w:left w:w="0" w:type="dxa"/>
              <w:bottom w:w="0" w:type="dxa"/>
              <w:right w:w="0" w:type="dxa"/>
            </w:tcMar>
            <w:vAlign w:val="bottom"/>
          </w:tcPr>
          <w:p w14:paraId="59D27253" w14:textId="77777777" w:rsidR="001614AC" w:rsidRDefault="001614AC">
            <w:pPr>
              <w:keepNext/>
            </w:pPr>
          </w:p>
        </w:tc>
        <w:tc>
          <w:tcPr>
            <w:tcW w:w="160" w:type="dxa"/>
            <w:tcBorders>
              <w:top w:val="single" w:sz="8" w:space="0" w:color="C7C9C7"/>
              <w:left w:val="nil"/>
              <w:bottom w:val="single" w:sz="8" w:space="0" w:color="E9E9E9"/>
              <w:right w:val="nil"/>
            </w:tcBorders>
            <w:tcMar>
              <w:top w:w="0" w:type="dxa"/>
              <w:left w:w="53" w:type="dxa"/>
              <w:bottom w:w="0" w:type="dxa"/>
              <w:right w:w="0" w:type="dxa"/>
            </w:tcMar>
            <w:vAlign w:val="bottom"/>
          </w:tcPr>
          <w:p w14:paraId="7978BC61" w14:textId="77777777" w:rsidR="001614AC" w:rsidRDefault="004468F9">
            <w:pPr>
              <w:keepNext/>
              <w:spacing w:before="55" w:after="30" w:line="288" w:lineRule="auto"/>
            </w:pPr>
            <w:r>
              <w:rPr>
                <w:rFonts w:ascii="Arial" w:eastAsia="Arial" w:hAnsi="Arial" w:cs="Arial"/>
                <w:color w:val="000000"/>
                <w:sz w:val="18"/>
              </w:rPr>
              <w:t>$</w:t>
            </w:r>
          </w:p>
        </w:tc>
        <w:tc>
          <w:tcPr>
            <w:tcW w:w="1015" w:type="dxa"/>
            <w:tcBorders>
              <w:top w:val="single" w:sz="8" w:space="0" w:color="C7C9C7"/>
              <w:left w:val="nil"/>
              <w:bottom w:val="single" w:sz="8" w:space="0" w:color="E9E9E9"/>
              <w:right w:val="nil"/>
            </w:tcBorders>
            <w:tcMar>
              <w:top w:w="0" w:type="dxa"/>
              <w:left w:w="0" w:type="dxa"/>
              <w:bottom w:w="0" w:type="dxa"/>
              <w:right w:w="0" w:type="dxa"/>
            </w:tcMar>
            <w:vAlign w:val="bottom"/>
          </w:tcPr>
          <w:p w14:paraId="27DFDA76" w14:textId="77777777" w:rsidR="001614AC" w:rsidRDefault="004468F9">
            <w:pPr>
              <w:keepNext/>
              <w:spacing w:before="55" w:after="30" w:line="288" w:lineRule="auto"/>
              <w:jc w:val="right"/>
            </w:pPr>
            <w:r>
              <w:rPr>
                <w:rFonts w:ascii="Arial" w:eastAsia="Arial" w:hAnsi="Arial" w:cs="Arial"/>
                <w:color w:val="000000"/>
                <w:sz w:val="18"/>
              </w:rPr>
              <w:t>(5.3)</w:t>
            </w:r>
          </w:p>
        </w:tc>
        <w:tc>
          <w:tcPr>
            <w:tcW w:w="100" w:type="dxa"/>
            <w:tcBorders>
              <w:top w:val="single" w:sz="8" w:space="0" w:color="C7C9C7"/>
              <w:left w:val="nil"/>
              <w:bottom w:val="single" w:sz="8" w:space="0" w:color="E9E9E9"/>
              <w:right w:val="nil"/>
            </w:tcBorders>
            <w:tcMar>
              <w:top w:w="0" w:type="dxa"/>
              <w:left w:w="0" w:type="dxa"/>
              <w:bottom w:w="0" w:type="dxa"/>
              <w:right w:w="15" w:type="dxa"/>
            </w:tcMar>
            <w:vAlign w:val="bottom"/>
          </w:tcPr>
          <w:p w14:paraId="51CCB935" w14:textId="77777777" w:rsidR="001614AC" w:rsidRDefault="001614AC">
            <w:pPr>
              <w:keepNext/>
              <w:spacing w:before="55" w:after="30" w:line="288" w:lineRule="auto"/>
              <w:jc w:val="right"/>
            </w:pPr>
          </w:p>
        </w:tc>
        <w:tc>
          <w:tcPr>
            <w:tcW w:w="105" w:type="dxa"/>
            <w:tcBorders>
              <w:top w:val="single" w:sz="8" w:space="0" w:color="C7C9C7"/>
              <w:left w:val="nil"/>
              <w:bottom w:val="nil"/>
              <w:right w:val="nil"/>
            </w:tcBorders>
            <w:tcMar>
              <w:top w:w="0" w:type="dxa"/>
              <w:left w:w="0" w:type="dxa"/>
              <w:bottom w:w="0" w:type="dxa"/>
              <w:right w:w="0" w:type="dxa"/>
            </w:tcMar>
            <w:vAlign w:val="bottom"/>
          </w:tcPr>
          <w:p w14:paraId="35EA0603" w14:textId="77777777" w:rsidR="001614AC" w:rsidRDefault="001614AC">
            <w:pPr>
              <w:keepNext/>
            </w:pPr>
          </w:p>
        </w:tc>
        <w:tc>
          <w:tcPr>
            <w:tcW w:w="160" w:type="dxa"/>
            <w:tcBorders>
              <w:top w:val="single" w:sz="8" w:space="0" w:color="C7C9C7"/>
              <w:left w:val="nil"/>
              <w:bottom w:val="single" w:sz="8" w:space="0" w:color="E9E9E9"/>
              <w:right w:val="nil"/>
            </w:tcBorders>
            <w:tcMar>
              <w:top w:w="0" w:type="dxa"/>
              <w:left w:w="53" w:type="dxa"/>
              <w:bottom w:w="0" w:type="dxa"/>
              <w:right w:w="0" w:type="dxa"/>
            </w:tcMar>
            <w:vAlign w:val="bottom"/>
          </w:tcPr>
          <w:p w14:paraId="6DF5802C" w14:textId="77777777" w:rsidR="001614AC" w:rsidRDefault="004468F9">
            <w:pPr>
              <w:keepNext/>
              <w:spacing w:before="55" w:after="30" w:line="288" w:lineRule="auto"/>
            </w:pPr>
            <w:r>
              <w:rPr>
                <w:rFonts w:ascii="Arial" w:eastAsia="Arial" w:hAnsi="Arial" w:cs="Arial"/>
                <w:color w:val="000000"/>
                <w:sz w:val="18"/>
              </w:rPr>
              <w:t>$</w:t>
            </w:r>
          </w:p>
        </w:tc>
        <w:tc>
          <w:tcPr>
            <w:tcW w:w="745" w:type="dxa"/>
            <w:tcBorders>
              <w:top w:val="single" w:sz="8" w:space="0" w:color="C7C9C7"/>
              <w:left w:val="nil"/>
              <w:bottom w:val="single" w:sz="8" w:space="0" w:color="E9E9E9"/>
              <w:right w:val="nil"/>
            </w:tcBorders>
            <w:tcMar>
              <w:top w:w="0" w:type="dxa"/>
              <w:left w:w="0" w:type="dxa"/>
              <w:bottom w:w="0" w:type="dxa"/>
              <w:right w:w="0" w:type="dxa"/>
            </w:tcMar>
            <w:vAlign w:val="bottom"/>
          </w:tcPr>
          <w:p w14:paraId="7E430514" w14:textId="77777777" w:rsidR="001614AC" w:rsidRDefault="004468F9">
            <w:pPr>
              <w:keepNext/>
              <w:spacing w:before="55" w:after="30" w:line="288" w:lineRule="auto"/>
              <w:jc w:val="right"/>
            </w:pPr>
            <w:r>
              <w:rPr>
                <w:rFonts w:ascii="Arial" w:eastAsia="Arial" w:hAnsi="Arial" w:cs="Arial"/>
                <w:color w:val="000000"/>
                <w:sz w:val="18"/>
              </w:rPr>
              <w:t>(19.7)</w:t>
            </w:r>
          </w:p>
        </w:tc>
        <w:tc>
          <w:tcPr>
            <w:tcW w:w="100" w:type="dxa"/>
            <w:tcBorders>
              <w:top w:val="single" w:sz="8" w:space="0" w:color="C7C9C7"/>
              <w:left w:val="nil"/>
              <w:bottom w:val="single" w:sz="8" w:space="0" w:color="E9E9E9"/>
              <w:right w:val="nil"/>
            </w:tcBorders>
            <w:tcMar>
              <w:top w:w="0" w:type="dxa"/>
              <w:left w:w="0" w:type="dxa"/>
              <w:bottom w:w="0" w:type="dxa"/>
              <w:right w:w="15" w:type="dxa"/>
            </w:tcMar>
            <w:vAlign w:val="bottom"/>
          </w:tcPr>
          <w:p w14:paraId="6C26BC16" w14:textId="77777777" w:rsidR="001614AC" w:rsidRDefault="001614AC">
            <w:pPr>
              <w:keepNext/>
              <w:spacing w:before="55" w:after="30" w:line="288" w:lineRule="auto"/>
              <w:jc w:val="right"/>
            </w:pPr>
          </w:p>
        </w:tc>
        <w:tc>
          <w:tcPr>
            <w:tcW w:w="105" w:type="dxa"/>
            <w:tcBorders>
              <w:top w:val="single" w:sz="8" w:space="0" w:color="C7C9C7"/>
              <w:left w:val="nil"/>
              <w:bottom w:val="nil"/>
              <w:right w:val="nil"/>
            </w:tcBorders>
            <w:tcMar>
              <w:top w:w="0" w:type="dxa"/>
              <w:left w:w="0" w:type="dxa"/>
              <w:bottom w:w="0" w:type="dxa"/>
              <w:right w:w="0" w:type="dxa"/>
            </w:tcMar>
            <w:vAlign w:val="bottom"/>
          </w:tcPr>
          <w:p w14:paraId="250A8085" w14:textId="77777777" w:rsidR="001614AC" w:rsidRDefault="001614AC">
            <w:pPr>
              <w:keepNext/>
            </w:pPr>
          </w:p>
        </w:tc>
        <w:tc>
          <w:tcPr>
            <w:tcW w:w="160" w:type="dxa"/>
            <w:tcBorders>
              <w:top w:val="single" w:sz="8" w:space="0" w:color="C7C9C7"/>
              <w:left w:val="nil"/>
              <w:bottom w:val="single" w:sz="8" w:space="0" w:color="E9E9E9"/>
              <w:right w:val="nil"/>
            </w:tcBorders>
            <w:tcMar>
              <w:top w:w="0" w:type="dxa"/>
              <w:left w:w="53" w:type="dxa"/>
              <w:bottom w:w="0" w:type="dxa"/>
              <w:right w:w="0" w:type="dxa"/>
            </w:tcMar>
            <w:vAlign w:val="bottom"/>
          </w:tcPr>
          <w:p w14:paraId="1EF130C8" w14:textId="77777777" w:rsidR="001614AC" w:rsidRDefault="004468F9">
            <w:pPr>
              <w:keepNext/>
              <w:spacing w:before="55" w:after="30" w:line="288" w:lineRule="auto"/>
            </w:pPr>
            <w:r>
              <w:rPr>
                <w:rFonts w:ascii="Arial" w:eastAsia="Arial" w:hAnsi="Arial" w:cs="Arial"/>
                <w:color w:val="000000"/>
                <w:sz w:val="18"/>
              </w:rPr>
              <w:t>$</w:t>
            </w:r>
          </w:p>
        </w:tc>
        <w:tc>
          <w:tcPr>
            <w:tcW w:w="745" w:type="dxa"/>
            <w:tcBorders>
              <w:top w:val="single" w:sz="8" w:space="0" w:color="C7C9C7"/>
              <w:left w:val="nil"/>
              <w:bottom w:val="single" w:sz="8" w:space="0" w:color="E9E9E9"/>
              <w:right w:val="nil"/>
            </w:tcBorders>
            <w:tcMar>
              <w:top w:w="0" w:type="dxa"/>
              <w:left w:w="0" w:type="dxa"/>
              <w:bottom w:w="0" w:type="dxa"/>
              <w:right w:w="0" w:type="dxa"/>
            </w:tcMar>
            <w:vAlign w:val="bottom"/>
          </w:tcPr>
          <w:p w14:paraId="25E9208E" w14:textId="77777777" w:rsidR="001614AC" w:rsidRDefault="004468F9">
            <w:pPr>
              <w:keepNext/>
              <w:spacing w:before="55" w:after="30" w:line="288" w:lineRule="auto"/>
              <w:jc w:val="right"/>
            </w:pPr>
            <w:r>
              <w:rPr>
                <w:rFonts w:ascii="Arial" w:eastAsia="Arial" w:hAnsi="Arial" w:cs="Arial"/>
                <w:color w:val="000000"/>
                <w:sz w:val="18"/>
              </w:rPr>
              <w:t>(7.1)</w:t>
            </w:r>
          </w:p>
        </w:tc>
        <w:tc>
          <w:tcPr>
            <w:tcW w:w="100" w:type="dxa"/>
            <w:tcBorders>
              <w:top w:val="single" w:sz="8" w:space="0" w:color="C7C9C7"/>
              <w:left w:val="nil"/>
              <w:bottom w:val="single" w:sz="8" w:space="0" w:color="E9E9E9"/>
              <w:right w:val="nil"/>
            </w:tcBorders>
            <w:tcMar>
              <w:top w:w="0" w:type="dxa"/>
              <w:left w:w="0" w:type="dxa"/>
              <w:bottom w:w="0" w:type="dxa"/>
              <w:right w:w="15" w:type="dxa"/>
            </w:tcMar>
            <w:vAlign w:val="bottom"/>
          </w:tcPr>
          <w:p w14:paraId="7B92AE64" w14:textId="77777777" w:rsidR="001614AC" w:rsidRDefault="001614AC">
            <w:pPr>
              <w:keepNext/>
              <w:spacing w:before="55" w:after="30" w:line="288" w:lineRule="auto"/>
              <w:jc w:val="right"/>
            </w:pPr>
          </w:p>
        </w:tc>
        <w:tc>
          <w:tcPr>
            <w:tcW w:w="105" w:type="dxa"/>
            <w:tcBorders>
              <w:top w:val="single" w:sz="8" w:space="0" w:color="C7C9C7"/>
              <w:left w:val="nil"/>
              <w:bottom w:val="nil"/>
              <w:right w:val="nil"/>
            </w:tcBorders>
            <w:tcMar>
              <w:top w:w="0" w:type="dxa"/>
              <w:left w:w="0" w:type="dxa"/>
              <w:bottom w:w="0" w:type="dxa"/>
              <w:right w:w="0" w:type="dxa"/>
            </w:tcMar>
            <w:vAlign w:val="bottom"/>
          </w:tcPr>
          <w:p w14:paraId="4539251E" w14:textId="77777777" w:rsidR="001614AC" w:rsidRDefault="001614AC">
            <w:pPr>
              <w:keepNext/>
            </w:pPr>
          </w:p>
        </w:tc>
        <w:tc>
          <w:tcPr>
            <w:tcW w:w="160" w:type="dxa"/>
            <w:tcBorders>
              <w:top w:val="single" w:sz="8" w:space="0" w:color="C7C9C7"/>
              <w:left w:val="nil"/>
              <w:bottom w:val="single" w:sz="8" w:space="0" w:color="E9E9E9"/>
              <w:right w:val="nil"/>
            </w:tcBorders>
            <w:tcMar>
              <w:top w:w="0" w:type="dxa"/>
              <w:left w:w="53" w:type="dxa"/>
              <w:bottom w:w="0" w:type="dxa"/>
              <w:right w:w="0" w:type="dxa"/>
            </w:tcMar>
            <w:vAlign w:val="bottom"/>
          </w:tcPr>
          <w:p w14:paraId="3C51D43A" w14:textId="77777777" w:rsidR="001614AC" w:rsidRDefault="004468F9">
            <w:pPr>
              <w:keepNext/>
              <w:spacing w:before="55" w:after="30" w:line="288" w:lineRule="auto"/>
            </w:pPr>
            <w:r>
              <w:rPr>
                <w:rFonts w:ascii="Arial" w:eastAsia="Arial" w:hAnsi="Arial" w:cs="Arial"/>
                <w:color w:val="000000"/>
                <w:sz w:val="18"/>
              </w:rPr>
              <w:t>$</w:t>
            </w:r>
          </w:p>
        </w:tc>
        <w:tc>
          <w:tcPr>
            <w:tcW w:w="1015" w:type="dxa"/>
            <w:tcBorders>
              <w:top w:val="single" w:sz="8" w:space="0" w:color="C7C9C7"/>
              <w:left w:val="nil"/>
              <w:bottom w:val="single" w:sz="8" w:space="0" w:color="E9E9E9"/>
              <w:right w:val="nil"/>
            </w:tcBorders>
            <w:tcMar>
              <w:top w:w="0" w:type="dxa"/>
              <w:left w:w="0" w:type="dxa"/>
              <w:bottom w:w="0" w:type="dxa"/>
              <w:right w:w="0" w:type="dxa"/>
            </w:tcMar>
            <w:vAlign w:val="bottom"/>
          </w:tcPr>
          <w:p w14:paraId="2A47973A" w14:textId="77777777" w:rsidR="001614AC" w:rsidRDefault="004468F9">
            <w:pPr>
              <w:keepNext/>
              <w:spacing w:before="55" w:after="30" w:line="288" w:lineRule="auto"/>
              <w:jc w:val="right"/>
            </w:pPr>
            <w:r>
              <w:rPr>
                <w:rFonts w:ascii="Arial" w:eastAsia="Arial" w:hAnsi="Arial" w:cs="Arial"/>
                <w:color w:val="000000"/>
                <w:sz w:val="18"/>
              </w:rPr>
              <w:t>(12.6)</w:t>
            </w:r>
          </w:p>
        </w:tc>
        <w:tc>
          <w:tcPr>
            <w:tcW w:w="100" w:type="dxa"/>
            <w:tcBorders>
              <w:top w:val="single" w:sz="8" w:space="0" w:color="C7C9C7"/>
              <w:left w:val="nil"/>
              <w:bottom w:val="single" w:sz="8" w:space="0" w:color="E9E9E9"/>
              <w:right w:val="nil"/>
            </w:tcBorders>
            <w:tcMar>
              <w:top w:w="0" w:type="dxa"/>
              <w:left w:w="0" w:type="dxa"/>
              <w:bottom w:w="0" w:type="dxa"/>
              <w:right w:w="15" w:type="dxa"/>
            </w:tcMar>
            <w:vAlign w:val="bottom"/>
          </w:tcPr>
          <w:p w14:paraId="178163F7" w14:textId="77777777" w:rsidR="001614AC" w:rsidRDefault="001614AC">
            <w:pPr>
              <w:keepNext/>
              <w:spacing w:before="55" w:after="30" w:line="288" w:lineRule="auto"/>
              <w:jc w:val="right"/>
            </w:pPr>
          </w:p>
        </w:tc>
      </w:tr>
      <w:tr w:rsidR="001614AC" w14:paraId="5C2BDC64" w14:textId="77777777">
        <w:trPr>
          <w:cantSplit/>
        </w:trPr>
        <w:tc>
          <w:tcPr>
            <w:tcW w:w="2880" w:type="dxa"/>
            <w:tcBorders>
              <w:top w:val="single" w:sz="8" w:space="0" w:color="E9E9E9"/>
              <w:left w:val="nil"/>
              <w:bottom w:val="single" w:sz="8" w:space="0" w:color="E9E9E9"/>
              <w:right w:val="nil"/>
            </w:tcBorders>
            <w:tcMar>
              <w:top w:w="0" w:type="dxa"/>
              <w:left w:w="53" w:type="dxa"/>
              <w:bottom w:w="0" w:type="dxa"/>
              <w:right w:w="53" w:type="dxa"/>
            </w:tcMar>
            <w:vAlign w:val="bottom"/>
          </w:tcPr>
          <w:p w14:paraId="355AD4A9" w14:textId="77777777" w:rsidR="001614AC" w:rsidRDefault="004468F9">
            <w:pPr>
              <w:keepNext/>
              <w:spacing w:before="55" w:after="30" w:line="288" w:lineRule="auto"/>
            </w:pPr>
            <w:r>
              <w:rPr>
                <w:rFonts w:ascii="Arial" w:eastAsia="Arial" w:hAnsi="Arial" w:cs="Arial"/>
                <w:color w:val="000000"/>
                <w:sz w:val="18"/>
              </w:rPr>
              <w:t>Net premiums earned</w:t>
            </w:r>
          </w:p>
        </w:tc>
        <w:tc>
          <w:tcPr>
            <w:tcW w:w="105" w:type="dxa"/>
            <w:tcBorders>
              <w:top w:val="nil"/>
              <w:left w:val="nil"/>
              <w:bottom w:val="nil"/>
              <w:right w:val="nil"/>
            </w:tcBorders>
            <w:tcMar>
              <w:top w:w="0" w:type="dxa"/>
              <w:left w:w="0" w:type="dxa"/>
              <w:bottom w:w="0" w:type="dxa"/>
              <w:right w:w="0" w:type="dxa"/>
            </w:tcMar>
            <w:vAlign w:val="bottom"/>
          </w:tcPr>
          <w:p w14:paraId="789D1BE0" w14:textId="77777777" w:rsidR="001614AC" w:rsidRDefault="001614AC">
            <w:pPr>
              <w:keepNext/>
            </w:pPr>
          </w:p>
        </w:tc>
        <w:tc>
          <w:tcPr>
            <w:tcW w:w="90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3E436154" w14:textId="77777777" w:rsidR="001614AC" w:rsidRDefault="004468F9">
            <w:pPr>
              <w:keepNext/>
              <w:spacing w:before="55" w:after="30" w:line="288" w:lineRule="auto"/>
              <w:jc w:val="right"/>
            </w:pPr>
            <w:r>
              <w:rPr>
                <w:rFonts w:ascii="Arial" w:eastAsia="Arial" w:hAnsi="Arial" w:cs="Arial"/>
                <w:color w:val="000000"/>
                <w:sz w:val="18"/>
              </w:rPr>
              <w:t>7.7 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39F99E38" w14:textId="77777777" w:rsidR="001614AC" w:rsidRDefault="001614AC">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3837A7DB" w14:textId="77777777" w:rsidR="001614AC" w:rsidRDefault="001614AC">
            <w:pPr>
              <w:keepNext/>
            </w:pPr>
          </w:p>
        </w:tc>
        <w:tc>
          <w:tcPr>
            <w:tcW w:w="90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4A2F4A69" w14:textId="77777777" w:rsidR="001614AC" w:rsidRDefault="004468F9">
            <w:pPr>
              <w:keepNext/>
              <w:spacing w:before="55" w:after="30" w:line="288" w:lineRule="auto"/>
              <w:jc w:val="right"/>
            </w:pPr>
            <w:r>
              <w:rPr>
                <w:rFonts w:ascii="Arial" w:eastAsia="Arial" w:hAnsi="Arial" w:cs="Arial"/>
                <w:color w:val="000000"/>
                <w:sz w:val="18"/>
              </w:rPr>
              <w:t>4.7 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13466D6C" w14:textId="77777777" w:rsidR="001614AC" w:rsidRDefault="001614AC">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0FE08275" w14:textId="77777777" w:rsidR="001614AC" w:rsidRDefault="001614AC">
            <w:pPr>
              <w:keepNext/>
            </w:pPr>
          </w:p>
        </w:tc>
        <w:tc>
          <w:tcPr>
            <w:tcW w:w="117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32F97B27" w14:textId="77777777" w:rsidR="001614AC" w:rsidRDefault="004468F9">
            <w:pPr>
              <w:keepNext/>
              <w:spacing w:before="55" w:after="30" w:line="288" w:lineRule="auto"/>
              <w:jc w:val="right"/>
            </w:pPr>
            <w:r>
              <w:rPr>
                <w:rFonts w:ascii="Arial" w:eastAsia="Arial" w:hAnsi="Arial" w:cs="Arial"/>
                <w:color w:val="000000"/>
                <w:sz w:val="18"/>
              </w:rPr>
              <w:t>3.0 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27F646EF" w14:textId="77777777" w:rsidR="001614AC" w:rsidRDefault="001614AC">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2E0C0868" w14:textId="77777777" w:rsidR="001614AC" w:rsidRDefault="001614AC">
            <w:pPr>
              <w:keepNext/>
            </w:pPr>
          </w:p>
        </w:tc>
        <w:tc>
          <w:tcPr>
            <w:tcW w:w="90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1EAB3F7F" w14:textId="77777777" w:rsidR="001614AC" w:rsidRDefault="004468F9">
            <w:pPr>
              <w:keepNext/>
              <w:spacing w:before="55" w:after="30" w:line="288" w:lineRule="auto"/>
              <w:jc w:val="right"/>
            </w:pPr>
            <w:r>
              <w:rPr>
                <w:rFonts w:ascii="Arial" w:eastAsia="Arial" w:hAnsi="Arial" w:cs="Arial"/>
                <w:color w:val="000000"/>
                <w:sz w:val="18"/>
              </w:rPr>
              <w:t>14.9 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2AAFAA14" w14:textId="77777777" w:rsidR="001614AC" w:rsidRDefault="001614AC">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301C8AEC" w14:textId="77777777" w:rsidR="001614AC" w:rsidRDefault="001614AC">
            <w:pPr>
              <w:keepNext/>
            </w:pPr>
          </w:p>
        </w:tc>
        <w:tc>
          <w:tcPr>
            <w:tcW w:w="90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520A486A" w14:textId="77777777" w:rsidR="001614AC" w:rsidRDefault="004468F9">
            <w:pPr>
              <w:keepNext/>
              <w:spacing w:before="55" w:after="30" w:line="288" w:lineRule="auto"/>
              <w:jc w:val="right"/>
            </w:pPr>
            <w:r>
              <w:rPr>
                <w:rFonts w:ascii="Arial" w:eastAsia="Arial" w:hAnsi="Arial" w:cs="Arial"/>
                <w:color w:val="000000"/>
                <w:sz w:val="18"/>
              </w:rPr>
              <w:t>7.9 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6F88EBB0" w14:textId="77777777" w:rsidR="001614AC" w:rsidRDefault="001614AC">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72C6AF54" w14:textId="77777777" w:rsidR="001614AC" w:rsidRDefault="001614AC">
            <w:pPr>
              <w:keepNext/>
            </w:pPr>
          </w:p>
        </w:tc>
        <w:tc>
          <w:tcPr>
            <w:tcW w:w="117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4B41150A" w14:textId="77777777" w:rsidR="001614AC" w:rsidRDefault="004468F9">
            <w:pPr>
              <w:keepNext/>
              <w:spacing w:before="55" w:after="30" w:line="288" w:lineRule="auto"/>
              <w:jc w:val="right"/>
            </w:pPr>
            <w:r>
              <w:rPr>
                <w:rFonts w:ascii="Arial" w:eastAsia="Arial" w:hAnsi="Arial" w:cs="Arial"/>
                <w:color w:val="000000"/>
                <w:sz w:val="18"/>
              </w:rPr>
              <w:t>7.0 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1AD0ED49" w14:textId="77777777" w:rsidR="001614AC" w:rsidRDefault="001614AC">
            <w:pPr>
              <w:keepNext/>
              <w:spacing w:before="55" w:after="30" w:line="288" w:lineRule="auto"/>
              <w:jc w:val="right"/>
            </w:pPr>
          </w:p>
        </w:tc>
      </w:tr>
      <w:tr w:rsidR="001614AC" w14:paraId="39490ADD" w14:textId="77777777">
        <w:trPr>
          <w:cantSplit/>
        </w:trPr>
        <w:tc>
          <w:tcPr>
            <w:tcW w:w="2880" w:type="dxa"/>
            <w:tcBorders>
              <w:top w:val="single" w:sz="8" w:space="0" w:color="E9E9E9"/>
              <w:left w:val="nil"/>
              <w:bottom w:val="single" w:sz="8" w:space="0" w:color="E9E9E9"/>
              <w:right w:val="nil"/>
            </w:tcBorders>
            <w:tcMar>
              <w:top w:w="0" w:type="dxa"/>
              <w:left w:w="53" w:type="dxa"/>
              <w:bottom w:w="0" w:type="dxa"/>
              <w:right w:w="53" w:type="dxa"/>
            </w:tcMar>
            <w:vAlign w:val="bottom"/>
          </w:tcPr>
          <w:p w14:paraId="19B2BE20" w14:textId="77777777" w:rsidR="001614AC" w:rsidRDefault="004468F9">
            <w:pPr>
              <w:keepNext/>
              <w:spacing w:before="55" w:after="30" w:line="288" w:lineRule="auto"/>
            </w:pPr>
            <w:r>
              <w:rPr>
                <w:rFonts w:ascii="Arial" w:eastAsia="Arial" w:hAnsi="Arial" w:cs="Arial"/>
                <w:color w:val="000000"/>
                <w:sz w:val="18"/>
              </w:rPr>
              <w:t>Services revenue</w:t>
            </w:r>
          </w:p>
        </w:tc>
        <w:tc>
          <w:tcPr>
            <w:tcW w:w="105" w:type="dxa"/>
            <w:tcBorders>
              <w:top w:val="nil"/>
              <w:left w:val="nil"/>
              <w:bottom w:val="nil"/>
              <w:right w:val="nil"/>
            </w:tcBorders>
            <w:tcMar>
              <w:top w:w="0" w:type="dxa"/>
              <w:left w:w="0" w:type="dxa"/>
              <w:bottom w:w="0" w:type="dxa"/>
              <w:right w:w="0" w:type="dxa"/>
            </w:tcMar>
            <w:vAlign w:val="bottom"/>
          </w:tcPr>
          <w:p w14:paraId="79348446" w14:textId="77777777" w:rsidR="001614AC" w:rsidRDefault="001614AC">
            <w:pPr>
              <w:keepNext/>
            </w:pPr>
          </w:p>
        </w:tc>
        <w:tc>
          <w:tcPr>
            <w:tcW w:w="90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6EC3698A" w14:textId="77777777" w:rsidR="001614AC" w:rsidRDefault="004468F9">
            <w:pPr>
              <w:keepNext/>
              <w:spacing w:before="55" w:after="30" w:line="288" w:lineRule="auto"/>
              <w:jc w:val="right"/>
            </w:pPr>
            <w:r>
              <w:rPr>
                <w:rFonts w:ascii="Arial" w:eastAsia="Arial" w:hAnsi="Arial" w:cs="Arial"/>
                <w:color w:val="000000"/>
                <w:sz w:val="18"/>
              </w:rPr>
              <w:t>25.8 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59B4B390" w14:textId="77777777" w:rsidR="001614AC" w:rsidRDefault="001614AC">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045992D4" w14:textId="77777777" w:rsidR="001614AC" w:rsidRDefault="001614AC">
            <w:pPr>
              <w:keepNext/>
            </w:pPr>
          </w:p>
        </w:tc>
        <w:tc>
          <w:tcPr>
            <w:tcW w:w="90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7B6277A0" w14:textId="77777777" w:rsidR="001614AC" w:rsidRDefault="004468F9">
            <w:pPr>
              <w:keepNext/>
              <w:spacing w:before="55" w:after="30" w:line="288" w:lineRule="auto"/>
              <w:jc w:val="right"/>
            </w:pPr>
            <w:r>
              <w:rPr>
                <w:rFonts w:ascii="Arial" w:eastAsia="Arial" w:hAnsi="Arial" w:cs="Arial"/>
                <w:color w:val="000000"/>
                <w:sz w:val="18"/>
              </w:rPr>
              <w:t>17.7 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0B942033" w14:textId="77777777" w:rsidR="001614AC" w:rsidRDefault="001614AC">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4CA40DBB" w14:textId="77777777" w:rsidR="001614AC" w:rsidRDefault="001614AC">
            <w:pPr>
              <w:keepNext/>
            </w:pPr>
          </w:p>
        </w:tc>
        <w:tc>
          <w:tcPr>
            <w:tcW w:w="117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4CAFAA88" w14:textId="77777777" w:rsidR="001614AC" w:rsidRDefault="004468F9">
            <w:pPr>
              <w:keepNext/>
              <w:spacing w:before="55" w:after="30" w:line="288" w:lineRule="auto"/>
              <w:jc w:val="right"/>
            </w:pPr>
            <w:r>
              <w:rPr>
                <w:rFonts w:ascii="Arial" w:eastAsia="Arial" w:hAnsi="Arial" w:cs="Arial"/>
                <w:color w:val="000000"/>
                <w:sz w:val="18"/>
              </w:rPr>
              <w:t>8.1 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0A2DF6F4" w14:textId="77777777" w:rsidR="001614AC" w:rsidRDefault="001614AC">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2067B66D" w14:textId="77777777" w:rsidR="001614AC" w:rsidRDefault="001614AC">
            <w:pPr>
              <w:keepNext/>
            </w:pPr>
          </w:p>
        </w:tc>
        <w:tc>
          <w:tcPr>
            <w:tcW w:w="90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45CE2786" w14:textId="77777777" w:rsidR="001614AC" w:rsidRDefault="004468F9">
            <w:pPr>
              <w:keepNext/>
              <w:spacing w:before="55" w:after="30" w:line="288" w:lineRule="auto"/>
              <w:jc w:val="right"/>
            </w:pPr>
            <w:r>
              <w:rPr>
                <w:rFonts w:ascii="Arial" w:eastAsia="Arial" w:hAnsi="Arial" w:cs="Arial"/>
                <w:color w:val="000000"/>
                <w:sz w:val="18"/>
              </w:rPr>
              <w:t>44.3 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10CF14CD" w14:textId="77777777" w:rsidR="001614AC" w:rsidRDefault="001614AC">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735DBD22" w14:textId="77777777" w:rsidR="001614AC" w:rsidRDefault="001614AC">
            <w:pPr>
              <w:keepNext/>
            </w:pPr>
          </w:p>
        </w:tc>
        <w:tc>
          <w:tcPr>
            <w:tcW w:w="90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6E2DB82F" w14:textId="77777777" w:rsidR="001614AC" w:rsidRDefault="004468F9">
            <w:pPr>
              <w:keepNext/>
              <w:spacing w:before="55" w:after="30" w:line="288" w:lineRule="auto"/>
              <w:jc w:val="right"/>
            </w:pPr>
            <w:r>
              <w:rPr>
                <w:rFonts w:ascii="Arial" w:eastAsia="Arial" w:hAnsi="Arial" w:cs="Arial"/>
                <w:color w:val="000000"/>
                <w:sz w:val="18"/>
              </w:rPr>
              <w:t>40.9 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6AFFE692" w14:textId="77777777" w:rsidR="001614AC" w:rsidRDefault="001614AC">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763D66D9" w14:textId="77777777" w:rsidR="001614AC" w:rsidRDefault="001614AC">
            <w:pPr>
              <w:keepNext/>
            </w:pPr>
          </w:p>
        </w:tc>
        <w:tc>
          <w:tcPr>
            <w:tcW w:w="117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2C9F7DC2" w14:textId="77777777" w:rsidR="001614AC" w:rsidRDefault="004468F9">
            <w:pPr>
              <w:keepNext/>
              <w:spacing w:before="55" w:after="30" w:line="288" w:lineRule="auto"/>
              <w:jc w:val="right"/>
            </w:pPr>
            <w:r>
              <w:rPr>
                <w:rFonts w:ascii="Arial" w:eastAsia="Arial" w:hAnsi="Arial" w:cs="Arial"/>
                <w:color w:val="000000"/>
                <w:sz w:val="18"/>
              </w:rPr>
              <w:t>3.4 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7DA836BE" w14:textId="77777777" w:rsidR="001614AC" w:rsidRDefault="001614AC">
            <w:pPr>
              <w:keepNext/>
              <w:spacing w:before="55" w:after="30" w:line="288" w:lineRule="auto"/>
              <w:jc w:val="right"/>
            </w:pPr>
          </w:p>
        </w:tc>
      </w:tr>
      <w:tr w:rsidR="001614AC" w14:paraId="2E8AE5F8" w14:textId="77777777">
        <w:trPr>
          <w:cantSplit/>
        </w:trPr>
        <w:tc>
          <w:tcPr>
            <w:tcW w:w="2880" w:type="dxa"/>
            <w:tcBorders>
              <w:top w:val="single" w:sz="8" w:space="0" w:color="E9E9E9"/>
              <w:left w:val="nil"/>
              <w:bottom w:val="single" w:sz="8" w:space="0" w:color="E9E9E9"/>
              <w:right w:val="nil"/>
            </w:tcBorders>
            <w:tcMar>
              <w:top w:w="0" w:type="dxa"/>
              <w:left w:w="53" w:type="dxa"/>
              <w:bottom w:w="0" w:type="dxa"/>
              <w:right w:w="53" w:type="dxa"/>
            </w:tcMar>
            <w:vAlign w:val="bottom"/>
          </w:tcPr>
          <w:p w14:paraId="4232933B" w14:textId="77777777" w:rsidR="001614AC" w:rsidRDefault="004468F9">
            <w:pPr>
              <w:keepNext/>
              <w:spacing w:before="55" w:after="30" w:line="288" w:lineRule="auto"/>
            </w:pPr>
            <w:r>
              <w:rPr>
                <w:rFonts w:ascii="Arial" w:eastAsia="Arial" w:hAnsi="Arial" w:cs="Arial"/>
                <w:color w:val="000000"/>
                <w:sz w:val="18"/>
              </w:rPr>
              <w:t>Cost of services</w:t>
            </w:r>
          </w:p>
        </w:tc>
        <w:tc>
          <w:tcPr>
            <w:tcW w:w="105" w:type="dxa"/>
            <w:tcBorders>
              <w:top w:val="nil"/>
              <w:left w:val="nil"/>
              <w:bottom w:val="nil"/>
              <w:right w:val="nil"/>
            </w:tcBorders>
            <w:tcMar>
              <w:top w:w="0" w:type="dxa"/>
              <w:left w:w="0" w:type="dxa"/>
              <w:bottom w:w="0" w:type="dxa"/>
              <w:right w:w="0" w:type="dxa"/>
            </w:tcMar>
            <w:vAlign w:val="bottom"/>
          </w:tcPr>
          <w:p w14:paraId="29471B32" w14:textId="77777777" w:rsidR="001614AC" w:rsidRDefault="001614AC">
            <w:pPr>
              <w:keepNext/>
            </w:pPr>
          </w:p>
        </w:tc>
        <w:tc>
          <w:tcPr>
            <w:tcW w:w="90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27EB220F" w14:textId="77777777" w:rsidR="001614AC" w:rsidRDefault="004468F9">
            <w:pPr>
              <w:keepNext/>
              <w:spacing w:before="55" w:after="30" w:line="288" w:lineRule="auto"/>
              <w:jc w:val="right"/>
            </w:pPr>
            <w:r>
              <w:rPr>
                <w:rFonts w:ascii="Arial" w:eastAsia="Arial" w:hAnsi="Arial" w:cs="Arial"/>
                <w:color w:val="000000"/>
                <w:sz w:val="18"/>
              </w:rPr>
              <w:t>21.4 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02866B93" w14:textId="77777777" w:rsidR="001614AC" w:rsidRDefault="001614AC">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79D99CDF" w14:textId="77777777" w:rsidR="001614AC" w:rsidRDefault="001614AC">
            <w:pPr>
              <w:keepNext/>
            </w:pPr>
          </w:p>
        </w:tc>
        <w:tc>
          <w:tcPr>
            <w:tcW w:w="90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2C64193E" w14:textId="77777777" w:rsidR="001614AC" w:rsidRDefault="004468F9">
            <w:pPr>
              <w:keepNext/>
              <w:spacing w:before="55" w:after="30" w:line="288" w:lineRule="auto"/>
              <w:jc w:val="right"/>
            </w:pPr>
            <w:r>
              <w:rPr>
                <w:rFonts w:ascii="Arial" w:eastAsia="Arial" w:hAnsi="Arial" w:cs="Arial"/>
                <w:color w:val="000000"/>
                <w:sz w:val="18"/>
              </w:rPr>
              <w:t>12.7 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17291E3E" w14:textId="77777777" w:rsidR="001614AC" w:rsidRDefault="001614AC">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1F79E546" w14:textId="77777777" w:rsidR="001614AC" w:rsidRDefault="001614AC">
            <w:pPr>
              <w:keepNext/>
            </w:pPr>
          </w:p>
        </w:tc>
        <w:tc>
          <w:tcPr>
            <w:tcW w:w="117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225D837A" w14:textId="77777777" w:rsidR="001614AC" w:rsidRDefault="004468F9">
            <w:pPr>
              <w:keepNext/>
              <w:spacing w:before="55" w:after="30" w:line="288" w:lineRule="auto"/>
              <w:jc w:val="right"/>
            </w:pPr>
            <w:r>
              <w:rPr>
                <w:rFonts w:ascii="Arial" w:eastAsia="Arial" w:hAnsi="Arial" w:cs="Arial"/>
                <w:color w:val="000000"/>
                <w:sz w:val="18"/>
              </w:rPr>
              <w:t>(8.7)</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78899903" w14:textId="77777777" w:rsidR="001614AC" w:rsidRDefault="001614AC">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51C0030C" w14:textId="77777777" w:rsidR="001614AC" w:rsidRDefault="001614AC">
            <w:pPr>
              <w:keepNext/>
            </w:pPr>
          </w:p>
        </w:tc>
        <w:tc>
          <w:tcPr>
            <w:tcW w:w="90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4E41C00C" w14:textId="77777777" w:rsidR="001614AC" w:rsidRDefault="004468F9">
            <w:pPr>
              <w:keepNext/>
              <w:spacing w:before="55" w:after="30" w:line="288" w:lineRule="auto"/>
              <w:jc w:val="right"/>
            </w:pPr>
            <w:r>
              <w:rPr>
                <w:rFonts w:ascii="Arial" w:eastAsia="Arial" w:hAnsi="Arial" w:cs="Arial"/>
                <w:color w:val="000000"/>
                <w:sz w:val="18"/>
              </w:rPr>
              <w:t>38.5 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4B715A49" w14:textId="77777777" w:rsidR="001614AC" w:rsidRDefault="001614AC">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56A178C3" w14:textId="77777777" w:rsidR="001614AC" w:rsidRDefault="001614AC">
            <w:pPr>
              <w:keepNext/>
            </w:pPr>
          </w:p>
        </w:tc>
        <w:tc>
          <w:tcPr>
            <w:tcW w:w="90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0BA2AD4E" w14:textId="77777777" w:rsidR="001614AC" w:rsidRDefault="004468F9">
            <w:pPr>
              <w:keepNext/>
              <w:spacing w:before="55" w:after="30" w:line="288" w:lineRule="auto"/>
              <w:jc w:val="right"/>
            </w:pPr>
            <w:r>
              <w:rPr>
                <w:rFonts w:ascii="Arial" w:eastAsia="Arial" w:hAnsi="Arial" w:cs="Arial"/>
                <w:color w:val="000000"/>
                <w:sz w:val="18"/>
              </w:rPr>
              <w:t>27.7 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7ADF425A" w14:textId="77777777" w:rsidR="001614AC" w:rsidRDefault="001614AC">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62017FAA" w14:textId="77777777" w:rsidR="001614AC" w:rsidRDefault="001614AC">
            <w:pPr>
              <w:keepNext/>
            </w:pPr>
          </w:p>
        </w:tc>
        <w:tc>
          <w:tcPr>
            <w:tcW w:w="117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6E8B7818" w14:textId="77777777" w:rsidR="001614AC" w:rsidRDefault="004468F9">
            <w:pPr>
              <w:keepNext/>
              <w:spacing w:before="55" w:after="30" w:line="288" w:lineRule="auto"/>
              <w:jc w:val="right"/>
            </w:pPr>
            <w:r>
              <w:rPr>
                <w:rFonts w:ascii="Arial" w:eastAsia="Arial" w:hAnsi="Arial" w:cs="Arial"/>
                <w:color w:val="000000"/>
                <w:sz w:val="18"/>
              </w:rPr>
              <w:t>(10.8)</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778B1AAA" w14:textId="77777777" w:rsidR="001614AC" w:rsidRDefault="001614AC">
            <w:pPr>
              <w:keepNext/>
              <w:spacing w:before="55" w:after="30" w:line="288" w:lineRule="auto"/>
              <w:jc w:val="right"/>
            </w:pPr>
          </w:p>
        </w:tc>
      </w:tr>
      <w:tr w:rsidR="001614AC" w14:paraId="3A20998B" w14:textId="77777777">
        <w:trPr>
          <w:cantSplit/>
        </w:trPr>
        <w:tc>
          <w:tcPr>
            <w:tcW w:w="2880" w:type="dxa"/>
            <w:tcBorders>
              <w:top w:val="single" w:sz="8" w:space="0" w:color="E9E9E9"/>
              <w:left w:val="nil"/>
              <w:bottom w:val="single" w:sz="8" w:space="0" w:color="E9E9E9"/>
              <w:right w:val="nil"/>
            </w:tcBorders>
            <w:tcMar>
              <w:top w:w="0" w:type="dxa"/>
              <w:left w:w="53" w:type="dxa"/>
              <w:bottom w:w="0" w:type="dxa"/>
              <w:right w:w="53" w:type="dxa"/>
            </w:tcMar>
            <w:vAlign w:val="bottom"/>
          </w:tcPr>
          <w:p w14:paraId="21A51876" w14:textId="77777777" w:rsidR="001614AC" w:rsidRDefault="004468F9">
            <w:pPr>
              <w:spacing w:before="55" w:after="30" w:line="288" w:lineRule="auto"/>
              <w:rPr>
                <w:rFonts w:ascii="Arial" w:eastAsia="Arial" w:hAnsi="Arial" w:cs="Arial"/>
                <w:sz w:val="18"/>
              </w:rPr>
            </w:pPr>
            <w:r>
              <w:rPr>
                <w:rFonts w:ascii="Arial" w:eastAsia="Arial" w:hAnsi="Arial" w:cs="Arial"/>
                <w:sz w:val="18"/>
              </w:rPr>
              <w:t>Other operating expenses</w:t>
            </w:r>
            <w:r>
              <w:rPr>
                <w:rFonts w:ascii="Arial" w:eastAsia="Arial" w:hAnsi="Arial" w:cs="Arial"/>
                <w:sz w:val="18"/>
                <w:vertAlign w:val="superscript"/>
              </w:rPr>
              <w:t xml:space="preserve"> (2) </w:t>
            </w:r>
          </w:p>
        </w:tc>
        <w:tc>
          <w:tcPr>
            <w:tcW w:w="105" w:type="dxa"/>
            <w:tcBorders>
              <w:top w:val="nil"/>
              <w:left w:val="nil"/>
              <w:bottom w:val="nil"/>
              <w:right w:val="nil"/>
            </w:tcBorders>
            <w:tcMar>
              <w:top w:w="0" w:type="dxa"/>
              <w:left w:w="0" w:type="dxa"/>
              <w:bottom w:w="0" w:type="dxa"/>
              <w:right w:w="0" w:type="dxa"/>
            </w:tcMar>
            <w:vAlign w:val="bottom"/>
          </w:tcPr>
          <w:p w14:paraId="55A837A4" w14:textId="77777777" w:rsidR="001614AC" w:rsidRDefault="001614AC"/>
        </w:tc>
        <w:tc>
          <w:tcPr>
            <w:tcW w:w="90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316B6113" w14:textId="77777777" w:rsidR="001614AC" w:rsidRDefault="004468F9">
            <w:pPr>
              <w:spacing w:before="55" w:after="30" w:line="288" w:lineRule="auto"/>
              <w:jc w:val="right"/>
            </w:pPr>
            <w:r>
              <w:rPr>
                <w:rFonts w:ascii="Arial" w:eastAsia="Arial" w:hAnsi="Arial" w:cs="Arial"/>
                <w:color w:val="000000"/>
                <w:sz w:val="18"/>
              </w:rPr>
              <w:t>20.9 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7F77EF37" w14:textId="77777777" w:rsidR="001614AC" w:rsidRDefault="001614AC">
            <w:pPr>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3720FE9A" w14:textId="77777777" w:rsidR="001614AC" w:rsidRDefault="001614AC"/>
        </w:tc>
        <w:tc>
          <w:tcPr>
            <w:tcW w:w="90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07D429E6" w14:textId="77777777" w:rsidR="001614AC" w:rsidRDefault="004468F9">
            <w:pPr>
              <w:spacing w:before="55" w:after="30" w:line="288" w:lineRule="auto"/>
              <w:jc w:val="right"/>
            </w:pPr>
            <w:r>
              <w:rPr>
                <w:rFonts w:ascii="Arial" w:eastAsia="Arial" w:hAnsi="Arial" w:cs="Arial"/>
                <w:color w:val="000000"/>
                <w:sz w:val="18"/>
              </w:rPr>
              <w:t>13.4 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715808C2" w14:textId="77777777" w:rsidR="001614AC" w:rsidRDefault="001614AC">
            <w:pPr>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5955011F" w14:textId="77777777" w:rsidR="001614AC" w:rsidRDefault="001614AC"/>
        </w:tc>
        <w:tc>
          <w:tcPr>
            <w:tcW w:w="117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2D18EBD6" w14:textId="77777777" w:rsidR="001614AC" w:rsidRDefault="004468F9">
            <w:pPr>
              <w:spacing w:before="55" w:after="30" w:line="288" w:lineRule="auto"/>
              <w:jc w:val="right"/>
            </w:pPr>
            <w:r>
              <w:rPr>
                <w:rFonts w:ascii="Arial" w:eastAsia="Arial" w:hAnsi="Arial" w:cs="Arial"/>
                <w:color w:val="000000"/>
                <w:sz w:val="18"/>
              </w:rPr>
              <w:t>(7.5)</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301C47F6" w14:textId="77777777" w:rsidR="001614AC" w:rsidRDefault="001614AC">
            <w:pPr>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48016C54" w14:textId="77777777" w:rsidR="001614AC" w:rsidRDefault="001614AC"/>
        </w:tc>
        <w:tc>
          <w:tcPr>
            <w:tcW w:w="90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79A5A2B0" w14:textId="77777777" w:rsidR="001614AC" w:rsidRDefault="004468F9">
            <w:pPr>
              <w:spacing w:before="55" w:after="30" w:line="288" w:lineRule="auto"/>
              <w:jc w:val="right"/>
            </w:pPr>
            <w:r>
              <w:rPr>
                <w:rFonts w:ascii="Arial" w:eastAsia="Arial" w:hAnsi="Arial" w:cs="Arial"/>
                <w:color w:val="000000"/>
                <w:sz w:val="18"/>
              </w:rPr>
              <w:t>39.8 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625F2169" w14:textId="77777777" w:rsidR="001614AC" w:rsidRDefault="001614AC">
            <w:pPr>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7691B380" w14:textId="77777777" w:rsidR="001614AC" w:rsidRDefault="001614AC"/>
        </w:tc>
        <w:tc>
          <w:tcPr>
            <w:tcW w:w="90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4EA02717" w14:textId="77777777" w:rsidR="001614AC" w:rsidRDefault="004468F9">
            <w:pPr>
              <w:spacing w:before="55" w:after="30" w:line="288" w:lineRule="auto"/>
              <w:jc w:val="right"/>
            </w:pPr>
            <w:r>
              <w:rPr>
                <w:rFonts w:ascii="Arial" w:eastAsia="Arial" w:hAnsi="Arial" w:cs="Arial"/>
                <w:color w:val="000000"/>
                <w:sz w:val="18"/>
              </w:rPr>
              <w:t>27.3 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71088547" w14:textId="77777777" w:rsidR="001614AC" w:rsidRDefault="001614AC">
            <w:pPr>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6EEDF285" w14:textId="77777777" w:rsidR="001614AC" w:rsidRDefault="001614AC"/>
        </w:tc>
        <w:tc>
          <w:tcPr>
            <w:tcW w:w="117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397DD0BA" w14:textId="77777777" w:rsidR="001614AC" w:rsidRDefault="004468F9">
            <w:pPr>
              <w:spacing w:before="55" w:after="30" w:line="288" w:lineRule="auto"/>
              <w:jc w:val="right"/>
            </w:pPr>
            <w:r>
              <w:rPr>
                <w:rFonts w:ascii="Arial" w:eastAsia="Arial" w:hAnsi="Arial" w:cs="Arial"/>
                <w:color w:val="000000"/>
                <w:sz w:val="18"/>
              </w:rPr>
              <w:t>(12.5)</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2ABD4584" w14:textId="77777777" w:rsidR="001614AC" w:rsidRDefault="001614AC">
            <w:pPr>
              <w:spacing w:before="55" w:after="30" w:line="288" w:lineRule="auto"/>
              <w:jc w:val="right"/>
            </w:pPr>
          </w:p>
        </w:tc>
      </w:tr>
    </w:tbl>
    <w:p w14:paraId="0FAF3301" w14:textId="77777777" w:rsidR="001614AC" w:rsidRDefault="004468F9" w:rsidP="004468F9">
      <w:pPr>
        <w:numPr>
          <w:ilvl w:val="0"/>
          <w:numId w:val="40"/>
        </w:numPr>
        <w:spacing w:line="288" w:lineRule="auto"/>
        <w:ind w:left="360"/>
        <w:rPr>
          <w:rFonts w:ascii="Arial" w:eastAsia="Arial" w:hAnsi="Arial" w:cs="Arial"/>
          <w:b/>
          <w:color w:val="64615D"/>
          <w:sz w:val="16"/>
        </w:rPr>
      </w:pPr>
      <w:r>
        <w:rPr>
          <w:rFonts w:ascii="Arial" w:eastAsia="Arial" w:hAnsi="Arial" w:cs="Arial"/>
          <w:color w:val="64615D"/>
          <w:sz w:val="16"/>
        </w:rPr>
        <w:t>Our senior management uses adjusted pretax operating income (loss) as our primary measure to evaluate the fundamental financial performance of each of the Company’s business segments. See Note 4 of Notes to Unaudited Condensed Consolidated Financial Sta</w:t>
      </w:r>
      <w:r>
        <w:rPr>
          <w:rFonts w:ascii="Arial" w:eastAsia="Arial" w:hAnsi="Arial" w:cs="Arial"/>
          <w:color w:val="64615D"/>
          <w:sz w:val="16"/>
        </w:rPr>
        <w:t xml:space="preserve">tements. </w:t>
      </w:r>
    </w:p>
    <w:p w14:paraId="4F44681B" w14:textId="77777777" w:rsidR="001614AC" w:rsidRDefault="004468F9" w:rsidP="004468F9">
      <w:pPr>
        <w:numPr>
          <w:ilvl w:val="0"/>
          <w:numId w:val="40"/>
        </w:numPr>
        <w:spacing w:line="288" w:lineRule="auto"/>
        <w:ind w:left="360"/>
        <w:rPr>
          <w:rFonts w:ascii="Arial" w:eastAsia="Arial" w:hAnsi="Arial" w:cs="Arial"/>
          <w:b/>
          <w:color w:val="64615D"/>
          <w:sz w:val="16"/>
        </w:rPr>
      </w:pPr>
      <w:r>
        <w:rPr>
          <w:rFonts w:ascii="Arial" w:eastAsia="Arial" w:hAnsi="Arial" w:cs="Arial"/>
          <w:color w:val="64615D"/>
          <w:sz w:val="16"/>
        </w:rPr>
        <w:t>Includes allocation of corporate operating expenses of $4.7 million and $8.7 million for the three and six months ended June 30, 2021, respectively, and $2.8 million and $6.2 million for the same periods in 2020, respectively.</w:t>
      </w:r>
    </w:p>
    <w:p w14:paraId="0E5ABD3C" w14:textId="77777777" w:rsidR="001614AC" w:rsidRDefault="004468F9">
      <w:pPr>
        <w:spacing w:before="200" w:line="288" w:lineRule="auto"/>
        <w:ind w:firstLine="450"/>
        <w:rPr>
          <w:rFonts w:ascii="Calibri" w:eastAsia="Calibri" w:hAnsi="Calibri" w:cs="Calibri"/>
          <w:b/>
          <w:i/>
          <w:color w:val="64615D"/>
          <w:sz w:val="22"/>
          <w:shd w:val="clear" w:color="auto" w:fill="FFFF00"/>
        </w:rPr>
      </w:pPr>
      <w:r>
        <w:rPr>
          <w:rFonts w:ascii="Arial" w:eastAsia="Arial" w:hAnsi="Arial" w:cs="Arial"/>
          <w:b/>
          <w:i/>
          <w:sz w:val="18"/>
        </w:rPr>
        <w:t>Adjusted Pretax Ope</w:t>
      </w:r>
      <w:r>
        <w:rPr>
          <w:rFonts w:ascii="Arial" w:eastAsia="Arial" w:hAnsi="Arial" w:cs="Arial"/>
          <w:b/>
          <w:i/>
          <w:sz w:val="18"/>
        </w:rPr>
        <w:t xml:space="preserve">rating Income (Loss). </w:t>
      </w:r>
      <w:r>
        <w:rPr>
          <w:rFonts w:ascii="Arial" w:eastAsia="Arial" w:hAnsi="Arial" w:cs="Arial"/>
          <w:sz w:val="18"/>
        </w:rPr>
        <w:t>Our homegenius segment’s adjusted pretax operating loss for the three and six months ended June 30, 2021 was $9.2 million and $19.7 million, respectively, compared to adjusted pretax operating loss of $3.9 million and $7.1 million for</w:t>
      </w:r>
      <w:r>
        <w:rPr>
          <w:rFonts w:ascii="Arial" w:eastAsia="Arial" w:hAnsi="Arial" w:cs="Arial"/>
          <w:sz w:val="18"/>
        </w:rPr>
        <w:t xml:space="preserve"> the same periods in 2020, respectively. The increase in our adjusted pretax operating loss for the three and six months ended June 30, 2021, as compared to the same periods in 2020, was primarily driven by: (i) an increase in variable and share-based ince</w:t>
      </w:r>
      <w:r>
        <w:rPr>
          <w:rFonts w:ascii="Arial" w:eastAsia="Arial" w:hAnsi="Arial" w:cs="Arial"/>
          <w:sz w:val="18"/>
        </w:rPr>
        <w:t>ntive compensation expense in 2021, including as part of allocated corporate operating expenses and (ii) continued strategic investments focused on our title and digital real estate businesses. Such investments contributed to an increase in total expenses,</w:t>
      </w:r>
      <w:r>
        <w:rPr>
          <w:rFonts w:ascii="Arial" w:eastAsia="Arial" w:hAnsi="Arial" w:cs="Arial"/>
          <w:sz w:val="18"/>
        </w:rPr>
        <w:t xml:space="preserve"> which was partially offset by increases in net premiums earned and services revenue attributable to our title and valuation services businesses. </w:t>
      </w:r>
    </w:p>
    <w:p w14:paraId="4A1A7014" w14:textId="77777777" w:rsidR="001614AC" w:rsidRDefault="001614AC">
      <w:pPr>
        <w:spacing w:before="200" w:line="288" w:lineRule="auto"/>
        <w:ind w:firstLine="450"/>
        <w:rPr>
          <w:rFonts w:ascii="Arial" w:eastAsia="Arial" w:hAnsi="Arial" w:cs="Arial"/>
          <w:b/>
          <w:color w:val="64615D"/>
          <w:sz w:val="16"/>
        </w:rPr>
        <w:sectPr w:rsidR="001614AC">
          <w:headerReference w:type="default" r:id="rId49"/>
          <w:type w:val="continuous"/>
          <w:pgSz w:w="12240" w:h="15840"/>
          <w:pgMar w:top="1260" w:right="1080" w:bottom="1080" w:left="1080" w:header="270" w:footer="270" w:gutter="0"/>
          <w:cols w:space="708"/>
        </w:sectPr>
      </w:pPr>
    </w:p>
    <w:p w14:paraId="734A7B77" w14:textId="77777777" w:rsidR="001614AC" w:rsidRDefault="004468F9">
      <w:pPr>
        <w:keepNext/>
        <w:spacing w:before="200" w:after="160" w:line="288" w:lineRule="auto"/>
        <w:ind w:left="360" w:hanging="360"/>
        <w:rPr>
          <w:rFonts w:ascii="Arial" w:eastAsia="Arial" w:hAnsi="Arial" w:cs="Arial"/>
          <w:b/>
          <w:color w:val="4D6B80"/>
          <w:sz w:val="30"/>
        </w:rPr>
      </w:pPr>
      <w:bookmarkStart w:id="35" w:name="Section36"/>
      <w:bookmarkEnd w:id="35"/>
      <w:r>
        <w:rPr>
          <w:rFonts w:ascii="Arial" w:eastAsia="Arial" w:hAnsi="Arial" w:cs="Arial"/>
          <w:b/>
          <w:color w:val="4D6B80"/>
          <w:sz w:val="30"/>
        </w:rPr>
        <w:t>Results of Operations—All Other</w:t>
      </w:r>
    </w:p>
    <w:p w14:paraId="0B6F7A05" w14:textId="77777777" w:rsidR="001614AC" w:rsidRDefault="004468F9">
      <w:pPr>
        <w:spacing w:before="180" w:after="140" w:line="288" w:lineRule="auto"/>
        <w:rPr>
          <w:rFonts w:ascii="Arial" w:eastAsia="Arial" w:hAnsi="Arial" w:cs="Arial"/>
          <w:b/>
          <w:color w:val="002B49"/>
          <w:sz w:val="26"/>
        </w:rPr>
      </w:pPr>
      <w:r>
        <w:rPr>
          <w:rFonts w:ascii="Arial" w:eastAsia="Arial" w:hAnsi="Arial" w:cs="Arial"/>
          <w:b/>
          <w:color w:val="002B49"/>
          <w:sz w:val="26"/>
        </w:rPr>
        <w:t xml:space="preserve">Three and Six Months Ended June 30, 2021 Compared to Three and Six Months Ended June 30, 2020 </w:t>
      </w:r>
    </w:p>
    <w:p w14:paraId="4EA8D9F9" w14:textId="77777777" w:rsidR="001614AC" w:rsidRDefault="004468F9">
      <w:pPr>
        <w:spacing w:before="180" w:after="100" w:line="288" w:lineRule="auto"/>
        <w:ind w:firstLine="450"/>
        <w:rPr>
          <w:rFonts w:ascii="Arial" w:eastAsia="Arial" w:hAnsi="Arial" w:cs="Arial"/>
          <w:b/>
          <w:color w:val="4D6B80"/>
          <w:sz w:val="18"/>
        </w:rPr>
      </w:pPr>
      <w:r>
        <w:rPr>
          <w:rFonts w:ascii="Arial" w:eastAsia="Arial" w:hAnsi="Arial" w:cs="Arial"/>
          <w:sz w:val="18"/>
        </w:rPr>
        <w:t>All Other activities include: (i) income (losses) from assets held by our holding company; (ii) related general corporate operating expenses not attributable or allocated to our reportable segments; (iii) for all periods prior to its sale in the first quar</w:t>
      </w:r>
      <w:r>
        <w:rPr>
          <w:rFonts w:ascii="Arial" w:eastAsia="Arial" w:hAnsi="Arial" w:cs="Arial"/>
          <w:sz w:val="18"/>
        </w:rPr>
        <w:t>ter of 2020, income and expenses related to Clayton; (iv) for all periods presented, the income and expenses related to our traditional appraisal services; and (v) certain other immaterial revenue and expense items. See Note 4 of Notes to Unaudited Condens</w:t>
      </w:r>
      <w:r>
        <w:rPr>
          <w:rFonts w:ascii="Arial" w:eastAsia="Arial" w:hAnsi="Arial" w:cs="Arial"/>
          <w:sz w:val="18"/>
        </w:rPr>
        <w:t>ed Consolidated Financial Statements for additional information.</w:t>
      </w:r>
    </w:p>
    <w:p w14:paraId="3EBEFC39" w14:textId="77777777" w:rsidR="001614AC" w:rsidRDefault="004468F9">
      <w:pPr>
        <w:keepNext/>
        <w:spacing w:before="100" w:after="100" w:line="288" w:lineRule="auto"/>
        <w:ind w:firstLine="450"/>
        <w:rPr>
          <w:rFonts w:ascii="Arial" w:eastAsia="Arial" w:hAnsi="Arial" w:cs="Arial"/>
          <w:b/>
          <w:color w:val="4D6B80"/>
          <w:sz w:val="18"/>
        </w:rPr>
      </w:pPr>
      <w:r>
        <w:rPr>
          <w:rFonts w:ascii="Arial" w:eastAsia="Arial" w:hAnsi="Arial" w:cs="Arial"/>
          <w:sz w:val="18"/>
        </w:rPr>
        <w:t xml:space="preserve">The following table summarizes our All Other results of operations for the three and six months ended June 30, 2021 and 2020. </w:t>
      </w:r>
    </w:p>
    <w:tbl>
      <w:tblPr>
        <w:tblW w:w="102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39"/>
        <w:gridCol w:w="108"/>
        <w:gridCol w:w="163"/>
        <w:gridCol w:w="760"/>
        <w:gridCol w:w="102"/>
        <w:gridCol w:w="107"/>
        <w:gridCol w:w="163"/>
        <w:gridCol w:w="760"/>
        <w:gridCol w:w="102"/>
        <w:gridCol w:w="107"/>
        <w:gridCol w:w="163"/>
        <w:gridCol w:w="1035"/>
        <w:gridCol w:w="102"/>
        <w:gridCol w:w="107"/>
        <w:gridCol w:w="163"/>
        <w:gridCol w:w="760"/>
        <w:gridCol w:w="102"/>
        <w:gridCol w:w="107"/>
        <w:gridCol w:w="163"/>
        <w:gridCol w:w="760"/>
        <w:gridCol w:w="102"/>
        <w:gridCol w:w="107"/>
        <w:gridCol w:w="163"/>
        <w:gridCol w:w="1035"/>
        <w:gridCol w:w="102"/>
      </w:tblGrid>
      <w:tr w:rsidR="001614AC" w14:paraId="68B32607" w14:textId="77777777">
        <w:trPr>
          <w:cantSplit/>
        </w:trPr>
        <w:tc>
          <w:tcPr>
            <w:tcW w:w="10080" w:type="dxa"/>
            <w:gridSpan w:val="25"/>
            <w:tcBorders>
              <w:top w:val="nil"/>
              <w:left w:val="nil"/>
              <w:bottom w:val="single" w:sz="12" w:space="0" w:color="99AAB6"/>
              <w:right w:val="nil"/>
            </w:tcBorders>
            <w:tcMar>
              <w:top w:w="0" w:type="dxa"/>
              <w:left w:w="53" w:type="dxa"/>
              <w:bottom w:w="0" w:type="dxa"/>
              <w:right w:w="53" w:type="dxa"/>
            </w:tcMar>
            <w:vAlign w:val="bottom"/>
          </w:tcPr>
          <w:p w14:paraId="3FDEFD95" w14:textId="77777777" w:rsidR="001614AC" w:rsidRDefault="004468F9">
            <w:pPr>
              <w:keepNext/>
              <w:spacing w:before="75" w:after="30" w:line="288" w:lineRule="auto"/>
            </w:pPr>
            <w:r>
              <w:rPr>
                <w:rFonts w:ascii="Arial" w:eastAsia="Arial" w:hAnsi="Arial" w:cs="Arial"/>
                <w:b/>
                <w:color w:val="000000"/>
                <w:sz w:val="20"/>
              </w:rPr>
              <w:t>Summary results of operations - All Other</w:t>
            </w:r>
          </w:p>
        </w:tc>
      </w:tr>
      <w:tr w:rsidR="001614AC" w14:paraId="40EB77C3" w14:textId="77777777">
        <w:trPr>
          <w:cantSplit/>
          <w:trHeight w:hRule="exact" w:val="135"/>
        </w:trPr>
        <w:tc>
          <w:tcPr>
            <w:tcW w:w="2880" w:type="dxa"/>
            <w:tcBorders>
              <w:top w:val="nil"/>
              <w:left w:val="nil"/>
              <w:bottom w:val="single" w:sz="8" w:space="0" w:color="FFFFFF"/>
              <w:right w:val="nil"/>
            </w:tcBorders>
            <w:tcMar>
              <w:top w:w="0" w:type="dxa"/>
              <w:left w:w="0" w:type="dxa"/>
              <w:bottom w:w="0" w:type="dxa"/>
              <w:right w:w="0" w:type="dxa"/>
            </w:tcMar>
            <w:vAlign w:val="bottom"/>
          </w:tcPr>
          <w:p w14:paraId="3BC6BFC6" w14:textId="77777777" w:rsidR="001614AC" w:rsidRDefault="001614AC">
            <w:pPr>
              <w:keepNext/>
            </w:pPr>
          </w:p>
        </w:tc>
        <w:tc>
          <w:tcPr>
            <w:tcW w:w="105" w:type="dxa"/>
            <w:tcBorders>
              <w:top w:val="single" w:sz="12" w:space="0" w:color="99AAB6"/>
              <w:left w:val="nil"/>
              <w:bottom w:val="nil"/>
              <w:right w:val="nil"/>
            </w:tcBorders>
            <w:tcMar>
              <w:top w:w="0" w:type="dxa"/>
              <w:left w:w="0" w:type="dxa"/>
              <w:bottom w:w="0" w:type="dxa"/>
              <w:right w:w="0" w:type="dxa"/>
            </w:tcMar>
            <w:vAlign w:val="bottom"/>
          </w:tcPr>
          <w:p w14:paraId="52B7D19D" w14:textId="77777777" w:rsidR="001614AC" w:rsidRDefault="001614AC">
            <w:pPr>
              <w:keepNext/>
            </w:pPr>
          </w:p>
        </w:tc>
        <w:tc>
          <w:tcPr>
            <w:tcW w:w="1005" w:type="dxa"/>
            <w:gridSpan w:val="3"/>
            <w:tcBorders>
              <w:top w:val="single" w:sz="12" w:space="0" w:color="99AAB6"/>
              <w:left w:val="nil"/>
              <w:bottom w:val="single" w:sz="8" w:space="0" w:color="FFFFFF"/>
              <w:right w:val="nil"/>
            </w:tcBorders>
            <w:tcMar>
              <w:top w:w="0" w:type="dxa"/>
              <w:left w:w="0" w:type="dxa"/>
              <w:bottom w:w="0" w:type="dxa"/>
              <w:right w:w="0" w:type="dxa"/>
            </w:tcMar>
            <w:vAlign w:val="bottom"/>
          </w:tcPr>
          <w:p w14:paraId="70F16733" w14:textId="77777777" w:rsidR="001614AC" w:rsidRDefault="001614AC">
            <w:pPr>
              <w:keepNext/>
            </w:pPr>
          </w:p>
        </w:tc>
        <w:tc>
          <w:tcPr>
            <w:tcW w:w="105" w:type="dxa"/>
            <w:tcBorders>
              <w:top w:val="single" w:sz="12" w:space="0" w:color="99AAB6"/>
              <w:left w:val="nil"/>
              <w:bottom w:val="single" w:sz="8" w:space="0" w:color="FFFFFF"/>
              <w:right w:val="nil"/>
            </w:tcBorders>
            <w:tcMar>
              <w:top w:w="0" w:type="dxa"/>
              <w:left w:w="0" w:type="dxa"/>
              <w:bottom w:w="0" w:type="dxa"/>
              <w:right w:w="0" w:type="dxa"/>
            </w:tcMar>
            <w:vAlign w:val="bottom"/>
          </w:tcPr>
          <w:p w14:paraId="7810F055" w14:textId="77777777" w:rsidR="001614AC" w:rsidRDefault="001614AC">
            <w:pPr>
              <w:keepNext/>
            </w:pPr>
          </w:p>
        </w:tc>
        <w:tc>
          <w:tcPr>
            <w:tcW w:w="1005" w:type="dxa"/>
            <w:gridSpan w:val="3"/>
            <w:tcBorders>
              <w:top w:val="single" w:sz="12" w:space="0" w:color="99AAB6"/>
              <w:left w:val="nil"/>
              <w:bottom w:val="single" w:sz="8" w:space="0" w:color="FFFFFF"/>
              <w:right w:val="nil"/>
            </w:tcBorders>
            <w:tcMar>
              <w:top w:w="0" w:type="dxa"/>
              <w:left w:w="0" w:type="dxa"/>
              <w:bottom w:w="0" w:type="dxa"/>
              <w:right w:w="0" w:type="dxa"/>
            </w:tcMar>
            <w:vAlign w:val="bottom"/>
          </w:tcPr>
          <w:p w14:paraId="3CE0E0CB" w14:textId="77777777" w:rsidR="001614AC" w:rsidRDefault="001614AC">
            <w:pPr>
              <w:keepNext/>
            </w:pPr>
          </w:p>
        </w:tc>
        <w:tc>
          <w:tcPr>
            <w:tcW w:w="105" w:type="dxa"/>
            <w:tcBorders>
              <w:top w:val="single" w:sz="12" w:space="0" w:color="99AAB6"/>
              <w:left w:val="nil"/>
              <w:bottom w:val="single" w:sz="8" w:space="0" w:color="FFFFFF"/>
              <w:right w:val="nil"/>
            </w:tcBorders>
            <w:tcMar>
              <w:top w:w="0" w:type="dxa"/>
              <w:left w:w="0" w:type="dxa"/>
              <w:bottom w:w="0" w:type="dxa"/>
              <w:right w:w="0" w:type="dxa"/>
            </w:tcMar>
            <w:vAlign w:val="bottom"/>
          </w:tcPr>
          <w:p w14:paraId="1A1CA596" w14:textId="77777777" w:rsidR="001614AC" w:rsidRDefault="001614AC">
            <w:pPr>
              <w:keepNext/>
            </w:pPr>
          </w:p>
        </w:tc>
        <w:tc>
          <w:tcPr>
            <w:tcW w:w="1275" w:type="dxa"/>
            <w:gridSpan w:val="3"/>
            <w:tcBorders>
              <w:top w:val="single" w:sz="12" w:space="0" w:color="99AAB6"/>
              <w:left w:val="nil"/>
              <w:bottom w:val="single" w:sz="8" w:space="0" w:color="F4F4F4"/>
              <w:right w:val="nil"/>
            </w:tcBorders>
            <w:tcMar>
              <w:top w:w="0" w:type="dxa"/>
              <w:left w:w="0" w:type="dxa"/>
              <w:bottom w:w="0" w:type="dxa"/>
              <w:right w:w="0" w:type="dxa"/>
            </w:tcMar>
            <w:vAlign w:val="bottom"/>
          </w:tcPr>
          <w:p w14:paraId="58093D2A" w14:textId="77777777" w:rsidR="001614AC" w:rsidRDefault="001614AC">
            <w:pPr>
              <w:keepNext/>
            </w:pPr>
          </w:p>
        </w:tc>
        <w:tc>
          <w:tcPr>
            <w:tcW w:w="105" w:type="dxa"/>
            <w:tcBorders>
              <w:top w:val="single" w:sz="12" w:space="0" w:color="99AAB6"/>
              <w:left w:val="nil"/>
              <w:bottom w:val="single" w:sz="8" w:space="0" w:color="FFFFFF"/>
              <w:right w:val="nil"/>
            </w:tcBorders>
            <w:tcMar>
              <w:top w:w="0" w:type="dxa"/>
              <w:left w:w="0" w:type="dxa"/>
              <w:bottom w:w="0" w:type="dxa"/>
              <w:right w:w="0" w:type="dxa"/>
            </w:tcMar>
            <w:vAlign w:val="bottom"/>
          </w:tcPr>
          <w:p w14:paraId="757C4DA5" w14:textId="77777777" w:rsidR="001614AC" w:rsidRDefault="001614AC">
            <w:pPr>
              <w:keepNext/>
            </w:pPr>
          </w:p>
        </w:tc>
        <w:tc>
          <w:tcPr>
            <w:tcW w:w="1005" w:type="dxa"/>
            <w:gridSpan w:val="3"/>
            <w:tcBorders>
              <w:top w:val="single" w:sz="12" w:space="0" w:color="99AAB6"/>
              <w:left w:val="nil"/>
              <w:bottom w:val="single" w:sz="8" w:space="0" w:color="FFFFFF"/>
              <w:right w:val="nil"/>
            </w:tcBorders>
            <w:tcMar>
              <w:top w:w="0" w:type="dxa"/>
              <w:left w:w="0" w:type="dxa"/>
              <w:bottom w:w="0" w:type="dxa"/>
              <w:right w:w="0" w:type="dxa"/>
            </w:tcMar>
            <w:vAlign w:val="bottom"/>
          </w:tcPr>
          <w:p w14:paraId="3CBBA788" w14:textId="77777777" w:rsidR="001614AC" w:rsidRDefault="001614AC">
            <w:pPr>
              <w:keepNext/>
            </w:pPr>
          </w:p>
        </w:tc>
        <w:tc>
          <w:tcPr>
            <w:tcW w:w="105" w:type="dxa"/>
            <w:tcBorders>
              <w:top w:val="single" w:sz="12" w:space="0" w:color="99AAB6"/>
              <w:left w:val="nil"/>
              <w:bottom w:val="single" w:sz="8" w:space="0" w:color="FFFFFF"/>
              <w:right w:val="nil"/>
            </w:tcBorders>
            <w:tcMar>
              <w:top w:w="0" w:type="dxa"/>
              <w:left w:w="0" w:type="dxa"/>
              <w:bottom w:w="0" w:type="dxa"/>
              <w:right w:w="0" w:type="dxa"/>
            </w:tcMar>
            <w:vAlign w:val="bottom"/>
          </w:tcPr>
          <w:p w14:paraId="0616D82A" w14:textId="77777777" w:rsidR="001614AC" w:rsidRDefault="001614AC">
            <w:pPr>
              <w:keepNext/>
            </w:pPr>
          </w:p>
        </w:tc>
        <w:tc>
          <w:tcPr>
            <w:tcW w:w="1005" w:type="dxa"/>
            <w:gridSpan w:val="3"/>
            <w:tcBorders>
              <w:top w:val="single" w:sz="12" w:space="0" w:color="99AAB6"/>
              <w:left w:val="nil"/>
              <w:bottom w:val="single" w:sz="8" w:space="0" w:color="FFFFFF"/>
              <w:right w:val="nil"/>
            </w:tcBorders>
            <w:tcMar>
              <w:top w:w="0" w:type="dxa"/>
              <w:left w:w="0" w:type="dxa"/>
              <w:bottom w:w="0" w:type="dxa"/>
              <w:right w:w="0" w:type="dxa"/>
            </w:tcMar>
            <w:vAlign w:val="bottom"/>
          </w:tcPr>
          <w:p w14:paraId="356F68DF" w14:textId="77777777" w:rsidR="001614AC" w:rsidRDefault="001614AC">
            <w:pPr>
              <w:keepNext/>
            </w:pPr>
          </w:p>
        </w:tc>
        <w:tc>
          <w:tcPr>
            <w:tcW w:w="105" w:type="dxa"/>
            <w:tcBorders>
              <w:top w:val="single" w:sz="12" w:space="0" w:color="99AAB6"/>
              <w:left w:val="nil"/>
              <w:bottom w:val="single" w:sz="8" w:space="0" w:color="FFFFFF"/>
              <w:right w:val="nil"/>
            </w:tcBorders>
            <w:tcMar>
              <w:top w:w="0" w:type="dxa"/>
              <w:left w:w="0" w:type="dxa"/>
              <w:bottom w:w="0" w:type="dxa"/>
              <w:right w:w="0" w:type="dxa"/>
            </w:tcMar>
            <w:vAlign w:val="bottom"/>
          </w:tcPr>
          <w:p w14:paraId="0E1713E6" w14:textId="77777777" w:rsidR="001614AC" w:rsidRDefault="001614AC">
            <w:pPr>
              <w:keepNext/>
            </w:pPr>
          </w:p>
        </w:tc>
        <w:tc>
          <w:tcPr>
            <w:tcW w:w="1275" w:type="dxa"/>
            <w:gridSpan w:val="3"/>
            <w:tcBorders>
              <w:top w:val="single" w:sz="12" w:space="0" w:color="99AAB6"/>
              <w:left w:val="nil"/>
              <w:bottom w:val="single" w:sz="8" w:space="0" w:color="F4F4F4"/>
              <w:right w:val="nil"/>
            </w:tcBorders>
            <w:tcMar>
              <w:top w:w="0" w:type="dxa"/>
              <w:left w:w="0" w:type="dxa"/>
              <w:bottom w:w="0" w:type="dxa"/>
              <w:right w:w="0" w:type="dxa"/>
            </w:tcMar>
            <w:vAlign w:val="bottom"/>
          </w:tcPr>
          <w:p w14:paraId="26630CB6" w14:textId="77777777" w:rsidR="001614AC" w:rsidRDefault="001614AC">
            <w:pPr>
              <w:keepNext/>
            </w:pPr>
          </w:p>
        </w:tc>
      </w:tr>
      <w:tr w:rsidR="001614AC" w14:paraId="7956E523" w14:textId="77777777">
        <w:trPr>
          <w:cantSplit/>
        </w:trPr>
        <w:tc>
          <w:tcPr>
            <w:tcW w:w="2880" w:type="dxa"/>
            <w:tcBorders>
              <w:top w:val="single" w:sz="8" w:space="0" w:color="FFFFFF"/>
              <w:left w:val="nil"/>
              <w:bottom w:val="single" w:sz="8" w:space="0" w:color="FFFFFF"/>
              <w:right w:val="nil"/>
            </w:tcBorders>
            <w:tcMar>
              <w:top w:w="0" w:type="dxa"/>
              <w:left w:w="0" w:type="dxa"/>
              <w:bottom w:w="0" w:type="dxa"/>
              <w:right w:w="0" w:type="dxa"/>
            </w:tcMar>
            <w:vAlign w:val="bottom"/>
          </w:tcPr>
          <w:p w14:paraId="245E3EEC" w14:textId="77777777" w:rsidR="001614AC" w:rsidRDefault="001614AC">
            <w:pPr>
              <w:keepNext/>
            </w:pPr>
          </w:p>
        </w:tc>
        <w:tc>
          <w:tcPr>
            <w:tcW w:w="105" w:type="dxa"/>
            <w:tcBorders>
              <w:top w:val="nil"/>
              <w:left w:val="nil"/>
              <w:bottom w:val="nil"/>
              <w:right w:val="nil"/>
            </w:tcBorders>
            <w:tcMar>
              <w:top w:w="0" w:type="dxa"/>
              <w:left w:w="0" w:type="dxa"/>
              <w:bottom w:w="0" w:type="dxa"/>
              <w:right w:w="0" w:type="dxa"/>
            </w:tcMar>
            <w:vAlign w:val="bottom"/>
          </w:tcPr>
          <w:p w14:paraId="4EA0975C" w14:textId="77777777" w:rsidR="001614AC" w:rsidRDefault="001614AC">
            <w:pPr>
              <w:keepNext/>
            </w:pPr>
          </w:p>
        </w:tc>
        <w:tc>
          <w:tcPr>
            <w:tcW w:w="2115" w:type="dxa"/>
            <w:gridSpan w:val="7"/>
            <w:tcBorders>
              <w:top w:val="nil"/>
              <w:left w:val="nil"/>
              <w:bottom w:val="nil"/>
              <w:right w:val="nil"/>
            </w:tcBorders>
            <w:tcMar>
              <w:top w:w="0" w:type="dxa"/>
              <w:left w:w="53" w:type="dxa"/>
              <w:bottom w:w="0" w:type="dxa"/>
              <w:right w:w="53" w:type="dxa"/>
            </w:tcMar>
            <w:vAlign w:val="bottom"/>
          </w:tcPr>
          <w:p w14:paraId="01DB8409" w14:textId="77777777" w:rsidR="001614AC" w:rsidRDefault="004468F9">
            <w:pPr>
              <w:keepNext/>
              <w:spacing w:before="55" w:line="288" w:lineRule="auto"/>
              <w:jc w:val="center"/>
            </w:pPr>
            <w:r>
              <w:rPr>
                <w:rFonts w:ascii="Arial" w:eastAsia="Arial" w:hAnsi="Arial" w:cs="Arial"/>
                <w:b/>
                <w:color w:val="00BAB3"/>
                <w:sz w:val="18"/>
              </w:rPr>
              <w:t>Three Months Ended</w:t>
            </w:r>
          </w:p>
          <w:p w14:paraId="5D64F80D" w14:textId="77777777" w:rsidR="001614AC" w:rsidRDefault="004468F9">
            <w:pPr>
              <w:spacing w:after="30" w:line="288" w:lineRule="auto"/>
              <w:jc w:val="center"/>
            </w:pPr>
            <w:r>
              <w:rPr>
                <w:rFonts w:ascii="Arial" w:eastAsia="Arial" w:hAnsi="Arial" w:cs="Arial"/>
                <w:b/>
                <w:color w:val="00BAB3"/>
                <w:sz w:val="18"/>
              </w:rPr>
              <w:t>June 30,</w:t>
            </w:r>
          </w:p>
        </w:tc>
        <w:tc>
          <w:tcPr>
            <w:tcW w:w="105" w:type="dxa"/>
            <w:tcBorders>
              <w:top w:val="single" w:sz="8" w:space="0" w:color="FFFFFF"/>
              <w:left w:val="nil"/>
              <w:bottom w:val="single" w:sz="8" w:space="0" w:color="FFFFFF"/>
              <w:right w:val="nil"/>
            </w:tcBorders>
            <w:tcMar>
              <w:top w:w="0" w:type="dxa"/>
              <w:left w:w="0" w:type="dxa"/>
              <w:bottom w:w="0" w:type="dxa"/>
              <w:right w:w="0" w:type="dxa"/>
            </w:tcMar>
            <w:vAlign w:val="bottom"/>
          </w:tcPr>
          <w:p w14:paraId="058D0011" w14:textId="77777777" w:rsidR="001614AC" w:rsidRDefault="001614AC">
            <w:pPr>
              <w:keepNext/>
            </w:pPr>
          </w:p>
        </w:tc>
        <w:tc>
          <w:tcPr>
            <w:tcW w:w="1275" w:type="dxa"/>
            <w:gridSpan w:val="3"/>
            <w:tcBorders>
              <w:top w:val="single" w:sz="8" w:space="0" w:color="F4F4F4"/>
              <w:left w:val="nil"/>
              <w:bottom w:val="single" w:sz="8" w:space="0" w:color="FFFFFF"/>
              <w:right w:val="nil"/>
            </w:tcBorders>
            <w:shd w:val="clear" w:color="auto" w:fill="F4F4F4"/>
            <w:tcMar>
              <w:top w:w="0" w:type="dxa"/>
              <w:left w:w="53" w:type="dxa"/>
              <w:bottom w:w="0" w:type="dxa"/>
              <w:right w:w="53" w:type="dxa"/>
            </w:tcMar>
          </w:tcPr>
          <w:p w14:paraId="0D484187" w14:textId="77777777" w:rsidR="001614AC" w:rsidRDefault="004468F9">
            <w:pPr>
              <w:keepNext/>
              <w:spacing w:before="55" w:line="288" w:lineRule="auto"/>
              <w:jc w:val="center"/>
              <w:rPr>
                <w:rFonts w:ascii="Arial" w:eastAsia="Arial" w:hAnsi="Arial" w:cs="Arial"/>
                <w:b/>
                <w:sz w:val="18"/>
              </w:rPr>
            </w:pPr>
            <w:r>
              <w:rPr>
                <w:rFonts w:ascii="Arial" w:eastAsia="Arial" w:hAnsi="Arial" w:cs="Arial"/>
                <w:b/>
                <w:sz w:val="18"/>
              </w:rPr>
              <w:t>Change</w:t>
            </w:r>
          </w:p>
          <w:p w14:paraId="2806981C" w14:textId="77777777" w:rsidR="001614AC" w:rsidRDefault="004468F9">
            <w:pPr>
              <w:spacing w:after="30" w:line="288" w:lineRule="auto"/>
              <w:jc w:val="center"/>
              <w:rPr>
                <w:rFonts w:ascii="Arial" w:eastAsia="Arial" w:hAnsi="Arial" w:cs="Arial"/>
                <w:b/>
                <w:sz w:val="16"/>
              </w:rPr>
            </w:pPr>
            <w:r>
              <w:rPr>
                <w:rFonts w:ascii="Arial" w:eastAsia="Arial" w:hAnsi="Arial" w:cs="Arial"/>
                <w:b/>
                <w:sz w:val="16"/>
              </w:rPr>
              <w:t>Favorable (Unfavorable)</w:t>
            </w:r>
          </w:p>
        </w:tc>
        <w:tc>
          <w:tcPr>
            <w:tcW w:w="105" w:type="dxa"/>
            <w:tcBorders>
              <w:top w:val="single" w:sz="8" w:space="0" w:color="FFFFFF"/>
              <w:left w:val="nil"/>
              <w:bottom w:val="single" w:sz="8" w:space="0" w:color="FFFFFF"/>
              <w:right w:val="nil"/>
            </w:tcBorders>
            <w:tcMar>
              <w:top w:w="0" w:type="dxa"/>
              <w:left w:w="0" w:type="dxa"/>
              <w:bottom w:w="0" w:type="dxa"/>
              <w:right w:w="0" w:type="dxa"/>
            </w:tcMar>
            <w:vAlign w:val="bottom"/>
          </w:tcPr>
          <w:p w14:paraId="20062944" w14:textId="77777777" w:rsidR="001614AC" w:rsidRDefault="001614AC">
            <w:pPr>
              <w:keepNext/>
            </w:pPr>
          </w:p>
        </w:tc>
        <w:tc>
          <w:tcPr>
            <w:tcW w:w="2115" w:type="dxa"/>
            <w:gridSpan w:val="7"/>
            <w:tcBorders>
              <w:top w:val="nil"/>
              <w:left w:val="nil"/>
              <w:bottom w:val="nil"/>
              <w:right w:val="nil"/>
            </w:tcBorders>
            <w:tcMar>
              <w:top w:w="0" w:type="dxa"/>
              <w:left w:w="53" w:type="dxa"/>
              <w:bottom w:w="0" w:type="dxa"/>
              <w:right w:w="53" w:type="dxa"/>
            </w:tcMar>
            <w:vAlign w:val="bottom"/>
          </w:tcPr>
          <w:p w14:paraId="2769C6EF" w14:textId="77777777" w:rsidR="001614AC" w:rsidRDefault="004468F9">
            <w:pPr>
              <w:keepNext/>
              <w:spacing w:before="55" w:line="288" w:lineRule="auto"/>
              <w:jc w:val="center"/>
            </w:pPr>
            <w:r>
              <w:rPr>
                <w:rFonts w:ascii="Arial" w:eastAsia="Arial" w:hAnsi="Arial" w:cs="Arial"/>
                <w:b/>
                <w:color w:val="00BAB3"/>
                <w:sz w:val="18"/>
              </w:rPr>
              <w:t>Six Months Ended</w:t>
            </w:r>
          </w:p>
          <w:p w14:paraId="20017F44" w14:textId="77777777" w:rsidR="001614AC" w:rsidRDefault="004468F9">
            <w:pPr>
              <w:spacing w:after="30" w:line="288" w:lineRule="auto"/>
              <w:jc w:val="center"/>
            </w:pPr>
            <w:r>
              <w:rPr>
                <w:rFonts w:ascii="Arial" w:eastAsia="Arial" w:hAnsi="Arial" w:cs="Arial"/>
                <w:b/>
                <w:color w:val="00BAB3"/>
                <w:sz w:val="18"/>
              </w:rPr>
              <w:t>June 30,</w:t>
            </w:r>
          </w:p>
        </w:tc>
        <w:tc>
          <w:tcPr>
            <w:tcW w:w="105" w:type="dxa"/>
            <w:tcBorders>
              <w:top w:val="single" w:sz="8" w:space="0" w:color="FFFFFF"/>
              <w:left w:val="nil"/>
              <w:bottom w:val="single" w:sz="8" w:space="0" w:color="FFFFFF"/>
              <w:right w:val="nil"/>
            </w:tcBorders>
            <w:tcMar>
              <w:top w:w="0" w:type="dxa"/>
              <w:left w:w="0" w:type="dxa"/>
              <w:bottom w:w="0" w:type="dxa"/>
              <w:right w:w="0" w:type="dxa"/>
            </w:tcMar>
            <w:vAlign w:val="bottom"/>
          </w:tcPr>
          <w:p w14:paraId="747C0F45" w14:textId="77777777" w:rsidR="001614AC" w:rsidRDefault="001614AC">
            <w:pPr>
              <w:keepNext/>
            </w:pPr>
          </w:p>
        </w:tc>
        <w:tc>
          <w:tcPr>
            <w:tcW w:w="1275" w:type="dxa"/>
            <w:gridSpan w:val="3"/>
            <w:tcBorders>
              <w:top w:val="single" w:sz="8" w:space="0" w:color="F4F4F4"/>
              <w:left w:val="nil"/>
              <w:bottom w:val="single" w:sz="8" w:space="0" w:color="FFFFFF"/>
              <w:right w:val="nil"/>
            </w:tcBorders>
            <w:shd w:val="clear" w:color="auto" w:fill="F4F4F4"/>
            <w:tcMar>
              <w:top w:w="0" w:type="dxa"/>
              <w:left w:w="53" w:type="dxa"/>
              <w:bottom w:w="0" w:type="dxa"/>
              <w:right w:w="53" w:type="dxa"/>
            </w:tcMar>
          </w:tcPr>
          <w:p w14:paraId="5662B36A" w14:textId="77777777" w:rsidR="001614AC" w:rsidRDefault="004468F9">
            <w:pPr>
              <w:keepNext/>
              <w:spacing w:before="55" w:line="288" w:lineRule="auto"/>
              <w:jc w:val="center"/>
              <w:rPr>
                <w:rFonts w:ascii="Arial" w:eastAsia="Arial" w:hAnsi="Arial" w:cs="Arial"/>
                <w:b/>
                <w:sz w:val="18"/>
              </w:rPr>
            </w:pPr>
            <w:r>
              <w:rPr>
                <w:rFonts w:ascii="Arial" w:eastAsia="Arial" w:hAnsi="Arial" w:cs="Arial"/>
                <w:b/>
                <w:sz w:val="18"/>
              </w:rPr>
              <w:t>Change</w:t>
            </w:r>
          </w:p>
          <w:p w14:paraId="2389D256" w14:textId="77777777" w:rsidR="001614AC" w:rsidRDefault="004468F9">
            <w:pPr>
              <w:spacing w:after="30" w:line="288" w:lineRule="auto"/>
              <w:jc w:val="center"/>
              <w:rPr>
                <w:rFonts w:ascii="Arial" w:eastAsia="Arial" w:hAnsi="Arial" w:cs="Arial"/>
                <w:b/>
                <w:sz w:val="16"/>
              </w:rPr>
            </w:pPr>
            <w:r>
              <w:rPr>
                <w:rFonts w:ascii="Arial" w:eastAsia="Arial" w:hAnsi="Arial" w:cs="Arial"/>
                <w:b/>
                <w:sz w:val="16"/>
              </w:rPr>
              <w:t>Favorable (Unfavorable)</w:t>
            </w:r>
          </w:p>
        </w:tc>
      </w:tr>
      <w:tr w:rsidR="001614AC" w14:paraId="6A2D4E86" w14:textId="77777777">
        <w:trPr>
          <w:cantSplit/>
        </w:trPr>
        <w:tc>
          <w:tcPr>
            <w:tcW w:w="2880" w:type="dxa"/>
            <w:tcBorders>
              <w:top w:val="single" w:sz="8" w:space="0" w:color="FFFFFF"/>
              <w:left w:val="nil"/>
              <w:bottom w:val="single" w:sz="8" w:space="0" w:color="C7C9C7"/>
              <w:right w:val="nil"/>
            </w:tcBorders>
            <w:tcMar>
              <w:top w:w="0" w:type="dxa"/>
              <w:left w:w="53" w:type="dxa"/>
              <w:bottom w:w="0" w:type="dxa"/>
              <w:right w:w="53" w:type="dxa"/>
            </w:tcMar>
            <w:vAlign w:val="bottom"/>
          </w:tcPr>
          <w:p w14:paraId="15A15CE3" w14:textId="77777777" w:rsidR="001614AC" w:rsidRDefault="004468F9">
            <w:pPr>
              <w:keepNext/>
              <w:spacing w:before="55" w:after="30" w:line="288" w:lineRule="auto"/>
            </w:pPr>
            <w:r>
              <w:rPr>
                <w:rFonts w:ascii="Arial" w:eastAsia="Arial" w:hAnsi="Arial" w:cs="Arial"/>
                <w:color w:val="8B8886"/>
                <w:sz w:val="16"/>
              </w:rPr>
              <w:t>(In millions)</w:t>
            </w:r>
          </w:p>
        </w:tc>
        <w:tc>
          <w:tcPr>
            <w:tcW w:w="105" w:type="dxa"/>
            <w:tcBorders>
              <w:top w:val="nil"/>
              <w:left w:val="nil"/>
              <w:bottom w:val="single" w:sz="8" w:space="0" w:color="C7C9C7"/>
              <w:right w:val="nil"/>
            </w:tcBorders>
            <w:tcMar>
              <w:top w:w="0" w:type="dxa"/>
              <w:left w:w="0" w:type="dxa"/>
              <w:bottom w:w="0" w:type="dxa"/>
              <w:right w:w="0" w:type="dxa"/>
            </w:tcMar>
            <w:vAlign w:val="bottom"/>
          </w:tcPr>
          <w:p w14:paraId="6A753CF7" w14:textId="77777777" w:rsidR="001614AC" w:rsidRDefault="001614AC">
            <w:pPr>
              <w:keepNext/>
            </w:pPr>
          </w:p>
        </w:tc>
        <w:tc>
          <w:tcPr>
            <w:tcW w:w="1005" w:type="dxa"/>
            <w:gridSpan w:val="3"/>
            <w:tcBorders>
              <w:top w:val="single" w:sz="8" w:space="0" w:color="FFFFFF"/>
              <w:left w:val="nil"/>
              <w:bottom w:val="single" w:sz="8" w:space="0" w:color="C7C9C7"/>
              <w:right w:val="nil"/>
            </w:tcBorders>
            <w:shd w:val="clear" w:color="auto" w:fill="E6F8F8"/>
            <w:tcMar>
              <w:top w:w="0" w:type="dxa"/>
              <w:left w:w="53" w:type="dxa"/>
              <w:bottom w:w="0" w:type="dxa"/>
              <w:right w:w="53" w:type="dxa"/>
            </w:tcMar>
            <w:vAlign w:val="bottom"/>
          </w:tcPr>
          <w:p w14:paraId="2EB0BB07" w14:textId="77777777" w:rsidR="001614AC" w:rsidRDefault="004468F9">
            <w:pPr>
              <w:keepNext/>
              <w:spacing w:before="55" w:after="30" w:line="288" w:lineRule="auto"/>
              <w:jc w:val="center"/>
            </w:pPr>
            <w:r>
              <w:rPr>
                <w:rFonts w:ascii="Arial" w:eastAsia="Arial" w:hAnsi="Arial" w:cs="Arial"/>
                <w:b/>
                <w:color w:val="00BAB3"/>
                <w:sz w:val="18"/>
              </w:rPr>
              <w:t>2021</w:t>
            </w:r>
          </w:p>
        </w:tc>
        <w:tc>
          <w:tcPr>
            <w:tcW w:w="105" w:type="dxa"/>
            <w:tcBorders>
              <w:top w:val="single" w:sz="8" w:space="0" w:color="FFFFFF"/>
              <w:left w:val="nil"/>
              <w:bottom w:val="single" w:sz="8" w:space="0" w:color="C7C9C7"/>
              <w:right w:val="nil"/>
            </w:tcBorders>
            <w:tcMar>
              <w:top w:w="0" w:type="dxa"/>
              <w:left w:w="0" w:type="dxa"/>
              <w:bottom w:w="0" w:type="dxa"/>
              <w:right w:w="0" w:type="dxa"/>
            </w:tcMar>
            <w:vAlign w:val="bottom"/>
          </w:tcPr>
          <w:p w14:paraId="4D03D994" w14:textId="77777777" w:rsidR="001614AC" w:rsidRDefault="001614AC">
            <w:pPr>
              <w:keepNext/>
            </w:pPr>
          </w:p>
        </w:tc>
        <w:tc>
          <w:tcPr>
            <w:tcW w:w="1005" w:type="dxa"/>
            <w:gridSpan w:val="3"/>
            <w:tcBorders>
              <w:top w:val="single" w:sz="8" w:space="0" w:color="FFFFFF"/>
              <w:left w:val="nil"/>
              <w:bottom w:val="single" w:sz="8" w:space="0" w:color="C7C9C7"/>
              <w:right w:val="nil"/>
            </w:tcBorders>
            <w:shd w:val="clear" w:color="auto" w:fill="F4F4F4"/>
            <w:tcMar>
              <w:top w:w="0" w:type="dxa"/>
              <w:left w:w="53" w:type="dxa"/>
              <w:bottom w:w="0" w:type="dxa"/>
              <w:right w:w="53" w:type="dxa"/>
            </w:tcMar>
            <w:vAlign w:val="bottom"/>
          </w:tcPr>
          <w:p w14:paraId="27BEDB08" w14:textId="77777777" w:rsidR="001614AC" w:rsidRDefault="004468F9">
            <w:pPr>
              <w:keepNext/>
              <w:spacing w:before="55" w:after="30" w:line="288" w:lineRule="auto"/>
              <w:jc w:val="center"/>
            </w:pPr>
            <w:r>
              <w:rPr>
                <w:rFonts w:ascii="Arial" w:eastAsia="Arial" w:hAnsi="Arial" w:cs="Arial"/>
                <w:b/>
                <w:color w:val="00BAB3"/>
                <w:sz w:val="18"/>
              </w:rPr>
              <w:t>2020</w:t>
            </w:r>
          </w:p>
        </w:tc>
        <w:tc>
          <w:tcPr>
            <w:tcW w:w="105" w:type="dxa"/>
            <w:tcBorders>
              <w:top w:val="single" w:sz="8" w:space="0" w:color="FFFFFF"/>
              <w:left w:val="nil"/>
              <w:bottom w:val="single" w:sz="8" w:space="0" w:color="C7C9C7"/>
              <w:right w:val="nil"/>
            </w:tcBorders>
            <w:tcMar>
              <w:top w:w="0" w:type="dxa"/>
              <w:left w:w="0" w:type="dxa"/>
              <w:bottom w:w="0" w:type="dxa"/>
              <w:right w:w="0" w:type="dxa"/>
            </w:tcMar>
            <w:vAlign w:val="bottom"/>
          </w:tcPr>
          <w:p w14:paraId="5FE59AB2" w14:textId="77777777" w:rsidR="001614AC" w:rsidRDefault="001614AC">
            <w:pPr>
              <w:keepNext/>
            </w:pPr>
          </w:p>
        </w:tc>
        <w:tc>
          <w:tcPr>
            <w:tcW w:w="1275" w:type="dxa"/>
            <w:gridSpan w:val="3"/>
            <w:tcBorders>
              <w:top w:val="single" w:sz="8" w:space="0" w:color="FFFFFF"/>
              <w:left w:val="nil"/>
              <w:bottom w:val="single" w:sz="8" w:space="0" w:color="C7C9C7"/>
              <w:right w:val="nil"/>
            </w:tcBorders>
            <w:tcMar>
              <w:top w:w="0" w:type="dxa"/>
              <w:left w:w="53" w:type="dxa"/>
              <w:bottom w:w="0" w:type="dxa"/>
              <w:right w:w="53" w:type="dxa"/>
            </w:tcMar>
            <w:vAlign w:val="bottom"/>
          </w:tcPr>
          <w:p w14:paraId="066C81DF" w14:textId="77777777" w:rsidR="001614AC" w:rsidRDefault="004468F9">
            <w:pPr>
              <w:keepNext/>
              <w:spacing w:before="55" w:after="30" w:line="288" w:lineRule="auto"/>
              <w:jc w:val="center"/>
            </w:pPr>
            <w:r>
              <w:rPr>
                <w:rFonts w:ascii="Arial" w:eastAsia="Arial" w:hAnsi="Arial" w:cs="Arial"/>
                <w:b/>
                <w:color w:val="00BAB3"/>
                <w:sz w:val="18"/>
              </w:rPr>
              <w:t>2021 vs. 2020</w:t>
            </w:r>
          </w:p>
        </w:tc>
        <w:tc>
          <w:tcPr>
            <w:tcW w:w="105" w:type="dxa"/>
            <w:tcBorders>
              <w:top w:val="single" w:sz="8" w:space="0" w:color="FFFFFF"/>
              <w:left w:val="nil"/>
              <w:bottom w:val="single" w:sz="8" w:space="0" w:color="C7C9C7"/>
              <w:right w:val="nil"/>
            </w:tcBorders>
            <w:tcMar>
              <w:top w:w="0" w:type="dxa"/>
              <w:left w:w="0" w:type="dxa"/>
              <w:bottom w:w="0" w:type="dxa"/>
              <w:right w:w="0" w:type="dxa"/>
            </w:tcMar>
            <w:vAlign w:val="bottom"/>
          </w:tcPr>
          <w:p w14:paraId="0BBF0E5F" w14:textId="77777777" w:rsidR="001614AC" w:rsidRDefault="001614AC">
            <w:pPr>
              <w:keepNext/>
            </w:pPr>
          </w:p>
        </w:tc>
        <w:tc>
          <w:tcPr>
            <w:tcW w:w="1005" w:type="dxa"/>
            <w:gridSpan w:val="3"/>
            <w:tcBorders>
              <w:top w:val="single" w:sz="8" w:space="0" w:color="FFFFFF"/>
              <w:left w:val="nil"/>
              <w:bottom w:val="single" w:sz="8" w:space="0" w:color="C7C9C7"/>
              <w:right w:val="nil"/>
            </w:tcBorders>
            <w:shd w:val="clear" w:color="auto" w:fill="E6F8F8"/>
            <w:tcMar>
              <w:top w:w="0" w:type="dxa"/>
              <w:left w:w="53" w:type="dxa"/>
              <w:bottom w:w="0" w:type="dxa"/>
              <w:right w:w="53" w:type="dxa"/>
            </w:tcMar>
            <w:vAlign w:val="bottom"/>
          </w:tcPr>
          <w:p w14:paraId="3B971B7E" w14:textId="77777777" w:rsidR="001614AC" w:rsidRDefault="004468F9">
            <w:pPr>
              <w:keepNext/>
              <w:spacing w:before="55" w:after="30" w:line="288" w:lineRule="auto"/>
              <w:jc w:val="center"/>
            </w:pPr>
            <w:r>
              <w:rPr>
                <w:rFonts w:ascii="Arial" w:eastAsia="Arial" w:hAnsi="Arial" w:cs="Arial"/>
                <w:b/>
                <w:color w:val="00BAB3"/>
                <w:sz w:val="18"/>
              </w:rPr>
              <w:t>2021</w:t>
            </w:r>
          </w:p>
        </w:tc>
        <w:tc>
          <w:tcPr>
            <w:tcW w:w="105" w:type="dxa"/>
            <w:tcBorders>
              <w:top w:val="single" w:sz="8" w:space="0" w:color="FFFFFF"/>
              <w:left w:val="nil"/>
              <w:bottom w:val="single" w:sz="8" w:space="0" w:color="C7C9C7"/>
              <w:right w:val="nil"/>
            </w:tcBorders>
            <w:tcMar>
              <w:top w:w="0" w:type="dxa"/>
              <w:left w:w="0" w:type="dxa"/>
              <w:bottom w:w="0" w:type="dxa"/>
              <w:right w:w="0" w:type="dxa"/>
            </w:tcMar>
            <w:vAlign w:val="bottom"/>
          </w:tcPr>
          <w:p w14:paraId="2F068778" w14:textId="77777777" w:rsidR="001614AC" w:rsidRDefault="001614AC">
            <w:pPr>
              <w:keepNext/>
            </w:pPr>
          </w:p>
        </w:tc>
        <w:tc>
          <w:tcPr>
            <w:tcW w:w="1005" w:type="dxa"/>
            <w:gridSpan w:val="3"/>
            <w:tcBorders>
              <w:top w:val="single" w:sz="8" w:space="0" w:color="FFFFFF"/>
              <w:left w:val="nil"/>
              <w:bottom w:val="single" w:sz="8" w:space="0" w:color="C7C9C7"/>
              <w:right w:val="nil"/>
            </w:tcBorders>
            <w:shd w:val="clear" w:color="auto" w:fill="F4F4F4"/>
            <w:tcMar>
              <w:top w:w="0" w:type="dxa"/>
              <w:left w:w="53" w:type="dxa"/>
              <w:bottom w:w="0" w:type="dxa"/>
              <w:right w:w="53" w:type="dxa"/>
            </w:tcMar>
            <w:vAlign w:val="bottom"/>
          </w:tcPr>
          <w:p w14:paraId="2887C024" w14:textId="77777777" w:rsidR="001614AC" w:rsidRDefault="004468F9">
            <w:pPr>
              <w:keepNext/>
              <w:spacing w:before="55" w:after="30" w:line="288" w:lineRule="auto"/>
              <w:jc w:val="center"/>
            </w:pPr>
            <w:r>
              <w:rPr>
                <w:rFonts w:ascii="Arial" w:eastAsia="Arial" w:hAnsi="Arial" w:cs="Arial"/>
                <w:b/>
                <w:color w:val="00BAB3"/>
                <w:sz w:val="18"/>
              </w:rPr>
              <w:t>2020</w:t>
            </w:r>
          </w:p>
        </w:tc>
        <w:tc>
          <w:tcPr>
            <w:tcW w:w="105" w:type="dxa"/>
            <w:tcBorders>
              <w:top w:val="single" w:sz="8" w:space="0" w:color="FFFFFF"/>
              <w:left w:val="nil"/>
              <w:bottom w:val="single" w:sz="8" w:space="0" w:color="C7C9C7"/>
              <w:right w:val="nil"/>
            </w:tcBorders>
            <w:tcMar>
              <w:top w:w="0" w:type="dxa"/>
              <w:left w:w="0" w:type="dxa"/>
              <w:bottom w:w="0" w:type="dxa"/>
              <w:right w:w="0" w:type="dxa"/>
            </w:tcMar>
            <w:vAlign w:val="bottom"/>
          </w:tcPr>
          <w:p w14:paraId="7AE2EBBB" w14:textId="77777777" w:rsidR="001614AC" w:rsidRDefault="001614AC">
            <w:pPr>
              <w:keepNext/>
            </w:pPr>
          </w:p>
        </w:tc>
        <w:tc>
          <w:tcPr>
            <w:tcW w:w="1275" w:type="dxa"/>
            <w:gridSpan w:val="3"/>
            <w:tcBorders>
              <w:top w:val="single" w:sz="8" w:space="0" w:color="FFFFFF"/>
              <w:left w:val="nil"/>
              <w:bottom w:val="single" w:sz="8" w:space="0" w:color="C7C9C7"/>
              <w:right w:val="nil"/>
            </w:tcBorders>
            <w:tcMar>
              <w:top w:w="0" w:type="dxa"/>
              <w:left w:w="53" w:type="dxa"/>
              <w:bottom w:w="0" w:type="dxa"/>
              <w:right w:w="53" w:type="dxa"/>
            </w:tcMar>
            <w:vAlign w:val="bottom"/>
          </w:tcPr>
          <w:p w14:paraId="6E7A7026" w14:textId="77777777" w:rsidR="001614AC" w:rsidRDefault="004468F9">
            <w:pPr>
              <w:keepNext/>
              <w:spacing w:before="55" w:after="30" w:line="288" w:lineRule="auto"/>
              <w:jc w:val="center"/>
            </w:pPr>
            <w:r>
              <w:rPr>
                <w:rFonts w:ascii="Arial" w:eastAsia="Arial" w:hAnsi="Arial" w:cs="Arial"/>
                <w:b/>
                <w:color w:val="00BAB3"/>
                <w:sz w:val="18"/>
              </w:rPr>
              <w:t xml:space="preserve">2021 vs. </w:t>
            </w:r>
            <w:r>
              <w:rPr>
                <w:rFonts w:ascii="Arial" w:eastAsia="Arial" w:hAnsi="Arial" w:cs="Arial"/>
                <w:b/>
                <w:color w:val="00BAB3"/>
                <w:sz w:val="18"/>
              </w:rPr>
              <w:t>2020</w:t>
            </w:r>
          </w:p>
        </w:tc>
      </w:tr>
      <w:tr w:rsidR="001614AC" w14:paraId="71BD272C" w14:textId="77777777">
        <w:trPr>
          <w:cantSplit/>
        </w:trPr>
        <w:tc>
          <w:tcPr>
            <w:tcW w:w="2880" w:type="dxa"/>
            <w:tcBorders>
              <w:top w:val="single" w:sz="8" w:space="0" w:color="C7C9C7"/>
              <w:left w:val="nil"/>
              <w:bottom w:val="single" w:sz="8" w:space="0" w:color="E9E9E9"/>
              <w:right w:val="nil"/>
            </w:tcBorders>
            <w:tcMar>
              <w:top w:w="0" w:type="dxa"/>
              <w:left w:w="53" w:type="dxa"/>
              <w:bottom w:w="0" w:type="dxa"/>
              <w:right w:w="53" w:type="dxa"/>
            </w:tcMar>
            <w:vAlign w:val="bottom"/>
          </w:tcPr>
          <w:p w14:paraId="672A5A19" w14:textId="77777777" w:rsidR="001614AC" w:rsidRDefault="004468F9">
            <w:pPr>
              <w:keepNext/>
              <w:spacing w:before="55" w:after="30" w:line="288" w:lineRule="auto"/>
              <w:rPr>
                <w:rFonts w:ascii="Arial" w:eastAsia="Arial" w:hAnsi="Arial" w:cs="Arial"/>
                <w:sz w:val="18"/>
              </w:rPr>
            </w:pPr>
            <w:r>
              <w:rPr>
                <w:rFonts w:ascii="Arial" w:eastAsia="Arial" w:hAnsi="Arial" w:cs="Arial"/>
                <w:sz w:val="18"/>
              </w:rPr>
              <w:t xml:space="preserve">Adjusted pretax operating income (loss) </w:t>
            </w:r>
            <w:r>
              <w:rPr>
                <w:rFonts w:ascii="Arial" w:eastAsia="Arial" w:hAnsi="Arial" w:cs="Arial"/>
                <w:sz w:val="18"/>
                <w:vertAlign w:val="superscript"/>
              </w:rPr>
              <w:t xml:space="preserve">(1) </w:t>
            </w:r>
          </w:p>
        </w:tc>
        <w:tc>
          <w:tcPr>
            <w:tcW w:w="105" w:type="dxa"/>
            <w:tcBorders>
              <w:top w:val="single" w:sz="8" w:space="0" w:color="C7C9C7"/>
              <w:left w:val="nil"/>
              <w:bottom w:val="nil"/>
              <w:right w:val="nil"/>
            </w:tcBorders>
            <w:tcMar>
              <w:top w:w="0" w:type="dxa"/>
              <w:left w:w="0" w:type="dxa"/>
              <w:bottom w:w="0" w:type="dxa"/>
              <w:right w:w="0" w:type="dxa"/>
            </w:tcMar>
            <w:vAlign w:val="bottom"/>
          </w:tcPr>
          <w:p w14:paraId="5ECF4EBE" w14:textId="77777777" w:rsidR="001614AC" w:rsidRDefault="001614AC">
            <w:pPr>
              <w:keepNext/>
            </w:pPr>
          </w:p>
        </w:tc>
        <w:tc>
          <w:tcPr>
            <w:tcW w:w="160" w:type="dxa"/>
            <w:tcBorders>
              <w:top w:val="single" w:sz="8" w:space="0" w:color="C7C9C7"/>
              <w:left w:val="nil"/>
              <w:bottom w:val="single" w:sz="8" w:space="0" w:color="E9E9E9"/>
              <w:right w:val="nil"/>
            </w:tcBorders>
            <w:tcMar>
              <w:top w:w="0" w:type="dxa"/>
              <w:left w:w="53" w:type="dxa"/>
              <w:bottom w:w="0" w:type="dxa"/>
              <w:right w:w="0" w:type="dxa"/>
            </w:tcMar>
            <w:vAlign w:val="bottom"/>
          </w:tcPr>
          <w:p w14:paraId="520CAACF" w14:textId="77777777" w:rsidR="001614AC" w:rsidRDefault="004468F9">
            <w:pPr>
              <w:keepNext/>
              <w:spacing w:before="55" w:after="30" w:line="288" w:lineRule="auto"/>
            </w:pPr>
            <w:r>
              <w:rPr>
                <w:rFonts w:ascii="Arial" w:eastAsia="Arial" w:hAnsi="Arial" w:cs="Arial"/>
                <w:color w:val="000000"/>
                <w:sz w:val="18"/>
              </w:rPr>
              <w:t>$</w:t>
            </w:r>
          </w:p>
        </w:tc>
        <w:tc>
          <w:tcPr>
            <w:tcW w:w="745" w:type="dxa"/>
            <w:tcBorders>
              <w:top w:val="single" w:sz="8" w:space="0" w:color="C7C9C7"/>
              <w:left w:val="nil"/>
              <w:bottom w:val="single" w:sz="8" w:space="0" w:color="E9E9E9"/>
              <w:right w:val="nil"/>
            </w:tcBorders>
            <w:tcMar>
              <w:top w:w="0" w:type="dxa"/>
              <w:left w:w="0" w:type="dxa"/>
              <w:bottom w:w="0" w:type="dxa"/>
              <w:right w:w="0" w:type="dxa"/>
            </w:tcMar>
            <w:vAlign w:val="bottom"/>
          </w:tcPr>
          <w:p w14:paraId="4B01B498" w14:textId="77777777" w:rsidR="001614AC" w:rsidRDefault="004468F9">
            <w:pPr>
              <w:keepNext/>
              <w:spacing w:before="55" w:after="30" w:line="288" w:lineRule="auto"/>
              <w:jc w:val="right"/>
            </w:pPr>
            <w:r>
              <w:rPr>
                <w:rFonts w:ascii="Arial" w:eastAsia="Arial" w:hAnsi="Arial" w:cs="Arial"/>
                <w:color w:val="000000"/>
                <w:sz w:val="18"/>
              </w:rPr>
              <w:t>2.5 </w:t>
            </w:r>
          </w:p>
        </w:tc>
        <w:tc>
          <w:tcPr>
            <w:tcW w:w="100" w:type="dxa"/>
            <w:tcBorders>
              <w:top w:val="single" w:sz="8" w:space="0" w:color="C7C9C7"/>
              <w:left w:val="nil"/>
              <w:bottom w:val="single" w:sz="8" w:space="0" w:color="E9E9E9"/>
              <w:right w:val="nil"/>
            </w:tcBorders>
            <w:tcMar>
              <w:top w:w="0" w:type="dxa"/>
              <w:left w:w="0" w:type="dxa"/>
              <w:bottom w:w="0" w:type="dxa"/>
              <w:right w:w="15" w:type="dxa"/>
            </w:tcMar>
            <w:vAlign w:val="bottom"/>
          </w:tcPr>
          <w:p w14:paraId="1B7A0C8E" w14:textId="77777777" w:rsidR="001614AC" w:rsidRDefault="001614AC">
            <w:pPr>
              <w:keepNext/>
              <w:spacing w:before="55" w:after="30" w:line="288" w:lineRule="auto"/>
              <w:jc w:val="right"/>
            </w:pPr>
          </w:p>
        </w:tc>
        <w:tc>
          <w:tcPr>
            <w:tcW w:w="105" w:type="dxa"/>
            <w:tcBorders>
              <w:top w:val="single" w:sz="8" w:space="0" w:color="C7C9C7"/>
              <w:left w:val="nil"/>
              <w:bottom w:val="nil"/>
              <w:right w:val="nil"/>
            </w:tcBorders>
            <w:tcMar>
              <w:top w:w="0" w:type="dxa"/>
              <w:left w:w="0" w:type="dxa"/>
              <w:bottom w:w="0" w:type="dxa"/>
              <w:right w:w="0" w:type="dxa"/>
            </w:tcMar>
            <w:vAlign w:val="bottom"/>
          </w:tcPr>
          <w:p w14:paraId="34405531" w14:textId="77777777" w:rsidR="001614AC" w:rsidRDefault="001614AC">
            <w:pPr>
              <w:keepNext/>
            </w:pPr>
          </w:p>
        </w:tc>
        <w:tc>
          <w:tcPr>
            <w:tcW w:w="160" w:type="dxa"/>
            <w:tcBorders>
              <w:top w:val="single" w:sz="8" w:space="0" w:color="C7C9C7"/>
              <w:left w:val="nil"/>
              <w:bottom w:val="single" w:sz="8" w:space="0" w:color="E9E9E9"/>
              <w:right w:val="nil"/>
            </w:tcBorders>
            <w:tcMar>
              <w:top w:w="0" w:type="dxa"/>
              <w:left w:w="53" w:type="dxa"/>
              <w:bottom w:w="0" w:type="dxa"/>
              <w:right w:w="0" w:type="dxa"/>
            </w:tcMar>
            <w:vAlign w:val="bottom"/>
          </w:tcPr>
          <w:p w14:paraId="2310F5B8" w14:textId="77777777" w:rsidR="001614AC" w:rsidRDefault="004468F9">
            <w:pPr>
              <w:keepNext/>
              <w:spacing w:before="55" w:after="30" w:line="288" w:lineRule="auto"/>
            </w:pPr>
            <w:r>
              <w:rPr>
                <w:rFonts w:ascii="Arial" w:eastAsia="Arial" w:hAnsi="Arial" w:cs="Arial"/>
                <w:color w:val="000000"/>
                <w:sz w:val="18"/>
              </w:rPr>
              <w:t>$</w:t>
            </w:r>
          </w:p>
        </w:tc>
        <w:tc>
          <w:tcPr>
            <w:tcW w:w="745" w:type="dxa"/>
            <w:tcBorders>
              <w:top w:val="single" w:sz="8" w:space="0" w:color="C7C9C7"/>
              <w:left w:val="nil"/>
              <w:bottom w:val="single" w:sz="8" w:space="0" w:color="E9E9E9"/>
              <w:right w:val="nil"/>
            </w:tcBorders>
            <w:tcMar>
              <w:top w:w="0" w:type="dxa"/>
              <w:left w:w="0" w:type="dxa"/>
              <w:bottom w:w="0" w:type="dxa"/>
              <w:right w:w="0" w:type="dxa"/>
            </w:tcMar>
            <w:vAlign w:val="bottom"/>
          </w:tcPr>
          <w:p w14:paraId="5CAF612B" w14:textId="77777777" w:rsidR="001614AC" w:rsidRDefault="004468F9">
            <w:pPr>
              <w:keepNext/>
              <w:spacing w:before="55" w:after="30" w:line="288" w:lineRule="auto"/>
              <w:jc w:val="right"/>
            </w:pPr>
            <w:r>
              <w:rPr>
                <w:rFonts w:ascii="Arial" w:eastAsia="Arial" w:hAnsi="Arial" w:cs="Arial"/>
                <w:color w:val="000000"/>
                <w:sz w:val="18"/>
              </w:rPr>
              <w:t>1.2 </w:t>
            </w:r>
          </w:p>
        </w:tc>
        <w:tc>
          <w:tcPr>
            <w:tcW w:w="100" w:type="dxa"/>
            <w:tcBorders>
              <w:top w:val="single" w:sz="8" w:space="0" w:color="C7C9C7"/>
              <w:left w:val="nil"/>
              <w:bottom w:val="single" w:sz="8" w:space="0" w:color="E9E9E9"/>
              <w:right w:val="nil"/>
            </w:tcBorders>
            <w:tcMar>
              <w:top w:w="0" w:type="dxa"/>
              <w:left w:w="0" w:type="dxa"/>
              <w:bottom w:w="0" w:type="dxa"/>
              <w:right w:w="15" w:type="dxa"/>
            </w:tcMar>
            <w:vAlign w:val="bottom"/>
          </w:tcPr>
          <w:p w14:paraId="4F2F99D8" w14:textId="77777777" w:rsidR="001614AC" w:rsidRDefault="001614AC">
            <w:pPr>
              <w:keepNext/>
              <w:spacing w:before="55" w:after="30" w:line="288" w:lineRule="auto"/>
              <w:jc w:val="right"/>
            </w:pPr>
          </w:p>
        </w:tc>
        <w:tc>
          <w:tcPr>
            <w:tcW w:w="105" w:type="dxa"/>
            <w:tcBorders>
              <w:top w:val="single" w:sz="8" w:space="0" w:color="C7C9C7"/>
              <w:left w:val="nil"/>
              <w:bottom w:val="nil"/>
              <w:right w:val="nil"/>
            </w:tcBorders>
            <w:tcMar>
              <w:top w:w="0" w:type="dxa"/>
              <w:left w:w="0" w:type="dxa"/>
              <w:bottom w:w="0" w:type="dxa"/>
              <w:right w:w="0" w:type="dxa"/>
            </w:tcMar>
            <w:vAlign w:val="bottom"/>
          </w:tcPr>
          <w:p w14:paraId="702DCA88" w14:textId="77777777" w:rsidR="001614AC" w:rsidRDefault="001614AC">
            <w:pPr>
              <w:keepNext/>
            </w:pPr>
          </w:p>
        </w:tc>
        <w:tc>
          <w:tcPr>
            <w:tcW w:w="160" w:type="dxa"/>
            <w:tcBorders>
              <w:top w:val="single" w:sz="8" w:space="0" w:color="C7C9C7"/>
              <w:left w:val="nil"/>
              <w:bottom w:val="single" w:sz="8" w:space="0" w:color="E9E9E9"/>
              <w:right w:val="nil"/>
            </w:tcBorders>
            <w:tcMar>
              <w:top w:w="0" w:type="dxa"/>
              <w:left w:w="53" w:type="dxa"/>
              <w:bottom w:w="0" w:type="dxa"/>
              <w:right w:w="0" w:type="dxa"/>
            </w:tcMar>
            <w:vAlign w:val="bottom"/>
          </w:tcPr>
          <w:p w14:paraId="27BFC628" w14:textId="77777777" w:rsidR="001614AC" w:rsidRDefault="004468F9">
            <w:pPr>
              <w:keepNext/>
              <w:spacing w:before="55" w:after="30" w:line="288" w:lineRule="auto"/>
            </w:pPr>
            <w:r>
              <w:rPr>
                <w:rFonts w:ascii="Arial" w:eastAsia="Arial" w:hAnsi="Arial" w:cs="Arial"/>
                <w:color w:val="000000"/>
                <w:sz w:val="18"/>
              </w:rPr>
              <w:t>$</w:t>
            </w:r>
          </w:p>
        </w:tc>
        <w:tc>
          <w:tcPr>
            <w:tcW w:w="1015" w:type="dxa"/>
            <w:tcBorders>
              <w:top w:val="single" w:sz="8" w:space="0" w:color="C7C9C7"/>
              <w:left w:val="nil"/>
              <w:bottom w:val="single" w:sz="8" w:space="0" w:color="E9E9E9"/>
              <w:right w:val="nil"/>
            </w:tcBorders>
            <w:tcMar>
              <w:top w:w="0" w:type="dxa"/>
              <w:left w:w="0" w:type="dxa"/>
              <w:bottom w:w="0" w:type="dxa"/>
              <w:right w:w="0" w:type="dxa"/>
            </w:tcMar>
            <w:vAlign w:val="bottom"/>
          </w:tcPr>
          <w:p w14:paraId="0321C507" w14:textId="77777777" w:rsidR="001614AC" w:rsidRDefault="004468F9">
            <w:pPr>
              <w:keepNext/>
              <w:spacing w:before="55" w:after="30" w:line="288" w:lineRule="auto"/>
              <w:jc w:val="right"/>
            </w:pPr>
            <w:r>
              <w:rPr>
                <w:rFonts w:ascii="Arial" w:eastAsia="Arial" w:hAnsi="Arial" w:cs="Arial"/>
                <w:color w:val="000000"/>
                <w:sz w:val="18"/>
              </w:rPr>
              <w:t>1.3 </w:t>
            </w:r>
          </w:p>
        </w:tc>
        <w:tc>
          <w:tcPr>
            <w:tcW w:w="100" w:type="dxa"/>
            <w:tcBorders>
              <w:top w:val="single" w:sz="8" w:space="0" w:color="C7C9C7"/>
              <w:left w:val="nil"/>
              <w:bottom w:val="single" w:sz="8" w:space="0" w:color="E9E9E9"/>
              <w:right w:val="nil"/>
            </w:tcBorders>
            <w:tcMar>
              <w:top w:w="0" w:type="dxa"/>
              <w:left w:w="0" w:type="dxa"/>
              <w:bottom w:w="0" w:type="dxa"/>
              <w:right w:w="15" w:type="dxa"/>
            </w:tcMar>
            <w:vAlign w:val="bottom"/>
          </w:tcPr>
          <w:p w14:paraId="41903E83" w14:textId="77777777" w:rsidR="001614AC" w:rsidRDefault="001614AC">
            <w:pPr>
              <w:keepNext/>
              <w:spacing w:before="55" w:after="30" w:line="288" w:lineRule="auto"/>
              <w:jc w:val="right"/>
            </w:pPr>
          </w:p>
        </w:tc>
        <w:tc>
          <w:tcPr>
            <w:tcW w:w="105" w:type="dxa"/>
            <w:tcBorders>
              <w:top w:val="single" w:sz="8" w:space="0" w:color="C7C9C7"/>
              <w:left w:val="nil"/>
              <w:bottom w:val="nil"/>
              <w:right w:val="nil"/>
            </w:tcBorders>
            <w:tcMar>
              <w:top w:w="0" w:type="dxa"/>
              <w:left w:w="0" w:type="dxa"/>
              <w:bottom w:w="0" w:type="dxa"/>
              <w:right w:w="0" w:type="dxa"/>
            </w:tcMar>
            <w:vAlign w:val="bottom"/>
          </w:tcPr>
          <w:p w14:paraId="55BAFE6F" w14:textId="77777777" w:rsidR="001614AC" w:rsidRDefault="001614AC">
            <w:pPr>
              <w:keepNext/>
            </w:pPr>
          </w:p>
        </w:tc>
        <w:tc>
          <w:tcPr>
            <w:tcW w:w="160" w:type="dxa"/>
            <w:tcBorders>
              <w:top w:val="single" w:sz="8" w:space="0" w:color="C7C9C7"/>
              <w:left w:val="nil"/>
              <w:bottom w:val="single" w:sz="8" w:space="0" w:color="E9E9E9"/>
              <w:right w:val="nil"/>
            </w:tcBorders>
            <w:tcMar>
              <w:top w:w="0" w:type="dxa"/>
              <w:left w:w="53" w:type="dxa"/>
              <w:bottom w:w="0" w:type="dxa"/>
              <w:right w:w="0" w:type="dxa"/>
            </w:tcMar>
            <w:vAlign w:val="bottom"/>
          </w:tcPr>
          <w:p w14:paraId="01BFC6D0" w14:textId="77777777" w:rsidR="001614AC" w:rsidRDefault="004468F9">
            <w:pPr>
              <w:keepNext/>
              <w:spacing w:before="55" w:after="30" w:line="288" w:lineRule="auto"/>
            </w:pPr>
            <w:r>
              <w:rPr>
                <w:rFonts w:ascii="Arial" w:eastAsia="Arial" w:hAnsi="Arial" w:cs="Arial"/>
                <w:color w:val="000000"/>
                <w:sz w:val="18"/>
              </w:rPr>
              <w:t>$</w:t>
            </w:r>
          </w:p>
        </w:tc>
        <w:tc>
          <w:tcPr>
            <w:tcW w:w="745" w:type="dxa"/>
            <w:tcBorders>
              <w:top w:val="single" w:sz="8" w:space="0" w:color="C7C9C7"/>
              <w:left w:val="nil"/>
              <w:bottom w:val="single" w:sz="8" w:space="0" w:color="E9E9E9"/>
              <w:right w:val="nil"/>
            </w:tcBorders>
            <w:tcMar>
              <w:top w:w="0" w:type="dxa"/>
              <w:left w:w="0" w:type="dxa"/>
              <w:bottom w:w="0" w:type="dxa"/>
              <w:right w:w="0" w:type="dxa"/>
            </w:tcMar>
            <w:vAlign w:val="bottom"/>
          </w:tcPr>
          <w:p w14:paraId="353ACEEA" w14:textId="77777777" w:rsidR="001614AC" w:rsidRDefault="004468F9">
            <w:pPr>
              <w:keepNext/>
              <w:spacing w:before="55" w:after="30" w:line="288" w:lineRule="auto"/>
              <w:jc w:val="right"/>
            </w:pPr>
            <w:r>
              <w:rPr>
                <w:rFonts w:ascii="Arial" w:eastAsia="Arial" w:hAnsi="Arial" w:cs="Arial"/>
                <w:color w:val="000000"/>
                <w:sz w:val="18"/>
              </w:rPr>
              <w:t>5.9 </w:t>
            </w:r>
          </w:p>
        </w:tc>
        <w:tc>
          <w:tcPr>
            <w:tcW w:w="100" w:type="dxa"/>
            <w:tcBorders>
              <w:top w:val="single" w:sz="8" w:space="0" w:color="C7C9C7"/>
              <w:left w:val="nil"/>
              <w:bottom w:val="single" w:sz="8" w:space="0" w:color="E9E9E9"/>
              <w:right w:val="nil"/>
            </w:tcBorders>
            <w:tcMar>
              <w:top w:w="0" w:type="dxa"/>
              <w:left w:w="0" w:type="dxa"/>
              <w:bottom w:w="0" w:type="dxa"/>
              <w:right w:w="15" w:type="dxa"/>
            </w:tcMar>
            <w:vAlign w:val="bottom"/>
          </w:tcPr>
          <w:p w14:paraId="2C20A713" w14:textId="77777777" w:rsidR="001614AC" w:rsidRDefault="001614AC">
            <w:pPr>
              <w:keepNext/>
              <w:spacing w:before="55" w:after="30" w:line="288" w:lineRule="auto"/>
              <w:jc w:val="right"/>
            </w:pPr>
          </w:p>
        </w:tc>
        <w:tc>
          <w:tcPr>
            <w:tcW w:w="105" w:type="dxa"/>
            <w:tcBorders>
              <w:top w:val="single" w:sz="8" w:space="0" w:color="C7C9C7"/>
              <w:left w:val="nil"/>
              <w:bottom w:val="nil"/>
              <w:right w:val="nil"/>
            </w:tcBorders>
            <w:tcMar>
              <w:top w:w="0" w:type="dxa"/>
              <w:left w:w="0" w:type="dxa"/>
              <w:bottom w:w="0" w:type="dxa"/>
              <w:right w:w="0" w:type="dxa"/>
            </w:tcMar>
            <w:vAlign w:val="bottom"/>
          </w:tcPr>
          <w:p w14:paraId="7BB659FE" w14:textId="77777777" w:rsidR="001614AC" w:rsidRDefault="001614AC">
            <w:pPr>
              <w:keepNext/>
            </w:pPr>
          </w:p>
        </w:tc>
        <w:tc>
          <w:tcPr>
            <w:tcW w:w="160" w:type="dxa"/>
            <w:tcBorders>
              <w:top w:val="single" w:sz="8" w:space="0" w:color="C7C9C7"/>
              <w:left w:val="nil"/>
              <w:bottom w:val="single" w:sz="8" w:space="0" w:color="E9E9E9"/>
              <w:right w:val="nil"/>
            </w:tcBorders>
            <w:tcMar>
              <w:top w:w="0" w:type="dxa"/>
              <w:left w:w="53" w:type="dxa"/>
              <w:bottom w:w="0" w:type="dxa"/>
              <w:right w:w="0" w:type="dxa"/>
            </w:tcMar>
            <w:vAlign w:val="bottom"/>
          </w:tcPr>
          <w:p w14:paraId="1DA75A2A" w14:textId="77777777" w:rsidR="001614AC" w:rsidRDefault="004468F9">
            <w:pPr>
              <w:keepNext/>
              <w:spacing w:before="55" w:after="30" w:line="288" w:lineRule="auto"/>
            </w:pPr>
            <w:r>
              <w:rPr>
                <w:rFonts w:ascii="Arial" w:eastAsia="Arial" w:hAnsi="Arial" w:cs="Arial"/>
                <w:color w:val="000000"/>
                <w:sz w:val="18"/>
              </w:rPr>
              <w:t>$</w:t>
            </w:r>
          </w:p>
        </w:tc>
        <w:tc>
          <w:tcPr>
            <w:tcW w:w="745" w:type="dxa"/>
            <w:tcBorders>
              <w:top w:val="single" w:sz="8" w:space="0" w:color="C7C9C7"/>
              <w:left w:val="nil"/>
              <w:bottom w:val="single" w:sz="8" w:space="0" w:color="E9E9E9"/>
              <w:right w:val="nil"/>
            </w:tcBorders>
            <w:tcMar>
              <w:top w:w="0" w:type="dxa"/>
              <w:left w:w="0" w:type="dxa"/>
              <w:bottom w:w="0" w:type="dxa"/>
              <w:right w:w="0" w:type="dxa"/>
            </w:tcMar>
            <w:vAlign w:val="bottom"/>
          </w:tcPr>
          <w:p w14:paraId="383ABE85" w14:textId="77777777" w:rsidR="001614AC" w:rsidRDefault="004468F9">
            <w:pPr>
              <w:keepNext/>
              <w:spacing w:before="55" w:after="30" w:line="288" w:lineRule="auto"/>
              <w:jc w:val="right"/>
            </w:pPr>
            <w:r>
              <w:rPr>
                <w:rFonts w:ascii="Arial" w:eastAsia="Arial" w:hAnsi="Arial" w:cs="Arial"/>
                <w:color w:val="000000"/>
                <w:sz w:val="18"/>
              </w:rPr>
              <w:t>3.3 </w:t>
            </w:r>
          </w:p>
        </w:tc>
        <w:tc>
          <w:tcPr>
            <w:tcW w:w="100" w:type="dxa"/>
            <w:tcBorders>
              <w:top w:val="single" w:sz="8" w:space="0" w:color="C7C9C7"/>
              <w:left w:val="nil"/>
              <w:bottom w:val="single" w:sz="8" w:space="0" w:color="E9E9E9"/>
              <w:right w:val="nil"/>
            </w:tcBorders>
            <w:tcMar>
              <w:top w:w="0" w:type="dxa"/>
              <w:left w:w="0" w:type="dxa"/>
              <w:bottom w:w="0" w:type="dxa"/>
              <w:right w:w="15" w:type="dxa"/>
            </w:tcMar>
            <w:vAlign w:val="bottom"/>
          </w:tcPr>
          <w:p w14:paraId="40ABD62C" w14:textId="77777777" w:rsidR="001614AC" w:rsidRDefault="001614AC">
            <w:pPr>
              <w:keepNext/>
              <w:spacing w:before="55" w:after="30" w:line="288" w:lineRule="auto"/>
              <w:jc w:val="right"/>
            </w:pPr>
          </w:p>
        </w:tc>
        <w:tc>
          <w:tcPr>
            <w:tcW w:w="105" w:type="dxa"/>
            <w:tcBorders>
              <w:top w:val="single" w:sz="8" w:space="0" w:color="C7C9C7"/>
              <w:left w:val="nil"/>
              <w:bottom w:val="nil"/>
              <w:right w:val="nil"/>
            </w:tcBorders>
            <w:tcMar>
              <w:top w:w="0" w:type="dxa"/>
              <w:left w:w="0" w:type="dxa"/>
              <w:bottom w:w="0" w:type="dxa"/>
              <w:right w:w="0" w:type="dxa"/>
            </w:tcMar>
            <w:vAlign w:val="bottom"/>
          </w:tcPr>
          <w:p w14:paraId="1B44385E" w14:textId="77777777" w:rsidR="001614AC" w:rsidRDefault="001614AC">
            <w:pPr>
              <w:keepNext/>
            </w:pPr>
          </w:p>
        </w:tc>
        <w:tc>
          <w:tcPr>
            <w:tcW w:w="160" w:type="dxa"/>
            <w:tcBorders>
              <w:top w:val="single" w:sz="8" w:space="0" w:color="C7C9C7"/>
              <w:left w:val="nil"/>
              <w:bottom w:val="single" w:sz="8" w:space="0" w:color="E9E9E9"/>
              <w:right w:val="nil"/>
            </w:tcBorders>
            <w:tcMar>
              <w:top w:w="0" w:type="dxa"/>
              <w:left w:w="53" w:type="dxa"/>
              <w:bottom w:w="0" w:type="dxa"/>
              <w:right w:w="0" w:type="dxa"/>
            </w:tcMar>
            <w:vAlign w:val="bottom"/>
          </w:tcPr>
          <w:p w14:paraId="23333495" w14:textId="77777777" w:rsidR="001614AC" w:rsidRDefault="004468F9">
            <w:pPr>
              <w:keepNext/>
              <w:spacing w:before="55" w:after="30" w:line="288" w:lineRule="auto"/>
            </w:pPr>
            <w:r>
              <w:rPr>
                <w:rFonts w:ascii="Arial" w:eastAsia="Arial" w:hAnsi="Arial" w:cs="Arial"/>
                <w:color w:val="000000"/>
                <w:sz w:val="18"/>
              </w:rPr>
              <w:t>$</w:t>
            </w:r>
          </w:p>
        </w:tc>
        <w:tc>
          <w:tcPr>
            <w:tcW w:w="1015" w:type="dxa"/>
            <w:tcBorders>
              <w:top w:val="single" w:sz="8" w:space="0" w:color="C7C9C7"/>
              <w:left w:val="nil"/>
              <w:bottom w:val="single" w:sz="8" w:space="0" w:color="E9E9E9"/>
              <w:right w:val="nil"/>
            </w:tcBorders>
            <w:tcMar>
              <w:top w:w="0" w:type="dxa"/>
              <w:left w:w="0" w:type="dxa"/>
              <w:bottom w:w="0" w:type="dxa"/>
              <w:right w:w="0" w:type="dxa"/>
            </w:tcMar>
            <w:vAlign w:val="bottom"/>
          </w:tcPr>
          <w:p w14:paraId="7E750813" w14:textId="77777777" w:rsidR="001614AC" w:rsidRDefault="004468F9">
            <w:pPr>
              <w:keepNext/>
              <w:spacing w:before="55" w:after="30" w:line="288" w:lineRule="auto"/>
              <w:jc w:val="right"/>
            </w:pPr>
            <w:r>
              <w:rPr>
                <w:rFonts w:ascii="Arial" w:eastAsia="Arial" w:hAnsi="Arial" w:cs="Arial"/>
                <w:color w:val="000000"/>
                <w:sz w:val="18"/>
              </w:rPr>
              <w:t>2.6 </w:t>
            </w:r>
          </w:p>
        </w:tc>
        <w:tc>
          <w:tcPr>
            <w:tcW w:w="100" w:type="dxa"/>
            <w:tcBorders>
              <w:top w:val="single" w:sz="8" w:space="0" w:color="C7C9C7"/>
              <w:left w:val="nil"/>
              <w:bottom w:val="single" w:sz="8" w:space="0" w:color="E9E9E9"/>
              <w:right w:val="nil"/>
            </w:tcBorders>
            <w:tcMar>
              <w:top w:w="0" w:type="dxa"/>
              <w:left w:w="0" w:type="dxa"/>
              <w:bottom w:w="0" w:type="dxa"/>
              <w:right w:w="15" w:type="dxa"/>
            </w:tcMar>
            <w:vAlign w:val="bottom"/>
          </w:tcPr>
          <w:p w14:paraId="6AC3B9D6" w14:textId="77777777" w:rsidR="001614AC" w:rsidRDefault="001614AC">
            <w:pPr>
              <w:keepNext/>
              <w:spacing w:before="55" w:after="30" w:line="288" w:lineRule="auto"/>
              <w:jc w:val="right"/>
            </w:pPr>
          </w:p>
        </w:tc>
      </w:tr>
      <w:tr w:rsidR="001614AC" w14:paraId="5851E975" w14:textId="77777777">
        <w:trPr>
          <w:cantSplit/>
        </w:trPr>
        <w:tc>
          <w:tcPr>
            <w:tcW w:w="2880" w:type="dxa"/>
            <w:tcBorders>
              <w:top w:val="single" w:sz="8" w:space="0" w:color="E9E9E9"/>
              <w:left w:val="nil"/>
              <w:bottom w:val="single" w:sz="8" w:space="0" w:color="E9E9E9"/>
              <w:right w:val="nil"/>
            </w:tcBorders>
            <w:tcMar>
              <w:top w:w="0" w:type="dxa"/>
              <w:left w:w="53" w:type="dxa"/>
              <w:bottom w:w="0" w:type="dxa"/>
              <w:right w:w="53" w:type="dxa"/>
            </w:tcMar>
            <w:vAlign w:val="bottom"/>
          </w:tcPr>
          <w:p w14:paraId="0094BA6D" w14:textId="77777777" w:rsidR="001614AC" w:rsidRDefault="004468F9">
            <w:pPr>
              <w:keepNext/>
              <w:spacing w:before="55" w:after="30" w:line="288" w:lineRule="auto"/>
            </w:pPr>
            <w:r>
              <w:rPr>
                <w:rFonts w:ascii="Arial" w:eastAsia="Arial" w:hAnsi="Arial" w:cs="Arial"/>
                <w:color w:val="000000"/>
                <w:sz w:val="18"/>
              </w:rPr>
              <w:t>Services revenue</w:t>
            </w:r>
          </w:p>
        </w:tc>
        <w:tc>
          <w:tcPr>
            <w:tcW w:w="105" w:type="dxa"/>
            <w:tcBorders>
              <w:top w:val="nil"/>
              <w:left w:val="nil"/>
              <w:bottom w:val="nil"/>
              <w:right w:val="nil"/>
            </w:tcBorders>
            <w:tcMar>
              <w:top w:w="0" w:type="dxa"/>
              <w:left w:w="0" w:type="dxa"/>
              <w:bottom w:w="0" w:type="dxa"/>
              <w:right w:w="0" w:type="dxa"/>
            </w:tcMar>
            <w:vAlign w:val="bottom"/>
          </w:tcPr>
          <w:p w14:paraId="64C08963" w14:textId="77777777" w:rsidR="001614AC" w:rsidRDefault="001614AC">
            <w:pPr>
              <w:keepNext/>
            </w:pPr>
          </w:p>
        </w:tc>
        <w:tc>
          <w:tcPr>
            <w:tcW w:w="90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49639819" w14:textId="77777777" w:rsidR="001614AC" w:rsidRDefault="004468F9">
            <w:pPr>
              <w:keepNext/>
              <w:spacing w:before="55" w:after="30" w:line="288" w:lineRule="auto"/>
              <w:jc w:val="right"/>
            </w:pPr>
            <w:r>
              <w:rPr>
                <w:rFonts w:ascii="Arial" w:eastAsia="Arial" w:hAnsi="Arial" w:cs="Arial"/>
                <w:color w:val="000000"/>
                <w:sz w:val="18"/>
              </w:rPr>
              <w:t>—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0CCEC310" w14:textId="77777777" w:rsidR="001614AC" w:rsidRDefault="001614AC">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731DF754" w14:textId="77777777" w:rsidR="001614AC" w:rsidRDefault="001614AC">
            <w:pPr>
              <w:keepNext/>
            </w:pPr>
          </w:p>
        </w:tc>
        <w:tc>
          <w:tcPr>
            <w:tcW w:w="90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5FA64C65" w14:textId="77777777" w:rsidR="001614AC" w:rsidRDefault="004468F9">
            <w:pPr>
              <w:keepNext/>
              <w:spacing w:before="55" w:after="30" w:line="288" w:lineRule="auto"/>
              <w:jc w:val="right"/>
            </w:pPr>
            <w:r>
              <w:rPr>
                <w:rFonts w:ascii="Arial" w:eastAsia="Arial" w:hAnsi="Arial" w:cs="Arial"/>
                <w:color w:val="000000"/>
                <w:sz w:val="18"/>
              </w:rPr>
              <w:t>6.6 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09CDBAB4" w14:textId="77777777" w:rsidR="001614AC" w:rsidRDefault="001614AC">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3480301B" w14:textId="77777777" w:rsidR="001614AC" w:rsidRDefault="001614AC">
            <w:pPr>
              <w:keepNext/>
            </w:pPr>
          </w:p>
        </w:tc>
        <w:tc>
          <w:tcPr>
            <w:tcW w:w="117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34C255CC" w14:textId="77777777" w:rsidR="001614AC" w:rsidRDefault="004468F9">
            <w:pPr>
              <w:keepNext/>
              <w:spacing w:before="55" w:after="30" w:line="288" w:lineRule="auto"/>
              <w:jc w:val="right"/>
            </w:pPr>
            <w:r>
              <w:rPr>
                <w:rFonts w:ascii="Arial" w:eastAsia="Arial" w:hAnsi="Arial" w:cs="Arial"/>
                <w:color w:val="000000"/>
                <w:sz w:val="18"/>
              </w:rPr>
              <w:t>(6.6)</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1E6252B8" w14:textId="77777777" w:rsidR="001614AC" w:rsidRDefault="001614AC">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3D0C2DFE" w14:textId="77777777" w:rsidR="001614AC" w:rsidRDefault="001614AC">
            <w:pPr>
              <w:keepNext/>
            </w:pPr>
          </w:p>
        </w:tc>
        <w:tc>
          <w:tcPr>
            <w:tcW w:w="90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174D3840" w14:textId="77777777" w:rsidR="001614AC" w:rsidRDefault="004468F9">
            <w:pPr>
              <w:keepNext/>
              <w:spacing w:before="55" w:after="30" w:line="288" w:lineRule="auto"/>
              <w:jc w:val="right"/>
            </w:pPr>
            <w:r>
              <w:rPr>
                <w:rFonts w:ascii="Arial" w:eastAsia="Arial" w:hAnsi="Arial" w:cs="Arial"/>
                <w:color w:val="000000"/>
                <w:sz w:val="18"/>
              </w:rPr>
              <w:t>0.1 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0873B3F7" w14:textId="77777777" w:rsidR="001614AC" w:rsidRDefault="001614AC">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59CBAD7F" w14:textId="77777777" w:rsidR="001614AC" w:rsidRDefault="001614AC">
            <w:pPr>
              <w:keepNext/>
            </w:pPr>
          </w:p>
        </w:tc>
        <w:tc>
          <w:tcPr>
            <w:tcW w:w="90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75CBC5C3" w14:textId="77777777" w:rsidR="001614AC" w:rsidRDefault="004468F9">
            <w:pPr>
              <w:keepNext/>
              <w:spacing w:before="55" w:after="30" w:line="288" w:lineRule="auto"/>
              <w:jc w:val="right"/>
            </w:pPr>
            <w:r>
              <w:rPr>
                <w:rFonts w:ascii="Arial" w:eastAsia="Arial" w:hAnsi="Arial" w:cs="Arial"/>
                <w:color w:val="000000"/>
                <w:sz w:val="18"/>
              </w:rPr>
              <w:t>12.2 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256EC7DF" w14:textId="77777777" w:rsidR="001614AC" w:rsidRDefault="001614AC">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25F67D92" w14:textId="77777777" w:rsidR="001614AC" w:rsidRDefault="001614AC">
            <w:pPr>
              <w:keepNext/>
            </w:pPr>
          </w:p>
        </w:tc>
        <w:tc>
          <w:tcPr>
            <w:tcW w:w="117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7C3C0F6B" w14:textId="77777777" w:rsidR="001614AC" w:rsidRDefault="004468F9">
            <w:pPr>
              <w:keepNext/>
              <w:spacing w:before="55" w:after="30" w:line="288" w:lineRule="auto"/>
              <w:jc w:val="right"/>
            </w:pPr>
            <w:r>
              <w:rPr>
                <w:rFonts w:ascii="Arial" w:eastAsia="Arial" w:hAnsi="Arial" w:cs="Arial"/>
                <w:color w:val="000000"/>
                <w:sz w:val="18"/>
              </w:rPr>
              <w:t>(12.1)</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272883B8" w14:textId="77777777" w:rsidR="001614AC" w:rsidRDefault="001614AC">
            <w:pPr>
              <w:keepNext/>
              <w:spacing w:before="55" w:after="30" w:line="288" w:lineRule="auto"/>
              <w:jc w:val="right"/>
            </w:pPr>
          </w:p>
        </w:tc>
      </w:tr>
      <w:tr w:rsidR="001614AC" w14:paraId="1416AA80" w14:textId="77777777">
        <w:trPr>
          <w:cantSplit/>
        </w:trPr>
        <w:tc>
          <w:tcPr>
            <w:tcW w:w="2880" w:type="dxa"/>
            <w:tcBorders>
              <w:top w:val="single" w:sz="8" w:space="0" w:color="E9E9E9"/>
              <w:left w:val="nil"/>
              <w:bottom w:val="single" w:sz="8" w:space="0" w:color="E9E9E9"/>
              <w:right w:val="nil"/>
            </w:tcBorders>
            <w:tcMar>
              <w:top w:w="0" w:type="dxa"/>
              <w:left w:w="53" w:type="dxa"/>
              <w:bottom w:w="0" w:type="dxa"/>
              <w:right w:w="53" w:type="dxa"/>
            </w:tcMar>
            <w:vAlign w:val="bottom"/>
          </w:tcPr>
          <w:p w14:paraId="59760F82" w14:textId="77777777" w:rsidR="001614AC" w:rsidRDefault="004468F9">
            <w:pPr>
              <w:keepNext/>
              <w:spacing w:before="55" w:after="30" w:line="288" w:lineRule="auto"/>
            </w:pPr>
            <w:r>
              <w:rPr>
                <w:rFonts w:ascii="Arial" w:eastAsia="Arial" w:hAnsi="Arial" w:cs="Arial"/>
                <w:color w:val="000000"/>
                <w:sz w:val="18"/>
              </w:rPr>
              <w:t>Net investment income</w:t>
            </w:r>
          </w:p>
        </w:tc>
        <w:tc>
          <w:tcPr>
            <w:tcW w:w="105" w:type="dxa"/>
            <w:tcBorders>
              <w:top w:val="nil"/>
              <w:left w:val="nil"/>
              <w:bottom w:val="nil"/>
              <w:right w:val="nil"/>
            </w:tcBorders>
            <w:tcMar>
              <w:top w:w="0" w:type="dxa"/>
              <w:left w:w="0" w:type="dxa"/>
              <w:bottom w:w="0" w:type="dxa"/>
              <w:right w:w="0" w:type="dxa"/>
            </w:tcMar>
            <w:vAlign w:val="bottom"/>
          </w:tcPr>
          <w:p w14:paraId="213DDE8C" w14:textId="77777777" w:rsidR="001614AC" w:rsidRDefault="001614AC">
            <w:pPr>
              <w:keepNext/>
            </w:pPr>
          </w:p>
        </w:tc>
        <w:tc>
          <w:tcPr>
            <w:tcW w:w="90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5D8F5F0C" w14:textId="77777777" w:rsidR="001614AC" w:rsidRDefault="004468F9">
            <w:pPr>
              <w:keepNext/>
              <w:spacing w:before="55" w:after="30" w:line="288" w:lineRule="auto"/>
              <w:jc w:val="right"/>
            </w:pPr>
            <w:r>
              <w:rPr>
                <w:rFonts w:ascii="Arial" w:eastAsia="Arial" w:hAnsi="Arial" w:cs="Arial"/>
                <w:color w:val="000000"/>
                <w:sz w:val="18"/>
              </w:rPr>
              <w:t>3.4 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603E466B" w14:textId="77777777" w:rsidR="001614AC" w:rsidRDefault="001614AC">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502068C3" w14:textId="77777777" w:rsidR="001614AC" w:rsidRDefault="001614AC">
            <w:pPr>
              <w:keepNext/>
            </w:pPr>
          </w:p>
        </w:tc>
        <w:tc>
          <w:tcPr>
            <w:tcW w:w="90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065FDE47" w14:textId="77777777" w:rsidR="001614AC" w:rsidRDefault="004468F9">
            <w:pPr>
              <w:keepNext/>
              <w:spacing w:before="55" w:after="30" w:line="288" w:lineRule="auto"/>
              <w:jc w:val="right"/>
            </w:pPr>
            <w:r>
              <w:rPr>
                <w:rFonts w:ascii="Arial" w:eastAsia="Arial" w:hAnsi="Arial" w:cs="Arial"/>
                <w:color w:val="000000"/>
                <w:sz w:val="18"/>
              </w:rPr>
              <w:t>3.9 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26DF10AD" w14:textId="77777777" w:rsidR="001614AC" w:rsidRDefault="001614AC">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568F903E" w14:textId="77777777" w:rsidR="001614AC" w:rsidRDefault="001614AC">
            <w:pPr>
              <w:keepNext/>
            </w:pPr>
          </w:p>
        </w:tc>
        <w:tc>
          <w:tcPr>
            <w:tcW w:w="117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5C9D7ABB" w14:textId="77777777" w:rsidR="001614AC" w:rsidRDefault="004468F9">
            <w:pPr>
              <w:keepNext/>
              <w:spacing w:before="55" w:after="30" w:line="288" w:lineRule="auto"/>
              <w:jc w:val="right"/>
            </w:pPr>
            <w:r>
              <w:rPr>
                <w:rFonts w:ascii="Arial" w:eastAsia="Arial" w:hAnsi="Arial" w:cs="Arial"/>
                <w:color w:val="000000"/>
                <w:sz w:val="18"/>
              </w:rPr>
              <w:t>(0.5)</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207A3A77" w14:textId="77777777" w:rsidR="001614AC" w:rsidRDefault="001614AC">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0C21BB9A" w14:textId="77777777" w:rsidR="001614AC" w:rsidRDefault="001614AC">
            <w:pPr>
              <w:keepNext/>
            </w:pPr>
          </w:p>
        </w:tc>
        <w:tc>
          <w:tcPr>
            <w:tcW w:w="90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0526CAA8" w14:textId="77777777" w:rsidR="001614AC" w:rsidRDefault="004468F9">
            <w:pPr>
              <w:keepNext/>
              <w:spacing w:before="55" w:after="30" w:line="288" w:lineRule="auto"/>
              <w:jc w:val="right"/>
            </w:pPr>
            <w:r>
              <w:rPr>
                <w:rFonts w:ascii="Arial" w:eastAsia="Arial" w:hAnsi="Arial" w:cs="Arial"/>
                <w:color w:val="000000"/>
                <w:sz w:val="18"/>
              </w:rPr>
              <w:t>7.6 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3C393BFD" w14:textId="77777777" w:rsidR="001614AC" w:rsidRDefault="001614AC">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7ABF3226" w14:textId="77777777" w:rsidR="001614AC" w:rsidRDefault="001614AC">
            <w:pPr>
              <w:keepNext/>
            </w:pPr>
          </w:p>
        </w:tc>
        <w:tc>
          <w:tcPr>
            <w:tcW w:w="90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13F3C276" w14:textId="77777777" w:rsidR="001614AC" w:rsidRDefault="004468F9">
            <w:pPr>
              <w:keepNext/>
              <w:spacing w:before="55" w:after="30" w:line="288" w:lineRule="auto"/>
              <w:jc w:val="right"/>
            </w:pPr>
            <w:r>
              <w:rPr>
                <w:rFonts w:ascii="Arial" w:eastAsia="Arial" w:hAnsi="Arial" w:cs="Arial"/>
                <w:color w:val="000000"/>
                <w:sz w:val="18"/>
              </w:rPr>
              <w:t>8.5 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0977D6A7" w14:textId="77777777" w:rsidR="001614AC" w:rsidRDefault="001614AC">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55727778" w14:textId="77777777" w:rsidR="001614AC" w:rsidRDefault="001614AC">
            <w:pPr>
              <w:keepNext/>
            </w:pPr>
          </w:p>
        </w:tc>
        <w:tc>
          <w:tcPr>
            <w:tcW w:w="117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235E1647" w14:textId="77777777" w:rsidR="001614AC" w:rsidRDefault="004468F9">
            <w:pPr>
              <w:keepNext/>
              <w:spacing w:before="55" w:after="30" w:line="288" w:lineRule="auto"/>
              <w:jc w:val="right"/>
            </w:pPr>
            <w:r>
              <w:rPr>
                <w:rFonts w:ascii="Arial" w:eastAsia="Arial" w:hAnsi="Arial" w:cs="Arial"/>
                <w:color w:val="000000"/>
                <w:sz w:val="18"/>
              </w:rPr>
              <w:t>(0.9)</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6B8979E8" w14:textId="77777777" w:rsidR="001614AC" w:rsidRDefault="001614AC">
            <w:pPr>
              <w:keepNext/>
              <w:spacing w:before="55" w:after="30" w:line="288" w:lineRule="auto"/>
              <w:jc w:val="right"/>
            </w:pPr>
          </w:p>
        </w:tc>
      </w:tr>
      <w:tr w:rsidR="001614AC" w14:paraId="6264DFD2" w14:textId="77777777">
        <w:trPr>
          <w:cantSplit/>
        </w:trPr>
        <w:tc>
          <w:tcPr>
            <w:tcW w:w="2880" w:type="dxa"/>
            <w:tcBorders>
              <w:top w:val="single" w:sz="8" w:space="0" w:color="E9E9E9"/>
              <w:left w:val="nil"/>
              <w:bottom w:val="single" w:sz="8" w:space="0" w:color="E9E9E9"/>
              <w:right w:val="nil"/>
            </w:tcBorders>
            <w:tcMar>
              <w:top w:w="0" w:type="dxa"/>
              <w:left w:w="53" w:type="dxa"/>
              <w:bottom w:w="0" w:type="dxa"/>
              <w:right w:w="53" w:type="dxa"/>
            </w:tcMar>
            <w:vAlign w:val="bottom"/>
          </w:tcPr>
          <w:p w14:paraId="4497B5A9" w14:textId="77777777" w:rsidR="001614AC" w:rsidRDefault="004468F9">
            <w:pPr>
              <w:keepNext/>
              <w:spacing w:before="55" w:after="30" w:line="288" w:lineRule="auto"/>
            </w:pPr>
            <w:r>
              <w:rPr>
                <w:rFonts w:ascii="Arial" w:eastAsia="Arial" w:hAnsi="Arial" w:cs="Arial"/>
                <w:color w:val="000000"/>
                <w:sz w:val="18"/>
              </w:rPr>
              <w:t>Cost of services</w:t>
            </w:r>
          </w:p>
        </w:tc>
        <w:tc>
          <w:tcPr>
            <w:tcW w:w="105" w:type="dxa"/>
            <w:tcBorders>
              <w:top w:val="nil"/>
              <w:left w:val="nil"/>
              <w:bottom w:val="nil"/>
              <w:right w:val="nil"/>
            </w:tcBorders>
            <w:tcMar>
              <w:top w:w="0" w:type="dxa"/>
              <w:left w:w="0" w:type="dxa"/>
              <w:bottom w:w="0" w:type="dxa"/>
              <w:right w:w="0" w:type="dxa"/>
            </w:tcMar>
            <w:vAlign w:val="bottom"/>
          </w:tcPr>
          <w:p w14:paraId="0B20E0FA" w14:textId="77777777" w:rsidR="001614AC" w:rsidRDefault="001614AC">
            <w:pPr>
              <w:keepNext/>
            </w:pPr>
          </w:p>
        </w:tc>
        <w:tc>
          <w:tcPr>
            <w:tcW w:w="90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07637C5D" w14:textId="77777777" w:rsidR="001614AC" w:rsidRDefault="004468F9">
            <w:pPr>
              <w:keepNext/>
              <w:spacing w:before="55" w:after="30" w:line="288" w:lineRule="auto"/>
              <w:jc w:val="right"/>
            </w:pPr>
            <w:r>
              <w:rPr>
                <w:rFonts w:ascii="Arial" w:eastAsia="Arial" w:hAnsi="Arial" w:cs="Arial"/>
                <w:color w:val="000000"/>
                <w:sz w:val="18"/>
              </w:rPr>
              <w:t>—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0EA6AF57" w14:textId="77777777" w:rsidR="001614AC" w:rsidRDefault="001614AC">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2BA14EE2" w14:textId="77777777" w:rsidR="001614AC" w:rsidRDefault="001614AC">
            <w:pPr>
              <w:keepNext/>
            </w:pPr>
          </w:p>
        </w:tc>
        <w:tc>
          <w:tcPr>
            <w:tcW w:w="90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665C095E" w14:textId="77777777" w:rsidR="001614AC" w:rsidRDefault="004468F9">
            <w:pPr>
              <w:keepNext/>
              <w:spacing w:before="55" w:after="30" w:line="288" w:lineRule="auto"/>
              <w:jc w:val="right"/>
            </w:pPr>
            <w:r>
              <w:rPr>
                <w:rFonts w:ascii="Arial" w:eastAsia="Arial" w:hAnsi="Arial" w:cs="Arial"/>
                <w:color w:val="000000"/>
                <w:sz w:val="18"/>
              </w:rPr>
              <w:t>3.2 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73E0501C" w14:textId="77777777" w:rsidR="001614AC" w:rsidRDefault="001614AC">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7F6E30C3" w14:textId="77777777" w:rsidR="001614AC" w:rsidRDefault="001614AC">
            <w:pPr>
              <w:keepNext/>
            </w:pPr>
          </w:p>
        </w:tc>
        <w:tc>
          <w:tcPr>
            <w:tcW w:w="117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4151ACF0" w14:textId="77777777" w:rsidR="001614AC" w:rsidRDefault="004468F9">
            <w:pPr>
              <w:keepNext/>
              <w:spacing w:before="55" w:after="30" w:line="288" w:lineRule="auto"/>
              <w:jc w:val="right"/>
            </w:pPr>
            <w:r>
              <w:rPr>
                <w:rFonts w:ascii="Arial" w:eastAsia="Arial" w:hAnsi="Arial" w:cs="Arial"/>
                <w:color w:val="000000"/>
                <w:sz w:val="18"/>
              </w:rPr>
              <w:t>3.2 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75645604" w14:textId="77777777" w:rsidR="001614AC" w:rsidRDefault="001614AC">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2544C7B3" w14:textId="77777777" w:rsidR="001614AC" w:rsidRDefault="001614AC">
            <w:pPr>
              <w:keepNext/>
            </w:pPr>
          </w:p>
        </w:tc>
        <w:tc>
          <w:tcPr>
            <w:tcW w:w="90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5AADD566" w14:textId="77777777" w:rsidR="001614AC" w:rsidRDefault="004468F9">
            <w:pPr>
              <w:keepNext/>
              <w:spacing w:before="55" w:after="30" w:line="288" w:lineRule="auto"/>
              <w:jc w:val="right"/>
            </w:pPr>
            <w:r>
              <w:rPr>
                <w:rFonts w:ascii="Arial" w:eastAsia="Arial" w:hAnsi="Arial" w:cs="Arial"/>
                <w:color w:val="000000"/>
                <w:sz w:val="18"/>
              </w:rPr>
              <w:t>—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59E08CCF" w14:textId="77777777" w:rsidR="001614AC" w:rsidRDefault="001614AC">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1686CA7A" w14:textId="77777777" w:rsidR="001614AC" w:rsidRDefault="001614AC">
            <w:pPr>
              <w:keepNext/>
            </w:pPr>
          </w:p>
        </w:tc>
        <w:tc>
          <w:tcPr>
            <w:tcW w:w="90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4C1265AA" w14:textId="77777777" w:rsidR="001614AC" w:rsidRDefault="004468F9">
            <w:pPr>
              <w:keepNext/>
              <w:spacing w:before="55" w:after="30" w:line="288" w:lineRule="auto"/>
              <w:jc w:val="right"/>
            </w:pPr>
            <w:r>
              <w:rPr>
                <w:rFonts w:ascii="Arial" w:eastAsia="Arial" w:hAnsi="Arial" w:cs="Arial"/>
                <w:color w:val="000000"/>
                <w:sz w:val="18"/>
              </w:rPr>
              <w:t>8.7 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78D2FF33" w14:textId="77777777" w:rsidR="001614AC" w:rsidRDefault="001614AC">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51953C91" w14:textId="77777777" w:rsidR="001614AC" w:rsidRDefault="001614AC">
            <w:pPr>
              <w:keepNext/>
            </w:pPr>
          </w:p>
        </w:tc>
        <w:tc>
          <w:tcPr>
            <w:tcW w:w="117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65415606" w14:textId="77777777" w:rsidR="001614AC" w:rsidRDefault="004468F9">
            <w:pPr>
              <w:keepNext/>
              <w:spacing w:before="55" w:after="30" w:line="288" w:lineRule="auto"/>
              <w:jc w:val="right"/>
            </w:pPr>
            <w:r>
              <w:rPr>
                <w:rFonts w:ascii="Arial" w:eastAsia="Arial" w:hAnsi="Arial" w:cs="Arial"/>
                <w:color w:val="000000"/>
                <w:sz w:val="18"/>
              </w:rPr>
              <w:t>8.7 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168E0BBC" w14:textId="77777777" w:rsidR="001614AC" w:rsidRDefault="001614AC">
            <w:pPr>
              <w:keepNext/>
              <w:spacing w:before="55" w:after="30" w:line="288" w:lineRule="auto"/>
              <w:jc w:val="right"/>
            </w:pPr>
          </w:p>
        </w:tc>
      </w:tr>
      <w:tr w:rsidR="001614AC" w14:paraId="0E453629" w14:textId="77777777">
        <w:trPr>
          <w:cantSplit/>
        </w:trPr>
        <w:tc>
          <w:tcPr>
            <w:tcW w:w="2880" w:type="dxa"/>
            <w:tcBorders>
              <w:top w:val="single" w:sz="8" w:space="0" w:color="E9E9E9"/>
              <w:left w:val="nil"/>
              <w:bottom w:val="single" w:sz="8" w:space="0" w:color="E9E9E9"/>
              <w:right w:val="nil"/>
            </w:tcBorders>
            <w:tcMar>
              <w:top w:w="0" w:type="dxa"/>
              <w:left w:w="53" w:type="dxa"/>
              <w:bottom w:w="0" w:type="dxa"/>
              <w:right w:w="53" w:type="dxa"/>
            </w:tcMar>
            <w:vAlign w:val="bottom"/>
          </w:tcPr>
          <w:p w14:paraId="52EB61CA" w14:textId="77777777" w:rsidR="001614AC" w:rsidRDefault="004468F9">
            <w:pPr>
              <w:spacing w:before="55" w:after="30" w:line="288" w:lineRule="auto"/>
            </w:pPr>
            <w:r>
              <w:rPr>
                <w:rFonts w:ascii="Arial" w:eastAsia="Arial" w:hAnsi="Arial" w:cs="Arial"/>
                <w:color w:val="000000"/>
                <w:sz w:val="18"/>
              </w:rPr>
              <w:t>Other operating expenses</w:t>
            </w:r>
          </w:p>
        </w:tc>
        <w:tc>
          <w:tcPr>
            <w:tcW w:w="105" w:type="dxa"/>
            <w:tcBorders>
              <w:top w:val="nil"/>
              <w:left w:val="nil"/>
              <w:bottom w:val="nil"/>
              <w:right w:val="nil"/>
            </w:tcBorders>
            <w:tcMar>
              <w:top w:w="0" w:type="dxa"/>
              <w:left w:w="0" w:type="dxa"/>
              <w:bottom w:w="0" w:type="dxa"/>
              <w:right w:w="0" w:type="dxa"/>
            </w:tcMar>
            <w:vAlign w:val="bottom"/>
          </w:tcPr>
          <w:p w14:paraId="2B136ECE" w14:textId="77777777" w:rsidR="001614AC" w:rsidRDefault="001614AC"/>
        </w:tc>
        <w:tc>
          <w:tcPr>
            <w:tcW w:w="90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238EA84F" w14:textId="77777777" w:rsidR="001614AC" w:rsidRDefault="004468F9">
            <w:pPr>
              <w:spacing w:before="55" w:after="30" w:line="288" w:lineRule="auto"/>
              <w:jc w:val="right"/>
            </w:pPr>
            <w:r>
              <w:rPr>
                <w:rFonts w:ascii="Arial" w:eastAsia="Arial" w:hAnsi="Arial" w:cs="Arial"/>
                <w:color w:val="000000"/>
                <w:sz w:val="18"/>
              </w:rPr>
              <w:t>1.2 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32DB9F83" w14:textId="77777777" w:rsidR="001614AC" w:rsidRDefault="001614AC">
            <w:pPr>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2E834300" w14:textId="77777777" w:rsidR="001614AC" w:rsidRDefault="001614AC"/>
        </w:tc>
        <w:tc>
          <w:tcPr>
            <w:tcW w:w="90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7CAE2BBE" w14:textId="77777777" w:rsidR="001614AC" w:rsidRDefault="004468F9">
            <w:pPr>
              <w:spacing w:before="55" w:after="30" w:line="288" w:lineRule="auto"/>
              <w:jc w:val="right"/>
            </w:pPr>
            <w:r>
              <w:rPr>
                <w:rFonts w:ascii="Arial" w:eastAsia="Arial" w:hAnsi="Arial" w:cs="Arial"/>
                <w:color w:val="000000"/>
                <w:sz w:val="18"/>
              </w:rPr>
              <w:t>3.1 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40D10292" w14:textId="77777777" w:rsidR="001614AC" w:rsidRDefault="001614AC">
            <w:pPr>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2D5C8045" w14:textId="77777777" w:rsidR="001614AC" w:rsidRDefault="001614AC"/>
        </w:tc>
        <w:tc>
          <w:tcPr>
            <w:tcW w:w="117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50B199C0" w14:textId="77777777" w:rsidR="001614AC" w:rsidRDefault="004468F9">
            <w:pPr>
              <w:spacing w:before="55" w:after="30" w:line="288" w:lineRule="auto"/>
              <w:jc w:val="right"/>
            </w:pPr>
            <w:r>
              <w:rPr>
                <w:rFonts w:ascii="Arial" w:eastAsia="Arial" w:hAnsi="Arial" w:cs="Arial"/>
                <w:color w:val="000000"/>
                <w:sz w:val="18"/>
              </w:rPr>
              <w:t>1.9 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48644DEA" w14:textId="77777777" w:rsidR="001614AC" w:rsidRDefault="001614AC">
            <w:pPr>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4B0DEAD1" w14:textId="77777777" w:rsidR="001614AC" w:rsidRDefault="001614AC"/>
        </w:tc>
        <w:tc>
          <w:tcPr>
            <w:tcW w:w="90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6FF62179" w14:textId="77777777" w:rsidR="001614AC" w:rsidRDefault="004468F9">
            <w:pPr>
              <w:spacing w:before="55" w:after="30" w:line="288" w:lineRule="auto"/>
              <w:jc w:val="right"/>
            </w:pPr>
            <w:r>
              <w:rPr>
                <w:rFonts w:ascii="Arial" w:eastAsia="Arial" w:hAnsi="Arial" w:cs="Arial"/>
                <w:color w:val="000000"/>
                <w:sz w:val="18"/>
              </w:rPr>
              <w:t>2.1 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506F1F15" w14:textId="77777777" w:rsidR="001614AC" w:rsidRDefault="001614AC">
            <w:pPr>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520859D8" w14:textId="77777777" w:rsidR="001614AC" w:rsidRDefault="001614AC"/>
        </w:tc>
        <w:tc>
          <w:tcPr>
            <w:tcW w:w="90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256B9EEB" w14:textId="77777777" w:rsidR="001614AC" w:rsidRDefault="004468F9">
            <w:pPr>
              <w:spacing w:before="55" w:after="30" w:line="288" w:lineRule="auto"/>
              <w:jc w:val="right"/>
            </w:pPr>
            <w:r>
              <w:rPr>
                <w:rFonts w:ascii="Arial" w:eastAsia="Arial" w:hAnsi="Arial" w:cs="Arial"/>
                <w:color w:val="000000"/>
                <w:sz w:val="18"/>
              </w:rPr>
              <w:t>5.2 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2CBC62FB" w14:textId="77777777" w:rsidR="001614AC" w:rsidRDefault="001614AC">
            <w:pPr>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522E0735" w14:textId="77777777" w:rsidR="001614AC" w:rsidRDefault="001614AC"/>
        </w:tc>
        <w:tc>
          <w:tcPr>
            <w:tcW w:w="117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4AD755CB" w14:textId="77777777" w:rsidR="001614AC" w:rsidRDefault="004468F9">
            <w:pPr>
              <w:spacing w:before="55" w:after="30" w:line="288" w:lineRule="auto"/>
              <w:jc w:val="right"/>
            </w:pPr>
            <w:r>
              <w:rPr>
                <w:rFonts w:ascii="Arial" w:eastAsia="Arial" w:hAnsi="Arial" w:cs="Arial"/>
                <w:color w:val="000000"/>
                <w:sz w:val="18"/>
              </w:rPr>
              <w:t>3.1 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420328E8" w14:textId="77777777" w:rsidR="001614AC" w:rsidRDefault="001614AC">
            <w:pPr>
              <w:spacing w:before="55" w:after="30" w:line="288" w:lineRule="auto"/>
              <w:jc w:val="right"/>
            </w:pPr>
          </w:p>
        </w:tc>
      </w:tr>
    </w:tbl>
    <w:p w14:paraId="103B6943" w14:textId="77777777" w:rsidR="001614AC" w:rsidRDefault="004468F9" w:rsidP="004468F9">
      <w:pPr>
        <w:numPr>
          <w:ilvl w:val="0"/>
          <w:numId w:val="41"/>
        </w:numPr>
        <w:spacing w:line="288" w:lineRule="auto"/>
        <w:ind w:left="360"/>
        <w:rPr>
          <w:rFonts w:ascii="Arial" w:eastAsia="Arial" w:hAnsi="Arial" w:cs="Arial"/>
          <w:b/>
          <w:color w:val="64615D"/>
          <w:sz w:val="16"/>
        </w:rPr>
      </w:pPr>
      <w:r>
        <w:rPr>
          <w:rFonts w:ascii="Arial" w:eastAsia="Arial" w:hAnsi="Arial" w:cs="Arial"/>
          <w:color w:val="64615D"/>
          <w:sz w:val="16"/>
        </w:rPr>
        <w:lastRenderedPageBreak/>
        <w:t>Our senior management uses adjusted pretax operating income (loss) as our primary measure to evaluate the fundamental financial performance of each of the Company’s business segments. See Note 4</w:t>
      </w:r>
      <w:r>
        <w:rPr>
          <w:rFonts w:ascii="Arial" w:eastAsia="Arial" w:hAnsi="Arial" w:cs="Arial"/>
          <w:color w:val="64615D"/>
          <w:sz w:val="16"/>
        </w:rPr>
        <w:t xml:space="preserve"> of Notes to Unaudited Condensed Consolidated Financial Statements. </w:t>
      </w:r>
    </w:p>
    <w:p w14:paraId="5241E2D1" w14:textId="77777777" w:rsidR="001614AC" w:rsidRDefault="001614AC" w:rsidP="004468F9">
      <w:pPr>
        <w:numPr>
          <w:ilvl w:val="0"/>
          <w:numId w:val="41"/>
        </w:numPr>
        <w:spacing w:line="288" w:lineRule="auto"/>
        <w:ind w:left="360"/>
        <w:rPr>
          <w:rFonts w:ascii="Arial" w:eastAsia="Arial" w:hAnsi="Arial" w:cs="Arial"/>
          <w:b/>
          <w:color w:val="64615D"/>
          <w:sz w:val="16"/>
        </w:rPr>
        <w:sectPr w:rsidR="001614AC">
          <w:headerReference w:type="default" r:id="rId50"/>
          <w:type w:val="continuous"/>
          <w:pgSz w:w="12240" w:h="15840"/>
          <w:pgMar w:top="1260" w:right="1080" w:bottom="1080" w:left="1080" w:header="270" w:footer="270" w:gutter="0"/>
          <w:cols w:space="708"/>
        </w:sectPr>
      </w:pPr>
    </w:p>
    <w:p w14:paraId="44A73D99" w14:textId="77777777" w:rsidR="001614AC" w:rsidRDefault="004468F9">
      <w:pPr>
        <w:keepNext/>
        <w:spacing w:before="200" w:after="160" w:line="288" w:lineRule="auto"/>
        <w:ind w:left="360" w:hanging="360"/>
        <w:rPr>
          <w:rFonts w:ascii="Arial" w:eastAsia="Arial" w:hAnsi="Arial" w:cs="Arial"/>
          <w:b/>
          <w:color w:val="4D6B80"/>
          <w:sz w:val="30"/>
        </w:rPr>
      </w:pPr>
      <w:bookmarkStart w:id="36" w:name="Section37"/>
      <w:bookmarkEnd w:id="36"/>
      <w:r>
        <w:rPr>
          <w:rFonts w:ascii="Arial" w:eastAsia="Arial" w:hAnsi="Arial" w:cs="Arial"/>
          <w:b/>
          <w:color w:val="4D6B80"/>
          <w:sz w:val="30"/>
        </w:rPr>
        <w:t>Liquidity and Capital Resources</w:t>
      </w:r>
    </w:p>
    <w:p w14:paraId="5EF2EFF8" w14:textId="77777777" w:rsidR="001614AC" w:rsidRDefault="004468F9">
      <w:pPr>
        <w:keepNext/>
        <w:spacing w:before="180" w:after="140" w:line="288" w:lineRule="auto"/>
        <w:rPr>
          <w:rFonts w:ascii="Arial" w:eastAsia="Arial" w:hAnsi="Arial" w:cs="Arial"/>
          <w:b/>
          <w:color w:val="002B49"/>
          <w:sz w:val="26"/>
        </w:rPr>
      </w:pPr>
      <w:r>
        <w:rPr>
          <w:rFonts w:ascii="Arial" w:eastAsia="Arial" w:hAnsi="Arial" w:cs="Arial"/>
          <w:b/>
          <w:color w:val="002B49"/>
          <w:sz w:val="26"/>
        </w:rPr>
        <w:t>Consolidated Cash Flows</w:t>
      </w:r>
    </w:p>
    <w:p w14:paraId="28ECF1AF" w14:textId="77777777" w:rsidR="001614AC" w:rsidRDefault="004468F9">
      <w:pPr>
        <w:keepNext/>
        <w:spacing w:before="100" w:after="100" w:line="288" w:lineRule="auto"/>
        <w:ind w:firstLine="450"/>
        <w:rPr>
          <w:rFonts w:ascii="Arial" w:eastAsia="Arial" w:hAnsi="Arial" w:cs="Arial"/>
          <w:b/>
          <w:color w:val="4D6B80"/>
          <w:sz w:val="18"/>
        </w:rPr>
      </w:pPr>
      <w:r>
        <w:rPr>
          <w:rFonts w:ascii="Arial" w:eastAsia="Arial" w:hAnsi="Arial" w:cs="Arial"/>
          <w:sz w:val="18"/>
        </w:rPr>
        <w:t>The following table summarizes our consolidated cash flows from operating, investing and financing activities.</w:t>
      </w:r>
    </w:p>
    <w:tbl>
      <w:tblPr>
        <w:tblW w:w="102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39"/>
        <w:gridCol w:w="107"/>
        <w:gridCol w:w="163"/>
        <w:gridCol w:w="1234"/>
        <w:gridCol w:w="102"/>
        <w:gridCol w:w="107"/>
        <w:gridCol w:w="163"/>
        <w:gridCol w:w="1265"/>
        <w:gridCol w:w="102"/>
      </w:tblGrid>
      <w:tr w:rsidR="001614AC" w14:paraId="21FA6C7F" w14:textId="77777777">
        <w:trPr>
          <w:cantSplit/>
        </w:trPr>
        <w:tc>
          <w:tcPr>
            <w:tcW w:w="10080" w:type="dxa"/>
            <w:gridSpan w:val="9"/>
            <w:tcBorders>
              <w:top w:val="nil"/>
              <w:left w:val="nil"/>
              <w:bottom w:val="single" w:sz="12" w:space="0" w:color="99AAB6"/>
              <w:right w:val="nil"/>
            </w:tcBorders>
            <w:tcMar>
              <w:top w:w="0" w:type="dxa"/>
              <w:left w:w="53" w:type="dxa"/>
              <w:bottom w:w="0" w:type="dxa"/>
              <w:right w:w="53" w:type="dxa"/>
            </w:tcMar>
            <w:vAlign w:val="bottom"/>
          </w:tcPr>
          <w:p w14:paraId="25009254" w14:textId="77777777" w:rsidR="001614AC" w:rsidRDefault="004468F9">
            <w:pPr>
              <w:keepNext/>
              <w:spacing w:before="75" w:after="30" w:line="288" w:lineRule="auto"/>
              <w:rPr>
                <w:rFonts w:ascii="Arial" w:eastAsia="Arial" w:hAnsi="Arial" w:cs="Arial"/>
                <w:b/>
                <w:sz w:val="20"/>
              </w:rPr>
            </w:pPr>
            <w:r>
              <w:rPr>
                <w:rFonts w:ascii="Arial" w:eastAsia="Arial" w:hAnsi="Arial" w:cs="Arial"/>
                <w:b/>
                <w:sz w:val="20"/>
              </w:rPr>
              <w:t>Summary cash flows - Consolidated</w:t>
            </w:r>
          </w:p>
        </w:tc>
      </w:tr>
      <w:tr w:rsidR="001614AC" w14:paraId="23FB0E8F" w14:textId="77777777">
        <w:trPr>
          <w:cantSplit/>
          <w:trHeight w:hRule="exact" w:val="135"/>
        </w:trPr>
        <w:tc>
          <w:tcPr>
            <w:tcW w:w="6900" w:type="dxa"/>
            <w:tcBorders>
              <w:top w:val="nil"/>
              <w:left w:val="nil"/>
              <w:bottom w:val="nil"/>
              <w:right w:val="nil"/>
            </w:tcBorders>
            <w:tcMar>
              <w:top w:w="0" w:type="dxa"/>
              <w:left w:w="0" w:type="dxa"/>
              <w:bottom w:w="0" w:type="dxa"/>
              <w:right w:w="0" w:type="dxa"/>
            </w:tcMar>
            <w:vAlign w:val="bottom"/>
          </w:tcPr>
          <w:p w14:paraId="1F20FEA8" w14:textId="77777777" w:rsidR="001614AC" w:rsidRDefault="001614AC">
            <w:pPr>
              <w:keepNext/>
            </w:pPr>
          </w:p>
        </w:tc>
        <w:tc>
          <w:tcPr>
            <w:tcW w:w="105" w:type="dxa"/>
            <w:tcBorders>
              <w:top w:val="single" w:sz="12" w:space="0" w:color="99AAB6"/>
              <w:left w:val="nil"/>
              <w:bottom w:val="nil"/>
              <w:right w:val="nil"/>
            </w:tcBorders>
            <w:tcMar>
              <w:top w:w="0" w:type="dxa"/>
              <w:left w:w="0" w:type="dxa"/>
              <w:bottom w:w="0" w:type="dxa"/>
              <w:right w:w="0" w:type="dxa"/>
            </w:tcMar>
            <w:vAlign w:val="bottom"/>
          </w:tcPr>
          <w:p w14:paraId="4FD6478D" w14:textId="77777777" w:rsidR="001614AC" w:rsidRDefault="001614AC">
            <w:pPr>
              <w:keepNext/>
            </w:pPr>
          </w:p>
        </w:tc>
        <w:tc>
          <w:tcPr>
            <w:tcW w:w="1470" w:type="dxa"/>
            <w:gridSpan w:val="3"/>
            <w:tcBorders>
              <w:top w:val="single" w:sz="12" w:space="0" w:color="99AAB6"/>
              <w:left w:val="nil"/>
              <w:bottom w:val="nil"/>
              <w:right w:val="nil"/>
            </w:tcBorders>
            <w:tcMar>
              <w:top w:w="0" w:type="dxa"/>
              <w:left w:w="0" w:type="dxa"/>
              <w:bottom w:w="0" w:type="dxa"/>
              <w:right w:w="0" w:type="dxa"/>
            </w:tcMar>
            <w:vAlign w:val="bottom"/>
          </w:tcPr>
          <w:p w14:paraId="6A83C1DD" w14:textId="77777777" w:rsidR="001614AC" w:rsidRDefault="001614AC">
            <w:pPr>
              <w:keepNext/>
            </w:pPr>
          </w:p>
        </w:tc>
        <w:tc>
          <w:tcPr>
            <w:tcW w:w="105" w:type="dxa"/>
            <w:tcBorders>
              <w:top w:val="single" w:sz="12" w:space="0" w:color="99AAB6"/>
              <w:left w:val="nil"/>
              <w:bottom w:val="nil"/>
              <w:right w:val="nil"/>
            </w:tcBorders>
            <w:tcMar>
              <w:top w:w="0" w:type="dxa"/>
              <w:left w:w="0" w:type="dxa"/>
              <w:bottom w:w="0" w:type="dxa"/>
              <w:right w:w="0" w:type="dxa"/>
            </w:tcMar>
            <w:vAlign w:val="bottom"/>
          </w:tcPr>
          <w:p w14:paraId="5BB12CBA" w14:textId="77777777" w:rsidR="001614AC" w:rsidRDefault="001614AC">
            <w:pPr>
              <w:keepNext/>
            </w:pPr>
          </w:p>
        </w:tc>
        <w:tc>
          <w:tcPr>
            <w:tcW w:w="1500" w:type="dxa"/>
            <w:gridSpan w:val="3"/>
            <w:tcBorders>
              <w:top w:val="single" w:sz="12" w:space="0" w:color="99AAB6"/>
              <w:left w:val="nil"/>
              <w:bottom w:val="nil"/>
              <w:right w:val="nil"/>
            </w:tcBorders>
            <w:tcMar>
              <w:top w:w="0" w:type="dxa"/>
              <w:left w:w="0" w:type="dxa"/>
              <w:bottom w:w="0" w:type="dxa"/>
              <w:right w:w="0" w:type="dxa"/>
            </w:tcMar>
            <w:vAlign w:val="bottom"/>
          </w:tcPr>
          <w:p w14:paraId="370DB58F" w14:textId="77777777" w:rsidR="001614AC" w:rsidRDefault="001614AC">
            <w:pPr>
              <w:keepNext/>
            </w:pPr>
          </w:p>
        </w:tc>
      </w:tr>
      <w:tr w:rsidR="001614AC" w14:paraId="6DD26396" w14:textId="77777777">
        <w:trPr>
          <w:cantSplit/>
        </w:trPr>
        <w:tc>
          <w:tcPr>
            <w:tcW w:w="6900" w:type="dxa"/>
            <w:tcBorders>
              <w:top w:val="nil"/>
              <w:left w:val="nil"/>
              <w:bottom w:val="single" w:sz="8" w:space="0" w:color="FFFFFF"/>
              <w:right w:val="nil"/>
            </w:tcBorders>
            <w:tcMar>
              <w:top w:w="0" w:type="dxa"/>
              <w:left w:w="0" w:type="dxa"/>
              <w:bottom w:w="0" w:type="dxa"/>
              <w:right w:w="0" w:type="dxa"/>
            </w:tcMar>
            <w:vAlign w:val="bottom"/>
          </w:tcPr>
          <w:p w14:paraId="716A5518" w14:textId="77777777" w:rsidR="001614AC" w:rsidRDefault="001614AC">
            <w:pPr>
              <w:keepNext/>
            </w:pPr>
          </w:p>
        </w:tc>
        <w:tc>
          <w:tcPr>
            <w:tcW w:w="105" w:type="dxa"/>
            <w:tcBorders>
              <w:top w:val="nil"/>
              <w:left w:val="nil"/>
              <w:bottom w:val="single" w:sz="8" w:space="0" w:color="FFFFFF"/>
              <w:right w:val="nil"/>
            </w:tcBorders>
            <w:tcMar>
              <w:top w:w="0" w:type="dxa"/>
              <w:left w:w="0" w:type="dxa"/>
              <w:bottom w:w="0" w:type="dxa"/>
              <w:right w:w="0" w:type="dxa"/>
            </w:tcMar>
            <w:vAlign w:val="bottom"/>
          </w:tcPr>
          <w:p w14:paraId="174F6F0F" w14:textId="77777777" w:rsidR="001614AC" w:rsidRDefault="001614AC">
            <w:pPr>
              <w:keepNext/>
            </w:pPr>
          </w:p>
        </w:tc>
        <w:tc>
          <w:tcPr>
            <w:tcW w:w="3075" w:type="dxa"/>
            <w:gridSpan w:val="7"/>
            <w:tcBorders>
              <w:top w:val="nil"/>
              <w:left w:val="nil"/>
              <w:bottom w:val="nil"/>
              <w:right w:val="nil"/>
            </w:tcBorders>
            <w:tcMar>
              <w:top w:w="0" w:type="dxa"/>
              <w:left w:w="53" w:type="dxa"/>
              <w:bottom w:w="0" w:type="dxa"/>
              <w:right w:w="53" w:type="dxa"/>
            </w:tcMar>
            <w:vAlign w:val="bottom"/>
          </w:tcPr>
          <w:p w14:paraId="5D64574F" w14:textId="77777777" w:rsidR="001614AC" w:rsidRDefault="004468F9">
            <w:pPr>
              <w:keepNext/>
              <w:spacing w:before="75" w:line="288" w:lineRule="auto"/>
              <w:jc w:val="center"/>
            </w:pPr>
            <w:r>
              <w:rPr>
                <w:rFonts w:ascii="Arial" w:eastAsia="Arial" w:hAnsi="Arial" w:cs="Arial"/>
                <w:b/>
                <w:color w:val="00BAB3"/>
                <w:sz w:val="18"/>
              </w:rPr>
              <w:t>Six Months Ended</w:t>
            </w:r>
          </w:p>
          <w:p w14:paraId="6D7648C3" w14:textId="77777777" w:rsidR="001614AC" w:rsidRDefault="004468F9">
            <w:pPr>
              <w:spacing w:after="30" w:line="288" w:lineRule="auto"/>
              <w:jc w:val="center"/>
            </w:pPr>
            <w:r>
              <w:rPr>
                <w:rFonts w:ascii="Arial" w:eastAsia="Arial" w:hAnsi="Arial" w:cs="Arial"/>
                <w:b/>
                <w:color w:val="00BAB3"/>
                <w:sz w:val="18"/>
              </w:rPr>
              <w:t xml:space="preserve">June </w:t>
            </w:r>
            <w:r>
              <w:rPr>
                <w:rFonts w:ascii="Arial" w:eastAsia="Arial" w:hAnsi="Arial" w:cs="Arial"/>
                <w:b/>
                <w:color w:val="00BAB3"/>
                <w:sz w:val="18"/>
              </w:rPr>
              <w:t>30,</w:t>
            </w:r>
          </w:p>
        </w:tc>
      </w:tr>
      <w:tr w:rsidR="001614AC" w14:paraId="2AB71200" w14:textId="77777777">
        <w:trPr>
          <w:cantSplit/>
        </w:trPr>
        <w:tc>
          <w:tcPr>
            <w:tcW w:w="6900" w:type="dxa"/>
            <w:tcBorders>
              <w:top w:val="single" w:sz="8" w:space="0" w:color="FFFFFF"/>
              <w:left w:val="nil"/>
              <w:bottom w:val="single" w:sz="8" w:space="0" w:color="C7C9C7"/>
              <w:right w:val="nil"/>
            </w:tcBorders>
            <w:tcMar>
              <w:top w:w="0" w:type="dxa"/>
              <w:left w:w="53" w:type="dxa"/>
              <w:bottom w:w="0" w:type="dxa"/>
              <w:right w:w="53" w:type="dxa"/>
            </w:tcMar>
            <w:vAlign w:val="bottom"/>
          </w:tcPr>
          <w:p w14:paraId="3B437059" w14:textId="77777777" w:rsidR="001614AC" w:rsidRDefault="004468F9">
            <w:pPr>
              <w:keepNext/>
              <w:spacing w:before="55" w:after="30" w:line="288" w:lineRule="auto"/>
            </w:pPr>
            <w:r>
              <w:rPr>
                <w:rFonts w:ascii="Arial" w:eastAsia="Arial" w:hAnsi="Arial" w:cs="Arial"/>
                <w:color w:val="8B8886"/>
                <w:sz w:val="16"/>
              </w:rPr>
              <w:t>(In thousands)</w:t>
            </w:r>
          </w:p>
        </w:tc>
        <w:tc>
          <w:tcPr>
            <w:tcW w:w="105" w:type="dxa"/>
            <w:tcBorders>
              <w:top w:val="single" w:sz="8" w:space="0" w:color="FFFFFF"/>
              <w:left w:val="nil"/>
              <w:bottom w:val="single" w:sz="8" w:space="0" w:color="C7C9C7"/>
              <w:right w:val="nil"/>
            </w:tcBorders>
            <w:tcMar>
              <w:top w:w="0" w:type="dxa"/>
              <w:left w:w="0" w:type="dxa"/>
              <w:bottom w:w="0" w:type="dxa"/>
              <w:right w:w="0" w:type="dxa"/>
            </w:tcMar>
            <w:vAlign w:val="bottom"/>
          </w:tcPr>
          <w:p w14:paraId="2539CDBE" w14:textId="77777777" w:rsidR="001614AC" w:rsidRDefault="001614AC">
            <w:pPr>
              <w:keepNext/>
            </w:pPr>
          </w:p>
        </w:tc>
        <w:tc>
          <w:tcPr>
            <w:tcW w:w="1470" w:type="dxa"/>
            <w:gridSpan w:val="3"/>
            <w:tcBorders>
              <w:top w:val="single" w:sz="8" w:space="0" w:color="FFFFFF"/>
              <w:left w:val="nil"/>
              <w:bottom w:val="single" w:sz="8" w:space="0" w:color="C7C9C7"/>
              <w:right w:val="nil"/>
            </w:tcBorders>
            <w:shd w:val="clear" w:color="auto" w:fill="E6F8F8"/>
            <w:tcMar>
              <w:top w:w="0" w:type="dxa"/>
              <w:left w:w="53" w:type="dxa"/>
              <w:bottom w:w="0" w:type="dxa"/>
              <w:right w:w="53" w:type="dxa"/>
            </w:tcMar>
            <w:vAlign w:val="bottom"/>
          </w:tcPr>
          <w:p w14:paraId="3596A979" w14:textId="77777777" w:rsidR="001614AC" w:rsidRDefault="004468F9">
            <w:pPr>
              <w:keepNext/>
              <w:spacing w:before="55" w:after="30" w:line="288" w:lineRule="auto"/>
              <w:jc w:val="center"/>
            </w:pPr>
            <w:r>
              <w:rPr>
                <w:rFonts w:ascii="Arial" w:eastAsia="Arial" w:hAnsi="Arial" w:cs="Arial"/>
                <w:b/>
                <w:color w:val="00BAB3"/>
                <w:sz w:val="18"/>
              </w:rPr>
              <w:t>2021</w:t>
            </w:r>
          </w:p>
        </w:tc>
        <w:tc>
          <w:tcPr>
            <w:tcW w:w="105" w:type="dxa"/>
            <w:tcBorders>
              <w:top w:val="single" w:sz="8" w:space="0" w:color="FFFFFF"/>
              <w:left w:val="nil"/>
              <w:bottom w:val="single" w:sz="8" w:space="0" w:color="C7C9C7"/>
              <w:right w:val="nil"/>
            </w:tcBorders>
            <w:tcMar>
              <w:top w:w="0" w:type="dxa"/>
              <w:left w:w="0" w:type="dxa"/>
              <w:bottom w:w="0" w:type="dxa"/>
              <w:right w:w="0" w:type="dxa"/>
            </w:tcMar>
            <w:vAlign w:val="bottom"/>
          </w:tcPr>
          <w:p w14:paraId="6FF04A51" w14:textId="77777777" w:rsidR="001614AC" w:rsidRDefault="001614AC">
            <w:pPr>
              <w:keepNext/>
            </w:pPr>
          </w:p>
        </w:tc>
        <w:tc>
          <w:tcPr>
            <w:tcW w:w="1500" w:type="dxa"/>
            <w:gridSpan w:val="3"/>
            <w:tcBorders>
              <w:top w:val="single" w:sz="8" w:space="0" w:color="FFFFFF"/>
              <w:left w:val="nil"/>
              <w:bottom w:val="single" w:sz="8" w:space="0" w:color="C7C9C7"/>
              <w:right w:val="nil"/>
            </w:tcBorders>
            <w:shd w:val="clear" w:color="auto" w:fill="F4F4F4"/>
            <w:tcMar>
              <w:top w:w="0" w:type="dxa"/>
              <w:left w:w="53" w:type="dxa"/>
              <w:bottom w:w="0" w:type="dxa"/>
              <w:right w:w="53" w:type="dxa"/>
            </w:tcMar>
            <w:vAlign w:val="bottom"/>
          </w:tcPr>
          <w:p w14:paraId="705FEA94" w14:textId="77777777" w:rsidR="001614AC" w:rsidRDefault="004468F9">
            <w:pPr>
              <w:keepNext/>
              <w:spacing w:before="55" w:after="30" w:line="288" w:lineRule="auto"/>
              <w:jc w:val="center"/>
            </w:pPr>
            <w:r>
              <w:rPr>
                <w:rFonts w:ascii="Arial" w:eastAsia="Arial" w:hAnsi="Arial" w:cs="Arial"/>
                <w:b/>
                <w:color w:val="00BAB3"/>
                <w:sz w:val="18"/>
              </w:rPr>
              <w:t>2020</w:t>
            </w:r>
          </w:p>
        </w:tc>
      </w:tr>
      <w:tr w:rsidR="001614AC" w14:paraId="20C8A67B" w14:textId="77777777">
        <w:trPr>
          <w:cantSplit/>
        </w:trPr>
        <w:tc>
          <w:tcPr>
            <w:tcW w:w="6900" w:type="dxa"/>
            <w:tcBorders>
              <w:top w:val="single" w:sz="8" w:space="0" w:color="C7C9C7"/>
              <w:left w:val="nil"/>
              <w:bottom w:val="single" w:sz="8" w:space="0" w:color="E9E9E9"/>
              <w:right w:val="nil"/>
            </w:tcBorders>
            <w:tcMar>
              <w:top w:w="0" w:type="dxa"/>
              <w:left w:w="53" w:type="dxa"/>
              <w:bottom w:w="0" w:type="dxa"/>
              <w:right w:w="53" w:type="dxa"/>
            </w:tcMar>
            <w:vAlign w:val="bottom"/>
          </w:tcPr>
          <w:p w14:paraId="4C3A4292" w14:textId="77777777" w:rsidR="001614AC" w:rsidRDefault="004468F9">
            <w:pPr>
              <w:keepNext/>
              <w:spacing w:before="55" w:after="30" w:line="288" w:lineRule="auto"/>
            </w:pPr>
            <w:r>
              <w:rPr>
                <w:rFonts w:ascii="Arial" w:eastAsia="Arial" w:hAnsi="Arial" w:cs="Arial"/>
                <w:color w:val="000000"/>
                <w:sz w:val="18"/>
              </w:rPr>
              <w:t>Net cash provided by (used in):</w:t>
            </w:r>
          </w:p>
        </w:tc>
        <w:tc>
          <w:tcPr>
            <w:tcW w:w="105" w:type="dxa"/>
            <w:tcBorders>
              <w:top w:val="single" w:sz="8" w:space="0" w:color="C7C9C7"/>
              <w:left w:val="nil"/>
              <w:bottom w:val="nil"/>
              <w:right w:val="nil"/>
            </w:tcBorders>
            <w:tcMar>
              <w:top w:w="0" w:type="dxa"/>
              <w:left w:w="0" w:type="dxa"/>
              <w:bottom w:w="0" w:type="dxa"/>
              <w:right w:w="0" w:type="dxa"/>
            </w:tcMar>
            <w:vAlign w:val="bottom"/>
          </w:tcPr>
          <w:p w14:paraId="7218BA32" w14:textId="77777777" w:rsidR="001614AC" w:rsidRDefault="001614AC">
            <w:pPr>
              <w:keepNext/>
            </w:pPr>
          </w:p>
        </w:tc>
        <w:tc>
          <w:tcPr>
            <w:tcW w:w="1470" w:type="dxa"/>
            <w:gridSpan w:val="3"/>
            <w:tcBorders>
              <w:top w:val="single" w:sz="8" w:space="0" w:color="C7C9C7"/>
              <w:left w:val="nil"/>
              <w:bottom w:val="single" w:sz="8" w:space="0" w:color="E9E9E9"/>
              <w:right w:val="nil"/>
            </w:tcBorders>
            <w:tcMar>
              <w:top w:w="0" w:type="dxa"/>
              <w:left w:w="0" w:type="dxa"/>
              <w:bottom w:w="0" w:type="dxa"/>
              <w:right w:w="0" w:type="dxa"/>
            </w:tcMar>
            <w:vAlign w:val="bottom"/>
          </w:tcPr>
          <w:p w14:paraId="39AC043B" w14:textId="77777777" w:rsidR="001614AC" w:rsidRDefault="001614AC">
            <w:pPr>
              <w:keepNext/>
            </w:pPr>
          </w:p>
        </w:tc>
        <w:tc>
          <w:tcPr>
            <w:tcW w:w="105" w:type="dxa"/>
            <w:tcBorders>
              <w:top w:val="single" w:sz="8" w:space="0" w:color="C7C9C7"/>
              <w:left w:val="nil"/>
              <w:bottom w:val="nil"/>
              <w:right w:val="nil"/>
            </w:tcBorders>
            <w:tcMar>
              <w:top w:w="0" w:type="dxa"/>
              <w:left w:w="0" w:type="dxa"/>
              <w:bottom w:w="0" w:type="dxa"/>
              <w:right w:w="0" w:type="dxa"/>
            </w:tcMar>
            <w:vAlign w:val="bottom"/>
          </w:tcPr>
          <w:p w14:paraId="172B0CD9" w14:textId="77777777" w:rsidR="001614AC" w:rsidRDefault="001614AC">
            <w:pPr>
              <w:keepNext/>
            </w:pPr>
          </w:p>
        </w:tc>
        <w:tc>
          <w:tcPr>
            <w:tcW w:w="1500" w:type="dxa"/>
            <w:gridSpan w:val="3"/>
            <w:tcBorders>
              <w:top w:val="single" w:sz="8" w:space="0" w:color="C7C9C7"/>
              <w:left w:val="nil"/>
              <w:bottom w:val="single" w:sz="8" w:space="0" w:color="E9E9E9"/>
              <w:right w:val="nil"/>
            </w:tcBorders>
            <w:tcMar>
              <w:top w:w="0" w:type="dxa"/>
              <w:left w:w="0" w:type="dxa"/>
              <w:bottom w:w="0" w:type="dxa"/>
              <w:right w:w="0" w:type="dxa"/>
            </w:tcMar>
            <w:vAlign w:val="bottom"/>
          </w:tcPr>
          <w:p w14:paraId="6998AA42" w14:textId="77777777" w:rsidR="001614AC" w:rsidRDefault="001614AC">
            <w:pPr>
              <w:keepNext/>
            </w:pPr>
          </w:p>
        </w:tc>
      </w:tr>
      <w:tr w:rsidR="001614AC" w14:paraId="6ECA81BA" w14:textId="77777777">
        <w:trPr>
          <w:cantSplit/>
        </w:trPr>
        <w:tc>
          <w:tcPr>
            <w:tcW w:w="6900" w:type="dxa"/>
            <w:tcBorders>
              <w:top w:val="single" w:sz="8" w:space="0" w:color="E9E9E9"/>
              <w:left w:val="nil"/>
              <w:bottom w:val="single" w:sz="8" w:space="0" w:color="E9E9E9"/>
              <w:right w:val="nil"/>
            </w:tcBorders>
            <w:tcMar>
              <w:top w:w="0" w:type="dxa"/>
              <w:left w:w="53" w:type="dxa"/>
              <w:bottom w:w="0" w:type="dxa"/>
              <w:right w:w="53" w:type="dxa"/>
            </w:tcMar>
            <w:vAlign w:val="bottom"/>
          </w:tcPr>
          <w:p w14:paraId="4CA783DD" w14:textId="77777777" w:rsidR="001614AC" w:rsidRDefault="004468F9">
            <w:pPr>
              <w:keepNext/>
              <w:spacing w:before="55" w:after="30" w:line="288" w:lineRule="auto"/>
              <w:ind w:left="240"/>
            </w:pPr>
            <w:r>
              <w:rPr>
                <w:rFonts w:ascii="Arial" w:eastAsia="Arial" w:hAnsi="Arial" w:cs="Arial"/>
                <w:color w:val="000000"/>
                <w:sz w:val="18"/>
              </w:rPr>
              <w:t>Operating activities</w:t>
            </w:r>
          </w:p>
        </w:tc>
        <w:tc>
          <w:tcPr>
            <w:tcW w:w="105" w:type="dxa"/>
            <w:tcBorders>
              <w:top w:val="nil"/>
              <w:left w:val="nil"/>
              <w:bottom w:val="nil"/>
              <w:right w:val="nil"/>
            </w:tcBorders>
            <w:tcMar>
              <w:top w:w="0" w:type="dxa"/>
              <w:left w:w="0" w:type="dxa"/>
              <w:bottom w:w="0" w:type="dxa"/>
              <w:right w:w="0" w:type="dxa"/>
            </w:tcMar>
            <w:vAlign w:val="bottom"/>
          </w:tcPr>
          <w:p w14:paraId="517AA48E" w14:textId="77777777" w:rsidR="001614AC" w:rsidRDefault="001614AC">
            <w:pPr>
              <w:keepNext/>
            </w:pPr>
          </w:p>
        </w:tc>
        <w:tc>
          <w:tcPr>
            <w:tcW w:w="160" w:type="dxa"/>
            <w:tcBorders>
              <w:top w:val="single" w:sz="8" w:space="0" w:color="E9E9E9"/>
              <w:left w:val="nil"/>
              <w:bottom w:val="single" w:sz="8" w:space="0" w:color="E9E9E9"/>
              <w:right w:val="nil"/>
            </w:tcBorders>
            <w:tcMar>
              <w:top w:w="0" w:type="dxa"/>
              <w:left w:w="53" w:type="dxa"/>
              <w:bottom w:w="0" w:type="dxa"/>
              <w:right w:w="0" w:type="dxa"/>
            </w:tcMar>
            <w:vAlign w:val="bottom"/>
          </w:tcPr>
          <w:p w14:paraId="6907AB4F" w14:textId="77777777" w:rsidR="001614AC" w:rsidRDefault="004468F9">
            <w:pPr>
              <w:keepNext/>
              <w:spacing w:before="55" w:after="30" w:line="288" w:lineRule="auto"/>
            </w:pPr>
            <w:r>
              <w:rPr>
                <w:rFonts w:ascii="Arial" w:eastAsia="Arial" w:hAnsi="Arial" w:cs="Arial"/>
                <w:color w:val="000000"/>
                <w:sz w:val="18"/>
              </w:rPr>
              <w:t>$</w:t>
            </w:r>
          </w:p>
        </w:tc>
        <w:tc>
          <w:tcPr>
            <w:tcW w:w="1210" w:type="dxa"/>
            <w:tcBorders>
              <w:top w:val="single" w:sz="8" w:space="0" w:color="E9E9E9"/>
              <w:left w:val="nil"/>
              <w:bottom w:val="single" w:sz="8" w:space="0" w:color="E9E9E9"/>
              <w:right w:val="nil"/>
            </w:tcBorders>
            <w:tcMar>
              <w:top w:w="0" w:type="dxa"/>
              <w:left w:w="0" w:type="dxa"/>
              <w:bottom w:w="0" w:type="dxa"/>
              <w:right w:w="0" w:type="dxa"/>
            </w:tcMar>
            <w:vAlign w:val="bottom"/>
          </w:tcPr>
          <w:p w14:paraId="6643D9BA" w14:textId="77777777" w:rsidR="001614AC" w:rsidRDefault="004468F9">
            <w:pPr>
              <w:keepNext/>
              <w:spacing w:before="55" w:after="30" w:line="288" w:lineRule="auto"/>
              <w:jc w:val="right"/>
            </w:pPr>
            <w:r>
              <w:rPr>
                <w:rFonts w:ascii="Arial" w:eastAsia="Arial" w:hAnsi="Arial" w:cs="Arial"/>
                <w:color w:val="000000"/>
                <w:sz w:val="18"/>
              </w:rPr>
              <w:t>275,896 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5404A137" w14:textId="77777777" w:rsidR="001614AC" w:rsidRDefault="001614AC">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50A9A35B" w14:textId="77777777" w:rsidR="001614AC" w:rsidRDefault="001614AC">
            <w:pPr>
              <w:keepNext/>
            </w:pPr>
          </w:p>
        </w:tc>
        <w:tc>
          <w:tcPr>
            <w:tcW w:w="160" w:type="dxa"/>
            <w:tcBorders>
              <w:top w:val="single" w:sz="8" w:space="0" w:color="E9E9E9"/>
              <w:left w:val="nil"/>
              <w:bottom w:val="single" w:sz="8" w:space="0" w:color="E9E9E9"/>
              <w:right w:val="nil"/>
            </w:tcBorders>
            <w:tcMar>
              <w:top w:w="0" w:type="dxa"/>
              <w:left w:w="53" w:type="dxa"/>
              <w:bottom w:w="0" w:type="dxa"/>
              <w:right w:w="0" w:type="dxa"/>
            </w:tcMar>
            <w:vAlign w:val="bottom"/>
          </w:tcPr>
          <w:p w14:paraId="16ECB4E0" w14:textId="77777777" w:rsidR="001614AC" w:rsidRDefault="004468F9">
            <w:pPr>
              <w:keepNext/>
              <w:spacing w:before="55" w:after="30" w:line="288" w:lineRule="auto"/>
            </w:pPr>
            <w:r>
              <w:rPr>
                <w:rFonts w:ascii="Arial" w:eastAsia="Arial" w:hAnsi="Arial" w:cs="Arial"/>
                <w:color w:val="000000"/>
                <w:sz w:val="18"/>
              </w:rPr>
              <w:t>$</w:t>
            </w:r>
          </w:p>
        </w:tc>
        <w:tc>
          <w:tcPr>
            <w:tcW w:w="1240" w:type="dxa"/>
            <w:tcBorders>
              <w:top w:val="single" w:sz="8" w:space="0" w:color="E9E9E9"/>
              <w:left w:val="nil"/>
              <w:bottom w:val="single" w:sz="8" w:space="0" w:color="E9E9E9"/>
              <w:right w:val="nil"/>
            </w:tcBorders>
            <w:tcMar>
              <w:top w:w="0" w:type="dxa"/>
              <w:left w:w="0" w:type="dxa"/>
              <w:bottom w:w="0" w:type="dxa"/>
              <w:right w:w="0" w:type="dxa"/>
            </w:tcMar>
            <w:vAlign w:val="bottom"/>
          </w:tcPr>
          <w:p w14:paraId="11E3AE8C" w14:textId="77777777" w:rsidR="001614AC" w:rsidRDefault="004468F9">
            <w:pPr>
              <w:keepNext/>
              <w:spacing w:before="55" w:after="30" w:line="288" w:lineRule="auto"/>
              <w:jc w:val="right"/>
            </w:pPr>
            <w:r>
              <w:rPr>
                <w:rFonts w:ascii="Arial" w:eastAsia="Arial" w:hAnsi="Arial" w:cs="Arial"/>
                <w:color w:val="000000"/>
                <w:sz w:val="18"/>
              </w:rPr>
              <w:t>305,291 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66ABFB09" w14:textId="77777777" w:rsidR="001614AC" w:rsidRDefault="001614AC">
            <w:pPr>
              <w:keepNext/>
              <w:spacing w:before="55" w:after="30" w:line="288" w:lineRule="auto"/>
              <w:jc w:val="right"/>
            </w:pPr>
          </w:p>
        </w:tc>
      </w:tr>
      <w:tr w:rsidR="001614AC" w14:paraId="06F8E6B9" w14:textId="77777777">
        <w:trPr>
          <w:cantSplit/>
        </w:trPr>
        <w:tc>
          <w:tcPr>
            <w:tcW w:w="6900" w:type="dxa"/>
            <w:tcBorders>
              <w:top w:val="single" w:sz="8" w:space="0" w:color="E9E9E9"/>
              <w:left w:val="nil"/>
              <w:bottom w:val="single" w:sz="8" w:space="0" w:color="E9E9E9"/>
              <w:right w:val="nil"/>
            </w:tcBorders>
            <w:tcMar>
              <w:top w:w="0" w:type="dxa"/>
              <w:left w:w="53" w:type="dxa"/>
              <w:bottom w:w="0" w:type="dxa"/>
              <w:right w:w="53" w:type="dxa"/>
            </w:tcMar>
            <w:vAlign w:val="bottom"/>
          </w:tcPr>
          <w:p w14:paraId="69DFA744" w14:textId="77777777" w:rsidR="001614AC" w:rsidRDefault="004468F9">
            <w:pPr>
              <w:keepNext/>
              <w:spacing w:before="55" w:after="30" w:line="288" w:lineRule="auto"/>
              <w:ind w:left="240"/>
            </w:pPr>
            <w:r>
              <w:rPr>
                <w:rFonts w:ascii="Arial" w:eastAsia="Arial" w:hAnsi="Arial" w:cs="Arial"/>
                <w:color w:val="000000"/>
                <w:sz w:val="18"/>
              </w:rPr>
              <w:t>Inve</w:t>
            </w:r>
            <w:r>
              <w:rPr>
                <w:rFonts w:ascii="Arial" w:eastAsia="Arial" w:hAnsi="Arial" w:cs="Arial"/>
                <w:color w:val="000000"/>
                <w:sz w:val="18"/>
              </w:rPr>
              <w:t>sting activities</w:t>
            </w:r>
          </w:p>
        </w:tc>
        <w:tc>
          <w:tcPr>
            <w:tcW w:w="105" w:type="dxa"/>
            <w:tcBorders>
              <w:top w:val="nil"/>
              <w:left w:val="nil"/>
              <w:bottom w:val="nil"/>
              <w:right w:val="nil"/>
            </w:tcBorders>
            <w:tcMar>
              <w:top w:w="0" w:type="dxa"/>
              <w:left w:w="0" w:type="dxa"/>
              <w:bottom w:w="0" w:type="dxa"/>
              <w:right w:w="0" w:type="dxa"/>
            </w:tcMar>
            <w:vAlign w:val="bottom"/>
          </w:tcPr>
          <w:p w14:paraId="4420CEB8" w14:textId="77777777" w:rsidR="001614AC" w:rsidRDefault="001614AC">
            <w:pPr>
              <w:keepNext/>
            </w:pPr>
          </w:p>
        </w:tc>
        <w:tc>
          <w:tcPr>
            <w:tcW w:w="1370"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39A73BB7" w14:textId="77777777" w:rsidR="001614AC" w:rsidRDefault="004468F9">
            <w:pPr>
              <w:keepNext/>
              <w:spacing w:before="55" w:after="30" w:line="288" w:lineRule="auto"/>
              <w:jc w:val="right"/>
            </w:pPr>
            <w:r>
              <w:rPr>
                <w:rFonts w:ascii="Arial" w:eastAsia="Arial" w:hAnsi="Arial" w:cs="Arial"/>
                <w:color w:val="000000"/>
                <w:sz w:val="18"/>
              </w:rPr>
              <w:t>(76,393)</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5FAAB146" w14:textId="77777777" w:rsidR="001614AC" w:rsidRDefault="001614AC">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325FA372" w14:textId="77777777" w:rsidR="001614AC" w:rsidRDefault="001614AC">
            <w:pPr>
              <w:keepNext/>
            </w:pPr>
          </w:p>
        </w:tc>
        <w:tc>
          <w:tcPr>
            <w:tcW w:w="1400"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1A0E1E2A" w14:textId="77777777" w:rsidR="001614AC" w:rsidRDefault="004468F9">
            <w:pPr>
              <w:keepNext/>
              <w:spacing w:before="55" w:after="30" w:line="288" w:lineRule="auto"/>
              <w:jc w:val="right"/>
            </w:pPr>
            <w:r>
              <w:rPr>
                <w:rFonts w:ascii="Arial" w:eastAsia="Arial" w:hAnsi="Arial" w:cs="Arial"/>
                <w:color w:val="000000"/>
                <w:sz w:val="18"/>
              </w:rPr>
              <w:t>(580,435)</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2AA7EB41" w14:textId="77777777" w:rsidR="001614AC" w:rsidRDefault="001614AC">
            <w:pPr>
              <w:keepNext/>
              <w:spacing w:before="55" w:after="30" w:line="288" w:lineRule="auto"/>
              <w:jc w:val="right"/>
            </w:pPr>
          </w:p>
        </w:tc>
      </w:tr>
      <w:tr w:rsidR="001614AC" w14:paraId="1EAF21D6" w14:textId="77777777">
        <w:trPr>
          <w:cantSplit/>
        </w:trPr>
        <w:tc>
          <w:tcPr>
            <w:tcW w:w="6900" w:type="dxa"/>
            <w:tcBorders>
              <w:top w:val="single" w:sz="8" w:space="0" w:color="E9E9E9"/>
              <w:left w:val="nil"/>
              <w:bottom w:val="nil"/>
              <w:right w:val="nil"/>
            </w:tcBorders>
            <w:tcMar>
              <w:top w:w="0" w:type="dxa"/>
              <w:left w:w="53" w:type="dxa"/>
              <w:bottom w:w="0" w:type="dxa"/>
              <w:right w:w="53" w:type="dxa"/>
            </w:tcMar>
            <w:vAlign w:val="bottom"/>
          </w:tcPr>
          <w:p w14:paraId="15B7ECF9" w14:textId="77777777" w:rsidR="001614AC" w:rsidRDefault="004468F9">
            <w:pPr>
              <w:keepNext/>
              <w:spacing w:before="55" w:after="30" w:line="288" w:lineRule="auto"/>
              <w:ind w:left="240"/>
            </w:pPr>
            <w:r>
              <w:rPr>
                <w:rFonts w:ascii="Arial" w:eastAsia="Arial" w:hAnsi="Arial" w:cs="Arial"/>
                <w:color w:val="000000"/>
                <w:sz w:val="18"/>
              </w:rPr>
              <w:t>Financing activities</w:t>
            </w:r>
          </w:p>
        </w:tc>
        <w:tc>
          <w:tcPr>
            <w:tcW w:w="105" w:type="dxa"/>
            <w:tcBorders>
              <w:top w:val="nil"/>
              <w:left w:val="nil"/>
              <w:bottom w:val="nil"/>
              <w:right w:val="nil"/>
            </w:tcBorders>
            <w:tcMar>
              <w:top w:w="0" w:type="dxa"/>
              <w:left w:w="0" w:type="dxa"/>
              <w:bottom w:w="0" w:type="dxa"/>
              <w:right w:w="0" w:type="dxa"/>
            </w:tcMar>
            <w:vAlign w:val="bottom"/>
          </w:tcPr>
          <w:p w14:paraId="4C0AD4EA" w14:textId="77777777" w:rsidR="001614AC" w:rsidRDefault="001614AC">
            <w:pPr>
              <w:keepNext/>
            </w:pPr>
          </w:p>
        </w:tc>
        <w:tc>
          <w:tcPr>
            <w:tcW w:w="1370" w:type="dxa"/>
            <w:gridSpan w:val="2"/>
            <w:tcBorders>
              <w:top w:val="single" w:sz="8" w:space="0" w:color="E9E9E9"/>
              <w:left w:val="nil"/>
              <w:bottom w:val="nil"/>
              <w:right w:val="nil"/>
            </w:tcBorders>
            <w:tcMar>
              <w:top w:w="0" w:type="dxa"/>
              <w:left w:w="53" w:type="dxa"/>
              <w:bottom w:w="0" w:type="dxa"/>
              <w:right w:w="0" w:type="dxa"/>
            </w:tcMar>
            <w:vAlign w:val="bottom"/>
          </w:tcPr>
          <w:p w14:paraId="5696E149" w14:textId="77777777" w:rsidR="001614AC" w:rsidRDefault="004468F9">
            <w:pPr>
              <w:keepNext/>
              <w:spacing w:before="55" w:after="30" w:line="288" w:lineRule="auto"/>
              <w:jc w:val="right"/>
            </w:pPr>
            <w:r>
              <w:rPr>
                <w:rFonts w:ascii="Arial" w:eastAsia="Arial" w:hAnsi="Arial" w:cs="Arial"/>
                <w:color w:val="000000"/>
                <w:sz w:val="18"/>
              </w:rPr>
              <w:t>(155,742)</w:t>
            </w:r>
          </w:p>
        </w:tc>
        <w:tc>
          <w:tcPr>
            <w:tcW w:w="100" w:type="dxa"/>
            <w:tcBorders>
              <w:top w:val="single" w:sz="8" w:space="0" w:color="E9E9E9"/>
              <w:left w:val="nil"/>
              <w:bottom w:val="nil"/>
              <w:right w:val="nil"/>
            </w:tcBorders>
            <w:tcMar>
              <w:top w:w="0" w:type="dxa"/>
              <w:left w:w="0" w:type="dxa"/>
              <w:bottom w:w="0" w:type="dxa"/>
              <w:right w:w="15" w:type="dxa"/>
            </w:tcMar>
            <w:vAlign w:val="bottom"/>
          </w:tcPr>
          <w:p w14:paraId="754D83E9" w14:textId="77777777" w:rsidR="001614AC" w:rsidRDefault="001614AC">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39CA6C0B" w14:textId="77777777" w:rsidR="001614AC" w:rsidRDefault="001614AC">
            <w:pPr>
              <w:keepNext/>
            </w:pPr>
          </w:p>
        </w:tc>
        <w:tc>
          <w:tcPr>
            <w:tcW w:w="1400" w:type="dxa"/>
            <w:gridSpan w:val="2"/>
            <w:tcBorders>
              <w:top w:val="single" w:sz="8" w:space="0" w:color="E9E9E9"/>
              <w:left w:val="nil"/>
              <w:bottom w:val="nil"/>
              <w:right w:val="nil"/>
            </w:tcBorders>
            <w:tcMar>
              <w:top w:w="0" w:type="dxa"/>
              <w:left w:w="53" w:type="dxa"/>
              <w:bottom w:w="0" w:type="dxa"/>
              <w:right w:w="0" w:type="dxa"/>
            </w:tcMar>
            <w:vAlign w:val="bottom"/>
          </w:tcPr>
          <w:p w14:paraId="259FB924" w14:textId="77777777" w:rsidR="001614AC" w:rsidRDefault="004468F9">
            <w:pPr>
              <w:keepNext/>
              <w:spacing w:before="55" w:after="30" w:line="288" w:lineRule="auto"/>
              <w:jc w:val="right"/>
            </w:pPr>
            <w:r>
              <w:rPr>
                <w:rFonts w:ascii="Arial" w:eastAsia="Arial" w:hAnsi="Arial" w:cs="Arial"/>
                <w:color w:val="000000"/>
                <w:sz w:val="18"/>
              </w:rPr>
              <w:t>263,536 </w:t>
            </w:r>
          </w:p>
        </w:tc>
        <w:tc>
          <w:tcPr>
            <w:tcW w:w="100" w:type="dxa"/>
            <w:tcBorders>
              <w:top w:val="single" w:sz="8" w:space="0" w:color="E9E9E9"/>
              <w:left w:val="nil"/>
              <w:bottom w:val="nil"/>
              <w:right w:val="nil"/>
            </w:tcBorders>
            <w:tcMar>
              <w:top w:w="0" w:type="dxa"/>
              <w:left w:w="0" w:type="dxa"/>
              <w:bottom w:w="0" w:type="dxa"/>
              <w:right w:w="15" w:type="dxa"/>
            </w:tcMar>
            <w:vAlign w:val="bottom"/>
          </w:tcPr>
          <w:p w14:paraId="7B8E5711" w14:textId="77777777" w:rsidR="001614AC" w:rsidRDefault="001614AC">
            <w:pPr>
              <w:keepNext/>
              <w:spacing w:before="55" w:after="30" w:line="288" w:lineRule="auto"/>
              <w:jc w:val="right"/>
            </w:pPr>
          </w:p>
        </w:tc>
      </w:tr>
      <w:tr w:rsidR="001614AC" w14:paraId="431B4DE2" w14:textId="77777777">
        <w:trPr>
          <w:cantSplit/>
        </w:trPr>
        <w:tc>
          <w:tcPr>
            <w:tcW w:w="6900" w:type="dxa"/>
            <w:tcBorders>
              <w:top w:val="nil"/>
              <w:left w:val="nil"/>
              <w:bottom w:val="nil"/>
              <w:right w:val="nil"/>
            </w:tcBorders>
            <w:shd w:val="clear" w:color="auto" w:fill="F4F4F4"/>
            <w:tcMar>
              <w:top w:w="0" w:type="dxa"/>
              <w:left w:w="53" w:type="dxa"/>
              <w:bottom w:w="0" w:type="dxa"/>
              <w:right w:w="53" w:type="dxa"/>
            </w:tcMar>
            <w:vAlign w:val="bottom"/>
          </w:tcPr>
          <w:p w14:paraId="3FB1CF8E" w14:textId="77777777" w:rsidR="001614AC" w:rsidRDefault="004468F9">
            <w:pPr>
              <w:spacing w:before="75" w:after="30" w:line="288" w:lineRule="auto"/>
              <w:ind w:left="240"/>
            </w:pPr>
            <w:r>
              <w:rPr>
                <w:rFonts w:ascii="Arial" w:eastAsia="Arial" w:hAnsi="Arial" w:cs="Arial"/>
                <w:color w:val="000000"/>
                <w:sz w:val="18"/>
              </w:rPr>
              <w:t>Increase (decrease) in cash and restricted cash</w:t>
            </w:r>
          </w:p>
        </w:tc>
        <w:tc>
          <w:tcPr>
            <w:tcW w:w="105" w:type="dxa"/>
            <w:tcBorders>
              <w:top w:val="nil"/>
              <w:left w:val="nil"/>
              <w:bottom w:val="nil"/>
              <w:right w:val="nil"/>
            </w:tcBorders>
            <w:shd w:val="clear" w:color="auto" w:fill="F4F4F4"/>
            <w:tcMar>
              <w:top w:w="0" w:type="dxa"/>
              <w:left w:w="0" w:type="dxa"/>
              <w:bottom w:w="0" w:type="dxa"/>
              <w:right w:w="0" w:type="dxa"/>
            </w:tcMar>
            <w:vAlign w:val="bottom"/>
          </w:tcPr>
          <w:p w14:paraId="237458FF" w14:textId="77777777" w:rsidR="001614AC" w:rsidRDefault="001614AC"/>
        </w:tc>
        <w:tc>
          <w:tcPr>
            <w:tcW w:w="160" w:type="dxa"/>
            <w:tcBorders>
              <w:top w:val="single" w:sz="8" w:space="0" w:color="E9E9E9"/>
              <w:left w:val="nil"/>
              <w:bottom w:val="double" w:sz="8" w:space="0" w:color="C7C9C7"/>
              <w:right w:val="nil"/>
            </w:tcBorders>
            <w:shd w:val="clear" w:color="auto" w:fill="F4F4F4"/>
            <w:tcMar>
              <w:top w:w="0" w:type="dxa"/>
              <w:left w:w="53" w:type="dxa"/>
              <w:bottom w:w="0" w:type="dxa"/>
              <w:right w:w="0" w:type="dxa"/>
            </w:tcMar>
            <w:vAlign w:val="bottom"/>
          </w:tcPr>
          <w:p w14:paraId="41870361" w14:textId="77777777" w:rsidR="001614AC" w:rsidRDefault="004468F9">
            <w:pPr>
              <w:spacing w:before="55" w:after="30" w:line="288" w:lineRule="auto"/>
            </w:pPr>
            <w:r>
              <w:rPr>
                <w:rFonts w:ascii="Arial" w:eastAsia="Arial" w:hAnsi="Arial" w:cs="Arial"/>
                <w:color w:val="000000"/>
                <w:sz w:val="18"/>
              </w:rPr>
              <w:t>$</w:t>
            </w:r>
          </w:p>
        </w:tc>
        <w:tc>
          <w:tcPr>
            <w:tcW w:w="1210" w:type="dxa"/>
            <w:tcBorders>
              <w:top w:val="single" w:sz="8" w:space="0" w:color="E9E9E9"/>
              <w:left w:val="nil"/>
              <w:bottom w:val="double" w:sz="8" w:space="0" w:color="C7C9C7"/>
              <w:right w:val="nil"/>
            </w:tcBorders>
            <w:shd w:val="clear" w:color="auto" w:fill="F4F4F4"/>
            <w:tcMar>
              <w:top w:w="0" w:type="dxa"/>
              <w:left w:w="0" w:type="dxa"/>
              <w:bottom w:w="0" w:type="dxa"/>
              <w:right w:w="0" w:type="dxa"/>
            </w:tcMar>
            <w:vAlign w:val="bottom"/>
          </w:tcPr>
          <w:p w14:paraId="73998AC9" w14:textId="77777777" w:rsidR="001614AC" w:rsidRDefault="004468F9">
            <w:pPr>
              <w:spacing w:before="55" w:after="30" w:line="288" w:lineRule="auto"/>
              <w:jc w:val="right"/>
            </w:pPr>
            <w:r>
              <w:rPr>
                <w:rFonts w:ascii="Arial" w:eastAsia="Arial" w:hAnsi="Arial" w:cs="Arial"/>
                <w:color w:val="000000"/>
                <w:sz w:val="18"/>
              </w:rPr>
              <w:t>43,761 </w:t>
            </w:r>
          </w:p>
        </w:tc>
        <w:tc>
          <w:tcPr>
            <w:tcW w:w="100" w:type="dxa"/>
            <w:tcBorders>
              <w:top w:val="single" w:sz="8" w:space="0" w:color="E9E9E9"/>
              <w:left w:val="nil"/>
              <w:bottom w:val="double" w:sz="8" w:space="0" w:color="C7C9C7"/>
              <w:right w:val="nil"/>
            </w:tcBorders>
            <w:shd w:val="clear" w:color="auto" w:fill="F4F4F4"/>
            <w:tcMar>
              <w:top w:w="0" w:type="dxa"/>
              <w:left w:w="0" w:type="dxa"/>
              <w:bottom w:w="0" w:type="dxa"/>
              <w:right w:w="15" w:type="dxa"/>
            </w:tcMar>
            <w:vAlign w:val="bottom"/>
          </w:tcPr>
          <w:p w14:paraId="646E2619" w14:textId="77777777" w:rsidR="001614AC" w:rsidRDefault="001614AC">
            <w:pPr>
              <w:spacing w:before="55" w:after="30" w:line="288" w:lineRule="auto"/>
              <w:jc w:val="right"/>
            </w:pPr>
          </w:p>
        </w:tc>
        <w:tc>
          <w:tcPr>
            <w:tcW w:w="105" w:type="dxa"/>
            <w:tcBorders>
              <w:top w:val="nil"/>
              <w:left w:val="nil"/>
              <w:bottom w:val="nil"/>
              <w:right w:val="nil"/>
            </w:tcBorders>
            <w:shd w:val="clear" w:color="auto" w:fill="F4F4F4"/>
            <w:tcMar>
              <w:top w:w="0" w:type="dxa"/>
              <w:left w:w="0" w:type="dxa"/>
              <w:bottom w:w="0" w:type="dxa"/>
              <w:right w:w="0" w:type="dxa"/>
            </w:tcMar>
            <w:vAlign w:val="bottom"/>
          </w:tcPr>
          <w:p w14:paraId="70B86844" w14:textId="77777777" w:rsidR="001614AC" w:rsidRDefault="001614AC"/>
        </w:tc>
        <w:tc>
          <w:tcPr>
            <w:tcW w:w="160" w:type="dxa"/>
            <w:tcBorders>
              <w:top w:val="single" w:sz="8" w:space="0" w:color="E9E9E9"/>
              <w:left w:val="nil"/>
              <w:bottom w:val="double" w:sz="8" w:space="0" w:color="C7C9C7"/>
              <w:right w:val="nil"/>
            </w:tcBorders>
            <w:shd w:val="clear" w:color="auto" w:fill="F4F4F4"/>
            <w:tcMar>
              <w:top w:w="0" w:type="dxa"/>
              <w:left w:w="53" w:type="dxa"/>
              <w:bottom w:w="0" w:type="dxa"/>
              <w:right w:w="0" w:type="dxa"/>
            </w:tcMar>
            <w:vAlign w:val="bottom"/>
          </w:tcPr>
          <w:p w14:paraId="6D84FB13" w14:textId="77777777" w:rsidR="001614AC" w:rsidRDefault="004468F9">
            <w:pPr>
              <w:spacing w:before="55" w:after="30" w:line="288" w:lineRule="auto"/>
            </w:pPr>
            <w:r>
              <w:rPr>
                <w:rFonts w:ascii="Arial" w:eastAsia="Arial" w:hAnsi="Arial" w:cs="Arial"/>
                <w:color w:val="000000"/>
                <w:sz w:val="18"/>
              </w:rPr>
              <w:t>$</w:t>
            </w:r>
          </w:p>
        </w:tc>
        <w:tc>
          <w:tcPr>
            <w:tcW w:w="1240" w:type="dxa"/>
            <w:tcBorders>
              <w:top w:val="single" w:sz="8" w:space="0" w:color="E9E9E9"/>
              <w:left w:val="nil"/>
              <w:bottom w:val="double" w:sz="8" w:space="0" w:color="C7C9C7"/>
              <w:right w:val="nil"/>
            </w:tcBorders>
            <w:shd w:val="clear" w:color="auto" w:fill="F4F4F4"/>
            <w:tcMar>
              <w:top w:w="0" w:type="dxa"/>
              <w:left w:w="0" w:type="dxa"/>
              <w:bottom w:w="0" w:type="dxa"/>
              <w:right w:w="0" w:type="dxa"/>
            </w:tcMar>
            <w:vAlign w:val="bottom"/>
          </w:tcPr>
          <w:p w14:paraId="21A10A34" w14:textId="77777777" w:rsidR="001614AC" w:rsidRDefault="004468F9">
            <w:pPr>
              <w:spacing w:before="55" w:after="30" w:line="288" w:lineRule="auto"/>
              <w:jc w:val="right"/>
            </w:pPr>
            <w:r>
              <w:rPr>
                <w:rFonts w:ascii="Arial" w:eastAsia="Arial" w:hAnsi="Arial" w:cs="Arial"/>
                <w:color w:val="000000"/>
                <w:sz w:val="18"/>
              </w:rPr>
              <w:t>(11,608)</w:t>
            </w:r>
          </w:p>
        </w:tc>
        <w:tc>
          <w:tcPr>
            <w:tcW w:w="100" w:type="dxa"/>
            <w:tcBorders>
              <w:top w:val="single" w:sz="8" w:space="0" w:color="E9E9E9"/>
              <w:left w:val="nil"/>
              <w:bottom w:val="double" w:sz="8" w:space="0" w:color="C7C9C7"/>
              <w:right w:val="nil"/>
            </w:tcBorders>
            <w:shd w:val="clear" w:color="auto" w:fill="F4F4F4"/>
            <w:tcMar>
              <w:top w:w="0" w:type="dxa"/>
              <w:left w:w="0" w:type="dxa"/>
              <w:bottom w:w="0" w:type="dxa"/>
              <w:right w:w="15" w:type="dxa"/>
            </w:tcMar>
            <w:vAlign w:val="bottom"/>
          </w:tcPr>
          <w:p w14:paraId="3A1141EF" w14:textId="77777777" w:rsidR="001614AC" w:rsidRDefault="001614AC">
            <w:pPr>
              <w:spacing w:before="55" w:after="30" w:line="288" w:lineRule="auto"/>
              <w:jc w:val="right"/>
            </w:pPr>
          </w:p>
        </w:tc>
      </w:tr>
    </w:tbl>
    <w:p w14:paraId="0987ABB3" w14:textId="77777777" w:rsidR="001614AC" w:rsidRDefault="004468F9">
      <w:pPr>
        <w:spacing w:before="200" w:after="100" w:line="288" w:lineRule="auto"/>
        <w:ind w:firstLine="450"/>
        <w:rPr>
          <w:rFonts w:ascii="Arial" w:eastAsia="Arial" w:hAnsi="Arial" w:cs="Arial"/>
          <w:b/>
          <w:i/>
          <w:color w:val="4D6B80"/>
          <w:sz w:val="18"/>
        </w:rPr>
      </w:pPr>
      <w:r>
        <w:rPr>
          <w:rFonts w:ascii="Arial" w:eastAsia="Arial" w:hAnsi="Arial" w:cs="Arial"/>
          <w:b/>
          <w:i/>
          <w:sz w:val="18"/>
        </w:rPr>
        <w:t xml:space="preserve">Operating Activities. </w:t>
      </w:r>
      <w:r>
        <w:rPr>
          <w:rFonts w:ascii="Arial" w:eastAsia="Arial" w:hAnsi="Arial" w:cs="Arial"/>
          <w:sz w:val="18"/>
        </w:rPr>
        <w:t>Our most significant source of operating cash flows is from premiums received from our mortgage insurance policies, while our most significant uses of operating cash flows are for our operating expen</w:t>
      </w:r>
      <w:r>
        <w:rPr>
          <w:rFonts w:ascii="Arial" w:eastAsia="Arial" w:hAnsi="Arial" w:cs="Arial"/>
          <w:sz w:val="18"/>
        </w:rPr>
        <w:t>ses and claims paid on our mortgage insurance policies. Net cash provided by operating activities totaled $275.9 million for the six months ended June 30, 2021, a slight decrease compared to $305.3 million for the same period in 2020. This decrease was pri</w:t>
      </w:r>
      <w:r>
        <w:rPr>
          <w:rFonts w:ascii="Arial" w:eastAsia="Arial" w:hAnsi="Arial" w:cs="Arial"/>
          <w:sz w:val="18"/>
        </w:rPr>
        <w:t>ncipally due to lower direct premiums written, partially offset by a reduction in claims paid for the six months ended June 30, 2021.</w:t>
      </w:r>
    </w:p>
    <w:p w14:paraId="34D2A847" w14:textId="77777777" w:rsidR="001614AC" w:rsidRDefault="004468F9">
      <w:pPr>
        <w:spacing w:before="100" w:after="100" w:line="288" w:lineRule="auto"/>
        <w:ind w:firstLine="450"/>
        <w:rPr>
          <w:rFonts w:ascii="Arial" w:eastAsia="Arial" w:hAnsi="Arial" w:cs="Arial"/>
          <w:b/>
          <w:i/>
          <w:color w:val="4D6B80"/>
          <w:sz w:val="18"/>
        </w:rPr>
      </w:pPr>
      <w:r>
        <w:rPr>
          <w:rFonts w:ascii="Arial" w:eastAsia="Arial" w:hAnsi="Arial" w:cs="Arial"/>
          <w:b/>
          <w:i/>
          <w:sz w:val="18"/>
        </w:rPr>
        <w:t>Investing Activities.</w:t>
      </w:r>
      <w:r>
        <w:rPr>
          <w:rFonts w:ascii="Arial" w:eastAsia="Arial" w:hAnsi="Arial" w:cs="Arial"/>
          <w:sz w:val="18"/>
        </w:rPr>
        <w:t xml:space="preserve"> Net cash used in investing activities was $76.4 million for the six months ended June 30, 2021, comp</w:t>
      </w:r>
      <w:r>
        <w:rPr>
          <w:rFonts w:ascii="Arial" w:eastAsia="Arial" w:hAnsi="Arial" w:cs="Arial"/>
          <w:sz w:val="18"/>
        </w:rPr>
        <w:t>ared to $580.4 million used in investing activities for the same period in 2020. This change was primarily the result of an increase in proceeds from redemptions and decreases in purchases of both short-term investments, net, and fixed-maturity investments</w:t>
      </w:r>
      <w:r>
        <w:rPr>
          <w:rFonts w:ascii="Arial" w:eastAsia="Arial" w:hAnsi="Arial" w:cs="Arial"/>
          <w:sz w:val="18"/>
        </w:rPr>
        <w:t xml:space="preserve"> available for sale, partially offset by decreases in proceeds from sales of investments. </w:t>
      </w:r>
    </w:p>
    <w:p w14:paraId="108E72C1" w14:textId="77777777" w:rsidR="001614AC" w:rsidRDefault="004468F9">
      <w:pPr>
        <w:spacing w:before="100" w:after="100" w:line="288" w:lineRule="auto"/>
        <w:ind w:firstLine="450"/>
        <w:rPr>
          <w:rFonts w:ascii="Arial" w:eastAsia="Arial" w:hAnsi="Arial" w:cs="Arial"/>
          <w:b/>
          <w:i/>
          <w:color w:val="4D6B80"/>
          <w:sz w:val="18"/>
        </w:rPr>
      </w:pPr>
      <w:r>
        <w:rPr>
          <w:rFonts w:ascii="Arial" w:eastAsia="Arial" w:hAnsi="Arial" w:cs="Arial"/>
          <w:b/>
          <w:i/>
          <w:sz w:val="18"/>
        </w:rPr>
        <w:t>Financing Activities.</w:t>
      </w:r>
      <w:r>
        <w:rPr>
          <w:rFonts w:ascii="Arial" w:eastAsia="Arial" w:hAnsi="Arial" w:cs="Arial"/>
          <w:sz w:val="18"/>
        </w:rPr>
        <w:t xml:space="preserve"> Net cash used in financing activities was $155.7 million for the six months ended June 30, 2021, compared to net cash provided by financing act</w:t>
      </w:r>
      <w:r>
        <w:rPr>
          <w:rFonts w:ascii="Arial" w:eastAsia="Arial" w:hAnsi="Arial" w:cs="Arial"/>
          <w:sz w:val="18"/>
        </w:rPr>
        <w:t>ivities of $263.5 million for the same period in 2020. For the six months ended June 30, 2021, our primary financing activities included: (i) repurchases of our common shares; (ii) payment of dividends; and (iii) net repayments of secured borrowings. For t</w:t>
      </w:r>
      <w:r>
        <w:rPr>
          <w:rFonts w:ascii="Arial" w:eastAsia="Arial" w:hAnsi="Arial" w:cs="Arial"/>
          <w:sz w:val="18"/>
        </w:rPr>
        <w:t>he six months ended June 30, 2020, cash provided by financing activities included the issuance of Senior Notes due 2025, partially offset by: (i) repurchases of our common shares and (ii) payments of dividends. See Notes 12 and 14 of Notes to Unaudited Con</w:t>
      </w:r>
      <w:r>
        <w:rPr>
          <w:rFonts w:ascii="Arial" w:eastAsia="Arial" w:hAnsi="Arial" w:cs="Arial"/>
          <w:sz w:val="18"/>
        </w:rPr>
        <w:t xml:space="preserve">densed Consolidated Financial Statements for additional information regarding our borrowings and share repurchases, respectively. </w:t>
      </w:r>
    </w:p>
    <w:p w14:paraId="43D50A1D" w14:textId="77777777" w:rsidR="001614AC" w:rsidRDefault="004468F9">
      <w:pPr>
        <w:spacing w:before="100" w:after="100" w:line="288" w:lineRule="auto"/>
        <w:ind w:firstLine="450"/>
        <w:rPr>
          <w:rFonts w:ascii="Arial" w:eastAsia="Arial" w:hAnsi="Arial" w:cs="Arial"/>
          <w:b/>
          <w:i/>
          <w:color w:val="4D6B80"/>
          <w:sz w:val="18"/>
        </w:rPr>
      </w:pPr>
      <w:r>
        <w:rPr>
          <w:rFonts w:ascii="Arial" w:eastAsia="Arial" w:hAnsi="Arial" w:cs="Arial"/>
          <w:sz w:val="18"/>
        </w:rPr>
        <w:t>See “Item 1. Financial Statements (Unaudited)—Condensed Consolidated Statements of Cash Flows (Unaudited)” for additional inf</w:t>
      </w:r>
      <w:r>
        <w:rPr>
          <w:rFonts w:ascii="Arial" w:eastAsia="Arial" w:hAnsi="Arial" w:cs="Arial"/>
          <w:sz w:val="18"/>
        </w:rPr>
        <w:t>ormation.</w:t>
      </w:r>
    </w:p>
    <w:p w14:paraId="5EF1D69F" w14:textId="77777777" w:rsidR="001614AC" w:rsidRDefault="004468F9">
      <w:pPr>
        <w:keepNext/>
        <w:spacing w:before="180" w:after="140" w:line="288" w:lineRule="auto"/>
        <w:rPr>
          <w:rFonts w:ascii="Arial" w:eastAsia="Arial" w:hAnsi="Arial" w:cs="Arial"/>
          <w:b/>
          <w:i/>
          <w:color w:val="002B49"/>
          <w:sz w:val="26"/>
        </w:rPr>
      </w:pPr>
      <w:r>
        <w:rPr>
          <w:rFonts w:ascii="Arial" w:eastAsia="Arial" w:hAnsi="Arial" w:cs="Arial"/>
          <w:b/>
          <w:color w:val="002B49"/>
          <w:sz w:val="26"/>
        </w:rPr>
        <w:t>Liquidity Analysis—Holding Company</w:t>
      </w:r>
    </w:p>
    <w:p w14:paraId="7EC374AA" w14:textId="77777777" w:rsidR="001614AC" w:rsidRDefault="004468F9">
      <w:pPr>
        <w:spacing w:before="100" w:after="100" w:line="288" w:lineRule="auto"/>
        <w:ind w:firstLine="450"/>
        <w:rPr>
          <w:rFonts w:ascii="Arial" w:eastAsia="Arial" w:hAnsi="Arial" w:cs="Arial"/>
          <w:b/>
          <w:i/>
          <w:color w:val="4D6B80"/>
          <w:sz w:val="22"/>
        </w:rPr>
      </w:pPr>
      <w:r>
        <w:rPr>
          <w:rFonts w:ascii="Arial" w:eastAsia="Arial" w:hAnsi="Arial" w:cs="Arial"/>
          <w:sz w:val="18"/>
        </w:rPr>
        <w:t>Radian Group serves as the holding company for our operating subsidiaries and does not have any operations of its own. At June 30, 2021, Radian Group had available, either directly or through unregulated subsidi</w:t>
      </w:r>
      <w:r>
        <w:rPr>
          <w:rFonts w:ascii="Arial" w:eastAsia="Arial" w:hAnsi="Arial" w:cs="Arial"/>
          <w:sz w:val="18"/>
        </w:rPr>
        <w:t xml:space="preserve">aries, unrestricted cash and liquid investments of $923.0 million. Available liquidity at June 30, 2021 excludes certain additional cash and liquid investments that have been advanced to Radian Group from its subsidiaries to pay for corporate expenses and </w:t>
      </w:r>
      <w:r>
        <w:rPr>
          <w:rFonts w:ascii="Arial" w:eastAsia="Arial" w:hAnsi="Arial" w:cs="Arial"/>
          <w:sz w:val="18"/>
        </w:rPr>
        <w:t>interest payments. Total liquidity, which includes our undrawn $267.5 million unsecured revolving credit facility, as described below, was $1.2 billion as of June 30, 2021.</w:t>
      </w:r>
    </w:p>
    <w:p w14:paraId="2B5F94F8" w14:textId="77777777" w:rsidR="001614AC" w:rsidRDefault="004468F9">
      <w:pPr>
        <w:spacing w:before="100" w:after="100" w:line="288" w:lineRule="auto"/>
        <w:ind w:firstLine="450"/>
        <w:rPr>
          <w:rFonts w:ascii="Arial" w:eastAsia="Arial" w:hAnsi="Arial" w:cs="Arial"/>
          <w:b/>
          <w:i/>
          <w:color w:val="4D6B80"/>
          <w:sz w:val="18"/>
        </w:rPr>
      </w:pPr>
      <w:r>
        <w:rPr>
          <w:rFonts w:ascii="Arial" w:eastAsia="Arial" w:hAnsi="Arial" w:cs="Arial"/>
          <w:sz w:val="18"/>
        </w:rPr>
        <w:t>During the six months ended June 30, 2021</w:t>
      </w:r>
      <w:r>
        <w:rPr>
          <w:rFonts w:ascii="Arial" w:eastAsia="Arial" w:hAnsi="Arial" w:cs="Arial"/>
          <w:sz w:val="18"/>
        </w:rPr>
        <w:t>, Radian Group’s available liquidity decreased by $179.7 million, primarily due to payments for share repurchases and dividends, as described below.</w:t>
      </w:r>
    </w:p>
    <w:p w14:paraId="0CE2C7A3" w14:textId="77777777" w:rsidR="001614AC" w:rsidRDefault="004468F9">
      <w:pPr>
        <w:spacing w:before="100" w:after="100" w:line="288" w:lineRule="auto"/>
        <w:ind w:firstLine="450"/>
        <w:rPr>
          <w:rFonts w:ascii="Arial" w:eastAsia="Arial" w:hAnsi="Arial" w:cs="Arial"/>
          <w:b/>
          <w:i/>
          <w:color w:val="4D6B80"/>
          <w:sz w:val="22"/>
        </w:rPr>
      </w:pPr>
      <w:r>
        <w:rPr>
          <w:rFonts w:ascii="Arial" w:eastAsia="Arial" w:hAnsi="Arial" w:cs="Arial"/>
          <w:sz w:val="18"/>
        </w:rPr>
        <w:t>In addition to available cash and marketable securities, Radian Group’s principal sources of cash to fund f</w:t>
      </w:r>
      <w:r>
        <w:rPr>
          <w:rFonts w:ascii="Arial" w:eastAsia="Arial" w:hAnsi="Arial" w:cs="Arial"/>
          <w:sz w:val="18"/>
        </w:rPr>
        <w:t>uture liquidity needs include: (i) payments made to Radian Group by its subsidiaries under expense- and tax-sharing arrangements; (ii) net investment income earned on its cash and marketable securities; (iii) to the extent available, dividends or other dis</w:t>
      </w:r>
      <w:r>
        <w:rPr>
          <w:rFonts w:ascii="Arial" w:eastAsia="Arial" w:hAnsi="Arial" w:cs="Arial"/>
          <w:sz w:val="18"/>
        </w:rPr>
        <w:t>tributions from its subsidiaries; and (iv) amounts, if any, that Radian Guaranty is able to repay under the 2017 Surplus Note. Radian Group also has in place a $267.5 million unsecured revolving credit facility with a syndicate of bank lenders, which has a</w:t>
      </w:r>
      <w:r>
        <w:rPr>
          <w:rFonts w:ascii="Arial" w:eastAsia="Arial" w:hAnsi="Arial" w:cs="Arial"/>
          <w:sz w:val="18"/>
        </w:rPr>
        <w:t xml:space="preserve"> </w:t>
      </w:r>
      <w:r>
        <w:rPr>
          <w:rFonts w:ascii="Arial" w:eastAsia="Arial" w:hAnsi="Arial" w:cs="Arial"/>
          <w:sz w:val="18"/>
        </w:rPr>
        <w:lastRenderedPageBreak/>
        <w:t>maturity date of January 18, 2022. Subject to certain limitations, borrowings under the credit facility may be used for working capital and general corporate purposes, including, without limitation, capital contributions to our insurance and reinsurance s</w:t>
      </w:r>
      <w:r>
        <w:rPr>
          <w:rFonts w:ascii="Arial" w:eastAsia="Arial" w:hAnsi="Arial" w:cs="Arial"/>
          <w:sz w:val="18"/>
        </w:rPr>
        <w:t>ubsidiaries as well as growth initiatives. At June 30, 2021, the full $267.5 million remains undrawn and available under the facility. The credit facility has a minimum liquidity requirement of $35 million. See Note 12 of Notes to Consolidated Financial St</w:t>
      </w:r>
      <w:r>
        <w:rPr>
          <w:rFonts w:ascii="Arial" w:eastAsia="Arial" w:hAnsi="Arial" w:cs="Arial"/>
          <w:sz w:val="18"/>
        </w:rPr>
        <w:t>atements in our 2020 Form 10-K for additional information on the unsecured revolving credit facility.</w:t>
      </w:r>
    </w:p>
    <w:p w14:paraId="73116E03" w14:textId="77777777" w:rsidR="001614AC" w:rsidRDefault="004468F9">
      <w:pPr>
        <w:spacing w:before="100" w:after="100" w:line="288" w:lineRule="auto"/>
        <w:ind w:firstLine="450"/>
        <w:rPr>
          <w:b/>
          <w:i/>
          <w:color w:val="4D6B80"/>
          <w:sz w:val="16"/>
          <w:shd w:val="clear" w:color="auto" w:fill="FFFF00"/>
        </w:rPr>
      </w:pPr>
      <w:r>
        <w:rPr>
          <w:rFonts w:ascii="Arial" w:eastAsia="Arial" w:hAnsi="Arial" w:cs="Arial"/>
          <w:sz w:val="18"/>
        </w:rPr>
        <w:t>We expect Radian Group’s principal liquidity demands for the next 12 months to be: (i) the payment of corporate expenses, including taxes; (ii) interest p</w:t>
      </w:r>
      <w:r>
        <w:rPr>
          <w:rFonts w:ascii="Arial" w:eastAsia="Arial" w:hAnsi="Arial" w:cs="Arial"/>
          <w:sz w:val="18"/>
        </w:rPr>
        <w:t>ayments on our outstanding debt obligations; (iii) subject to approval by our board of directors and our ongoing assessment of our financial condition, the payment of quarterly dividends on our common stock, which we increased in May 2021 from $0.125 to $0</w:t>
      </w:r>
      <w:r>
        <w:rPr>
          <w:rFonts w:ascii="Arial" w:eastAsia="Arial" w:hAnsi="Arial" w:cs="Arial"/>
          <w:sz w:val="18"/>
        </w:rPr>
        <w:t>.14 per share; and (iv) the potential continued repurchases of shares of our common stock pursuant to our current and potential future share repurchase authorizations.</w:t>
      </w:r>
    </w:p>
    <w:p w14:paraId="7EB652F6" w14:textId="77777777" w:rsidR="001614AC" w:rsidRDefault="004468F9">
      <w:pPr>
        <w:spacing w:before="100" w:after="100" w:line="288" w:lineRule="auto"/>
        <w:ind w:firstLine="450"/>
        <w:rPr>
          <w:rFonts w:ascii="Arial" w:eastAsia="Arial" w:hAnsi="Arial" w:cs="Arial"/>
          <w:b/>
          <w:i/>
          <w:color w:val="4D6B80"/>
          <w:sz w:val="18"/>
        </w:rPr>
      </w:pPr>
      <w:r>
        <w:rPr>
          <w:rFonts w:ascii="Arial" w:eastAsia="Arial" w:hAnsi="Arial" w:cs="Arial"/>
          <w:sz w:val="18"/>
        </w:rPr>
        <w:t>In addition to our ongoing short-term liquidity needs discussed above, our most signific</w:t>
      </w:r>
      <w:r>
        <w:rPr>
          <w:rFonts w:ascii="Arial" w:eastAsia="Arial" w:hAnsi="Arial" w:cs="Arial"/>
          <w:sz w:val="18"/>
        </w:rPr>
        <w:t>ant need for liquidity beyond the next 12 months is the repayment of $1.4 billion aggregate principal amount of our senior debt due in future years. See “—Capitalization—Holding Company” below for details of our debt maturity profile. Radian Group’s liquid</w:t>
      </w:r>
      <w:r>
        <w:rPr>
          <w:rFonts w:ascii="Arial" w:eastAsia="Arial" w:hAnsi="Arial" w:cs="Arial"/>
          <w:sz w:val="18"/>
        </w:rPr>
        <w:t>ity demands for the next 12 months or in future periods could also include: (i) early repurchases or redemptions of portions of our debt obligations; (ii) potential additional investments to support our business strategy; and (iii) potential additional cap</w:t>
      </w:r>
      <w:r>
        <w:rPr>
          <w:rFonts w:ascii="Arial" w:eastAsia="Arial" w:hAnsi="Arial" w:cs="Arial"/>
          <w:sz w:val="18"/>
        </w:rPr>
        <w:t xml:space="preserve">ital contributions to its subsidiaries, including due to the continuing impact that the COVID-19 pandemic could have on the liquidity, results of operations and financial condition of Radian Group and its subsidiaries. In our 2020 Form 10-K, see “Item 1A. </w:t>
      </w:r>
      <w:r>
        <w:rPr>
          <w:rFonts w:ascii="Arial" w:eastAsia="Arial" w:hAnsi="Arial" w:cs="Arial"/>
          <w:sz w:val="18"/>
        </w:rPr>
        <w:t>Risk Factors,” including “—</w:t>
      </w:r>
      <w:r>
        <w:rPr>
          <w:rFonts w:ascii="Arial" w:eastAsia="Arial" w:hAnsi="Arial" w:cs="Arial"/>
          <w:i/>
          <w:sz w:val="18"/>
        </w:rPr>
        <w:t>Radian Group’s sources of liquidity may be insufficient to fund its obligations</w:t>
      </w:r>
      <w:r>
        <w:rPr>
          <w:rFonts w:ascii="Arial" w:eastAsia="Arial" w:hAnsi="Arial" w:cs="Arial"/>
          <w:sz w:val="18"/>
        </w:rPr>
        <w:t>”</w:t>
      </w:r>
      <w:r>
        <w:rPr>
          <w:rFonts w:ascii="Arial" w:eastAsia="Arial" w:hAnsi="Arial" w:cs="Arial"/>
          <w:i/>
          <w:sz w:val="18"/>
        </w:rPr>
        <w:t xml:space="preserve"> </w:t>
      </w:r>
      <w:r>
        <w:rPr>
          <w:rFonts w:ascii="Arial" w:eastAsia="Arial" w:hAnsi="Arial" w:cs="Arial"/>
          <w:sz w:val="18"/>
        </w:rPr>
        <w:t>and</w:t>
      </w:r>
      <w:r>
        <w:rPr>
          <w:rFonts w:ascii="Arial" w:eastAsia="Arial" w:hAnsi="Arial" w:cs="Arial"/>
          <w:i/>
          <w:sz w:val="18"/>
        </w:rPr>
        <w:t xml:space="preserve"> </w:t>
      </w:r>
      <w:r>
        <w:rPr>
          <w:rFonts w:ascii="Arial" w:eastAsia="Arial" w:hAnsi="Arial" w:cs="Arial"/>
          <w:sz w:val="18"/>
        </w:rPr>
        <w:t>“</w:t>
      </w:r>
      <w:r>
        <w:rPr>
          <w:rFonts w:ascii="Arial" w:eastAsia="Arial" w:hAnsi="Arial" w:cs="Arial"/>
          <w:i/>
          <w:sz w:val="18"/>
        </w:rPr>
        <w:t xml:space="preserve">—Radian Guaranty may fail to maintain its eligibility status with the GSEs, and the additional capital required to support Radian </w:t>
      </w:r>
      <w:r>
        <w:rPr>
          <w:rFonts w:ascii="Arial" w:eastAsia="Arial" w:hAnsi="Arial" w:cs="Arial"/>
          <w:i/>
          <w:sz w:val="18"/>
        </w:rPr>
        <w:t>Guaranty’s eligibility could reduce our available liquidity</w:t>
      </w:r>
      <w:r>
        <w:rPr>
          <w:rFonts w:ascii="Arial" w:eastAsia="Arial" w:hAnsi="Arial" w:cs="Arial"/>
          <w:sz w:val="18"/>
        </w:rPr>
        <w:t xml:space="preserve">” for additional discussion about the elevated risks and uncertainties associated with the COVID-19 pandemic and the potential impact to Radian Guaranty’s Minimum Required Assets. See also Notes 1 </w:t>
      </w:r>
      <w:r>
        <w:rPr>
          <w:rFonts w:ascii="Arial" w:eastAsia="Arial" w:hAnsi="Arial" w:cs="Arial"/>
          <w:sz w:val="18"/>
        </w:rPr>
        <w:t>and 16 of Notes to Unaudited Condensed Consolidated Financial Statements and “Overview—COVID-19 Impacts” for further information.</w:t>
      </w:r>
    </w:p>
    <w:p w14:paraId="33999A88" w14:textId="77777777" w:rsidR="001614AC" w:rsidRDefault="004468F9">
      <w:pPr>
        <w:spacing w:before="100" w:after="100" w:line="288" w:lineRule="auto"/>
        <w:ind w:firstLine="450"/>
        <w:rPr>
          <w:rFonts w:ascii="Arial" w:eastAsia="Arial" w:hAnsi="Arial" w:cs="Arial"/>
          <w:b/>
          <w:i/>
          <w:color w:val="4D6B80"/>
          <w:sz w:val="18"/>
        </w:rPr>
      </w:pPr>
      <w:r>
        <w:rPr>
          <w:rFonts w:ascii="Arial" w:eastAsia="Arial" w:hAnsi="Arial" w:cs="Arial"/>
          <w:sz w:val="18"/>
        </w:rPr>
        <w:t>If Radian Group’s current sources of liquidity are insufficient to fund its obligations, or if we otherwise decide to increase</w:t>
      </w:r>
      <w:r>
        <w:rPr>
          <w:rFonts w:ascii="Arial" w:eastAsia="Arial" w:hAnsi="Arial" w:cs="Arial"/>
          <w:sz w:val="18"/>
        </w:rPr>
        <w:t xml:space="preserve"> our liquidity position, Radian Group may seek additional capital, including by incurring additional debt, issuing additional equity, or selling assets, which we may not be able to do on favorable terms, if at all.</w:t>
      </w:r>
    </w:p>
    <w:p w14:paraId="26CA344A" w14:textId="77777777" w:rsidR="001614AC" w:rsidRDefault="004468F9">
      <w:pPr>
        <w:spacing w:before="100" w:after="100" w:line="288" w:lineRule="auto"/>
        <w:ind w:firstLine="450"/>
        <w:rPr>
          <w:b/>
          <w:i/>
          <w:color w:val="4D6B80"/>
          <w:sz w:val="16"/>
          <w:shd w:val="clear" w:color="auto" w:fill="FFFF00"/>
        </w:rPr>
      </w:pPr>
      <w:r>
        <w:rPr>
          <w:rFonts w:ascii="Arial" w:eastAsia="Arial" w:hAnsi="Arial" w:cs="Arial"/>
          <w:b/>
          <w:i/>
          <w:sz w:val="18"/>
        </w:rPr>
        <w:t xml:space="preserve">Share Repurchases. </w:t>
      </w:r>
      <w:r>
        <w:rPr>
          <w:rFonts w:ascii="Arial" w:eastAsia="Arial" w:hAnsi="Arial" w:cs="Arial"/>
          <w:sz w:val="18"/>
        </w:rPr>
        <w:t xml:space="preserve">During the six months </w:t>
      </w:r>
      <w:r>
        <w:rPr>
          <w:rFonts w:ascii="Arial" w:eastAsia="Arial" w:hAnsi="Arial" w:cs="Arial"/>
          <w:sz w:val="18"/>
        </w:rPr>
        <w:t>ended June 30, 2021, the Company repurchased 4.3 million shares of Radian Group common stock under programs authorized by Radian Group’s board of directors, at a total cost of $98.7 million, including commissions. See Note 14 of Notes to Unaudited Condense</w:t>
      </w:r>
      <w:r>
        <w:rPr>
          <w:rFonts w:ascii="Arial" w:eastAsia="Arial" w:hAnsi="Arial" w:cs="Arial"/>
          <w:sz w:val="18"/>
        </w:rPr>
        <w:t>d Consolidated Financial Statements for additional details on our share repurchase program.</w:t>
      </w:r>
    </w:p>
    <w:p w14:paraId="3644CF67" w14:textId="77777777" w:rsidR="001614AC" w:rsidRDefault="004468F9">
      <w:pPr>
        <w:spacing w:before="100" w:after="100" w:line="288" w:lineRule="auto"/>
        <w:ind w:firstLine="450"/>
        <w:rPr>
          <w:b/>
          <w:i/>
          <w:color w:val="4D6B80"/>
          <w:sz w:val="16"/>
          <w:shd w:val="clear" w:color="auto" w:fill="FFFF00"/>
        </w:rPr>
      </w:pPr>
      <w:r>
        <w:rPr>
          <w:rFonts w:ascii="Arial" w:eastAsia="Arial" w:hAnsi="Arial" w:cs="Arial"/>
          <w:b/>
          <w:i/>
          <w:sz w:val="18"/>
        </w:rPr>
        <w:t>Dividends and Dividend Equivalents.</w:t>
      </w:r>
      <w:r>
        <w:rPr>
          <w:rFonts w:ascii="Arial" w:eastAsia="Arial" w:hAnsi="Arial" w:cs="Arial"/>
          <w:sz w:val="18"/>
        </w:rPr>
        <w:t xml:space="preserve"> Throughout 2020, and for the first quarter of 2021, our quarterly common stock dividend was $0.125 per share. Effective May 4, 2</w:t>
      </w:r>
      <w:r>
        <w:rPr>
          <w:rFonts w:ascii="Arial" w:eastAsia="Arial" w:hAnsi="Arial" w:cs="Arial"/>
          <w:sz w:val="18"/>
        </w:rPr>
        <w:t>021, Radian Group’s board of directors authorized an increase to the Company’s quarterly dividend to $0.14 per share. Based on our current outstanding shares of common stock and restricted stock units, we would require approximately $106 million in the agg</w:t>
      </w:r>
      <w:r>
        <w:rPr>
          <w:rFonts w:ascii="Arial" w:eastAsia="Arial" w:hAnsi="Arial" w:cs="Arial"/>
          <w:sz w:val="18"/>
        </w:rPr>
        <w:t>regate to pay dividends and dividend equivalents for the next 12 months. Radian Group is not subject to any limitations on its ability to pay dividends except those generally applicable to corporations that are incorporated in Delaware. The declaration and</w:t>
      </w:r>
      <w:r>
        <w:rPr>
          <w:rFonts w:ascii="Arial" w:eastAsia="Arial" w:hAnsi="Arial" w:cs="Arial"/>
          <w:sz w:val="18"/>
        </w:rPr>
        <w:t xml:space="preserve"> payment of future quarterly dividends remains subject to the board of directors’ determination.</w:t>
      </w:r>
    </w:p>
    <w:p w14:paraId="08D57811" w14:textId="77777777" w:rsidR="001614AC" w:rsidRDefault="004468F9">
      <w:pPr>
        <w:spacing w:before="100" w:after="100" w:line="288" w:lineRule="auto"/>
        <w:ind w:firstLine="450"/>
        <w:rPr>
          <w:rFonts w:ascii="Arial" w:eastAsia="Arial" w:hAnsi="Arial" w:cs="Arial"/>
          <w:b/>
          <w:i/>
          <w:color w:val="4D6B80"/>
          <w:sz w:val="18"/>
        </w:rPr>
      </w:pPr>
      <w:r>
        <w:rPr>
          <w:rFonts w:ascii="Arial" w:eastAsia="Arial" w:hAnsi="Arial" w:cs="Arial"/>
          <w:b/>
          <w:i/>
          <w:sz w:val="18"/>
        </w:rPr>
        <w:t>Corporate Expenses and Interest Expense.</w:t>
      </w:r>
      <w:r>
        <w:rPr>
          <w:rFonts w:ascii="Arial" w:eastAsia="Arial" w:hAnsi="Arial" w:cs="Arial"/>
          <w:sz w:val="18"/>
        </w:rPr>
        <w:t xml:space="preserve"> Radian Group has expense-sharing arrangements in place with its principal operating subsidiaries that require those su</w:t>
      </w:r>
      <w:r>
        <w:rPr>
          <w:rFonts w:ascii="Arial" w:eastAsia="Arial" w:hAnsi="Arial" w:cs="Arial"/>
          <w:sz w:val="18"/>
        </w:rPr>
        <w:t xml:space="preserve">bsidiaries to pay their allocated share of certain holding-company-level expenses, including interest payments on Radian Group’s outstanding debt obligations. Corporate expenses and interest expense on Radian Group’s debt obligations allocated under these </w:t>
      </w:r>
      <w:r>
        <w:rPr>
          <w:rFonts w:ascii="Arial" w:eastAsia="Arial" w:hAnsi="Arial" w:cs="Arial"/>
          <w:sz w:val="18"/>
        </w:rPr>
        <w:t xml:space="preserve">arrangements during the six months ended June 30, 2021 of $69.6 million and $41.3 million, respectively, were substantially all reimbursed by its subsidiaries. We expect substantially all of our holding company expenses to continue to be reimbursed by our </w:t>
      </w:r>
      <w:r>
        <w:rPr>
          <w:rFonts w:ascii="Arial" w:eastAsia="Arial" w:hAnsi="Arial" w:cs="Arial"/>
          <w:sz w:val="18"/>
        </w:rPr>
        <w:t>subsidiaries under our expense-sharing arrangements. The expense-sharing arrangements between Radian Group and its mortgage insurance subsidiaries, as amended, have been approved by the Pennsylvania Insurance Department, but such approval may be modified o</w:t>
      </w:r>
      <w:r>
        <w:rPr>
          <w:rFonts w:ascii="Arial" w:eastAsia="Arial" w:hAnsi="Arial" w:cs="Arial"/>
          <w:sz w:val="18"/>
        </w:rPr>
        <w:t xml:space="preserve">r revoked at any time. </w:t>
      </w:r>
    </w:p>
    <w:p w14:paraId="006BC8E5" w14:textId="77777777" w:rsidR="001614AC" w:rsidRDefault="004468F9">
      <w:pPr>
        <w:spacing w:before="100" w:after="100" w:line="288" w:lineRule="auto"/>
        <w:ind w:firstLine="450"/>
        <w:rPr>
          <w:rFonts w:ascii="Arial" w:eastAsia="Arial" w:hAnsi="Arial" w:cs="Arial"/>
          <w:b/>
          <w:i/>
          <w:color w:val="4D6B80"/>
          <w:sz w:val="18"/>
        </w:rPr>
      </w:pPr>
      <w:r>
        <w:rPr>
          <w:rFonts w:ascii="Arial" w:eastAsia="Arial" w:hAnsi="Arial" w:cs="Arial"/>
          <w:b/>
          <w:i/>
          <w:sz w:val="18"/>
        </w:rPr>
        <w:t xml:space="preserve">Taxes. </w:t>
      </w:r>
      <w:r>
        <w:rPr>
          <w:rFonts w:ascii="Arial" w:eastAsia="Arial" w:hAnsi="Arial" w:cs="Arial"/>
          <w:sz w:val="18"/>
          <w:shd w:val="clear" w:color="auto" w:fill="FFFFFF"/>
        </w:rPr>
        <w:t xml:space="preserve">Pursuant to our tax-sharing agreements, our operating subsidiaries pay Radian Group an amount equal to any federal income tax the subsidiary would have paid on a standalone basis if they </w:t>
      </w:r>
      <w:r>
        <w:rPr>
          <w:rFonts w:ascii="Arial" w:eastAsia="Arial" w:hAnsi="Arial" w:cs="Arial"/>
          <w:sz w:val="18"/>
        </w:rPr>
        <w:t>were</w:t>
      </w:r>
      <w:r>
        <w:rPr>
          <w:rFonts w:ascii="Arial" w:eastAsia="Arial" w:hAnsi="Arial" w:cs="Arial"/>
          <w:sz w:val="18"/>
          <w:shd w:val="clear" w:color="auto" w:fill="FFFFFF"/>
        </w:rPr>
        <w:t xml:space="preserve"> not part of our consolidated tax </w:t>
      </w:r>
      <w:r>
        <w:rPr>
          <w:rFonts w:ascii="Arial" w:eastAsia="Arial" w:hAnsi="Arial" w:cs="Arial"/>
          <w:sz w:val="18"/>
          <w:shd w:val="clear" w:color="auto" w:fill="FFFFFF"/>
        </w:rPr>
        <w:t>return. As a result, from time to time, under the provisions of our tax-sharing agreements, Radian Group may pay to or receive from its operating subsidiaries amounts that differ from Radian Group’s consolidated federal tax payment obligatio</w:t>
      </w:r>
      <w:r>
        <w:rPr>
          <w:rFonts w:ascii="Arial" w:eastAsia="Arial" w:hAnsi="Arial" w:cs="Arial"/>
          <w:sz w:val="18"/>
        </w:rPr>
        <w:t>n. During the s</w:t>
      </w:r>
      <w:r>
        <w:rPr>
          <w:rFonts w:ascii="Arial" w:eastAsia="Arial" w:hAnsi="Arial" w:cs="Arial"/>
          <w:sz w:val="18"/>
        </w:rPr>
        <w:t xml:space="preserve">ix months ended June 30, 2021, Radian Group received $12.7 million of tax-sharing agreement payments from its operating subsidiaries. </w:t>
      </w:r>
    </w:p>
    <w:p w14:paraId="4206ACD1" w14:textId="77777777" w:rsidR="001614AC" w:rsidRDefault="004468F9">
      <w:pPr>
        <w:keepNext/>
        <w:spacing w:before="180" w:after="140" w:line="288" w:lineRule="auto"/>
        <w:rPr>
          <w:rFonts w:ascii="Arial" w:eastAsia="Arial" w:hAnsi="Arial" w:cs="Arial"/>
          <w:b/>
          <w:i/>
          <w:color w:val="002B49"/>
          <w:sz w:val="26"/>
        </w:rPr>
      </w:pPr>
      <w:r>
        <w:rPr>
          <w:rFonts w:ascii="Arial" w:eastAsia="Arial" w:hAnsi="Arial" w:cs="Arial"/>
          <w:b/>
          <w:color w:val="002B49"/>
          <w:sz w:val="26"/>
        </w:rPr>
        <w:lastRenderedPageBreak/>
        <w:t>Capitalization—Holding Company</w:t>
      </w:r>
    </w:p>
    <w:p w14:paraId="1520AD8A" w14:textId="77777777" w:rsidR="001614AC" w:rsidRDefault="004468F9">
      <w:pPr>
        <w:keepNext/>
        <w:spacing w:before="100" w:after="100" w:line="288" w:lineRule="auto"/>
        <w:ind w:firstLine="450"/>
        <w:rPr>
          <w:rFonts w:ascii="Arial" w:eastAsia="Arial" w:hAnsi="Arial" w:cs="Arial"/>
          <w:b/>
          <w:i/>
          <w:color w:val="4D6B80"/>
          <w:sz w:val="18"/>
        </w:rPr>
      </w:pPr>
      <w:r>
        <w:rPr>
          <w:rFonts w:ascii="Arial" w:eastAsia="Arial" w:hAnsi="Arial" w:cs="Arial"/>
          <w:sz w:val="18"/>
        </w:rPr>
        <w:t>The following table presents our holding company capital structure.</w:t>
      </w:r>
    </w:p>
    <w:tbl>
      <w:tblPr>
        <w:tblW w:w="102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03"/>
        <w:gridCol w:w="105"/>
        <w:gridCol w:w="161"/>
        <w:gridCol w:w="1246"/>
        <w:gridCol w:w="177"/>
        <w:gridCol w:w="106"/>
        <w:gridCol w:w="161"/>
        <w:gridCol w:w="1246"/>
        <w:gridCol w:w="177"/>
      </w:tblGrid>
      <w:tr w:rsidR="001614AC" w14:paraId="34759F8F" w14:textId="77777777">
        <w:trPr>
          <w:cantSplit/>
        </w:trPr>
        <w:tc>
          <w:tcPr>
            <w:tcW w:w="10080" w:type="dxa"/>
            <w:gridSpan w:val="9"/>
            <w:tcBorders>
              <w:top w:val="nil"/>
              <w:left w:val="nil"/>
              <w:bottom w:val="single" w:sz="12" w:space="0" w:color="99AAB6"/>
              <w:right w:val="nil"/>
            </w:tcBorders>
            <w:tcMar>
              <w:top w:w="0" w:type="dxa"/>
              <w:left w:w="53" w:type="dxa"/>
              <w:bottom w:w="0" w:type="dxa"/>
              <w:right w:w="53" w:type="dxa"/>
            </w:tcMar>
            <w:vAlign w:val="bottom"/>
          </w:tcPr>
          <w:p w14:paraId="21AE3D62" w14:textId="77777777" w:rsidR="001614AC" w:rsidRDefault="004468F9">
            <w:pPr>
              <w:keepNext/>
              <w:spacing w:before="75" w:after="30" w:line="288" w:lineRule="auto"/>
              <w:rPr>
                <w:rFonts w:ascii="Arial" w:eastAsia="Arial" w:hAnsi="Arial" w:cs="Arial"/>
                <w:b/>
                <w:sz w:val="20"/>
              </w:rPr>
            </w:pPr>
            <w:r>
              <w:rPr>
                <w:rFonts w:ascii="Arial" w:eastAsia="Arial" w:hAnsi="Arial" w:cs="Arial"/>
                <w:b/>
                <w:sz w:val="20"/>
              </w:rPr>
              <w:t>Capital structure</w:t>
            </w:r>
          </w:p>
        </w:tc>
      </w:tr>
      <w:tr w:rsidR="001614AC" w14:paraId="0497FE3B" w14:textId="77777777">
        <w:trPr>
          <w:cantSplit/>
          <w:trHeight w:hRule="exact" w:val="135"/>
        </w:trPr>
        <w:tc>
          <w:tcPr>
            <w:tcW w:w="6870" w:type="dxa"/>
            <w:tcBorders>
              <w:top w:val="nil"/>
              <w:left w:val="nil"/>
              <w:bottom w:val="nil"/>
              <w:right w:val="nil"/>
            </w:tcBorders>
            <w:tcMar>
              <w:top w:w="0" w:type="dxa"/>
              <w:left w:w="0" w:type="dxa"/>
              <w:bottom w:w="0" w:type="dxa"/>
              <w:right w:w="0" w:type="dxa"/>
            </w:tcMar>
            <w:vAlign w:val="bottom"/>
          </w:tcPr>
          <w:p w14:paraId="1F770B51" w14:textId="77777777" w:rsidR="001614AC" w:rsidRDefault="001614AC">
            <w:pPr>
              <w:keepNext/>
            </w:pPr>
          </w:p>
        </w:tc>
        <w:tc>
          <w:tcPr>
            <w:tcW w:w="105" w:type="dxa"/>
            <w:tcBorders>
              <w:top w:val="single" w:sz="12" w:space="0" w:color="99AAB6"/>
              <w:left w:val="nil"/>
              <w:bottom w:val="nil"/>
              <w:right w:val="nil"/>
            </w:tcBorders>
            <w:tcMar>
              <w:top w:w="0" w:type="dxa"/>
              <w:left w:w="0" w:type="dxa"/>
              <w:bottom w:w="0" w:type="dxa"/>
              <w:right w:w="0" w:type="dxa"/>
            </w:tcMar>
            <w:vAlign w:val="bottom"/>
          </w:tcPr>
          <w:p w14:paraId="34F9D826" w14:textId="77777777" w:rsidR="001614AC" w:rsidRDefault="001614AC">
            <w:pPr>
              <w:keepNext/>
            </w:pPr>
          </w:p>
        </w:tc>
        <w:tc>
          <w:tcPr>
            <w:tcW w:w="1500" w:type="dxa"/>
            <w:gridSpan w:val="3"/>
            <w:tcBorders>
              <w:top w:val="single" w:sz="12" w:space="0" w:color="99AAB6"/>
              <w:left w:val="nil"/>
              <w:bottom w:val="nil"/>
              <w:right w:val="nil"/>
            </w:tcBorders>
            <w:tcMar>
              <w:top w:w="0" w:type="dxa"/>
              <w:left w:w="0" w:type="dxa"/>
              <w:bottom w:w="0" w:type="dxa"/>
              <w:right w:w="0" w:type="dxa"/>
            </w:tcMar>
            <w:vAlign w:val="bottom"/>
          </w:tcPr>
          <w:p w14:paraId="6FE60CB5" w14:textId="77777777" w:rsidR="001614AC" w:rsidRDefault="001614AC">
            <w:pPr>
              <w:keepNext/>
            </w:pPr>
          </w:p>
        </w:tc>
        <w:tc>
          <w:tcPr>
            <w:tcW w:w="105" w:type="dxa"/>
            <w:tcBorders>
              <w:top w:val="single" w:sz="12" w:space="0" w:color="99AAB6"/>
              <w:left w:val="nil"/>
              <w:bottom w:val="nil"/>
              <w:right w:val="nil"/>
            </w:tcBorders>
            <w:tcMar>
              <w:top w:w="0" w:type="dxa"/>
              <w:left w:w="0" w:type="dxa"/>
              <w:bottom w:w="0" w:type="dxa"/>
              <w:right w:w="0" w:type="dxa"/>
            </w:tcMar>
            <w:vAlign w:val="bottom"/>
          </w:tcPr>
          <w:p w14:paraId="678272F6" w14:textId="77777777" w:rsidR="001614AC" w:rsidRDefault="001614AC">
            <w:pPr>
              <w:keepNext/>
            </w:pPr>
          </w:p>
        </w:tc>
        <w:tc>
          <w:tcPr>
            <w:tcW w:w="1500" w:type="dxa"/>
            <w:gridSpan w:val="3"/>
            <w:tcBorders>
              <w:top w:val="single" w:sz="12" w:space="0" w:color="99AAB6"/>
              <w:left w:val="nil"/>
              <w:bottom w:val="nil"/>
              <w:right w:val="nil"/>
            </w:tcBorders>
            <w:tcMar>
              <w:top w:w="0" w:type="dxa"/>
              <w:left w:w="0" w:type="dxa"/>
              <w:bottom w:w="0" w:type="dxa"/>
              <w:right w:w="0" w:type="dxa"/>
            </w:tcMar>
            <w:vAlign w:val="bottom"/>
          </w:tcPr>
          <w:p w14:paraId="12814746" w14:textId="77777777" w:rsidR="001614AC" w:rsidRDefault="001614AC">
            <w:pPr>
              <w:keepNext/>
            </w:pPr>
          </w:p>
        </w:tc>
      </w:tr>
      <w:tr w:rsidR="001614AC" w14:paraId="30A8D095" w14:textId="77777777">
        <w:trPr>
          <w:cantSplit/>
        </w:trPr>
        <w:tc>
          <w:tcPr>
            <w:tcW w:w="6870" w:type="dxa"/>
            <w:tcBorders>
              <w:top w:val="nil"/>
              <w:left w:val="nil"/>
              <w:bottom w:val="single" w:sz="8" w:space="0" w:color="C7C9C7"/>
              <w:right w:val="nil"/>
            </w:tcBorders>
            <w:tcMar>
              <w:top w:w="0" w:type="dxa"/>
              <w:left w:w="53" w:type="dxa"/>
              <w:bottom w:w="0" w:type="dxa"/>
              <w:right w:w="53" w:type="dxa"/>
            </w:tcMar>
            <w:vAlign w:val="bottom"/>
          </w:tcPr>
          <w:p w14:paraId="5600E0F1" w14:textId="77777777" w:rsidR="001614AC" w:rsidRDefault="004468F9">
            <w:pPr>
              <w:keepNext/>
              <w:spacing w:before="75" w:after="30" w:line="288" w:lineRule="auto"/>
            </w:pPr>
            <w:r>
              <w:rPr>
                <w:rFonts w:ascii="Arial" w:eastAsia="Arial" w:hAnsi="Arial" w:cs="Arial"/>
                <w:color w:val="8B8886"/>
                <w:sz w:val="16"/>
              </w:rPr>
              <w:t>(In thousands) </w:t>
            </w:r>
          </w:p>
        </w:tc>
        <w:tc>
          <w:tcPr>
            <w:tcW w:w="105" w:type="dxa"/>
            <w:tcBorders>
              <w:top w:val="nil"/>
              <w:left w:val="nil"/>
              <w:bottom w:val="single" w:sz="8" w:space="0" w:color="C7C9C7"/>
              <w:right w:val="nil"/>
            </w:tcBorders>
            <w:tcMar>
              <w:top w:w="0" w:type="dxa"/>
              <w:left w:w="0" w:type="dxa"/>
              <w:bottom w:w="0" w:type="dxa"/>
              <w:right w:w="0" w:type="dxa"/>
            </w:tcMar>
            <w:vAlign w:val="bottom"/>
          </w:tcPr>
          <w:p w14:paraId="7AC270A3" w14:textId="77777777" w:rsidR="001614AC" w:rsidRDefault="001614AC">
            <w:pPr>
              <w:keepNext/>
            </w:pPr>
          </w:p>
        </w:tc>
        <w:tc>
          <w:tcPr>
            <w:tcW w:w="1500" w:type="dxa"/>
            <w:gridSpan w:val="3"/>
            <w:tcBorders>
              <w:top w:val="nil"/>
              <w:left w:val="nil"/>
              <w:bottom w:val="single" w:sz="8" w:space="0" w:color="C7C9C7"/>
              <w:right w:val="nil"/>
            </w:tcBorders>
            <w:shd w:val="clear" w:color="auto" w:fill="E6F8F8"/>
            <w:tcMar>
              <w:top w:w="0" w:type="dxa"/>
              <w:left w:w="53" w:type="dxa"/>
              <w:bottom w:w="0" w:type="dxa"/>
              <w:right w:w="53" w:type="dxa"/>
            </w:tcMar>
            <w:vAlign w:val="bottom"/>
          </w:tcPr>
          <w:p w14:paraId="10681D6C" w14:textId="77777777" w:rsidR="001614AC" w:rsidRDefault="004468F9">
            <w:pPr>
              <w:keepNext/>
              <w:spacing w:before="75" w:after="30" w:line="288" w:lineRule="auto"/>
              <w:jc w:val="center"/>
            </w:pPr>
            <w:r>
              <w:rPr>
                <w:rFonts w:ascii="Arial" w:eastAsia="Arial" w:hAnsi="Arial" w:cs="Arial"/>
                <w:b/>
                <w:color w:val="00BAB3"/>
                <w:sz w:val="18"/>
              </w:rPr>
              <w:t>June 30,</w:t>
            </w:r>
            <w:r>
              <w:br/>
            </w:r>
            <w:r>
              <w:rPr>
                <w:rFonts w:ascii="Arial" w:eastAsia="Arial" w:hAnsi="Arial" w:cs="Arial"/>
                <w:b/>
                <w:color w:val="00BAB3"/>
                <w:sz w:val="18"/>
              </w:rPr>
              <w:t>2021</w:t>
            </w:r>
          </w:p>
        </w:tc>
        <w:tc>
          <w:tcPr>
            <w:tcW w:w="105" w:type="dxa"/>
            <w:tcBorders>
              <w:top w:val="nil"/>
              <w:left w:val="nil"/>
              <w:bottom w:val="single" w:sz="8" w:space="0" w:color="C7C9C7"/>
              <w:right w:val="nil"/>
            </w:tcBorders>
            <w:tcMar>
              <w:top w:w="0" w:type="dxa"/>
              <w:left w:w="0" w:type="dxa"/>
              <w:bottom w:w="0" w:type="dxa"/>
              <w:right w:w="0" w:type="dxa"/>
            </w:tcMar>
            <w:vAlign w:val="bottom"/>
          </w:tcPr>
          <w:p w14:paraId="053D639F" w14:textId="77777777" w:rsidR="001614AC" w:rsidRDefault="001614AC">
            <w:pPr>
              <w:keepNext/>
            </w:pPr>
          </w:p>
        </w:tc>
        <w:tc>
          <w:tcPr>
            <w:tcW w:w="1500" w:type="dxa"/>
            <w:gridSpan w:val="3"/>
            <w:tcBorders>
              <w:top w:val="nil"/>
              <w:left w:val="nil"/>
              <w:bottom w:val="single" w:sz="8" w:space="0" w:color="C7C9C7"/>
              <w:right w:val="nil"/>
            </w:tcBorders>
            <w:shd w:val="clear" w:color="auto" w:fill="F4F4F4"/>
            <w:tcMar>
              <w:top w:w="0" w:type="dxa"/>
              <w:left w:w="53" w:type="dxa"/>
              <w:bottom w:w="0" w:type="dxa"/>
              <w:right w:w="53" w:type="dxa"/>
            </w:tcMar>
            <w:vAlign w:val="bottom"/>
          </w:tcPr>
          <w:p w14:paraId="1F2384C2" w14:textId="77777777" w:rsidR="001614AC" w:rsidRDefault="004468F9">
            <w:pPr>
              <w:keepNext/>
              <w:spacing w:before="75" w:after="30" w:line="288" w:lineRule="auto"/>
              <w:jc w:val="center"/>
            </w:pPr>
            <w:r>
              <w:rPr>
                <w:rFonts w:ascii="Arial" w:eastAsia="Arial" w:hAnsi="Arial" w:cs="Arial"/>
                <w:b/>
                <w:color w:val="00BAB3"/>
                <w:sz w:val="18"/>
              </w:rPr>
              <w:t>December 31,</w:t>
            </w:r>
            <w:r>
              <w:br/>
            </w:r>
            <w:r>
              <w:rPr>
                <w:rFonts w:ascii="Arial" w:eastAsia="Arial" w:hAnsi="Arial" w:cs="Arial"/>
                <w:b/>
                <w:color w:val="00BAB3"/>
                <w:sz w:val="18"/>
              </w:rPr>
              <w:t>2020</w:t>
            </w:r>
          </w:p>
        </w:tc>
      </w:tr>
      <w:tr w:rsidR="001614AC" w14:paraId="41A21FB8" w14:textId="77777777">
        <w:trPr>
          <w:cantSplit/>
        </w:trPr>
        <w:tc>
          <w:tcPr>
            <w:tcW w:w="6870" w:type="dxa"/>
            <w:tcBorders>
              <w:top w:val="single" w:sz="8" w:space="0" w:color="C7C9C7"/>
              <w:left w:val="nil"/>
              <w:bottom w:val="single" w:sz="8" w:space="0" w:color="E9E9E9"/>
              <w:right w:val="nil"/>
            </w:tcBorders>
            <w:tcMar>
              <w:top w:w="0" w:type="dxa"/>
              <w:left w:w="53" w:type="dxa"/>
              <w:bottom w:w="0" w:type="dxa"/>
              <w:right w:w="53" w:type="dxa"/>
            </w:tcMar>
            <w:vAlign w:val="bottom"/>
          </w:tcPr>
          <w:p w14:paraId="5756B041" w14:textId="77777777" w:rsidR="001614AC" w:rsidRDefault="004468F9">
            <w:pPr>
              <w:keepNext/>
              <w:spacing w:before="55" w:after="30" w:line="288" w:lineRule="auto"/>
            </w:pPr>
            <w:r>
              <w:rPr>
                <w:rFonts w:ascii="Arial" w:eastAsia="Arial" w:hAnsi="Arial" w:cs="Arial"/>
                <w:color w:val="000000"/>
                <w:sz w:val="18"/>
              </w:rPr>
              <w:t>Debt</w:t>
            </w:r>
          </w:p>
        </w:tc>
        <w:tc>
          <w:tcPr>
            <w:tcW w:w="105" w:type="dxa"/>
            <w:tcBorders>
              <w:top w:val="single" w:sz="8" w:space="0" w:color="C7C9C7"/>
              <w:left w:val="nil"/>
              <w:bottom w:val="nil"/>
              <w:right w:val="nil"/>
            </w:tcBorders>
            <w:tcMar>
              <w:top w:w="0" w:type="dxa"/>
              <w:left w:w="0" w:type="dxa"/>
              <w:bottom w:w="0" w:type="dxa"/>
              <w:right w:w="0" w:type="dxa"/>
            </w:tcMar>
            <w:vAlign w:val="bottom"/>
          </w:tcPr>
          <w:p w14:paraId="33B49C6F" w14:textId="77777777" w:rsidR="001614AC" w:rsidRDefault="001614AC">
            <w:pPr>
              <w:keepNext/>
            </w:pPr>
          </w:p>
        </w:tc>
        <w:tc>
          <w:tcPr>
            <w:tcW w:w="1500" w:type="dxa"/>
            <w:gridSpan w:val="3"/>
            <w:tcBorders>
              <w:top w:val="single" w:sz="8" w:space="0" w:color="C7C9C7"/>
              <w:left w:val="nil"/>
              <w:bottom w:val="single" w:sz="8" w:space="0" w:color="E9E9E9"/>
              <w:right w:val="nil"/>
            </w:tcBorders>
            <w:tcMar>
              <w:top w:w="0" w:type="dxa"/>
              <w:left w:w="0" w:type="dxa"/>
              <w:bottom w:w="0" w:type="dxa"/>
              <w:right w:w="0" w:type="dxa"/>
            </w:tcMar>
            <w:vAlign w:val="bottom"/>
          </w:tcPr>
          <w:p w14:paraId="32E21A9A" w14:textId="77777777" w:rsidR="001614AC" w:rsidRDefault="001614AC">
            <w:pPr>
              <w:keepNext/>
            </w:pPr>
          </w:p>
        </w:tc>
        <w:tc>
          <w:tcPr>
            <w:tcW w:w="105" w:type="dxa"/>
            <w:tcBorders>
              <w:top w:val="single" w:sz="8" w:space="0" w:color="C7C9C7"/>
              <w:left w:val="nil"/>
              <w:bottom w:val="nil"/>
              <w:right w:val="nil"/>
            </w:tcBorders>
            <w:tcMar>
              <w:top w:w="0" w:type="dxa"/>
              <w:left w:w="0" w:type="dxa"/>
              <w:bottom w:w="0" w:type="dxa"/>
              <w:right w:w="0" w:type="dxa"/>
            </w:tcMar>
            <w:vAlign w:val="bottom"/>
          </w:tcPr>
          <w:p w14:paraId="27235C57" w14:textId="77777777" w:rsidR="001614AC" w:rsidRDefault="001614AC">
            <w:pPr>
              <w:keepNext/>
            </w:pPr>
          </w:p>
        </w:tc>
        <w:tc>
          <w:tcPr>
            <w:tcW w:w="1500" w:type="dxa"/>
            <w:gridSpan w:val="3"/>
            <w:tcBorders>
              <w:top w:val="single" w:sz="8" w:space="0" w:color="C7C9C7"/>
              <w:left w:val="nil"/>
              <w:bottom w:val="single" w:sz="8" w:space="0" w:color="E9E9E9"/>
              <w:right w:val="nil"/>
            </w:tcBorders>
            <w:tcMar>
              <w:top w:w="0" w:type="dxa"/>
              <w:left w:w="0" w:type="dxa"/>
              <w:bottom w:w="0" w:type="dxa"/>
              <w:right w:w="0" w:type="dxa"/>
            </w:tcMar>
            <w:vAlign w:val="bottom"/>
          </w:tcPr>
          <w:p w14:paraId="129A39A5" w14:textId="77777777" w:rsidR="001614AC" w:rsidRDefault="001614AC">
            <w:pPr>
              <w:keepNext/>
            </w:pPr>
          </w:p>
        </w:tc>
      </w:tr>
      <w:tr w:rsidR="001614AC" w14:paraId="181E7582" w14:textId="77777777">
        <w:trPr>
          <w:cantSplit/>
        </w:trPr>
        <w:tc>
          <w:tcPr>
            <w:tcW w:w="6870" w:type="dxa"/>
            <w:tcBorders>
              <w:top w:val="single" w:sz="8" w:space="0" w:color="E9E9E9"/>
              <w:left w:val="nil"/>
              <w:bottom w:val="single" w:sz="8" w:space="0" w:color="E9E9E9"/>
              <w:right w:val="nil"/>
            </w:tcBorders>
            <w:tcMar>
              <w:top w:w="0" w:type="dxa"/>
              <w:left w:w="53" w:type="dxa"/>
              <w:bottom w:w="0" w:type="dxa"/>
              <w:right w:w="53" w:type="dxa"/>
            </w:tcMar>
            <w:vAlign w:val="bottom"/>
          </w:tcPr>
          <w:p w14:paraId="03A7B934" w14:textId="77777777" w:rsidR="001614AC" w:rsidRDefault="004468F9">
            <w:pPr>
              <w:keepNext/>
              <w:spacing w:before="55" w:after="30" w:line="288" w:lineRule="auto"/>
              <w:ind w:left="240"/>
            </w:pPr>
            <w:r>
              <w:rPr>
                <w:rFonts w:ascii="Arial" w:eastAsia="Arial" w:hAnsi="Arial" w:cs="Arial"/>
                <w:color w:val="000000"/>
                <w:sz w:val="18"/>
              </w:rPr>
              <w:t>Senior Notes due 2024</w:t>
            </w:r>
          </w:p>
        </w:tc>
        <w:tc>
          <w:tcPr>
            <w:tcW w:w="105" w:type="dxa"/>
            <w:tcBorders>
              <w:top w:val="nil"/>
              <w:left w:val="nil"/>
              <w:bottom w:val="nil"/>
              <w:right w:val="nil"/>
            </w:tcBorders>
            <w:tcMar>
              <w:top w:w="0" w:type="dxa"/>
              <w:left w:w="0" w:type="dxa"/>
              <w:bottom w:w="0" w:type="dxa"/>
              <w:right w:w="0" w:type="dxa"/>
            </w:tcMar>
            <w:vAlign w:val="bottom"/>
          </w:tcPr>
          <w:p w14:paraId="5478ADD2" w14:textId="77777777" w:rsidR="001614AC" w:rsidRDefault="001614AC">
            <w:pPr>
              <w:keepNext/>
            </w:pPr>
          </w:p>
        </w:tc>
        <w:tc>
          <w:tcPr>
            <w:tcW w:w="160" w:type="dxa"/>
            <w:tcBorders>
              <w:top w:val="single" w:sz="8" w:space="0" w:color="E9E9E9"/>
              <w:left w:val="nil"/>
              <w:bottom w:val="single" w:sz="8" w:space="0" w:color="E9E9E9"/>
              <w:right w:val="nil"/>
            </w:tcBorders>
            <w:tcMar>
              <w:top w:w="0" w:type="dxa"/>
              <w:left w:w="53" w:type="dxa"/>
              <w:bottom w:w="0" w:type="dxa"/>
              <w:right w:w="0" w:type="dxa"/>
            </w:tcMar>
            <w:vAlign w:val="bottom"/>
          </w:tcPr>
          <w:p w14:paraId="34B13864" w14:textId="77777777" w:rsidR="001614AC" w:rsidRDefault="004468F9">
            <w:pPr>
              <w:keepNext/>
              <w:spacing w:before="55" w:after="30" w:line="288" w:lineRule="auto"/>
            </w:pPr>
            <w:r>
              <w:rPr>
                <w:rFonts w:ascii="Arial" w:eastAsia="Arial" w:hAnsi="Arial" w:cs="Arial"/>
                <w:color w:val="000000"/>
                <w:sz w:val="18"/>
              </w:rPr>
              <w:t>$</w:t>
            </w:r>
          </w:p>
        </w:tc>
        <w:tc>
          <w:tcPr>
            <w:tcW w:w="1240" w:type="dxa"/>
            <w:tcBorders>
              <w:top w:val="single" w:sz="8" w:space="0" w:color="E9E9E9"/>
              <w:left w:val="nil"/>
              <w:bottom w:val="single" w:sz="8" w:space="0" w:color="E9E9E9"/>
              <w:right w:val="nil"/>
            </w:tcBorders>
            <w:tcMar>
              <w:top w:w="0" w:type="dxa"/>
              <w:left w:w="0" w:type="dxa"/>
              <w:bottom w:w="0" w:type="dxa"/>
              <w:right w:w="0" w:type="dxa"/>
            </w:tcMar>
            <w:vAlign w:val="bottom"/>
          </w:tcPr>
          <w:p w14:paraId="0DCD2BC6" w14:textId="77777777" w:rsidR="001614AC" w:rsidRDefault="004468F9">
            <w:pPr>
              <w:keepNext/>
              <w:spacing w:before="55" w:after="30" w:line="288" w:lineRule="auto"/>
              <w:jc w:val="right"/>
            </w:pPr>
            <w:r>
              <w:rPr>
                <w:rFonts w:ascii="Arial" w:eastAsia="Arial" w:hAnsi="Arial" w:cs="Arial"/>
                <w:color w:val="000000"/>
                <w:sz w:val="18"/>
              </w:rPr>
              <w:t>450,000 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1314FD6F" w14:textId="77777777" w:rsidR="001614AC" w:rsidRDefault="001614AC">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274B4F23" w14:textId="77777777" w:rsidR="001614AC" w:rsidRDefault="001614AC">
            <w:pPr>
              <w:keepNext/>
            </w:pPr>
          </w:p>
        </w:tc>
        <w:tc>
          <w:tcPr>
            <w:tcW w:w="160" w:type="dxa"/>
            <w:tcBorders>
              <w:top w:val="single" w:sz="8" w:space="0" w:color="E9E9E9"/>
              <w:left w:val="nil"/>
              <w:bottom w:val="single" w:sz="8" w:space="0" w:color="E9E9E9"/>
              <w:right w:val="nil"/>
            </w:tcBorders>
            <w:tcMar>
              <w:top w:w="0" w:type="dxa"/>
              <w:left w:w="53" w:type="dxa"/>
              <w:bottom w:w="0" w:type="dxa"/>
              <w:right w:w="0" w:type="dxa"/>
            </w:tcMar>
            <w:vAlign w:val="bottom"/>
          </w:tcPr>
          <w:p w14:paraId="0F27B3F4" w14:textId="77777777" w:rsidR="001614AC" w:rsidRDefault="004468F9">
            <w:pPr>
              <w:keepNext/>
              <w:spacing w:before="55" w:after="30" w:line="288" w:lineRule="auto"/>
            </w:pPr>
            <w:r>
              <w:rPr>
                <w:rFonts w:ascii="Arial" w:eastAsia="Arial" w:hAnsi="Arial" w:cs="Arial"/>
                <w:color w:val="000000"/>
                <w:sz w:val="18"/>
              </w:rPr>
              <w:t>$</w:t>
            </w:r>
          </w:p>
        </w:tc>
        <w:tc>
          <w:tcPr>
            <w:tcW w:w="1240" w:type="dxa"/>
            <w:tcBorders>
              <w:top w:val="single" w:sz="8" w:space="0" w:color="E9E9E9"/>
              <w:left w:val="nil"/>
              <w:bottom w:val="single" w:sz="8" w:space="0" w:color="E9E9E9"/>
              <w:right w:val="nil"/>
            </w:tcBorders>
            <w:tcMar>
              <w:top w:w="0" w:type="dxa"/>
              <w:left w:w="0" w:type="dxa"/>
              <w:bottom w:w="0" w:type="dxa"/>
              <w:right w:w="0" w:type="dxa"/>
            </w:tcMar>
            <w:vAlign w:val="bottom"/>
          </w:tcPr>
          <w:p w14:paraId="012F6100" w14:textId="77777777" w:rsidR="001614AC" w:rsidRDefault="004468F9">
            <w:pPr>
              <w:keepNext/>
              <w:spacing w:before="55" w:after="30" w:line="288" w:lineRule="auto"/>
              <w:jc w:val="right"/>
            </w:pPr>
            <w:r>
              <w:rPr>
                <w:rFonts w:ascii="Arial" w:eastAsia="Arial" w:hAnsi="Arial" w:cs="Arial"/>
                <w:color w:val="000000"/>
                <w:sz w:val="18"/>
              </w:rPr>
              <w:t>450,000 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11A8E9CF" w14:textId="77777777" w:rsidR="001614AC" w:rsidRDefault="001614AC">
            <w:pPr>
              <w:keepNext/>
              <w:spacing w:before="55" w:after="30" w:line="288" w:lineRule="auto"/>
              <w:jc w:val="right"/>
            </w:pPr>
          </w:p>
        </w:tc>
      </w:tr>
      <w:tr w:rsidR="001614AC" w14:paraId="65D16B15" w14:textId="77777777">
        <w:trPr>
          <w:cantSplit/>
        </w:trPr>
        <w:tc>
          <w:tcPr>
            <w:tcW w:w="6870" w:type="dxa"/>
            <w:tcBorders>
              <w:top w:val="single" w:sz="8" w:space="0" w:color="E9E9E9"/>
              <w:left w:val="nil"/>
              <w:bottom w:val="single" w:sz="8" w:space="0" w:color="E9E9E9"/>
              <w:right w:val="nil"/>
            </w:tcBorders>
            <w:tcMar>
              <w:top w:w="0" w:type="dxa"/>
              <w:left w:w="53" w:type="dxa"/>
              <w:bottom w:w="0" w:type="dxa"/>
              <w:right w:w="53" w:type="dxa"/>
            </w:tcMar>
            <w:vAlign w:val="bottom"/>
          </w:tcPr>
          <w:p w14:paraId="638EA9E5" w14:textId="77777777" w:rsidR="001614AC" w:rsidRDefault="004468F9">
            <w:pPr>
              <w:keepNext/>
              <w:spacing w:before="55" w:after="30" w:line="288" w:lineRule="auto"/>
              <w:ind w:left="240"/>
            </w:pPr>
            <w:r>
              <w:rPr>
                <w:rFonts w:ascii="Arial" w:eastAsia="Arial" w:hAnsi="Arial" w:cs="Arial"/>
                <w:color w:val="000000"/>
                <w:sz w:val="18"/>
              </w:rPr>
              <w:t>Seni</w:t>
            </w:r>
            <w:r>
              <w:rPr>
                <w:rFonts w:ascii="Arial" w:eastAsia="Arial" w:hAnsi="Arial" w:cs="Arial"/>
                <w:color w:val="000000"/>
                <w:sz w:val="18"/>
              </w:rPr>
              <w:t>or Notes due 2025</w:t>
            </w:r>
          </w:p>
        </w:tc>
        <w:tc>
          <w:tcPr>
            <w:tcW w:w="105" w:type="dxa"/>
            <w:tcBorders>
              <w:top w:val="nil"/>
              <w:left w:val="nil"/>
              <w:bottom w:val="nil"/>
              <w:right w:val="nil"/>
            </w:tcBorders>
            <w:tcMar>
              <w:top w:w="0" w:type="dxa"/>
              <w:left w:w="0" w:type="dxa"/>
              <w:bottom w:w="0" w:type="dxa"/>
              <w:right w:w="0" w:type="dxa"/>
            </w:tcMar>
            <w:vAlign w:val="bottom"/>
          </w:tcPr>
          <w:p w14:paraId="73189815" w14:textId="77777777" w:rsidR="001614AC" w:rsidRDefault="001614AC">
            <w:pPr>
              <w:keepNext/>
            </w:pPr>
          </w:p>
        </w:tc>
        <w:tc>
          <w:tcPr>
            <w:tcW w:w="1400"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118F56B7" w14:textId="77777777" w:rsidR="001614AC" w:rsidRDefault="004468F9">
            <w:pPr>
              <w:keepNext/>
              <w:spacing w:before="55" w:after="30" w:line="288" w:lineRule="auto"/>
              <w:jc w:val="right"/>
            </w:pPr>
            <w:r>
              <w:rPr>
                <w:rFonts w:ascii="Arial" w:eastAsia="Arial" w:hAnsi="Arial" w:cs="Arial"/>
                <w:color w:val="000000"/>
                <w:sz w:val="18"/>
              </w:rPr>
              <w:t>525,000 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42FE7256" w14:textId="77777777" w:rsidR="001614AC" w:rsidRDefault="001614AC">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36752E80" w14:textId="77777777" w:rsidR="001614AC" w:rsidRDefault="001614AC">
            <w:pPr>
              <w:keepNext/>
            </w:pPr>
          </w:p>
        </w:tc>
        <w:tc>
          <w:tcPr>
            <w:tcW w:w="1400"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4885B57F" w14:textId="77777777" w:rsidR="001614AC" w:rsidRDefault="004468F9">
            <w:pPr>
              <w:keepNext/>
              <w:spacing w:before="55" w:after="30" w:line="288" w:lineRule="auto"/>
              <w:jc w:val="right"/>
            </w:pPr>
            <w:r>
              <w:rPr>
                <w:rFonts w:ascii="Arial" w:eastAsia="Arial" w:hAnsi="Arial" w:cs="Arial"/>
                <w:color w:val="000000"/>
                <w:sz w:val="18"/>
              </w:rPr>
              <w:t>525,000 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4C90B08A" w14:textId="77777777" w:rsidR="001614AC" w:rsidRDefault="001614AC">
            <w:pPr>
              <w:keepNext/>
              <w:spacing w:before="55" w:after="30" w:line="288" w:lineRule="auto"/>
              <w:jc w:val="right"/>
            </w:pPr>
          </w:p>
        </w:tc>
      </w:tr>
      <w:tr w:rsidR="001614AC" w14:paraId="3227EACC" w14:textId="77777777">
        <w:trPr>
          <w:cantSplit/>
        </w:trPr>
        <w:tc>
          <w:tcPr>
            <w:tcW w:w="6870" w:type="dxa"/>
            <w:tcBorders>
              <w:top w:val="single" w:sz="8" w:space="0" w:color="E9E9E9"/>
              <w:left w:val="nil"/>
              <w:bottom w:val="single" w:sz="8" w:space="0" w:color="E9E9E9"/>
              <w:right w:val="nil"/>
            </w:tcBorders>
            <w:tcMar>
              <w:top w:w="0" w:type="dxa"/>
              <w:left w:w="53" w:type="dxa"/>
              <w:bottom w:w="0" w:type="dxa"/>
              <w:right w:w="53" w:type="dxa"/>
            </w:tcMar>
            <w:vAlign w:val="bottom"/>
          </w:tcPr>
          <w:p w14:paraId="2E05F360" w14:textId="77777777" w:rsidR="001614AC" w:rsidRDefault="004468F9">
            <w:pPr>
              <w:keepNext/>
              <w:spacing w:before="55" w:after="30" w:line="288" w:lineRule="auto"/>
              <w:ind w:left="240"/>
            </w:pPr>
            <w:r>
              <w:rPr>
                <w:rFonts w:ascii="Arial" w:eastAsia="Arial" w:hAnsi="Arial" w:cs="Arial"/>
                <w:color w:val="000000"/>
                <w:sz w:val="18"/>
              </w:rPr>
              <w:t>Senior Notes due 2027</w:t>
            </w:r>
          </w:p>
        </w:tc>
        <w:tc>
          <w:tcPr>
            <w:tcW w:w="105" w:type="dxa"/>
            <w:tcBorders>
              <w:top w:val="nil"/>
              <w:left w:val="nil"/>
              <w:bottom w:val="nil"/>
              <w:right w:val="nil"/>
            </w:tcBorders>
            <w:tcMar>
              <w:top w:w="0" w:type="dxa"/>
              <w:left w:w="0" w:type="dxa"/>
              <w:bottom w:w="0" w:type="dxa"/>
              <w:right w:w="0" w:type="dxa"/>
            </w:tcMar>
            <w:vAlign w:val="bottom"/>
          </w:tcPr>
          <w:p w14:paraId="35566F2F" w14:textId="77777777" w:rsidR="001614AC" w:rsidRDefault="001614AC">
            <w:pPr>
              <w:keepNext/>
            </w:pPr>
          </w:p>
        </w:tc>
        <w:tc>
          <w:tcPr>
            <w:tcW w:w="1400"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4FF43896" w14:textId="77777777" w:rsidR="001614AC" w:rsidRDefault="004468F9">
            <w:pPr>
              <w:keepNext/>
              <w:spacing w:before="55" w:after="30" w:line="288" w:lineRule="auto"/>
              <w:jc w:val="right"/>
            </w:pPr>
            <w:r>
              <w:rPr>
                <w:rFonts w:ascii="Arial" w:eastAsia="Arial" w:hAnsi="Arial" w:cs="Arial"/>
                <w:color w:val="000000"/>
                <w:sz w:val="18"/>
              </w:rPr>
              <w:t>450,000 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672BBC83" w14:textId="77777777" w:rsidR="001614AC" w:rsidRDefault="001614AC">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13EBEE9F" w14:textId="77777777" w:rsidR="001614AC" w:rsidRDefault="001614AC">
            <w:pPr>
              <w:keepNext/>
            </w:pPr>
          </w:p>
        </w:tc>
        <w:tc>
          <w:tcPr>
            <w:tcW w:w="1400"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5D2DF4FE" w14:textId="77777777" w:rsidR="001614AC" w:rsidRDefault="004468F9">
            <w:pPr>
              <w:keepNext/>
              <w:spacing w:before="55" w:after="30" w:line="288" w:lineRule="auto"/>
              <w:jc w:val="right"/>
            </w:pPr>
            <w:r>
              <w:rPr>
                <w:rFonts w:ascii="Arial" w:eastAsia="Arial" w:hAnsi="Arial" w:cs="Arial"/>
                <w:color w:val="000000"/>
                <w:sz w:val="18"/>
              </w:rPr>
              <w:t>450,000 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471CAD0F" w14:textId="77777777" w:rsidR="001614AC" w:rsidRDefault="001614AC">
            <w:pPr>
              <w:keepNext/>
              <w:spacing w:before="55" w:after="30" w:line="288" w:lineRule="auto"/>
              <w:jc w:val="right"/>
            </w:pPr>
          </w:p>
        </w:tc>
      </w:tr>
      <w:tr w:rsidR="001614AC" w14:paraId="3795A4F6" w14:textId="77777777">
        <w:trPr>
          <w:cantSplit/>
        </w:trPr>
        <w:tc>
          <w:tcPr>
            <w:tcW w:w="6870" w:type="dxa"/>
            <w:tcBorders>
              <w:top w:val="single" w:sz="8" w:space="0" w:color="E9E9E9"/>
              <w:left w:val="nil"/>
              <w:bottom w:val="single" w:sz="8" w:space="0" w:color="E9E9E9"/>
              <w:right w:val="nil"/>
            </w:tcBorders>
            <w:tcMar>
              <w:top w:w="0" w:type="dxa"/>
              <w:left w:w="53" w:type="dxa"/>
              <w:bottom w:w="0" w:type="dxa"/>
              <w:right w:w="53" w:type="dxa"/>
            </w:tcMar>
            <w:vAlign w:val="bottom"/>
          </w:tcPr>
          <w:p w14:paraId="40675F7D" w14:textId="77777777" w:rsidR="001614AC" w:rsidRDefault="004468F9">
            <w:pPr>
              <w:keepNext/>
              <w:spacing w:before="55" w:after="30" w:line="288" w:lineRule="auto"/>
              <w:ind w:left="240"/>
            </w:pPr>
            <w:r>
              <w:rPr>
                <w:rFonts w:ascii="Arial" w:eastAsia="Arial" w:hAnsi="Arial" w:cs="Arial"/>
                <w:color w:val="000000"/>
                <w:sz w:val="18"/>
              </w:rPr>
              <w:t>Deferred debt costs on senior notes</w:t>
            </w:r>
          </w:p>
        </w:tc>
        <w:tc>
          <w:tcPr>
            <w:tcW w:w="105" w:type="dxa"/>
            <w:tcBorders>
              <w:top w:val="nil"/>
              <w:left w:val="nil"/>
              <w:bottom w:val="nil"/>
              <w:right w:val="nil"/>
            </w:tcBorders>
            <w:tcMar>
              <w:top w:w="0" w:type="dxa"/>
              <w:left w:w="0" w:type="dxa"/>
              <w:bottom w:w="0" w:type="dxa"/>
              <w:right w:w="0" w:type="dxa"/>
            </w:tcMar>
            <w:vAlign w:val="bottom"/>
          </w:tcPr>
          <w:p w14:paraId="58C70DE8" w14:textId="77777777" w:rsidR="001614AC" w:rsidRDefault="001614AC">
            <w:pPr>
              <w:keepNext/>
            </w:pPr>
          </w:p>
        </w:tc>
        <w:tc>
          <w:tcPr>
            <w:tcW w:w="1400"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676D72C4" w14:textId="77777777" w:rsidR="001614AC" w:rsidRDefault="004468F9">
            <w:pPr>
              <w:keepNext/>
              <w:spacing w:before="55" w:after="30" w:line="288" w:lineRule="auto"/>
              <w:jc w:val="right"/>
            </w:pPr>
            <w:r>
              <w:rPr>
                <w:rFonts w:ascii="Arial" w:eastAsia="Arial" w:hAnsi="Arial" w:cs="Arial"/>
                <w:color w:val="000000"/>
                <w:sz w:val="18"/>
              </w:rPr>
              <w:t>(17,455)</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6CD8C236" w14:textId="77777777" w:rsidR="001614AC" w:rsidRDefault="001614AC">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529F78DE" w14:textId="77777777" w:rsidR="001614AC" w:rsidRDefault="001614AC">
            <w:pPr>
              <w:keepNext/>
            </w:pPr>
          </w:p>
        </w:tc>
        <w:tc>
          <w:tcPr>
            <w:tcW w:w="1400"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4AECC22D" w14:textId="77777777" w:rsidR="001614AC" w:rsidRDefault="004468F9">
            <w:pPr>
              <w:keepNext/>
              <w:spacing w:before="55" w:after="30" w:line="288" w:lineRule="auto"/>
              <w:jc w:val="right"/>
            </w:pPr>
            <w:r>
              <w:rPr>
                <w:rFonts w:ascii="Arial" w:eastAsia="Arial" w:hAnsi="Arial" w:cs="Arial"/>
                <w:color w:val="000000"/>
                <w:sz w:val="18"/>
              </w:rPr>
              <w:t>(19,326)</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77E216E7" w14:textId="77777777" w:rsidR="001614AC" w:rsidRDefault="001614AC">
            <w:pPr>
              <w:keepNext/>
              <w:spacing w:before="55" w:after="30" w:line="288" w:lineRule="auto"/>
              <w:jc w:val="right"/>
            </w:pPr>
          </w:p>
        </w:tc>
      </w:tr>
      <w:tr w:rsidR="001614AC" w14:paraId="1F66FB45" w14:textId="77777777">
        <w:trPr>
          <w:cantSplit/>
        </w:trPr>
        <w:tc>
          <w:tcPr>
            <w:tcW w:w="6870" w:type="dxa"/>
            <w:tcBorders>
              <w:top w:val="single" w:sz="8" w:space="0" w:color="E9E9E9"/>
              <w:left w:val="nil"/>
              <w:bottom w:val="nil"/>
              <w:right w:val="nil"/>
            </w:tcBorders>
            <w:tcMar>
              <w:top w:w="0" w:type="dxa"/>
              <w:left w:w="53" w:type="dxa"/>
              <w:bottom w:w="0" w:type="dxa"/>
              <w:right w:w="53" w:type="dxa"/>
            </w:tcMar>
            <w:vAlign w:val="bottom"/>
          </w:tcPr>
          <w:p w14:paraId="02E653C1" w14:textId="77777777" w:rsidR="001614AC" w:rsidRDefault="004468F9">
            <w:pPr>
              <w:keepNext/>
              <w:spacing w:before="55" w:after="30" w:line="288" w:lineRule="auto"/>
              <w:ind w:left="240"/>
            </w:pPr>
            <w:r>
              <w:rPr>
                <w:rFonts w:ascii="Arial" w:eastAsia="Arial" w:hAnsi="Arial" w:cs="Arial"/>
                <w:color w:val="000000"/>
                <w:sz w:val="18"/>
              </w:rPr>
              <w:t>Revolving credit facility</w:t>
            </w:r>
          </w:p>
        </w:tc>
        <w:tc>
          <w:tcPr>
            <w:tcW w:w="105" w:type="dxa"/>
            <w:tcBorders>
              <w:top w:val="nil"/>
              <w:left w:val="nil"/>
              <w:bottom w:val="nil"/>
              <w:right w:val="nil"/>
            </w:tcBorders>
            <w:tcMar>
              <w:top w:w="0" w:type="dxa"/>
              <w:left w:w="0" w:type="dxa"/>
              <w:bottom w:w="0" w:type="dxa"/>
              <w:right w:w="0" w:type="dxa"/>
            </w:tcMar>
            <w:vAlign w:val="bottom"/>
          </w:tcPr>
          <w:p w14:paraId="5927B32E" w14:textId="77777777" w:rsidR="001614AC" w:rsidRDefault="001614AC">
            <w:pPr>
              <w:keepNext/>
            </w:pPr>
          </w:p>
        </w:tc>
        <w:tc>
          <w:tcPr>
            <w:tcW w:w="1400" w:type="dxa"/>
            <w:gridSpan w:val="2"/>
            <w:tcBorders>
              <w:top w:val="single" w:sz="8" w:space="0" w:color="E9E9E9"/>
              <w:left w:val="nil"/>
              <w:bottom w:val="single" w:sz="8" w:space="0" w:color="C7C9C7"/>
              <w:right w:val="nil"/>
            </w:tcBorders>
            <w:tcMar>
              <w:top w:w="0" w:type="dxa"/>
              <w:left w:w="53" w:type="dxa"/>
              <w:bottom w:w="0" w:type="dxa"/>
              <w:right w:w="0" w:type="dxa"/>
            </w:tcMar>
            <w:vAlign w:val="bottom"/>
          </w:tcPr>
          <w:p w14:paraId="6311E206" w14:textId="77777777" w:rsidR="001614AC" w:rsidRDefault="004468F9">
            <w:pPr>
              <w:keepNext/>
              <w:spacing w:before="55" w:after="30" w:line="288" w:lineRule="auto"/>
              <w:jc w:val="right"/>
            </w:pPr>
            <w:r>
              <w:rPr>
                <w:rFonts w:ascii="Arial" w:eastAsia="Arial" w:hAnsi="Arial" w:cs="Arial"/>
                <w:color w:val="000000"/>
                <w:sz w:val="18"/>
              </w:rPr>
              <w:t>— </w:t>
            </w:r>
          </w:p>
        </w:tc>
        <w:tc>
          <w:tcPr>
            <w:tcW w:w="100" w:type="dxa"/>
            <w:tcBorders>
              <w:top w:val="single" w:sz="8" w:space="0" w:color="E9E9E9"/>
              <w:left w:val="nil"/>
              <w:bottom w:val="single" w:sz="8" w:space="0" w:color="C7C9C7"/>
              <w:right w:val="nil"/>
            </w:tcBorders>
            <w:tcMar>
              <w:top w:w="0" w:type="dxa"/>
              <w:left w:w="0" w:type="dxa"/>
              <w:bottom w:w="0" w:type="dxa"/>
              <w:right w:w="15" w:type="dxa"/>
            </w:tcMar>
            <w:vAlign w:val="bottom"/>
          </w:tcPr>
          <w:p w14:paraId="4018E9C1" w14:textId="77777777" w:rsidR="001614AC" w:rsidRDefault="001614AC">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16CC6855" w14:textId="77777777" w:rsidR="001614AC" w:rsidRDefault="001614AC">
            <w:pPr>
              <w:keepNext/>
            </w:pPr>
          </w:p>
        </w:tc>
        <w:tc>
          <w:tcPr>
            <w:tcW w:w="1400" w:type="dxa"/>
            <w:gridSpan w:val="2"/>
            <w:tcBorders>
              <w:top w:val="single" w:sz="8" w:space="0" w:color="E9E9E9"/>
              <w:left w:val="nil"/>
              <w:bottom w:val="single" w:sz="8" w:space="0" w:color="C7C9C7"/>
              <w:right w:val="nil"/>
            </w:tcBorders>
            <w:tcMar>
              <w:top w:w="0" w:type="dxa"/>
              <w:left w:w="53" w:type="dxa"/>
              <w:bottom w:w="0" w:type="dxa"/>
              <w:right w:w="0" w:type="dxa"/>
            </w:tcMar>
            <w:vAlign w:val="bottom"/>
          </w:tcPr>
          <w:p w14:paraId="3ACB48D7" w14:textId="77777777" w:rsidR="001614AC" w:rsidRDefault="004468F9">
            <w:pPr>
              <w:keepNext/>
              <w:spacing w:before="55" w:after="30" w:line="288" w:lineRule="auto"/>
              <w:jc w:val="right"/>
            </w:pPr>
            <w:r>
              <w:rPr>
                <w:rFonts w:ascii="Arial" w:eastAsia="Arial" w:hAnsi="Arial" w:cs="Arial"/>
                <w:color w:val="000000"/>
                <w:sz w:val="18"/>
              </w:rPr>
              <w:t>— </w:t>
            </w:r>
          </w:p>
        </w:tc>
        <w:tc>
          <w:tcPr>
            <w:tcW w:w="100" w:type="dxa"/>
            <w:tcBorders>
              <w:top w:val="single" w:sz="8" w:space="0" w:color="E9E9E9"/>
              <w:left w:val="nil"/>
              <w:bottom w:val="single" w:sz="8" w:space="0" w:color="C7C9C7"/>
              <w:right w:val="nil"/>
            </w:tcBorders>
            <w:tcMar>
              <w:top w:w="0" w:type="dxa"/>
              <w:left w:w="0" w:type="dxa"/>
              <w:bottom w:w="0" w:type="dxa"/>
              <w:right w:w="15" w:type="dxa"/>
            </w:tcMar>
            <w:vAlign w:val="bottom"/>
          </w:tcPr>
          <w:p w14:paraId="23B63048" w14:textId="77777777" w:rsidR="001614AC" w:rsidRDefault="001614AC">
            <w:pPr>
              <w:keepNext/>
              <w:spacing w:before="55" w:after="30" w:line="288" w:lineRule="auto"/>
              <w:jc w:val="right"/>
            </w:pPr>
          </w:p>
        </w:tc>
      </w:tr>
      <w:tr w:rsidR="001614AC" w14:paraId="13A446AA" w14:textId="77777777">
        <w:trPr>
          <w:cantSplit/>
        </w:trPr>
        <w:tc>
          <w:tcPr>
            <w:tcW w:w="6870" w:type="dxa"/>
            <w:tcBorders>
              <w:top w:val="nil"/>
              <w:left w:val="nil"/>
              <w:bottom w:val="nil"/>
              <w:right w:val="nil"/>
            </w:tcBorders>
            <w:shd w:val="clear" w:color="auto" w:fill="F4F4F4"/>
            <w:tcMar>
              <w:top w:w="0" w:type="dxa"/>
              <w:left w:w="53" w:type="dxa"/>
              <w:bottom w:w="0" w:type="dxa"/>
              <w:right w:w="53" w:type="dxa"/>
            </w:tcMar>
            <w:vAlign w:val="bottom"/>
          </w:tcPr>
          <w:p w14:paraId="4CC259FC" w14:textId="77777777" w:rsidR="001614AC" w:rsidRDefault="004468F9">
            <w:pPr>
              <w:keepNext/>
              <w:spacing w:before="75" w:after="30" w:line="288" w:lineRule="auto"/>
              <w:ind w:left="240"/>
            </w:pPr>
            <w:r>
              <w:rPr>
                <w:rFonts w:ascii="Arial" w:eastAsia="Arial" w:hAnsi="Arial" w:cs="Arial"/>
                <w:color w:val="000000"/>
                <w:sz w:val="18"/>
              </w:rPr>
              <w:t>Total</w:t>
            </w:r>
          </w:p>
        </w:tc>
        <w:tc>
          <w:tcPr>
            <w:tcW w:w="105" w:type="dxa"/>
            <w:tcBorders>
              <w:top w:val="nil"/>
              <w:left w:val="nil"/>
              <w:bottom w:val="nil"/>
              <w:right w:val="nil"/>
            </w:tcBorders>
            <w:shd w:val="clear" w:color="auto" w:fill="F4F4F4"/>
            <w:tcMar>
              <w:top w:w="0" w:type="dxa"/>
              <w:left w:w="0" w:type="dxa"/>
              <w:bottom w:w="0" w:type="dxa"/>
              <w:right w:w="0" w:type="dxa"/>
            </w:tcMar>
            <w:vAlign w:val="bottom"/>
          </w:tcPr>
          <w:p w14:paraId="5703032B" w14:textId="77777777" w:rsidR="001614AC" w:rsidRDefault="001614AC">
            <w:pPr>
              <w:keepNext/>
            </w:pPr>
          </w:p>
        </w:tc>
        <w:tc>
          <w:tcPr>
            <w:tcW w:w="1400" w:type="dxa"/>
            <w:gridSpan w:val="2"/>
            <w:tcBorders>
              <w:top w:val="single" w:sz="8" w:space="0" w:color="C7C9C7"/>
              <w:left w:val="nil"/>
              <w:bottom w:val="nil"/>
              <w:right w:val="nil"/>
            </w:tcBorders>
            <w:shd w:val="clear" w:color="auto" w:fill="F4F4F4"/>
            <w:tcMar>
              <w:top w:w="0" w:type="dxa"/>
              <w:left w:w="53" w:type="dxa"/>
              <w:bottom w:w="0" w:type="dxa"/>
              <w:right w:w="0" w:type="dxa"/>
            </w:tcMar>
            <w:vAlign w:val="bottom"/>
          </w:tcPr>
          <w:p w14:paraId="299D74AB" w14:textId="77777777" w:rsidR="001614AC" w:rsidRDefault="004468F9">
            <w:pPr>
              <w:keepNext/>
              <w:spacing w:before="55" w:after="30" w:line="288" w:lineRule="auto"/>
              <w:jc w:val="right"/>
            </w:pPr>
            <w:r>
              <w:rPr>
                <w:rFonts w:ascii="Arial" w:eastAsia="Arial" w:hAnsi="Arial" w:cs="Arial"/>
                <w:color w:val="000000"/>
                <w:sz w:val="18"/>
              </w:rPr>
              <w:t>1,407,545 </w:t>
            </w:r>
          </w:p>
        </w:tc>
        <w:tc>
          <w:tcPr>
            <w:tcW w:w="100" w:type="dxa"/>
            <w:tcBorders>
              <w:top w:val="single" w:sz="8" w:space="0" w:color="C7C9C7"/>
              <w:left w:val="nil"/>
              <w:bottom w:val="nil"/>
              <w:right w:val="nil"/>
            </w:tcBorders>
            <w:shd w:val="clear" w:color="auto" w:fill="F4F4F4"/>
            <w:tcMar>
              <w:top w:w="0" w:type="dxa"/>
              <w:left w:w="0" w:type="dxa"/>
              <w:bottom w:w="0" w:type="dxa"/>
              <w:right w:w="15" w:type="dxa"/>
            </w:tcMar>
            <w:vAlign w:val="bottom"/>
          </w:tcPr>
          <w:p w14:paraId="18919B1E" w14:textId="77777777" w:rsidR="001614AC" w:rsidRDefault="001614AC">
            <w:pPr>
              <w:keepNext/>
              <w:spacing w:before="55" w:after="30" w:line="288" w:lineRule="auto"/>
              <w:jc w:val="right"/>
            </w:pPr>
          </w:p>
        </w:tc>
        <w:tc>
          <w:tcPr>
            <w:tcW w:w="105" w:type="dxa"/>
            <w:tcBorders>
              <w:top w:val="nil"/>
              <w:left w:val="nil"/>
              <w:bottom w:val="nil"/>
              <w:right w:val="nil"/>
            </w:tcBorders>
            <w:shd w:val="clear" w:color="auto" w:fill="F4F4F4"/>
            <w:tcMar>
              <w:top w:w="0" w:type="dxa"/>
              <w:left w:w="0" w:type="dxa"/>
              <w:bottom w:w="0" w:type="dxa"/>
              <w:right w:w="0" w:type="dxa"/>
            </w:tcMar>
            <w:vAlign w:val="bottom"/>
          </w:tcPr>
          <w:p w14:paraId="24F87CF5" w14:textId="77777777" w:rsidR="001614AC" w:rsidRDefault="001614AC">
            <w:pPr>
              <w:keepNext/>
            </w:pPr>
          </w:p>
        </w:tc>
        <w:tc>
          <w:tcPr>
            <w:tcW w:w="1400" w:type="dxa"/>
            <w:gridSpan w:val="2"/>
            <w:tcBorders>
              <w:top w:val="single" w:sz="8" w:space="0" w:color="C7C9C7"/>
              <w:left w:val="nil"/>
              <w:bottom w:val="nil"/>
              <w:right w:val="nil"/>
            </w:tcBorders>
            <w:shd w:val="clear" w:color="auto" w:fill="F4F4F4"/>
            <w:tcMar>
              <w:top w:w="0" w:type="dxa"/>
              <w:left w:w="53" w:type="dxa"/>
              <w:bottom w:w="0" w:type="dxa"/>
              <w:right w:w="0" w:type="dxa"/>
            </w:tcMar>
            <w:vAlign w:val="bottom"/>
          </w:tcPr>
          <w:p w14:paraId="6BDE792D" w14:textId="77777777" w:rsidR="001614AC" w:rsidRDefault="004468F9">
            <w:pPr>
              <w:keepNext/>
              <w:spacing w:before="55" w:after="30" w:line="288" w:lineRule="auto"/>
              <w:jc w:val="right"/>
            </w:pPr>
            <w:r>
              <w:rPr>
                <w:rFonts w:ascii="Arial" w:eastAsia="Arial" w:hAnsi="Arial" w:cs="Arial"/>
                <w:color w:val="000000"/>
                <w:sz w:val="18"/>
              </w:rPr>
              <w:t>1,405,674 </w:t>
            </w:r>
          </w:p>
        </w:tc>
        <w:tc>
          <w:tcPr>
            <w:tcW w:w="100" w:type="dxa"/>
            <w:tcBorders>
              <w:top w:val="single" w:sz="8" w:space="0" w:color="C7C9C7"/>
              <w:left w:val="nil"/>
              <w:bottom w:val="nil"/>
              <w:right w:val="nil"/>
            </w:tcBorders>
            <w:shd w:val="clear" w:color="auto" w:fill="F4F4F4"/>
            <w:tcMar>
              <w:top w:w="0" w:type="dxa"/>
              <w:left w:w="0" w:type="dxa"/>
              <w:bottom w:w="0" w:type="dxa"/>
              <w:right w:w="15" w:type="dxa"/>
            </w:tcMar>
            <w:vAlign w:val="bottom"/>
          </w:tcPr>
          <w:p w14:paraId="50DB99B3" w14:textId="77777777" w:rsidR="001614AC" w:rsidRDefault="001614AC">
            <w:pPr>
              <w:keepNext/>
              <w:spacing w:before="55" w:after="30" w:line="288" w:lineRule="auto"/>
              <w:jc w:val="right"/>
            </w:pPr>
          </w:p>
        </w:tc>
      </w:tr>
      <w:tr w:rsidR="001614AC" w14:paraId="3F52F41A" w14:textId="77777777">
        <w:trPr>
          <w:cantSplit/>
        </w:trPr>
        <w:tc>
          <w:tcPr>
            <w:tcW w:w="6870" w:type="dxa"/>
            <w:tcBorders>
              <w:top w:val="nil"/>
              <w:left w:val="nil"/>
              <w:bottom w:val="nil"/>
              <w:right w:val="nil"/>
            </w:tcBorders>
            <w:tcMar>
              <w:top w:w="0" w:type="dxa"/>
              <w:left w:w="53" w:type="dxa"/>
              <w:bottom w:w="0" w:type="dxa"/>
              <w:right w:w="53" w:type="dxa"/>
            </w:tcMar>
            <w:vAlign w:val="bottom"/>
          </w:tcPr>
          <w:p w14:paraId="2037AB0C" w14:textId="77777777" w:rsidR="001614AC" w:rsidRDefault="004468F9">
            <w:pPr>
              <w:keepNext/>
              <w:spacing w:before="75" w:after="30" w:line="288" w:lineRule="auto"/>
            </w:pPr>
            <w:r>
              <w:rPr>
                <w:rFonts w:ascii="Arial" w:eastAsia="Arial" w:hAnsi="Arial" w:cs="Arial"/>
                <w:color w:val="000000"/>
                <w:sz w:val="18"/>
              </w:rPr>
              <w:t>Stockholders’ equity</w:t>
            </w:r>
          </w:p>
        </w:tc>
        <w:tc>
          <w:tcPr>
            <w:tcW w:w="105" w:type="dxa"/>
            <w:tcBorders>
              <w:top w:val="nil"/>
              <w:left w:val="nil"/>
              <w:bottom w:val="nil"/>
              <w:right w:val="nil"/>
            </w:tcBorders>
            <w:tcMar>
              <w:top w:w="0" w:type="dxa"/>
              <w:left w:w="0" w:type="dxa"/>
              <w:bottom w:w="0" w:type="dxa"/>
              <w:right w:w="0" w:type="dxa"/>
            </w:tcMar>
            <w:vAlign w:val="bottom"/>
          </w:tcPr>
          <w:p w14:paraId="12A9A32F" w14:textId="77777777" w:rsidR="001614AC" w:rsidRDefault="001614AC">
            <w:pPr>
              <w:keepNext/>
            </w:pPr>
          </w:p>
        </w:tc>
        <w:tc>
          <w:tcPr>
            <w:tcW w:w="1400" w:type="dxa"/>
            <w:gridSpan w:val="2"/>
            <w:tcBorders>
              <w:top w:val="nil"/>
              <w:left w:val="nil"/>
              <w:bottom w:val="single" w:sz="8" w:space="0" w:color="C7C9C7"/>
              <w:right w:val="nil"/>
            </w:tcBorders>
            <w:tcMar>
              <w:top w:w="0" w:type="dxa"/>
              <w:left w:w="53" w:type="dxa"/>
              <w:bottom w:w="0" w:type="dxa"/>
              <w:right w:w="0" w:type="dxa"/>
            </w:tcMar>
            <w:vAlign w:val="bottom"/>
          </w:tcPr>
          <w:p w14:paraId="10E601EB" w14:textId="77777777" w:rsidR="001614AC" w:rsidRDefault="004468F9">
            <w:pPr>
              <w:keepNext/>
              <w:spacing w:before="75" w:after="30" w:line="288" w:lineRule="auto"/>
              <w:jc w:val="right"/>
            </w:pPr>
            <w:r>
              <w:rPr>
                <w:rFonts w:ascii="Arial" w:eastAsia="Arial" w:hAnsi="Arial" w:cs="Arial"/>
                <w:color w:val="000000"/>
                <w:sz w:val="18"/>
              </w:rPr>
              <w:t>4,333,833 </w:t>
            </w:r>
          </w:p>
        </w:tc>
        <w:tc>
          <w:tcPr>
            <w:tcW w:w="100" w:type="dxa"/>
            <w:tcBorders>
              <w:top w:val="nil"/>
              <w:left w:val="nil"/>
              <w:bottom w:val="single" w:sz="8" w:space="0" w:color="C7C9C7"/>
              <w:right w:val="nil"/>
            </w:tcBorders>
            <w:tcMar>
              <w:top w:w="0" w:type="dxa"/>
              <w:left w:w="0" w:type="dxa"/>
              <w:bottom w:w="0" w:type="dxa"/>
              <w:right w:w="15" w:type="dxa"/>
            </w:tcMar>
            <w:vAlign w:val="bottom"/>
          </w:tcPr>
          <w:p w14:paraId="62E43E8E" w14:textId="77777777" w:rsidR="001614AC" w:rsidRDefault="001614AC">
            <w:pPr>
              <w:keepNext/>
              <w:spacing w:before="7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6940B18A" w14:textId="77777777" w:rsidR="001614AC" w:rsidRDefault="001614AC">
            <w:pPr>
              <w:keepNext/>
            </w:pPr>
          </w:p>
        </w:tc>
        <w:tc>
          <w:tcPr>
            <w:tcW w:w="1400" w:type="dxa"/>
            <w:gridSpan w:val="2"/>
            <w:tcBorders>
              <w:top w:val="nil"/>
              <w:left w:val="nil"/>
              <w:bottom w:val="single" w:sz="8" w:space="0" w:color="C7C9C7"/>
              <w:right w:val="nil"/>
            </w:tcBorders>
            <w:tcMar>
              <w:top w:w="0" w:type="dxa"/>
              <w:left w:w="53" w:type="dxa"/>
              <w:bottom w:w="0" w:type="dxa"/>
              <w:right w:w="0" w:type="dxa"/>
            </w:tcMar>
            <w:vAlign w:val="bottom"/>
          </w:tcPr>
          <w:p w14:paraId="71E7E0CF" w14:textId="77777777" w:rsidR="001614AC" w:rsidRDefault="004468F9">
            <w:pPr>
              <w:keepNext/>
              <w:spacing w:before="75" w:after="30" w:line="288" w:lineRule="auto"/>
              <w:jc w:val="right"/>
            </w:pPr>
            <w:r>
              <w:rPr>
                <w:rFonts w:ascii="Arial" w:eastAsia="Arial" w:hAnsi="Arial" w:cs="Arial"/>
                <w:color w:val="000000"/>
                <w:sz w:val="18"/>
              </w:rPr>
              <w:t>4,284,353 </w:t>
            </w:r>
          </w:p>
        </w:tc>
        <w:tc>
          <w:tcPr>
            <w:tcW w:w="100" w:type="dxa"/>
            <w:tcBorders>
              <w:top w:val="nil"/>
              <w:left w:val="nil"/>
              <w:bottom w:val="single" w:sz="8" w:space="0" w:color="C7C9C7"/>
              <w:right w:val="nil"/>
            </w:tcBorders>
            <w:tcMar>
              <w:top w:w="0" w:type="dxa"/>
              <w:left w:w="0" w:type="dxa"/>
              <w:bottom w:w="0" w:type="dxa"/>
              <w:right w:w="15" w:type="dxa"/>
            </w:tcMar>
            <w:vAlign w:val="bottom"/>
          </w:tcPr>
          <w:p w14:paraId="67A851B1" w14:textId="77777777" w:rsidR="001614AC" w:rsidRDefault="001614AC">
            <w:pPr>
              <w:keepNext/>
              <w:spacing w:before="75" w:after="30" w:line="288" w:lineRule="auto"/>
              <w:jc w:val="right"/>
            </w:pPr>
          </w:p>
        </w:tc>
      </w:tr>
      <w:tr w:rsidR="001614AC" w14:paraId="5E26B2BE" w14:textId="77777777">
        <w:trPr>
          <w:cantSplit/>
        </w:trPr>
        <w:tc>
          <w:tcPr>
            <w:tcW w:w="6870" w:type="dxa"/>
            <w:tcBorders>
              <w:top w:val="nil"/>
              <w:left w:val="nil"/>
              <w:bottom w:val="nil"/>
              <w:right w:val="nil"/>
            </w:tcBorders>
            <w:shd w:val="clear" w:color="auto" w:fill="F4F4F4"/>
            <w:tcMar>
              <w:top w:w="0" w:type="dxa"/>
              <w:left w:w="53" w:type="dxa"/>
              <w:bottom w:w="0" w:type="dxa"/>
              <w:right w:w="53" w:type="dxa"/>
            </w:tcMar>
            <w:vAlign w:val="bottom"/>
          </w:tcPr>
          <w:p w14:paraId="6C6B6C80" w14:textId="77777777" w:rsidR="001614AC" w:rsidRDefault="004468F9">
            <w:pPr>
              <w:keepNext/>
              <w:spacing w:before="75" w:after="30" w:line="288" w:lineRule="auto"/>
            </w:pPr>
            <w:r>
              <w:rPr>
                <w:rFonts w:ascii="Arial" w:eastAsia="Arial" w:hAnsi="Arial" w:cs="Arial"/>
                <w:color w:val="000000"/>
                <w:sz w:val="18"/>
              </w:rPr>
              <w:t>Total capitalization</w:t>
            </w:r>
          </w:p>
        </w:tc>
        <w:tc>
          <w:tcPr>
            <w:tcW w:w="105" w:type="dxa"/>
            <w:tcBorders>
              <w:top w:val="nil"/>
              <w:left w:val="nil"/>
              <w:bottom w:val="nil"/>
              <w:right w:val="nil"/>
            </w:tcBorders>
            <w:shd w:val="clear" w:color="auto" w:fill="F4F4F4"/>
            <w:tcMar>
              <w:top w:w="0" w:type="dxa"/>
              <w:left w:w="0" w:type="dxa"/>
              <w:bottom w:w="0" w:type="dxa"/>
              <w:right w:w="0" w:type="dxa"/>
            </w:tcMar>
            <w:vAlign w:val="bottom"/>
          </w:tcPr>
          <w:p w14:paraId="702E4948" w14:textId="77777777" w:rsidR="001614AC" w:rsidRDefault="001614AC">
            <w:pPr>
              <w:keepNext/>
            </w:pPr>
          </w:p>
        </w:tc>
        <w:tc>
          <w:tcPr>
            <w:tcW w:w="160" w:type="dxa"/>
            <w:tcBorders>
              <w:top w:val="single" w:sz="8" w:space="0" w:color="C7C9C7"/>
              <w:left w:val="nil"/>
              <w:bottom w:val="double" w:sz="8" w:space="0" w:color="C7C9C7"/>
              <w:right w:val="nil"/>
            </w:tcBorders>
            <w:shd w:val="clear" w:color="auto" w:fill="F4F4F4"/>
            <w:tcMar>
              <w:top w:w="0" w:type="dxa"/>
              <w:left w:w="53" w:type="dxa"/>
              <w:bottom w:w="0" w:type="dxa"/>
              <w:right w:w="0" w:type="dxa"/>
            </w:tcMar>
            <w:vAlign w:val="bottom"/>
          </w:tcPr>
          <w:p w14:paraId="3ABE46D1" w14:textId="77777777" w:rsidR="001614AC" w:rsidRDefault="004468F9">
            <w:pPr>
              <w:keepNext/>
              <w:spacing w:before="55" w:after="30" w:line="288" w:lineRule="auto"/>
            </w:pPr>
            <w:r>
              <w:rPr>
                <w:rFonts w:ascii="Arial" w:eastAsia="Arial" w:hAnsi="Arial" w:cs="Arial"/>
                <w:color w:val="000000"/>
                <w:sz w:val="18"/>
              </w:rPr>
              <w:t>$</w:t>
            </w:r>
          </w:p>
        </w:tc>
        <w:tc>
          <w:tcPr>
            <w:tcW w:w="1240" w:type="dxa"/>
            <w:tcBorders>
              <w:top w:val="single" w:sz="8" w:space="0" w:color="C7C9C7"/>
              <w:left w:val="nil"/>
              <w:bottom w:val="double" w:sz="8" w:space="0" w:color="C7C9C7"/>
              <w:right w:val="nil"/>
            </w:tcBorders>
            <w:shd w:val="clear" w:color="auto" w:fill="F4F4F4"/>
            <w:tcMar>
              <w:top w:w="0" w:type="dxa"/>
              <w:left w:w="0" w:type="dxa"/>
              <w:bottom w:w="0" w:type="dxa"/>
              <w:right w:w="0" w:type="dxa"/>
            </w:tcMar>
            <w:vAlign w:val="bottom"/>
          </w:tcPr>
          <w:p w14:paraId="30AF9CEA" w14:textId="77777777" w:rsidR="001614AC" w:rsidRDefault="004468F9">
            <w:pPr>
              <w:keepNext/>
              <w:spacing w:before="55" w:after="30" w:line="288" w:lineRule="auto"/>
              <w:jc w:val="right"/>
            </w:pPr>
            <w:r>
              <w:rPr>
                <w:rFonts w:ascii="Arial" w:eastAsia="Arial" w:hAnsi="Arial" w:cs="Arial"/>
                <w:color w:val="000000"/>
                <w:sz w:val="18"/>
              </w:rPr>
              <w:t>5,741,378 </w:t>
            </w:r>
          </w:p>
        </w:tc>
        <w:tc>
          <w:tcPr>
            <w:tcW w:w="100" w:type="dxa"/>
            <w:tcBorders>
              <w:top w:val="single" w:sz="8" w:space="0" w:color="C7C9C7"/>
              <w:left w:val="nil"/>
              <w:bottom w:val="double" w:sz="8" w:space="0" w:color="C7C9C7"/>
              <w:right w:val="nil"/>
            </w:tcBorders>
            <w:shd w:val="clear" w:color="auto" w:fill="F4F4F4"/>
            <w:tcMar>
              <w:top w:w="0" w:type="dxa"/>
              <w:left w:w="0" w:type="dxa"/>
              <w:bottom w:w="0" w:type="dxa"/>
              <w:right w:w="15" w:type="dxa"/>
            </w:tcMar>
            <w:vAlign w:val="bottom"/>
          </w:tcPr>
          <w:p w14:paraId="5C238071" w14:textId="77777777" w:rsidR="001614AC" w:rsidRDefault="001614AC">
            <w:pPr>
              <w:keepNext/>
              <w:spacing w:before="55" w:after="30" w:line="288" w:lineRule="auto"/>
              <w:jc w:val="right"/>
            </w:pPr>
          </w:p>
        </w:tc>
        <w:tc>
          <w:tcPr>
            <w:tcW w:w="105" w:type="dxa"/>
            <w:tcBorders>
              <w:top w:val="nil"/>
              <w:left w:val="nil"/>
              <w:bottom w:val="nil"/>
              <w:right w:val="nil"/>
            </w:tcBorders>
            <w:shd w:val="clear" w:color="auto" w:fill="F4F4F4"/>
            <w:tcMar>
              <w:top w:w="0" w:type="dxa"/>
              <w:left w:w="0" w:type="dxa"/>
              <w:bottom w:w="0" w:type="dxa"/>
              <w:right w:w="0" w:type="dxa"/>
            </w:tcMar>
            <w:vAlign w:val="bottom"/>
          </w:tcPr>
          <w:p w14:paraId="59035B2C" w14:textId="77777777" w:rsidR="001614AC" w:rsidRDefault="001614AC">
            <w:pPr>
              <w:keepNext/>
            </w:pPr>
          </w:p>
        </w:tc>
        <w:tc>
          <w:tcPr>
            <w:tcW w:w="160" w:type="dxa"/>
            <w:tcBorders>
              <w:top w:val="single" w:sz="8" w:space="0" w:color="C7C9C7"/>
              <w:left w:val="nil"/>
              <w:bottom w:val="double" w:sz="8" w:space="0" w:color="C7C9C7"/>
              <w:right w:val="nil"/>
            </w:tcBorders>
            <w:shd w:val="clear" w:color="auto" w:fill="F4F4F4"/>
            <w:tcMar>
              <w:top w:w="0" w:type="dxa"/>
              <w:left w:w="53" w:type="dxa"/>
              <w:bottom w:w="0" w:type="dxa"/>
              <w:right w:w="0" w:type="dxa"/>
            </w:tcMar>
            <w:vAlign w:val="bottom"/>
          </w:tcPr>
          <w:p w14:paraId="70CD84F1" w14:textId="77777777" w:rsidR="001614AC" w:rsidRDefault="004468F9">
            <w:pPr>
              <w:keepNext/>
              <w:spacing w:before="55" w:after="30" w:line="288" w:lineRule="auto"/>
            </w:pPr>
            <w:r>
              <w:rPr>
                <w:rFonts w:ascii="Arial" w:eastAsia="Arial" w:hAnsi="Arial" w:cs="Arial"/>
                <w:color w:val="000000"/>
                <w:sz w:val="18"/>
              </w:rPr>
              <w:t>$</w:t>
            </w:r>
          </w:p>
        </w:tc>
        <w:tc>
          <w:tcPr>
            <w:tcW w:w="1240" w:type="dxa"/>
            <w:tcBorders>
              <w:top w:val="single" w:sz="8" w:space="0" w:color="C7C9C7"/>
              <w:left w:val="nil"/>
              <w:bottom w:val="double" w:sz="8" w:space="0" w:color="C7C9C7"/>
              <w:right w:val="nil"/>
            </w:tcBorders>
            <w:shd w:val="clear" w:color="auto" w:fill="F4F4F4"/>
            <w:tcMar>
              <w:top w:w="0" w:type="dxa"/>
              <w:left w:w="0" w:type="dxa"/>
              <w:bottom w:w="0" w:type="dxa"/>
              <w:right w:w="0" w:type="dxa"/>
            </w:tcMar>
            <w:vAlign w:val="bottom"/>
          </w:tcPr>
          <w:p w14:paraId="17720937" w14:textId="77777777" w:rsidR="001614AC" w:rsidRDefault="004468F9">
            <w:pPr>
              <w:keepNext/>
              <w:spacing w:before="55" w:after="30" w:line="288" w:lineRule="auto"/>
              <w:jc w:val="right"/>
            </w:pPr>
            <w:r>
              <w:rPr>
                <w:rFonts w:ascii="Arial" w:eastAsia="Arial" w:hAnsi="Arial" w:cs="Arial"/>
                <w:color w:val="000000"/>
                <w:sz w:val="18"/>
              </w:rPr>
              <w:t>5,690,027 </w:t>
            </w:r>
          </w:p>
        </w:tc>
        <w:tc>
          <w:tcPr>
            <w:tcW w:w="100" w:type="dxa"/>
            <w:tcBorders>
              <w:top w:val="single" w:sz="8" w:space="0" w:color="C7C9C7"/>
              <w:left w:val="nil"/>
              <w:bottom w:val="double" w:sz="8" w:space="0" w:color="C7C9C7"/>
              <w:right w:val="nil"/>
            </w:tcBorders>
            <w:shd w:val="clear" w:color="auto" w:fill="F4F4F4"/>
            <w:tcMar>
              <w:top w:w="0" w:type="dxa"/>
              <w:left w:w="0" w:type="dxa"/>
              <w:bottom w:w="0" w:type="dxa"/>
              <w:right w:w="15" w:type="dxa"/>
            </w:tcMar>
            <w:vAlign w:val="bottom"/>
          </w:tcPr>
          <w:p w14:paraId="0CD8399B" w14:textId="77777777" w:rsidR="001614AC" w:rsidRDefault="001614AC">
            <w:pPr>
              <w:keepNext/>
              <w:spacing w:before="55" w:after="30" w:line="288" w:lineRule="auto"/>
              <w:jc w:val="right"/>
            </w:pPr>
          </w:p>
        </w:tc>
      </w:tr>
      <w:tr w:rsidR="001614AC" w14:paraId="71DCEFC5" w14:textId="77777777">
        <w:trPr>
          <w:cantSplit/>
        </w:trPr>
        <w:tc>
          <w:tcPr>
            <w:tcW w:w="6870" w:type="dxa"/>
            <w:tcBorders>
              <w:top w:val="nil"/>
              <w:left w:val="nil"/>
              <w:bottom w:val="single" w:sz="8" w:space="0" w:color="E9E9E9"/>
              <w:right w:val="nil"/>
            </w:tcBorders>
            <w:tcMar>
              <w:top w:w="0" w:type="dxa"/>
              <w:left w:w="53" w:type="dxa"/>
              <w:bottom w:w="0" w:type="dxa"/>
              <w:right w:w="53" w:type="dxa"/>
            </w:tcMar>
            <w:vAlign w:val="bottom"/>
          </w:tcPr>
          <w:p w14:paraId="0DA40F26" w14:textId="77777777" w:rsidR="001614AC" w:rsidRDefault="004468F9">
            <w:pPr>
              <w:spacing w:before="75" w:after="30" w:line="288" w:lineRule="auto"/>
            </w:pPr>
            <w:r>
              <w:rPr>
                <w:rFonts w:ascii="Arial" w:eastAsia="Arial" w:hAnsi="Arial" w:cs="Arial"/>
                <w:color w:val="000000"/>
                <w:sz w:val="18"/>
              </w:rPr>
              <w:t>Debt-to-capital ratio</w:t>
            </w:r>
          </w:p>
        </w:tc>
        <w:tc>
          <w:tcPr>
            <w:tcW w:w="105" w:type="dxa"/>
            <w:tcBorders>
              <w:top w:val="nil"/>
              <w:left w:val="nil"/>
              <w:bottom w:val="nil"/>
              <w:right w:val="nil"/>
            </w:tcBorders>
            <w:tcMar>
              <w:top w:w="0" w:type="dxa"/>
              <w:left w:w="0" w:type="dxa"/>
              <w:bottom w:w="0" w:type="dxa"/>
              <w:right w:w="0" w:type="dxa"/>
            </w:tcMar>
            <w:vAlign w:val="bottom"/>
          </w:tcPr>
          <w:p w14:paraId="69E5DC66" w14:textId="77777777" w:rsidR="001614AC" w:rsidRDefault="001614AC"/>
        </w:tc>
        <w:tc>
          <w:tcPr>
            <w:tcW w:w="1400" w:type="dxa"/>
            <w:gridSpan w:val="2"/>
            <w:tcBorders>
              <w:top w:val="double" w:sz="8" w:space="0" w:color="C7C9C7"/>
              <w:left w:val="nil"/>
              <w:bottom w:val="single" w:sz="8" w:space="0" w:color="E9E9E9"/>
              <w:right w:val="nil"/>
            </w:tcBorders>
            <w:tcMar>
              <w:top w:w="0" w:type="dxa"/>
              <w:left w:w="53" w:type="dxa"/>
              <w:bottom w:w="0" w:type="dxa"/>
              <w:right w:w="0" w:type="dxa"/>
            </w:tcMar>
            <w:vAlign w:val="bottom"/>
          </w:tcPr>
          <w:p w14:paraId="32452CB7" w14:textId="77777777" w:rsidR="001614AC" w:rsidRDefault="004468F9">
            <w:pPr>
              <w:spacing w:before="55" w:after="30" w:line="288" w:lineRule="auto"/>
              <w:jc w:val="right"/>
            </w:pPr>
            <w:r>
              <w:rPr>
                <w:rFonts w:ascii="Arial" w:eastAsia="Arial" w:hAnsi="Arial" w:cs="Arial"/>
                <w:color w:val="000000"/>
                <w:sz w:val="18"/>
              </w:rPr>
              <w:t>24.5 </w:t>
            </w:r>
          </w:p>
        </w:tc>
        <w:tc>
          <w:tcPr>
            <w:tcW w:w="100" w:type="dxa"/>
            <w:tcBorders>
              <w:top w:val="double" w:sz="8" w:space="0" w:color="C7C9C7"/>
              <w:left w:val="nil"/>
              <w:bottom w:val="single" w:sz="8" w:space="0" w:color="E9E9E9"/>
              <w:right w:val="nil"/>
            </w:tcBorders>
            <w:tcMar>
              <w:top w:w="0" w:type="dxa"/>
              <w:left w:w="0" w:type="dxa"/>
              <w:bottom w:w="0" w:type="dxa"/>
              <w:right w:w="15" w:type="dxa"/>
            </w:tcMar>
            <w:vAlign w:val="bottom"/>
          </w:tcPr>
          <w:p w14:paraId="22D14565" w14:textId="77777777" w:rsidR="001614AC" w:rsidRDefault="004468F9">
            <w:pPr>
              <w:spacing w:before="55" w:after="30" w:line="288" w:lineRule="auto"/>
              <w:jc w:val="right"/>
            </w:pPr>
            <w:r>
              <w:rPr>
                <w:rFonts w:ascii="Arial" w:eastAsia="Arial" w:hAnsi="Arial" w:cs="Arial"/>
                <w:color w:val="000000"/>
                <w:sz w:val="18"/>
              </w:rPr>
              <w:t>%</w:t>
            </w:r>
          </w:p>
        </w:tc>
        <w:tc>
          <w:tcPr>
            <w:tcW w:w="105" w:type="dxa"/>
            <w:tcBorders>
              <w:top w:val="nil"/>
              <w:left w:val="nil"/>
              <w:bottom w:val="nil"/>
              <w:right w:val="nil"/>
            </w:tcBorders>
            <w:tcMar>
              <w:top w:w="0" w:type="dxa"/>
              <w:left w:w="0" w:type="dxa"/>
              <w:bottom w:w="0" w:type="dxa"/>
              <w:right w:w="0" w:type="dxa"/>
            </w:tcMar>
            <w:vAlign w:val="bottom"/>
          </w:tcPr>
          <w:p w14:paraId="515FF028" w14:textId="77777777" w:rsidR="001614AC" w:rsidRDefault="001614AC"/>
        </w:tc>
        <w:tc>
          <w:tcPr>
            <w:tcW w:w="1400" w:type="dxa"/>
            <w:gridSpan w:val="2"/>
            <w:tcBorders>
              <w:top w:val="double" w:sz="8" w:space="0" w:color="C7C9C7"/>
              <w:left w:val="nil"/>
              <w:bottom w:val="single" w:sz="8" w:space="0" w:color="E9E9E9"/>
              <w:right w:val="nil"/>
            </w:tcBorders>
            <w:tcMar>
              <w:top w:w="0" w:type="dxa"/>
              <w:left w:w="53" w:type="dxa"/>
              <w:bottom w:w="0" w:type="dxa"/>
              <w:right w:w="0" w:type="dxa"/>
            </w:tcMar>
            <w:vAlign w:val="bottom"/>
          </w:tcPr>
          <w:p w14:paraId="688D1EC6" w14:textId="77777777" w:rsidR="001614AC" w:rsidRDefault="004468F9">
            <w:pPr>
              <w:spacing w:before="55" w:after="30" w:line="288" w:lineRule="auto"/>
              <w:jc w:val="right"/>
            </w:pPr>
            <w:r>
              <w:rPr>
                <w:rFonts w:ascii="Arial" w:eastAsia="Arial" w:hAnsi="Arial" w:cs="Arial"/>
                <w:color w:val="000000"/>
                <w:sz w:val="18"/>
              </w:rPr>
              <w:t>24.7 </w:t>
            </w:r>
          </w:p>
        </w:tc>
        <w:tc>
          <w:tcPr>
            <w:tcW w:w="100" w:type="dxa"/>
            <w:tcBorders>
              <w:top w:val="double" w:sz="8" w:space="0" w:color="C7C9C7"/>
              <w:left w:val="nil"/>
              <w:bottom w:val="single" w:sz="8" w:space="0" w:color="E9E9E9"/>
              <w:right w:val="nil"/>
            </w:tcBorders>
            <w:tcMar>
              <w:top w:w="0" w:type="dxa"/>
              <w:left w:w="0" w:type="dxa"/>
              <w:bottom w:w="0" w:type="dxa"/>
              <w:right w:w="15" w:type="dxa"/>
            </w:tcMar>
            <w:vAlign w:val="bottom"/>
          </w:tcPr>
          <w:p w14:paraId="08E26F85" w14:textId="77777777" w:rsidR="001614AC" w:rsidRDefault="004468F9">
            <w:pPr>
              <w:spacing w:before="55" w:after="30" w:line="288" w:lineRule="auto"/>
              <w:jc w:val="right"/>
            </w:pPr>
            <w:r>
              <w:rPr>
                <w:rFonts w:ascii="Arial" w:eastAsia="Arial" w:hAnsi="Arial" w:cs="Arial"/>
                <w:color w:val="000000"/>
                <w:sz w:val="18"/>
              </w:rPr>
              <w:t>%</w:t>
            </w:r>
          </w:p>
        </w:tc>
      </w:tr>
    </w:tbl>
    <w:p w14:paraId="43E74A15" w14:textId="77777777" w:rsidR="001614AC" w:rsidRDefault="004468F9">
      <w:pPr>
        <w:spacing w:before="200" w:after="100" w:line="288" w:lineRule="auto"/>
        <w:ind w:firstLine="450"/>
        <w:rPr>
          <w:rFonts w:ascii="Arial" w:eastAsia="Arial" w:hAnsi="Arial" w:cs="Arial"/>
          <w:b/>
          <w:i/>
          <w:color w:val="4D6B80"/>
          <w:sz w:val="22"/>
        </w:rPr>
      </w:pPr>
      <w:r>
        <w:rPr>
          <w:rFonts w:ascii="Arial" w:eastAsia="Arial" w:hAnsi="Arial" w:cs="Arial"/>
          <w:sz w:val="18"/>
        </w:rPr>
        <w:t>Stockholders’ equity increased by $49.5 million from December 31, 2020 to June 30, 2021. The net increase in stockholders’ equity for the six months ended June 30, 2021</w:t>
      </w:r>
      <w:r>
        <w:rPr>
          <w:rFonts w:ascii="Arial" w:eastAsia="Arial" w:hAnsi="Arial" w:cs="Arial"/>
          <w:sz w:val="18"/>
        </w:rPr>
        <w:t xml:space="preserve"> resulted primarily from our net income of $280.8 million, partially offset by share repurchases of $98.7 million, unrealized losses on investments of $84.9 million and dividends of $52.3 million.</w:t>
      </w:r>
    </w:p>
    <w:p w14:paraId="1B11E8AA" w14:textId="77777777" w:rsidR="001614AC" w:rsidRDefault="004468F9">
      <w:pPr>
        <w:spacing w:before="100" w:after="100" w:line="288" w:lineRule="auto"/>
        <w:ind w:firstLine="450"/>
        <w:rPr>
          <w:rFonts w:ascii="Arial" w:eastAsia="Arial" w:hAnsi="Arial" w:cs="Arial"/>
          <w:b/>
          <w:i/>
          <w:color w:val="4D6B80"/>
          <w:sz w:val="18"/>
        </w:rPr>
      </w:pPr>
      <w:r>
        <w:rPr>
          <w:rFonts w:ascii="Arial" w:eastAsia="Arial" w:hAnsi="Arial" w:cs="Arial"/>
          <w:sz w:val="18"/>
        </w:rPr>
        <w:t>We regularly evaluate opportunities, based on market condit</w:t>
      </w:r>
      <w:r>
        <w:rPr>
          <w:rFonts w:ascii="Arial" w:eastAsia="Arial" w:hAnsi="Arial" w:cs="Arial"/>
          <w:sz w:val="18"/>
        </w:rPr>
        <w:t>ions, to finance our operations by accessing the capital markets or entering into other types of financing arrangements with institutional and other lenders and financing sources, and consider various measures to improve our capital and liquidity positions</w:t>
      </w:r>
      <w:r>
        <w:rPr>
          <w:rFonts w:ascii="Arial" w:eastAsia="Arial" w:hAnsi="Arial" w:cs="Arial"/>
          <w:sz w:val="18"/>
        </w:rPr>
        <w:t>, as well as to strengthen our balance sheet, improve Radian Group’s debt maturity profile and maintain adequate liquidity for our operations. In the past we have repurchased and exchanged, prior to maturity, some of our outstanding debt, and in the future</w:t>
      </w:r>
      <w:r>
        <w:rPr>
          <w:rFonts w:ascii="Arial" w:eastAsia="Arial" w:hAnsi="Arial" w:cs="Arial"/>
          <w:sz w:val="18"/>
        </w:rPr>
        <w:t>, we may from time to time seek to redeem, repurchase or exchange for other securities, or otherwise restructure or refinance some or all of our outstanding debt prior to maturity in the open market through other public or private transactions, including p</w:t>
      </w:r>
      <w:r>
        <w:rPr>
          <w:rFonts w:ascii="Arial" w:eastAsia="Arial" w:hAnsi="Arial" w:cs="Arial"/>
          <w:sz w:val="18"/>
        </w:rPr>
        <w:t xml:space="preserve">ursuant to one or more tender offers or through any combination of the foregoing, as circumstances may allow. The timing or amount of any potential transactions will depend on a number of factors, including market opportunities and our views regarding our </w:t>
      </w:r>
      <w:r>
        <w:rPr>
          <w:rFonts w:ascii="Arial" w:eastAsia="Arial" w:hAnsi="Arial" w:cs="Arial"/>
          <w:sz w:val="18"/>
        </w:rPr>
        <w:t>capital and liquidity positions and potential future needs, including as a result of the effects of the COVID-19 pandemic. There can be no assurance that any such transactions will be completed on favorable terms, or at all.</w:t>
      </w:r>
    </w:p>
    <w:p w14:paraId="19177DDA" w14:textId="77777777" w:rsidR="001614AC" w:rsidRDefault="004468F9">
      <w:pPr>
        <w:keepNext/>
        <w:spacing w:before="180" w:after="140" w:line="288" w:lineRule="auto"/>
        <w:rPr>
          <w:rFonts w:ascii="Arial" w:eastAsia="Arial" w:hAnsi="Arial" w:cs="Arial"/>
          <w:b/>
          <w:i/>
          <w:color w:val="002B49"/>
          <w:sz w:val="26"/>
        </w:rPr>
      </w:pPr>
      <w:r>
        <w:rPr>
          <w:rFonts w:ascii="Arial" w:eastAsia="Arial" w:hAnsi="Arial" w:cs="Arial"/>
          <w:b/>
          <w:color w:val="002B49"/>
          <w:sz w:val="26"/>
        </w:rPr>
        <w:t>Mortgage</w:t>
      </w:r>
    </w:p>
    <w:p w14:paraId="3543E199" w14:textId="77777777" w:rsidR="001614AC" w:rsidRDefault="004468F9">
      <w:pPr>
        <w:spacing w:before="100" w:after="100" w:line="288" w:lineRule="auto"/>
        <w:ind w:firstLine="450"/>
        <w:rPr>
          <w:rFonts w:ascii="Arial" w:eastAsia="Arial" w:hAnsi="Arial" w:cs="Arial"/>
          <w:b/>
          <w:i/>
          <w:color w:val="4D6B80"/>
          <w:sz w:val="18"/>
          <w:shd w:val="clear" w:color="auto" w:fill="B6B6B6"/>
        </w:rPr>
      </w:pPr>
      <w:r>
        <w:rPr>
          <w:rFonts w:ascii="Arial" w:eastAsia="Arial" w:hAnsi="Arial" w:cs="Arial"/>
          <w:sz w:val="18"/>
        </w:rPr>
        <w:t xml:space="preserve">The principal demands </w:t>
      </w:r>
      <w:r>
        <w:rPr>
          <w:rFonts w:ascii="Arial" w:eastAsia="Arial" w:hAnsi="Arial" w:cs="Arial"/>
          <w:sz w:val="18"/>
        </w:rPr>
        <w:t>for liquidity in our Mortgage business currently include: (i) the payment of claims and potential claim settlement transactions, net of reinsurance; (ii) expenses (including those allocated from Radian Group); (iii) repayments of FHLB advances; (iv) repaym</w:t>
      </w:r>
      <w:r>
        <w:rPr>
          <w:rFonts w:ascii="Arial" w:eastAsia="Arial" w:hAnsi="Arial" w:cs="Arial"/>
          <w:sz w:val="18"/>
        </w:rPr>
        <w:t>ents, if any, associated with the 2017 Surplus Note; and (v) taxes, including potential additional purchases of U.S. Mortgage Guaranty Tax and Loss Bonds. See Notes 10 and 16 of Notes to Consolidated Financial Statements in our 2020 Form 10-K for additiona</w:t>
      </w:r>
      <w:r>
        <w:rPr>
          <w:rFonts w:ascii="Arial" w:eastAsia="Arial" w:hAnsi="Arial" w:cs="Arial"/>
          <w:sz w:val="18"/>
        </w:rPr>
        <w:t xml:space="preserve">l information related to these non-interest bearing instruments. </w:t>
      </w:r>
    </w:p>
    <w:p w14:paraId="0832766A" w14:textId="77777777" w:rsidR="001614AC" w:rsidRDefault="004468F9">
      <w:pPr>
        <w:spacing w:before="100" w:after="100" w:line="288" w:lineRule="auto"/>
        <w:ind w:firstLine="450"/>
        <w:rPr>
          <w:rFonts w:ascii="Arial" w:eastAsia="Arial" w:hAnsi="Arial" w:cs="Arial"/>
          <w:b/>
          <w:i/>
          <w:color w:val="4D6B80"/>
          <w:sz w:val="18"/>
        </w:rPr>
      </w:pPr>
      <w:r>
        <w:rPr>
          <w:rFonts w:ascii="Arial" w:eastAsia="Arial" w:hAnsi="Arial" w:cs="Arial"/>
          <w:sz w:val="18"/>
        </w:rPr>
        <w:t>The principal sources of liquidity in our mortgage insurance business currently include insurance premiums, net investment income and cash flows from: (i) investment sales and maturities; (i</w:t>
      </w:r>
      <w:r>
        <w:rPr>
          <w:rFonts w:ascii="Arial" w:eastAsia="Arial" w:hAnsi="Arial" w:cs="Arial"/>
          <w:sz w:val="18"/>
        </w:rPr>
        <w:t>i) FHLB advances; and (iii) capital contributions from Radian Group. We believe that the operating cash flows generated by each of our mortgage insurance subsidiaries will provide these subsidiaries with a substantial portion of the funds necessary to sati</w:t>
      </w:r>
      <w:r>
        <w:rPr>
          <w:rFonts w:ascii="Arial" w:eastAsia="Arial" w:hAnsi="Arial" w:cs="Arial"/>
          <w:sz w:val="18"/>
        </w:rPr>
        <w:t>sfy their needs for the foreseeable future. However, see “Overview—COVID-19 Impacts” and Note 1 of Notes to Unaudited Condensed Consolidated Financial Statements for discussion about the elevated risks and uncertainties associated with the COVID-19 pandemi</w:t>
      </w:r>
      <w:r>
        <w:rPr>
          <w:rFonts w:ascii="Arial" w:eastAsia="Arial" w:hAnsi="Arial" w:cs="Arial"/>
          <w:sz w:val="18"/>
        </w:rPr>
        <w:t>c, including the impact on our PMIERs Cushion.</w:t>
      </w:r>
    </w:p>
    <w:p w14:paraId="12F56D18" w14:textId="77777777" w:rsidR="001614AC" w:rsidRDefault="004468F9">
      <w:pPr>
        <w:spacing w:before="100" w:after="100" w:line="288" w:lineRule="auto"/>
        <w:ind w:firstLine="450"/>
        <w:rPr>
          <w:rFonts w:ascii="Arial" w:eastAsia="Arial" w:hAnsi="Arial" w:cs="Arial"/>
          <w:b/>
          <w:i/>
          <w:color w:val="4D6B80"/>
          <w:sz w:val="22"/>
        </w:rPr>
      </w:pPr>
      <w:r>
        <w:rPr>
          <w:rFonts w:ascii="Arial" w:eastAsia="Arial" w:hAnsi="Arial" w:cs="Arial"/>
          <w:sz w:val="18"/>
        </w:rPr>
        <w:t xml:space="preserve">As of June 30, 2021, our mortgage insurance subsidiaries maintained claims paying resources </w:t>
      </w:r>
      <w:r>
        <w:rPr>
          <w:rFonts w:ascii="Arial" w:eastAsia="Arial" w:hAnsi="Arial" w:cs="Arial"/>
          <w:sz w:val="18"/>
          <w:shd w:val="clear" w:color="auto" w:fill="FFFFFF"/>
        </w:rPr>
        <w:t xml:space="preserve">of </w:t>
      </w:r>
      <w:r>
        <w:rPr>
          <w:rFonts w:ascii="Arial" w:eastAsia="Arial" w:hAnsi="Arial" w:cs="Arial"/>
          <w:sz w:val="18"/>
        </w:rPr>
        <w:t>$5.6 billion on a statutory basis, which consists of contingency reserves, statutory policyholders’ surplus, premi</w:t>
      </w:r>
      <w:r>
        <w:rPr>
          <w:rFonts w:ascii="Arial" w:eastAsia="Arial" w:hAnsi="Arial" w:cs="Arial"/>
          <w:sz w:val="18"/>
        </w:rPr>
        <w:t>ums received but not yet earned and loss reserves. In addition, our reinsurance programs are designed to provide additional claims-paying resources during times of economic stress and elevated losses. See Note 8 of Notes to Unaudited Condensed Consolidated</w:t>
      </w:r>
      <w:r>
        <w:rPr>
          <w:rFonts w:ascii="Arial" w:eastAsia="Arial" w:hAnsi="Arial" w:cs="Arial"/>
          <w:sz w:val="18"/>
        </w:rPr>
        <w:t xml:space="preserve"> Financial Statements for additional information.</w:t>
      </w:r>
    </w:p>
    <w:p w14:paraId="6C66E81D" w14:textId="77777777" w:rsidR="001614AC" w:rsidRDefault="004468F9">
      <w:pPr>
        <w:spacing w:before="100" w:after="100" w:line="288" w:lineRule="auto"/>
        <w:ind w:firstLine="450"/>
        <w:rPr>
          <w:rFonts w:ascii="Arial" w:eastAsia="Arial" w:hAnsi="Arial" w:cs="Arial"/>
          <w:b/>
          <w:i/>
          <w:color w:val="4D6B80"/>
          <w:sz w:val="22"/>
          <w:shd w:val="clear" w:color="auto" w:fill="B6B6B6"/>
        </w:rPr>
      </w:pPr>
      <w:r>
        <w:rPr>
          <w:rFonts w:ascii="Arial" w:eastAsia="Arial" w:hAnsi="Arial" w:cs="Arial"/>
          <w:sz w:val="18"/>
        </w:rPr>
        <w:lastRenderedPageBreak/>
        <w:t>Radian Guaranty’s Risk-to-capital as of June 30, 2021 was</w:t>
      </w:r>
      <w:r>
        <w:rPr>
          <w:rFonts w:ascii="Arial" w:eastAsia="Arial" w:hAnsi="Arial" w:cs="Arial"/>
          <w:sz w:val="18"/>
          <w:shd w:val="clear" w:color="auto" w:fill="FFFFFF"/>
        </w:rPr>
        <w:t xml:space="preserve"> </w:t>
      </w:r>
      <w:r>
        <w:rPr>
          <w:rFonts w:ascii="Arial" w:eastAsia="Arial" w:hAnsi="Arial" w:cs="Arial"/>
          <w:sz w:val="18"/>
        </w:rPr>
        <w:t>11.4</w:t>
      </w:r>
      <w:r>
        <w:rPr>
          <w:rFonts w:ascii="Arial" w:eastAsia="Arial" w:hAnsi="Arial" w:cs="Arial"/>
          <w:sz w:val="18"/>
          <w:shd w:val="clear" w:color="auto" w:fill="FFFFFF"/>
        </w:rPr>
        <w:t xml:space="preserve"> to 1. Radian Guaranty is not expected to need additional capital to satisfy state insurance regulatory requirements in their current form. At J</w:t>
      </w:r>
      <w:r>
        <w:rPr>
          <w:rFonts w:ascii="Arial" w:eastAsia="Arial" w:hAnsi="Arial" w:cs="Arial"/>
          <w:sz w:val="18"/>
          <w:shd w:val="clear" w:color="auto" w:fill="FFFFFF"/>
        </w:rPr>
        <w:t xml:space="preserve">une 30, 2021, Radian Guaranty had statutory </w:t>
      </w:r>
      <w:r>
        <w:rPr>
          <w:rFonts w:ascii="Arial" w:eastAsia="Arial" w:hAnsi="Arial" w:cs="Arial"/>
          <w:sz w:val="18"/>
        </w:rPr>
        <w:t>policyholders’ surplus of $596.0 million. This balance includes a $275.6 million benefit from U.S. Mortgage Guaranty Tax and Loss Bonds issued by the U.S. Department of the Treasury, which mortgage guaranty insur</w:t>
      </w:r>
      <w:r>
        <w:rPr>
          <w:rFonts w:ascii="Arial" w:eastAsia="Arial" w:hAnsi="Arial" w:cs="Arial"/>
          <w:sz w:val="18"/>
        </w:rPr>
        <w:t xml:space="preserve">ers such as Radian Guaranty may purchase in order to be eligible for a tax deduction, subject to certain limitations, related to amounts required to be set aside in statutory contingency reserves. See Note 16 of Notes to Consolidated Financial Statements, </w:t>
      </w:r>
      <w:r>
        <w:rPr>
          <w:rFonts w:ascii="Arial" w:eastAsia="Arial" w:hAnsi="Arial" w:cs="Arial"/>
          <w:sz w:val="18"/>
        </w:rPr>
        <w:t>“Overview—COVID-19 Impacts” and “Item 1A. Risk Factors” in our 2020 Form 10-K for more information about these bonds and the risks associated with potential corporate tax rate increases, our statutory and PMIERs requirements and the potential effects of in</w:t>
      </w:r>
      <w:r>
        <w:rPr>
          <w:rFonts w:ascii="Arial" w:eastAsia="Arial" w:hAnsi="Arial" w:cs="Arial"/>
          <w:sz w:val="18"/>
        </w:rPr>
        <w:t>creased defaults due to the COVID-19 pandemic.</w:t>
      </w:r>
    </w:p>
    <w:p w14:paraId="42E39BCB" w14:textId="77777777" w:rsidR="001614AC" w:rsidRDefault="004468F9">
      <w:pPr>
        <w:spacing w:before="100" w:after="100" w:line="288" w:lineRule="auto"/>
        <w:ind w:firstLine="450"/>
        <w:rPr>
          <w:rFonts w:ascii="Arial" w:eastAsia="Arial" w:hAnsi="Arial" w:cs="Arial"/>
          <w:b/>
          <w:i/>
          <w:color w:val="4D6B80"/>
          <w:sz w:val="18"/>
        </w:rPr>
      </w:pPr>
      <w:r>
        <w:rPr>
          <w:rFonts w:ascii="Arial" w:eastAsia="Arial" w:hAnsi="Arial" w:cs="Arial"/>
          <w:sz w:val="18"/>
        </w:rPr>
        <w:t>Radian Guaranty currently is an approved mortgage insurer under the PMIERs. Private mortgage insurers, including Radian Guaranty, are required to comply with the PMIERs to remain approved insurers of loans pur</w:t>
      </w:r>
      <w:r>
        <w:rPr>
          <w:rFonts w:ascii="Arial" w:eastAsia="Arial" w:hAnsi="Arial" w:cs="Arial"/>
          <w:sz w:val="18"/>
        </w:rPr>
        <w:t>chased by the GSEs. At June 30, 2021, Radian Guaranty’s Available Assets under the PMIERs financial requirements totaled approximately $5.0 billion, resulting in a PMIERs Cushion of $1.9 billion, or 58%, over its Minimum Required Assets. Those amounts comp</w:t>
      </w:r>
      <w:r>
        <w:rPr>
          <w:rFonts w:ascii="Arial" w:eastAsia="Arial" w:hAnsi="Arial" w:cs="Arial"/>
          <w:sz w:val="18"/>
        </w:rPr>
        <w:t>are to Available Assets and a PMIERs cushion of $4.7 billion and $1.3 billion, respectively, at December 31, 2020.</w:t>
      </w:r>
    </w:p>
    <w:p w14:paraId="30DC8CF2" w14:textId="77777777" w:rsidR="001614AC" w:rsidRDefault="004468F9">
      <w:pPr>
        <w:spacing w:before="100" w:after="100" w:line="288" w:lineRule="auto"/>
        <w:ind w:firstLine="450"/>
        <w:rPr>
          <w:rFonts w:ascii="Arial" w:eastAsia="Arial" w:hAnsi="Arial" w:cs="Arial"/>
          <w:b/>
          <w:i/>
          <w:color w:val="4D6B80"/>
          <w:sz w:val="18"/>
        </w:rPr>
      </w:pPr>
      <w:r>
        <w:rPr>
          <w:rFonts w:ascii="Arial" w:eastAsia="Arial" w:hAnsi="Arial" w:cs="Arial"/>
          <w:sz w:val="18"/>
        </w:rPr>
        <w:t xml:space="preserve"> The primary driver of the increase in Radian Guaranty’s PMIERs Cushion during the six months ended June 30, 2021 is the increase in Availabl</w:t>
      </w:r>
      <w:r>
        <w:rPr>
          <w:rFonts w:ascii="Arial" w:eastAsia="Arial" w:hAnsi="Arial" w:cs="Arial"/>
          <w:sz w:val="18"/>
        </w:rPr>
        <w:t>e Assets, reflecting positive cash flows from operating activities, combined with a decrease in Minimum Required Assets. During the six months ended June 30, 2021, Radian Guaranty’s Minimum Required Assets decreased primarily as a result of a decrease in t</w:t>
      </w:r>
      <w:r>
        <w:rPr>
          <w:rFonts w:ascii="Arial" w:eastAsia="Arial" w:hAnsi="Arial" w:cs="Arial"/>
          <w:sz w:val="18"/>
        </w:rPr>
        <w:t xml:space="preserve">he number of primary loans in default and an overall decline in IIF. Radian Guaranty’s Minimum Required Assets include a benefit as a result of reinsurance agreements, including the addition of the Eagle Re 2021-1 Ltd. reinsurance agreement in April 2021. </w:t>
      </w:r>
      <w:r>
        <w:rPr>
          <w:rFonts w:ascii="Arial" w:eastAsia="Arial" w:hAnsi="Arial" w:cs="Arial"/>
          <w:sz w:val="18"/>
        </w:rPr>
        <w:t>See Note 8 of Notes to Unaudited Condensed Consolidated Financial Statements for additional information on our reinsurance agreements.</w:t>
      </w:r>
    </w:p>
    <w:p w14:paraId="1817DD5C" w14:textId="77777777" w:rsidR="001614AC" w:rsidRDefault="004468F9">
      <w:pPr>
        <w:spacing w:before="100" w:after="100" w:line="288" w:lineRule="auto"/>
        <w:ind w:firstLine="450"/>
        <w:rPr>
          <w:rFonts w:ascii="Arial" w:eastAsia="Arial" w:hAnsi="Arial" w:cs="Arial"/>
          <w:b/>
          <w:i/>
          <w:color w:val="4D6B80"/>
          <w:sz w:val="18"/>
          <w:shd w:val="clear" w:color="auto" w:fill="B6B6B6"/>
        </w:rPr>
      </w:pPr>
      <w:r>
        <w:rPr>
          <w:rFonts w:ascii="Arial" w:eastAsia="Arial" w:hAnsi="Arial" w:cs="Arial"/>
          <w:sz w:val="18"/>
        </w:rPr>
        <w:t xml:space="preserve">Our PMIERs Cushion at June 30, 2021, also includes a benefit from the application of the Disaster Related Capital Charge </w:t>
      </w:r>
      <w:r>
        <w:rPr>
          <w:rFonts w:ascii="Arial" w:eastAsia="Arial" w:hAnsi="Arial" w:cs="Arial"/>
          <w:sz w:val="18"/>
        </w:rPr>
        <w:t>that has reduced the total amount of Minimum Required Assets that Radian Guaranty otherwise would have been required to hold against pandemic-related defaults by approximately $435 million as of June 30, 2021, taking into consideration our risk distributio</w:t>
      </w:r>
      <w:r>
        <w:rPr>
          <w:rFonts w:ascii="Arial" w:eastAsia="Arial" w:hAnsi="Arial" w:cs="Arial"/>
          <w:sz w:val="18"/>
        </w:rPr>
        <w:t>n structures in effect as of that date. We expect that application of the Disaster Related Capital Charge will continue to materially reduce Radian Guaranty’s PMIERs Minimum Required Assets, but will diminish over time.</w:t>
      </w:r>
    </w:p>
    <w:p w14:paraId="6693C3CC" w14:textId="77777777" w:rsidR="001614AC" w:rsidRDefault="004468F9">
      <w:pPr>
        <w:spacing w:before="100" w:after="100" w:line="288" w:lineRule="auto"/>
        <w:ind w:firstLine="450"/>
        <w:rPr>
          <w:rFonts w:ascii="Arial" w:eastAsia="Arial" w:hAnsi="Arial" w:cs="Arial"/>
          <w:b/>
          <w:i/>
          <w:color w:val="4D6B80"/>
          <w:sz w:val="18"/>
        </w:rPr>
      </w:pPr>
      <w:r>
        <w:rPr>
          <w:rFonts w:ascii="Arial" w:eastAsia="Arial" w:hAnsi="Arial" w:cs="Arial"/>
          <w:sz w:val="18"/>
        </w:rPr>
        <w:t>Notwithstanding the continued applic</w:t>
      </w:r>
      <w:r>
        <w:rPr>
          <w:rFonts w:ascii="Arial" w:eastAsia="Arial" w:hAnsi="Arial" w:cs="Arial"/>
          <w:sz w:val="18"/>
        </w:rPr>
        <w:t>ation of the Disaster Related Capital Charge, the total amount of Minimum Required Assets we may be required to hold against defaulted loans will increase over time, because the 0.30 multiplier is applied to a higher base factor for the defaulting loans (i</w:t>
      </w:r>
      <w:r>
        <w:rPr>
          <w:rFonts w:ascii="Arial" w:eastAsia="Arial" w:hAnsi="Arial" w:cs="Arial"/>
          <w:sz w:val="18"/>
        </w:rPr>
        <w:t>ncluding those in forbearance) as they age, with increases taking place upon four, six and 12 missed monthly payments. Additionally, given the lack of an expiration date under the CARES Act, it is difficult to estimate how long the GSEs may continue to off</w:t>
      </w:r>
      <w:r>
        <w:rPr>
          <w:rFonts w:ascii="Arial" w:eastAsia="Arial" w:hAnsi="Arial" w:cs="Arial"/>
          <w:sz w:val="18"/>
        </w:rPr>
        <w:t>er COVID-19 forbearance programs for new defaults. It is also difficult to assess how long the GSEs may continue to apply the COVID-19 Amendment to loans in a COVID-19 related forbearance program. As described above, the COVID-19 Crisis Period expired Marc</w:t>
      </w:r>
      <w:r>
        <w:rPr>
          <w:rFonts w:ascii="Arial" w:eastAsia="Arial" w:hAnsi="Arial" w:cs="Arial"/>
          <w:sz w:val="18"/>
        </w:rPr>
        <w:t xml:space="preserve">h 31, 2021. See “Item 1. Business—Regulation—Federal Regulation—GSE Requirements” in our 2020 Form 10-K for more information about the Disaster Related Capital Charge, and for further information, including on the expiration of the COVID-19 Crisis Period, </w:t>
      </w:r>
      <w:r>
        <w:rPr>
          <w:rFonts w:ascii="Arial" w:eastAsia="Arial" w:hAnsi="Arial" w:cs="Arial"/>
          <w:sz w:val="18"/>
        </w:rPr>
        <w:t>see “Overview—Legislative and Regulatory Developments—COVID-19 Amendment to PMIERs.”</w:t>
      </w:r>
    </w:p>
    <w:p w14:paraId="4DCB5DD9" w14:textId="77777777" w:rsidR="001614AC" w:rsidRDefault="004468F9">
      <w:pPr>
        <w:spacing w:before="100" w:after="100" w:line="288" w:lineRule="auto"/>
        <w:ind w:firstLine="450"/>
        <w:rPr>
          <w:rFonts w:ascii="Arial" w:eastAsia="Arial" w:hAnsi="Arial" w:cs="Arial"/>
          <w:b/>
          <w:i/>
          <w:color w:val="4D6B80"/>
          <w:sz w:val="18"/>
          <w:shd w:val="clear" w:color="auto" w:fill="B6B6B6"/>
        </w:rPr>
      </w:pPr>
      <w:r>
        <w:rPr>
          <w:rFonts w:ascii="Arial" w:eastAsia="Arial" w:hAnsi="Arial" w:cs="Arial"/>
          <w:sz w:val="18"/>
        </w:rPr>
        <w:t>Even though they hold assets in excess of the minimum statutory capital thresholds and PMIERs financial requirements, the ability of Radian’s mortgage insurance subsidiari</w:t>
      </w:r>
      <w:r>
        <w:rPr>
          <w:rFonts w:ascii="Arial" w:eastAsia="Arial" w:hAnsi="Arial" w:cs="Arial"/>
          <w:sz w:val="18"/>
        </w:rPr>
        <w:t>es to pay dividends on their common stock is restricted by certain provisions of the insurance laws of Pennsylvania, their state of domicile. In light of Radian Guaranty’s negative unassigned surplus related to operating losses in prior periods, the ongoin</w:t>
      </w:r>
      <w:r>
        <w:rPr>
          <w:rFonts w:ascii="Arial" w:eastAsia="Arial" w:hAnsi="Arial" w:cs="Arial"/>
          <w:sz w:val="18"/>
        </w:rPr>
        <w:t>g need to set aside contingency reserves, and the current ongoing economic uncertainty related to the COVID-19 pandemic, which increased losses in 2020 and could cause losses in future periods, we do not anticipate that Radian Guaranty will be permitted un</w:t>
      </w:r>
      <w:r>
        <w:rPr>
          <w:rFonts w:ascii="Arial" w:eastAsia="Arial" w:hAnsi="Arial" w:cs="Arial"/>
          <w:sz w:val="18"/>
        </w:rPr>
        <w:t>der applicable insurance laws to pay dividends or other distributions for the foreseeable future without prior approval from the Pennsylvania Insurance Department. Under Pennsylvania’s insurance laws, an insurer must obtain the Pennsylvania Insurance Depar</w:t>
      </w:r>
      <w:r>
        <w:rPr>
          <w:rFonts w:ascii="Arial" w:eastAsia="Arial" w:hAnsi="Arial" w:cs="Arial"/>
          <w:sz w:val="18"/>
        </w:rPr>
        <w:t xml:space="preserve">tment’s approval to pay an Extraordinary Distribution. Radian Guaranty sought and received such approval to return capital by paying Extraordinary Distributions to Radian Group in 2019 and 2018. See Note 16 of Notes to Consolidated Financial Statements in </w:t>
      </w:r>
      <w:r>
        <w:rPr>
          <w:rFonts w:ascii="Arial" w:eastAsia="Arial" w:hAnsi="Arial" w:cs="Arial"/>
          <w:sz w:val="18"/>
        </w:rPr>
        <w:t xml:space="preserve">our 2020 Form 10-K for additional information on our Extraordinary Distributions, statutory dividend restrictions and contingency reserve requirements. </w:t>
      </w:r>
    </w:p>
    <w:p w14:paraId="0DDC2786" w14:textId="77777777" w:rsidR="001614AC" w:rsidRDefault="004468F9">
      <w:pPr>
        <w:spacing w:before="100" w:after="100" w:line="288" w:lineRule="auto"/>
        <w:ind w:firstLine="450"/>
        <w:rPr>
          <w:rFonts w:ascii="Arial" w:eastAsia="Arial" w:hAnsi="Arial" w:cs="Arial"/>
          <w:b/>
          <w:i/>
          <w:color w:val="4D6B80"/>
          <w:sz w:val="22"/>
        </w:rPr>
      </w:pPr>
      <w:r>
        <w:rPr>
          <w:rFonts w:ascii="Arial" w:eastAsia="Arial" w:hAnsi="Arial" w:cs="Arial"/>
          <w:sz w:val="18"/>
        </w:rPr>
        <w:t>Radian Guaranty and Radian Reinsurance are both members of the FHLB. As members, they may borrow from t</w:t>
      </w:r>
      <w:r>
        <w:rPr>
          <w:rFonts w:ascii="Arial" w:eastAsia="Arial" w:hAnsi="Arial" w:cs="Arial"/>
          <w:sz w:val="18"/>
        </w:rPr>
        <w:t>he FHLB, subject to certain conditions, which include requirements to post collateral and to maintain a minimum investment in FHLB stock. Advances from the FHLB may be used to provide low-cost, supplemental liquidity for various purposes, including to fund</w:t>
      </w:r>
      <w:r>
        <w:rPr>
          <w:rFonts w:ascii="Arial" w:eastAsia="Arial" w:hAnsi="Arial" w:cs="Arial"/>
          <w:sz w:val="18"/>
        </w:rPr>
        <w:t xml:space="preserve"> incremental investments. Radian’s current strategy includes using FHLB advances as financing for general cash management purposes and for purchases of additional investment securities that have similar durations, for the purpose of generating additional e</w:t>
      </w:r>
      <w:r>
        <w:rPr>
          <w:rFonts w:ascii="Arial" w:eastAsia="Arial" w:hAnsi="Arial" w:cs="Arial"/>
          <w:sz w:val="18"/>
        </w:rPr>
        <w:t>arnings from our investment securities portfolio with limited incremental risk. As of June 30, 2021, there were $154.0 million of FHLB advances outstanding. See Note 12 of Notes to Unaudited Condensed Consolidated Financial Statements for additional inform</w:t>
      </w:r>
      <w:r>
        <w:rPr>
          <w:rFonts w:ascii="Arial" w:eastAsia="Arial" w:hAnsi="Arial" w:cs="Arial"/>
          <w:sz w:val="18"/>
        </w:rPr>
        <w:t xml:space="preserve">ation. </w:t>
      </w:r>
    </w:p>
    <w:p w14:paraId="51E5036A" w14:textId="77777777" w:rsidR="001614AC" w:rsidRDefault="004468F9">
      <w:pPr>
        <w:keepNext/>
        <w:spacing w:before="180" w:after="140" w:line="288" w:lineRule="auto"/>
        <w:rPr>
          <w:rFonts w:ascii="Arial" w:eastAsia="Arial" w:hAnsi="Arial" w:cs="Arial"/>
          <w:b/>
          <w:i/>
          <w:color w:val="002B49"/>
          <w:sz w:val="26"/>
        </w:rPr>
      </w:pPr>
      <w:r>
        <w:rPr>
          <w:rFonts w:ascii="Arial" w:eastAsia="Arial" w:hAnsi="Arial" w:cs="Arial"/>
          <w:b/>
          <w:color w:val="002B49"/>
          <w:sz w:val="26"/>
        </w:rPr>
        <w:lastRenderedPageBreak/>
        <w:t>homegenius</w:t>
      </w:r>
    </w:p>
    <w:p w14:paraId="59C0DB23" w14:textId="77777777" w:rsidR="001614AC" w:rsidRDefault="004468F9">
      <w:pPr>
        <w:spacing w:before="100" w:after="100" w:line="288" w:lineRule="auto"/>
        <w:ind w:firstLine="450"/>
        <w:rPr>
          <w:rFonts w:ascii="Arial" w:eastAsia="Arial" w:hAnsi="Arial" w:cs="Arial"/>
          <w:b/>
          <w:i/>
          <w:color w:val="4D6B80"/>
          <w:sz w:val="22"/>
        </w:rPr>
      </w:pPr>
      <w:r>
        <w:rPr>
          <w:rFonts w:ascii="Arial" w:eastAsia="Arial" w:hAnsi="Arial" w:cs="Arial"/>
          <w:sz w:val="18"/>
        </w:rPr>
        <w:t xml:space="preserve">As of June 30, 2021, our homegenius segment maintained cash and liquid investments totaling $69.6 million, primarily held by Radian Title Insurance. </w:t>
      </w:r>
    </w:p>
    <w:p w14:paraId="56A3C18E" w14:textId="77777777" w:rsidR="001614AC" w:rsidRDefault="004468F9">
      <w:pPr>
        <w:spacing w:before="100" w:after="100" w:line="288" w:lineRule="auto"/>
        <w:ind w:firstLine="450"/>
        <w:rPr>
          <w:rFonts w:ascii="Arial" w:eastAsia="Arial" w:hAnsi="Arial" w:cs="Arial"/>
          <w:b/>
          <w:i/>
          <w:color w:val="4D6B80"/>
          <w:sz w:val="22"/>
        </w:rPr>
      </w:pPr>
      <w:r>
        <w:rPr>
          <w:rFonts w:ascii="Arial" w:eastAsia="Arial" w:hAnsi="Arial" w:cs="Arial"/>
          <w:sz w:val="18"/>
        </w:rPr>
        <w:t>Title insurance companies, including Radian Title Insurance, are subject to comprehensive state regulations, including minimum net worth requirements. Radian Title Insurance was in compliance with all of its minimum net worth requirements at June 30, 2021.</w:t>
      </w:r>
      <w:r>
        <w:rPr>
          <w:rFonts w:ascii="Arial" w:eastAsia="Arial" w:hAnsi="Arial" w:cs="Arial"/>
          <w:sz w:val="18"/>
        </w:rPr>
        <w:t xml:space="preserve"> In the event the cash flows from operations of the homegenius segment are not adequate to fund all of its needs, including the regulatory capital needs of Radian Title Insurance, Radian Group may provide additional funds to the homegenius segment in the f</w:t>
      </w:r>
      <w:r>
        <w:rPr>
          <w:rFonts w:ascii="Arial" w:eastAsia="Arial" w:hAnsi="Arial" w:cs="Arial"/>
          <w:sz w:val="18"/>
        </w:rPr>
        <w:t>orm of an intercompany note or other capital contribution, and if needed for Radian Title Insurance, subject to the approval of the Ohio Department of Insurance. Additional capital support may also be required for potential investments in new business init</w:t>
      </w:r>
      <w:r>
        <w:rPr>
          <w:rFonts w:ascii="Arial" w:eastAsia="Arial" w:hAnsi="Arial" w:cs="Arial"/>
          <w:sz w:val="18"/>
        </w:rPr>
        <w:t>iatives to support our strategy of growing our businesses.</w:t>
      </w:r>
    </w:p>
    <w:p w14:paraId="63453761" w14:textId="77777777" w:rsidR="001614AC" w:rsidRDefault="004468F9">
      <w:pPr>
        <w:spacing w:before="100" w:after="100" w:line="288" w:lineRule="auto"/>
        <w:ind w:firstLine="450"/>
        <w:rPr>
          <w:rFonts w:ascii="Arial" w:eastAsia="Arial" w:hAnsi="Arial" w:cs="Arial"/>
          <w:b/>
          <w:i/>
          <w:color w:val="4D6B80"/>
          <w:sz w:val="18"/>
        </w:rPr>
      </w:pPr>
      <w:r>
        <w:rPr>
          <w:rFonts w:ascii="Arial" w:eastAsia="Arial" w:hAnsi="Arial" w:cs="Arial"/>
          <w:sz w:val="18"/>
        </w:rPr>
        <w:t xml:space="preserve">Liquidity levels may fluctuate depending on the levels and contractual timing of our invoicing and the payment practices of our homegenius clients, in combination with the timing of our homegenius </w:t>
      </w:r>
      <w:r>
        <w:rPr>
          <w:rFonts w:ascii="Arial" w:eastAsia="Arial" w:hAnsi="Arial" w:cs="Arial"/>
          <w:sz w:val="18"/>
        </w:rPr>
        <w:t xml:space="preserve">segment’s payments for employee compensation and to external vendors. The amount, if any, and timing of the homegenius segment’s dividend paying capacity will depend primarily on the amount of excess cash flow generated by the segment. </w:t>
      </w:r>
    </w:p>
    <w:p w14:paraId="716A796C" w14:textId="77777777" w:rsidR="001614AC" w:rsidRDefault="004468F9">
      <w:pPr>
        <w:keepNext/>
        <w:spacing w:before="180" w:after="140" w:line="288" w:lineRule="auto"/>
        <w:rPr>
          <w:rFonts w:ascii="Arial" w:eastAsia="Arial" w:hAnsi="Arial" w:cs="Arial"/>
          <w:b/>
          <w:i/>
          <w:color w:val="002B49"/>
          <w:sz w:val="26"/>
        </w:rPr>
      </w:pPr>
      <w:r>
        <w:rPr>
          <w:rFonts w:ascii="Arial" w:eastAsia="Arial" w:hAnsi="Arial" w:cs="Arial"/>
          <w:b/>
          <w:color w:val="002B49"/>
          <w:sz w:val="26"/>
        </w:rPr>
        <w:t>Ratings</w:t>
      </w:r>
    </w:p>
    <w:p w14:paraId="1CC127BC" w14:textId="77777777" w:rsidR="001614AC" w:rsidRDefault="004468F9">
      <w:pPr>
        <w:keepNext/>
        <w:spacing w:before="100" w:after="100" w:line="288" w:lineRule="auto"/>
        <w:ind w:firstLine="450"/>
        <w:rPr>
          <w:rFonts w:ascii="Arial" w:eastAsia="Arial" w:hAnsi="Arial" w:cs="Arial"/>
          <w:b/>
          <w:i/>
          <w:color w:val="4D6B80"/>
          <w:sz w:val="18"/>
        </w:rPr>
      </w:pPr>
      <w:r>
        <w:rPr>
          <w:rFonts w:ascii="Arial" w:eastAsia="Arial" w:hAnsi="Arial" w:cs="Arial"/>
          <w:sz w:val="18"/>
        </w:rPr>
        <w:t>Radian Grou</w:t>
      </w:r>
      <w:r>
        <w:rPr>
          <w:rFonts w:ascii="Arial" w:eastAsia="Arial" w:hAnsi="Arial" w:cs="Arial"/>
          <w:sz w:val="18"/>
        </w:rPr>
        <w:t>p, Radian Guaranty, Radian Reinsurance and Radian Title Insurance have been assigned the ratings set forth in the chart below. We believe that ratings often are considered by others in assessing our credit strength and the financial strength of our primary</w:t>
      </w:r>
      <w:r>
        <w:rPr>
          <w:rFonts w:ascii="Arial" w:eastAsia="Arial" w:hAnsi="Arial" w:cs="Arial"/>
          <w:sz w:val="18"/>
        </w:rPr>
        <w:t xml:space="preserve"> insurance subsidiaries. The following ratings have been independently assigned by third-party statistical rating organizations, are for informational purposes only and are subject to change. See “Item 1A. Risk Factors—</w:t>
      </w:r>
      <w:r>
        <w:rPr>
          <w:rFonts w:ascii="Arial" w:eastAsia="Arial" w:hAnsi="Arial" w:cs="Arial"/>
          <w:i/>
          <w:sz w:val="18"/>
        </w:rPr>
        <w:t>The current financial strength rating</w:t>
      </w:r>
      <w:r>
        <w:rPr>
          <w:rFonts w:ascii="Arial" w:eastAsia="Arial" w:hAnsi="Arial" w:cs="Arial"/>
          <w:i/>
          <w:sz w:val="18"/>
        </w:rPr>
        <w:t>s assigned to our mortgage insurance subsidiaries could weaken our competitive position and potential downgrades by rating agencies to these ratings and the ratings assigned to Radian Group could adversely affect the Company</w:t>
      </w:r>
      <w:r>
        <w:rPr>
          <w:rFonts w:ascii="Arial" w:eastAsia="Arial" w:hAnsi="Arial" w:cs="Arial"/>
          <w:sz w:val="18"/>
        </w:rPr>
        <w:t>” in our 2020 Form 10-K.</w:t>
      </w:r>
    </w:p>
    <w:tbl>
      <w:tblPr>
        <w:tblW w:w="102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34"/>
        <w:gridCol w:w="107"/>
        <w:gridCol w:w="1530"/>
        <w:gridCol w:w="107"/>
        <w:gridCol w:w="1530"/>
        <w:gridCol w:w="107"/>
        <w:gridCol w:w="1530"/>
        <w:gridCol w:w="107"/>
        <w:gridCol w:w="1530"/>
      </w:tblGrid>
      <w:tr w:rsidR="001614AC" w14:paraId="550DEBDF" w14:textId="77777777">
        <w:trPr>
          <w:cantSplit/>
        </w:trPr>
        <w:tc>
          <w:tcPr>
            <w:tcW w:w="10080" w:type="dxa"/>
            <w:gridSpan w:val="9"/>
            <w:tcBorders>
              <w:top w:val="nil"/>
              <w:left w:val="nil"/>
              <w:bottom w:val="single" w:sz="12" w:space="0" w:color="99AAB6"/>
              <w:right w:val="nil"/>
            </w:tcBorders>
            <w:tcMar>
              <w:top w:w="0" w:type="dxa"/>
              <w:left w:w="53" w:type="dxa"/>
              <w:bottom w:w="0" w:type="dxa"/>
              <w:right w:w="53" w:type="dxa"/>
            </w:tcMar>
            <w:vAlign w:val="bottom"/>
          </w:tcPr>
          <w:p w14:paraId="391E28BF" w14:textId="77777777" w:rsidR="001614AC" w:rsidRDefault="004468F9">
            <w:pPr>
              <w:keepNext/>
              <w:spacing w:before="75" w:after="30" w:line="288" w:lineRule="auto"/>
            </w:pPr>
            <w:r>
              <w:rPr>
                <w:rFonts w:ascii="Arial" w:eastAsia="Arial" w:hAnsi="Arial" w:cs="Arial"/>
                <w:b/>
                <w:color w:val="000000"/>
                <w:sz w:val="20"/>
              </w:rPr>
              <w:t>Ratings</w:t>
            </w:r>
          </w:p>
        </w:tc>
      </w:tr>
      <w:tr w:rsidR="001614AC" w14:paraId="279E48B1" w14:textId="77777777">
        <w:trPr>
          <w:cantSplit/>
          <w:trHeight w:hRule="exact" w:val="135"/>
        </w:trPr>
        <w:tc>
          <w:tcPr>
            <w:tcW w:w="3660" w:type="dxa"/>
            <w:tcBorders>
              <w:top w:val="nil"/>
              <w:left w:val="nil"/>
              <w:bottom w:val="nil"/>
              <w:right w:val="nil"/>
            </w:tcBorders>
            <w:tcMar>
              <w:top w:w="0" w:type="dxa"/>
              <w:left w:w="0" w:type="dxa"/>
              <w:bottom w:w="0" w:type="dxa"/>
              <w:right w:w="0" w:type="dxa"/>
            </w:tcMar>
            <w:vAlign w:val="bottom"/>
          </w:tcPr>
          <w:p w14:paraId="121EA49A" w14:textId="77777777" w:rsidR="001614AC" w:rsidRDefault="001614AC">
            <w:pPr>
              <w:keepNext/>
            </w:pPr>
          </w:p>
        </w:tc>
        <w:tc>
          <w:tcPr>
            <w:tcW w:w="105" w:type="dxa"/>
            <w:tcBorders>
              <w:top w:val="single" w:sz="12" w:space="0" w:color="99AAB6"/>
              <w:left w:val="nil"/>
              <w:bottom w:val="nil"/>
              <w:right w:val="nil"/>
            </w:tcBorders>
            <w:tcMar>
              <w:top w:w="0" w:type="dxa"/>
              <w:left w:w="0" w:type="dxa"/>
              <w:bottom w:w="0" w:type="dxa"/>
              <w:right w:w="0" w:type="dxa"/>
            </w:tcMar>
            <w:vAlign w:val="bottom"/>
          </w:tcPr>
          <w:p w14:paraId="3C9D7293" w14:textId="77777777" w:rsidR="001614AC" w:rsidRDefault="001614AC">
            <w:pPr>
              <w:keepNext/>
            </w:pPr>
          </w:p>
        </w:tc>
        <w:tc>
          <w:tcPr>
            <w:tcW w:w="1500" w:type="dxa"/>
            <w:tcBorders>
              <w:top w:val="single" w:sz="12" w:space="0" w:color="99AAB6"/>
              <w:left w:val="nil"/>
              <w:bottom w:val="nil"/>
              <w:right w:val="nil"/>
            </w:tcBorders>
            <w:tcMar>
              <w:top w:w="0" w:type="dxa"/>
              <w:left w:w="0" w:type="dxa"/>
              <w:bottom w:w="0" w:type="dxa"/>
              <w:right w:w="0" w:type="dxa"/>
            </w:tcMar>
            <w:vAlign w:val="bottom"/>
          </w:tcPr>
          <w:p w14:paraId="7F4147F1" w14:textId="77777777" w:rsidR="001614AC" w:rsidRDefault="001614AC">
            <w:pPr>
              <w:keepNext/>
            </w:pPr>
          </w:p>
        </w:tc>
        <w:tc>
          <w:tcPr>
            <w:tcW w:w="105" w:type="dxa"/>
            <w:tcBorders>
              <w:top w:val="single" w:sz="12" w:space="0" w:color="99AAB6"/>
              <w:left w:val="nil"/>
              <w:bottom w:val="nil"/>
              <w:right w:val="nil"/>
            </w:tcBorders>
            <w:tcMar>
              <w:top w:w="0" w:type="dxa"/>
              <w:left w:w="0" w:type="dxa"/>
              <w:bottom w:w="0" w:type="dxa"/>
              <w:right w:w="0" w:type="dxa"/>
            </w:tcMar>
            <w:vAlign w:val="bottom"/>
          </w:tcPr>
          <w:p w14:paraId="0671E0E4" w14:textId="77777777" w:rsidR="001614AC" w:rsidRDefault="001614AC">
            <w:pPr>
              <w:keepNext/>
            </w:pPr>
          </w:p>
        </w:tc>
        <w:tc>
          <w:tcPr>
            <w:tcW w:w="1500" w:type="dxa"/>
            <w:tcBorders>
              <w:top w:val="single" w:sz="12" w:space="0" w:color="99AAB6"/>
              <w:left w:val="nil"/>
              <w:bottom w:val="nil"/>
              <w:right w:val="nil"/>
            </w:tcBorders>
            <w:tcMar>
              <w:top w:w="0" w:type="dxa"/>
              <w:left w:w="0" w:type="dxa"/>
              <w:bottom w:w="0" w:type="dxa"/>
              <w:right w:w="0" w:type="dxa"/>
            </w:tcMar>
            <w:vAlign w:val="bottom"/>
          </w:tcPr>
          <w:p w14:paraId="59CD3383" w14:textId="77777777" w:rsidR="001614AC" w:rsidRDefault="001614AC">
            <w:pPr>
              <w:keepNext/>
            </w:pPr>
          </w:p>
        </w:tc>
        <w:tc>
          <w:tcPr>
            <w:tcW w:w="105" w:type="dxa"/>
            <w:tcBorders>
              <w:top w:val="single" w:sz="12" w:space="0" w:color="99AAB6"/>
              <w:left w:val="nil"/>
              <w:bottom w:val="nil"/>
              <w:right w:val="nil"/>
            </w:tcBorders>
            <w:tcMar>
              <w:top w:w="0" w:type="dxa"/>
              <w:left w:w="0" w:type="dxa"/>
              <w:bottom w:w="0" w:type="dxa"/>
              <w:right w:w="0" w:type="dxa"/>
            </w:tcMar>
            <w:vAlign w:val="bottom"/>
          </w:tcPr>
          <w:p w14:paraId="303E1AA2" w14:textId="77777777" w:rsidR="001614AC" w:rsidRDefault="001614AC">
            <w:pPr>
              <w:keepNext/>
            </w:pPr>
          </w:p>
        </w:tc>
        <w:tc>
          <w:tcPr>
            <w:tcW w:w="1500" w:type="dxa"/>
            <w:tcBorders>
              <w:top w:val="single" w:sz="12" w:space="0" w:color="99AAB6"/>
              <w:left w:val="nil"/>
              <w:bottom w:val="nil"/>
              <w:right w:val="nil"/>
            </w:tcBorders>
            <w:tcMar>
              <w:top w:w="0" w:type="dxa"/>
              <w:left w:w="0" w:type="dxa"/>
              <w:bottom w:w="0" w:type="dxa"/>
              <w:right w:w="0" w:type="dxa"/>
            </w:tcMar>
            <w:vAlign w:val="bottom"/>
          </w:tcPr>
          <w:p w14:paraId="59907DDC" w14:textId="77777777" w:rsidR="001614AC" w:rsidRDefault="001614AC">
            <w:pPr>
              <w:keepNext/>
            </w:pPr>
          </w:p>
        </w:tc>
        <w:tc>
          <w:tcPr>
            <w:tcW w:w="105" w:type="dxa"/>
            <w:tcBorders>
              <w:top w:val="single" w:sz="12" w:space="0" w:color="99AAB6"/>
              <w:left w:val="nil"/>
              <w:bottom w:val="nil"/>
              <w:right w:val="nil"/>
            </w:tcBorders>
            <w:tcMar>
              <w:top w:w="0" w:type="dxa"/>
              <w:left w:w="0" w:type="dxa"/>
              <w:bottom w:w="0" w:type="dxa"/>
              <w:right w:w="0" w:type="dxa"/>
            </w:tcMar>
            <w:vAlign w:val="bottom"/>
          </w:tcPr>
          <w:p w14:paraId="173945EE" w14:textId="77777777" w:rsidR="001614AC" w:rsidRDefault="001614AC">
            <w:pPr>
              <w:keepNext/>
            </w:pPr>
          </w:p>
        </w:tc>
        <w:tc>
          <w:tcPr>
            <w:tcW w:w="1500" w:type="dxa"/>
            <w:tcBorders>
              <w:top w:val="single" w:sz="12" w:space="0" w:color="99AAB6"/>
              <w:left w:val="nil"/>
              <w:bottom w:val="nil"/>
              <w:right w:val="nil"/>
            </w:tcBorders>
            <w:tcMar>
              <w:top w:w="0" w:type="dxa"/>
              <w:left w:w="0" w:type="dxa"/>
              <w:bottom w:w="0" w:type="dxa"/>
              <w:right w:w="0" w:type="dxa"/>
            </w:tcMar>
            <w:vAlign w:val="bottom"/>
          </w:tcPr>
          <w:p w14:paraId="0B3C693F" w14:textId="77777777" w:rsidR="001614AC" w:rsidRDefault="001614AC">
            <w:pPr>
              <w:keepNext/>
            </w:pPr>
          </w:p>
        </w:tc>
      </w:tr>
      <w:tr w:rsidR="001614AC" w14:paraId="2C453623" w14:textId="77777777">
        <w:trPr>
          <w:cantSplit/>
        </w:trPr>
        <w:tc>
          <w:tcPr>
            <w:tcW w:w="3660" w:type="dxa"/>
            <w:tcBorders>
              <w:top w:val="nil"/>
              <w:left w:val="nil"/>
              <w:bottom w:val="single" w:sz="8" w:space="0" w:color="C7C9C7"/>
              <w:right w:val="nil"/>
            </w:tcBorders>
            <w:tcMar>
              <w:top w:w="0" w:type="dxa"/>
              <w:left w:w="53" w:type="dxa"/>
              <w:bottom w:w="0" w:type="dxa"/>
              <w:right w:w="53" w:type="dxa"/>
            </w:tcMar>
            <w:vAlign w:val="bottom"/>
          </w:tcPr>
          <w:p w14:paraId="7E57679E" w14:textId="77777777" w:rsidR="001614AC" w:rsidRDefault="004468F9">
            <w:pPr>
              <w:keepNext/>
              <w:spacing w:before="75" w:after="30" w:line="288" w:lineRule="auto"/>
            </w:pPr>
            <w:r>
              <w:rPr>
                <w:rFonts w:ascii="Arial" w:eastAsia="Arial" w:hAnsi="Arial" w:cs="Arial"/>
                <w:b/>
                <w:color w:val="000000"/>
                <w:sz w:val="18"/>
              </w:rPr>
              <w:t>Subsidiary</w:t>
            </w:r>
          </w:p>
        </w:tc>
        <w:tc>
          <w:tcPr>
            <w:tcW w:w="105" w:type="dxa"/>
            <w:tcBorders>
              <w:top w:val="nil"/>
              <w:left w:val="nil"/>
              <w:bottom w:val="single" w:sz="8" w:space="0" w:color="C7C9C7"/>
              <w:right w:val="nil"/>
            </w:tcBorders>
            <w:tcMar>
              <w:top w:w="0" w:type="dxa"/>
              <w:left w:w="0" w:type="dxa"/>
              <w:bottom w:w="0" w:type="dxa"/>
              <w:right w:w="0" w:type="dxa"/>
            </w:tcMar>
            <w:vAlign w:val="bottom"/>
          </w:tcPr>
          <w:p w14:paraId="7A2F16E0" w14:textId="77777777" w:rsidR="001614AC" w:rsidRDefault="001614AC">
            <w:pPr>
              <w:keepNext/>
            </w:pPr>
          </w:p>
        </w:tc>
        <w:tc>
          <w:tcPr>
            <w:tcW w:w="1500" w:type="dxa"/>
            <w:tcBorders>
              <w:top w:val="nil"/>
              <w:left w:val="nil"/>
              <w:bottom w:val="single" w:sz="8" w:space="0" w:color="C7C9C7"/>
              <w:right w:val="nil"/>
            </w:tcBorders>
            <w:tcMar>
              <w:top w:w="0" w:type="dxa"/>
              <w:left w:w="53" w:type="dxa"/>
              <w:bottom w:w="0" w:type="dxa"/>
              <w:right w:w="53" w:type="dxa"/>
            </w:tcMar>
            <w:vAlign w:val="bottom"/>
          </w:tcPr>
          <w:p w14:paraId="7B8D8097" w14:textId="77777777" w:rsidR="001614AC" w:rsidRDefault="004468F9">
            <w:pPr>
              <w:keepNext/>
              <w:spacing w:before="75" w:after="30" w:line="288" w:lineRule="auto"/>
              <w:jc w:val="center"/>
              <w:rPr>
                <w:rFonts w:ascii="Arial" w:eastAsia="Arial" w:hAnsi="Arial" w:cs="Arial"/>
                <w:b/>
                <w:color w:val="00BAB3"/>
                <w:sz w:val="18"/>
              </w:rPr>
            </w:pPr>
            <w:r>
              <w:rPr>
                <w:rFonts w:ascii="Arial" w:eastAsia="Arial" w:hAnsi="Arial" w:cs="Arial"/>
                <w:b/>
                <w:color w:val="00BAB3"/>
                <w:sz w:val="18"/>
              </w:rPr>
              <w:t>Moody’s </w:t>
            </w:r>
            <w:r>
              <w:rPr>
                <w:rFonts w:ascii="Arial" w:eastAsia="Arial" w:hAnsi="Arial" w:cs="Arial"/>
                <w:b/>
                <w:color w:val="00BAB3"/>
                <w:sz w:val="18"/>
                <w:vertAlign w:val="superscript"/>
              </w:rPr>
              <w:t>(1)</w:t>
            </w:r>
          </w:p>
        </w:tc>
        <w:tc>
          <w:tcPr>
            <w:tcW w:w="105" w:type="dxa"/>
            <w:tcBorders>
              <w:top w:val="nil"/>
              <w:left w:val="nil"/>
              <w:bottom w:val="single" w:sz="8" w:space="0" w:color="C7C9C7"/>
              <w:right w:val="nil"/>
            </w:tcBorders>
            <w:tcMar>
              <w:top w:w="0" w:type="dxa"/>
              <w:left w:w="0" w:type="dxa"/>
              <w:bottom w:w="0" w:type="dxa"/>
              <w:right w:w="0" w:type="dxa"/>
            </w:tcMar>
            <w:vAlign w:val="bottom"/>
          </w:tcPr>
          <w:p w14:paraId="7E8B0C60" w14:textId="77777777" w:rsidR="001614AC" w:rsidRDefault="001614AC">
            <w:pPr>
              <w:keepNext/>
            </w:pPr>
          </w:p>
        </w:tc>
        <w:tc>
          <w:tcPr>
            <w:tcW w:w="1500" w:type="dxa"/>
            <w:tcBorders>
              <w:top w:val="nil"/>
              <w:left w:val="nil"/>
              <w:bottom w:val="single" w:sz="8" w:space="0" w:color="C7C9C7"/>
              <w:right w:val="nil"/>
            </w:tcBorders>
            <w:tcMar>
              <w:top w:w="0" w:type="dxa"/>
              <w:left w:w="53" w:type="dxa"/>
              <w:bottom w:w="0" w:type="dxa"/>
              <w:right w:w="53" w:type="dxa"/>
            </w:tcMar>
            <w:vAlign w:val="bottom"/>
          </w:tcPr>
          <w:p w14:paraId="3766B1E4" w14:textId="77777777" w:rsidR="001614AC" w:rsidRDefault="004468F9">
            <w:pPr>
              <w:keepNext/>
              <w:spacing w:before="75" w:after="30" w:line="288" w:lineRule="auto"/>
              <w:jc w:val="center"/>
              <w:rPr>
                <w:rFonts w:ascii="Arial" w:eastAsia="Arial" w:hAnsi="Arial" w:cs="Arial"/>
                <w:b/>
                <w:color w:val="00BAB3"/>
                <w:sz w:val="18"/>
              </w:rPr>
            </w:pPr>
            <w:r>
              <w:rPr>
                <w:rFonts w:ascii="Arial" w:eastAsia="Arial" w:hAnsi="Arial" w:cs="Arial"/>
                <w:b/>
                <w:color w:val="00BAB3"/>
                <w:sz w:val="18"/>
              </w:rPr>
              <w:t>S&amp;P</w:t>
            </w:r>
            <w:r>
              <w:rPr>
                <w:rFonts w:ascii="Arial" w:eastAsia="Arial" w:hAnsi="Arial" w:cs="Arial"/>
                <w:b/>
                <w:color w:val="00BAB3"/>
                <w:sz w:val="18"/>
                <w:vertAlign w:val="superscript"/>
              </w:rPr>
              <w:t> (2)</w:t>
            </w:r>
          </w:p>
        </w:tc>
        <w:tc>
          <w:tcPr>
            <w:tcW w:w="105" w:type="dxa"/>
            <w:tcBorders>
              <w:top w:val="nil"/>
              <w:left w:val="nil"/>
              <w:bottom w:val="single" w:sz="8" w:space="0" w:color="C7C9C7"/>
              <w:right w:val="nil"/>
            </w:tcBorders>
            <w:tcMar>
              <w:top w:w="0" w:type="dxa"/>
              <w:left w:w="0" w:type="dxa"/>
              <w:bottom w:w="0" w:type="dxa"/>
              <w:right w:w="0" w:type="dxa"/>
            </w:tcMar>
            <w:vAlign w:val="bottom"/>
          </w:tcPr>
          <w:p w14:paraId="79C34AC5" w14:textId="77777777" w:rsidR="001614AC" w:rsidRDefault="001614AC">
            <w:pPr>
              <w:keepNext/>
            </w:pPr>
          </w:p>
        </w:tc>
        <w:tc>
          <w:tcPr>
            <w:tcW w:w="1500" w:type="dxa"/>
            <w:tcBorders>
              <w:top w:val="nil"/>
              <w:left w:val="nil"/>
              <w:bottom w:val="single" w:sz="8" w:space="0" w:color="C7C9C7"/>
              <w:right w:val="nil"/>
            </w:tcBorders>
            <w:tcMar>
              <w:top w:w="0" w:type="dxa"/>
              <w:left w:w="53" w:type="dxa"/>
              <w:bottom w:w="0" w:type="dxa"/>
              <w:right w:w="53" w:type="dxa"/>
            </w:tcMar>
            <w:vAlign w:val="bottom"/>
          </w:tcPr>
          <w:p w14:paraId="54186AB1" w14:textId="77777777" w:rsidR="001614AC" w:rsidRDefault="004468F9">
            <w:pPr>
              <w:keepNext/>
              <w:spacing w:before="75" w:after="30" w:line="288" w:lineRule="auto"/>
              <w:jc w:val="center"/>
              <w:rPr>
                <w:rFonts w:ascii="Arial" w:eastAsia="Arial" w:hAnsi="Arial" w:cs="Arial"/>
                <w:b/>
                <w:color w:val="00BAB3"/>
                <w:sz w:val="18"/>
              </w:rPr>
            </w:pPr>
            <w:r>
              <w:rPr>
                <w:rFonts w:ascii="Arial" w:eastAsia="Arial" w:hAnsi="Arial" w:cs="Arial"/>
                <w:b/>
                <w:color w:val="00BAB3"/>
                <w:sz w:val="18"/>
              </w:rPr>
              <w:t xml:space="preserve">Fitch </w:t>
            </w:r>
            <w:r>
              <w:rPr>
                <w:rFonts w:ascii="Arial" w:eastAsia="Arial" w:hAnsi="Arial" w:cs="Arial"/>
                <w:b/>
                <w:color w:val="00BAB3"/>
                <w:sz w:val="18"/>
                <w:vertAlign w:val="superscript"/>
              </w:rPr>
              <w:t>(3)</w:t>
            </w:r>
          </w:p>
        </w:tc>
        <w:tc>
          <w:tcPr>
            <w:tcW w:w="105" w:type="dxa"/>
            <w:tcBorders>
              <w:top w:val="nil"/>
              <w:left w:val="nil"/>
              <w:bottom w:val="single" w:sz="8" w:space="0" w:color="C7C9C7"/>
              <w:right w:val="nil"/>
            </w:tcBorders>
            <w:tcMar>
              <w:top w:w="0" w:type="dxa"/>
              <w:left w:w="0" w:type="dxa"/>
              <w:bottom w:w="0" w:type="dxa"/>
              <w:right w:w="0" w:type="dxa"/>
            </w:tcMar>
            <w:vAlign w:val="bottom"/>
          </w:tcPr>
          <w:p w14:paraId="47C1DD58" w14:textId="77777777" w:rsidR="001614AC" w:rsidRDefault="001614AC">
            <w:pPr>
              <w:keepNext/>
            </w:pPr>
          </w:p>
        </w:tc>
        <w:tc>
          <w:tcPr>
            <w:tcW w:w="1500" w:type="dxa"/>
            <w:tcBorders>
              <w:top w:val="nil"/>
              <w:left w:val="nil"/>
              <w:bottom w:val="single" w:sz="8" w:space="0" w:color="C7C9C7"/>
              <w:right w:val="nil"/>
            </w:tcBorders>
            <w:tcMar>
              <w:top w:w="0" w:type="dxa"/>
              <w:left w:w="53" w:type="dxa"/>
              <w:bottom w:w="0" w:type="dxa"/>
              <w:right w:w="53" w:type="dxa"/>
            </w:tcMar>
            <w:vAlign w:val="bottom"/>
          </w:tcPr>
          <w:p w14:paraId="73555906" w14:textId="77777777" w:rsidR="001614AC" w:rsidRDefault="004468F9">
            <w:pPr>
              <w:keepNext/>
              <w:spacing w:before="75" w:after="30" w:line="288" w:lineRule="auto"/>
              <w:jc w:val="center"/>
              <w:rPr>
                <w:rFonts w:ascii="Arial" w:eastAsia="Arial" w:hAnsi="Arial" w:cs="Arial"/>
                <w:b/>
                <w:color w:val="00BAB3"/>
                <w:sz w:val="18"/>
              </w:rPr>
            </w:pPr>
            <w:r>
              <w:rPr>
                <w:rFonts w:ascii="Arial" w:eastAsia="Arial" w:hAnsi="Arial" w:cs="Arial"/>
                <w:b/>
                <w:color w:val="00BAB3"/>
                <w:sz w:val="18"/>
              </w:rPr>
              <w:t xml:space="preserve">Demotech </w:t>
            </w:r>
            <w:r>
              <w:rPr>
                <w:rFonts w:ascii="Arial" w:eastAsia="Arial" w:hAnsi="Arial" w:cs="Arial"/>
                <w:b/>
                <w:color w:val="00BAB3"/>
                <w:sz w:val="18"/>
                <w:vertAlign w:val="superscript"/>
              </w:rPr>
              <w:t>(4)</w:t>
            </w:r>
          </w:p>
        </w:tc>
      </w:tr>
      <w:tr w:rsidR="001614AC" w14:paraId="78682213" w14:textId="77777777">
        <w:trPr>
          <w:cantSplit/>
        </w:trPr>
        <w:tc>
          <w:tcPr>
            <w:tcW w:w="3660" w:type="dxa"/>
            <w:tcBorders>
              <w:top w:val="single" w:sz="8" w:space="0" w:color="C7C9C7"/>
              <w:left w:val="nil"/>
              <w:bottom w:val="single" w:sz="8" w:space="0" w:color="E9E9E9"/>
              <w:right w:val="nil"/>
            </w:tcBorders>
            <w:tcMar>
              <w:top w:w="0" w:type="dxa"/>
              <w:left w:w="53" w:type="dxa"/>
              <w:bottom w:w="0" w:type="dxa"/>
              <w:right w:w="53" w:type="dxa"/>
            </w:tcMar>
            <w:vAlign w:val="bottom"/>
          </w:tcPr>
          <w:p w14:paraId="763AB966" w14:textId="77777777" w:rsidR="001614AC" w:rsidRDefault="004468F9">
            <w:pPr>
              <w:keepNext/>
              <w:spacing w:before="55" w:after="30" w:line="288" w:lineRule="auto"/>
            </w:pPr>
            <w:r>
              <w:rPr>
                <w:rFonts w:ascii="Arial" w:eastAsia="Arial" w:hAnsi="Arial" w:cs="Arial"/>
                <w:color w:val="000000"/>
                <w:sz w:val="18"/>
              </w:rPr>
              <w:t xml:space="preserve">Radian Group </w:t>
            </w:r>
          </w:p>
        </w:tc>
        <w:tc>
          <w:tcPr>
            <w:tcW w:w="105" w:type="dxa"/>
            <w:tcBorders>
              <w:top w:val="single" w:sz="8" w:space="0" w:color="C7C9C7"/>
              <w:left w:val="nil"/>
              <w:bottom w:val="nil"/>
              <w:right w:val="nil"/>
            </w:tcBorders>
            <w:tcMar>
              <w:top w:w="0" w:type="dxa"/>
              <w:left w:w="0" w:type="dxa"/>
              <w:bottom w:w="0" w:type="dxa"/>
              <w:right w:w="0" w:type="dxa"/>
            </w:tcMar>
            <w:vAlign w:val="bottom"/>
          </w:tcPr>
          <w:p w14:paraId="45E77258" w14:textId="77777777" w:rsidR="001614AC" w:rsidRDefault="001614AC">
            <w:pPr>
              <w:keepNext/>
            </w:pPr>
          </w:p>
        </w:tc>
        <w:tc>
          <w:tcPr>
            <w:tcW w:w="1500" w:type="dxa"/>
            <w:tcBorders>
              <w:top w:val="single" w:sz="8" w:space="0" w:color="C7C9C7"/>
              <w:left w:val="nil"/>
              <w:bottom w:val="single" w:sz="8" w:space="0" w:color="E9E9E9"/>
              <w:right w:val="nil"/>
            </w:tcBorders>
            <w:tcMar>
              <w:top w:w="0" w:type="dxa"/>
              <w:left w:w="53" w:type="dxa"/>
              <w:bottom w:w="0" w:type="dxa"/>
              <w:right w:w="53" w:type="dxa"/>
            </w:tcMar>
            <w:vAlign w:val="bottom"/>
          </w:tcPr>
          <w:p w14:paraId="5B1A7036" w14:textId="77777777" w:rsidR="001614AC" w:rsidRDefault="004468F9">
            <w:pPr>
              <w:keepNext/>
              <w:spacing w:before="55" w:after="30" w:line="288" w:lineRule="auto"/>
              <w:jc w:val="center"/>
            </w:pPr>
            <w:r>
              <w:rPr>
                <w:rFonts w:ascii="Arial" w:eastAsia="Arial" w:hAnsi="Arial" w:cs="Arial"/>
                <w:color w:val="000000"/>
                <w:sz w:val="18"/>
              </w:rPr>
              <w:t>Ba1</w:t>
            </w:r>
          </w:p>
        </w:tc>
        <w:tc>
          <w:tcPr>
            <w:tcW w:w="105" w:type="dxa"/>
            <w:tcBorders>
              <w:top w:val="single" w:sz="8" w:space="0" w:color="C7C9C7"/>
              <w:left w:val="nil"/>
              <w:bottom w:val="nil"/>
              <w:right w:val="nil"/>
            </w:tcBorders>
            <w:tcMar>
              <w:top w:w="0" w:type="dxa"/>
              <w:left w:w="0" w:type="dxa"/>
              <w:bottom w:w="0" w:type="dxa"/>
              <w:right w:w="0" w:type="dxa"/>
            </w:tcMar>
            <w:vAlign w:val="bottom"/>
          </w:tcPr>
          <w:p w14:paraId="204FA415" w14:textId="77777777" w:rsidR="001614AC" w:rsidRDefault="001614AC">
            <w:pPr>
              <w:keepNext/>
            </w:pPr>
          </w:p>
        </w:tc>
        <w:tc>
          <w:tcPr>
            <w:tcW w:w="1500" w:type="dxa"/>
            <w:tcBorders>
              <w:top w:val="single" w:sz="8" w:space="0" w:color="C7C9C7"/>
              <w:left w:val="nil"/>
              <w:bottom w:val="single" w:sz="8" w:space="0" w:color="E9E9E9"/>
              <w:right w:val="nil"/>
            </w:tcBorders>
            <w:tcMar>
              <w:top w:w="0" w:type="dxa"/>
              <w:left w:w="53" w:type="dxa"/>
              <w:bottom w:w="0" w:type="dxa"/>
              <w:right w:w="53" w:type="dxa"/>
            </w:tcMar>
            <w:vAlign w:val="bottom"/>
          </w:tcPr>
          <w:p w14:paraId="2A5672A7" w14:textId="77777777" w:rsidR="001614AC" w:rsidRDefault="004468F9">
            <w:pPr>
              <w:keepNext/>
              <w:spacing w:before="55" w:after="30" w:line="288" w:lineRule="auto"/>
              <w:jc w:val="center"/>
            </w:pPr>
            <w:r>
              <w:rPr>
                <w:rFonts w:ascii="Arial" w:eastAsia="Arial" w:hAnsi="Arial" w:cs="Arial"/>
                <w:color w:val="000000"/>
                <w:sz w:val="18"/>
              </w:rPr>
              <w:t>BB+</w:t>
            </w:r>
          </w:p>
        </w:tc>
        <w:tc>
          <w:tcPr>
            <w:tcW w:w="105" w:type="dxa"/>
            <w:tcBorders>
              <w:top w:val="single" w:sz="8" w:space="0" w:color="C7C9C7"/>
              <w:left w:val="nil"/>
              <w:bottom w:val="nil"/>
              <w:right w:val="nil"/>
            </w:tcBorders>
            <w:tcMar>
              <w:top w:w="0" w:type="dxa"/>
              <w:left w:w="0" w:type="dxa"/>
              <w:bottom w:w="0" w:type="dxa"/>
              <w:right w:w="0" w:type="dxa"/>
            </w:tcMar>
            <w:vAlign w:val="bottom"/>
          </w:tcPr>
          <w:p w14:paraId="51792CE9" w14:textId="77777777" w:rsidR="001614AC" w:rsidRDefault="001614AC">
            <w:pPr>
              <w:keepNext/>
            </w:pPr>
          </w:p>
        </w:tc>
        <w:tc>
          <w:tcPr>
            <w:tcW w:w="1500" w:type="dxa"/>
            <w:tcBorders>
              <w:top w:val="single" w:sz="8" w:space="0" w:color="C7C9C7"/>
              <w:left w:val="nil"/>
              <w:bottom w:val="single" w:sz="8" w:space="0" w:color="E9E9E9"/>
              <w:right w:val="nil"/>
            </w:tcBorders>
            <w:tcMar>
              <w:top w:w="0" w:type="dxa"/>
              <w:left w:w="53" w:type="dxa"/>
              <w:bottom w:w="0" w:type="dxa"/>
              <w:right w:w="53" w:type="dxa"/>
            </w:tcMar>
            <w:vAlign w:val="bottom"/>
          </w:tcPr>
          <w:p w14:paraId="30BCC1FC" w14:textId="77777777" w:rsidR="001614AC" w:rsidRDefault="004468F9">
            <w:pPr>
              <w:keepNext/>
              <w:spacing w:before="55" w:after="30" w:line="288" w:lineRule="auto"/>
              <w:jc w:val="center"/>
            </w:pPr>
            <w:r>
              <w:rPr>
                <w:rFonts w:ascii="Arial" w:eastAsia="Arial" w:hAnsi="Arial" w:cs="Arial"/>
                <w:color w:val="000000"/>
                <w:sz w:val="18"/>
              </w:rPr>
              <w:t>BBB-</w:t>
            </w:r>
          </w:p>
        </w:tc>
        <w:tc>
          <w:tcPr>
            <w:tcW w:w="105" w:type="dxa"/>
            <w:tcBorders>
              <w:top w:val="single" w:sz="8" w:space="0" w:color="C7C9C7"/>
              <w:left w:val="nil"/>
              <w:bottom w:val="nil"/>
              <w:right w:val="nil"/>
            </w:tcBorders>
            <w:tcMar>
              <w:top w:w="0" w:type="dxa"/>
              <w:left w:w="0" w:type="dxa"/>
              <w:bottom w:w="0" w:type="dxa"/>
              <w:right w:w="0" w:type="dxa"/>
            </w:tcMar>
            <w:vAlign w:val="bottom"/>
          </w:tcPr>
          <w:p w14:paraId="546AA422" w14:textId="77777777" w:rsidR="001614AC" w:rsidRDefault="001614AC">
            <w:pPr>
              <w:keepNext/>
            </w:pPr>
          </w:p>
        </w:tc>
        <w:tc>
          <w:tcPr>
            <w:tcW w:w="1500" w:type="dxa"/>
            <w:tcBorders>
              <w:top w:val="single" w:sz="8" w:space="0" w:color="C7C9C7"/>
              <w:left w:val="nil"/>
              <w:bottom w:val="single" w:sz="8" w:space="0" w:color="E9E9E9"/>
              <w:right w:val="nil"/>
            </w:tcBorders>
            <w:tcMar>
              <w:top w:w="0" w:type="dxa"/>
              <w:left w:w="53" w:type="dxa"/>
              <w:bottom w:w="0" w:type="dxa"/>
              <w:right w:w="53" w:type="dxa"/>
            </w:tcMar>
            <w:vAlign w:val="bottom"/>
          </w:tcPr>
          <w:p w14:paraId="1A27800D" w14:textId="77777777" w:rsidR="001614AC" w:rsidRDefault="004468F9">
            <w:pPr>
              <w:keepNext/>
              <w:spacing w:before="55" w:after="30" w:line="288" w:lineRule="auto"/>
              <w:jc w:val="center"/>
            </w:pPr>
            <w:r>
              <w:rPr>
                <w:rFonts w:ascii="Arial" w:eastAsia="Arial" w:hAnsi="Arial" w:cs="Arial"/>
                <w:color w:val="000000"/>
                <w:sz w:val="18"/>
              </w:rPr>
              <w:t>N/A</w:t>
            </w:r>
          </w:p>
        </w:tc>
      </w:tr>
      <w:tr w:rsidR="001614AC" w14:paraId="6B3A2536" w14:textId="77777777">
        <w:trPr>
          <w:cantSplit/>
        </w:trPr>
        <w:tc>
          <w:tcPr>
            <w:tcW w:w="3660" w:type="dxa"/>
            <w:tcBorders>
              <w:top w:val="single" w:sz="8" w:space="0" w:color="E9E9E9"/>
              <w:left w:val="nil"/>
              <w:bottom w:val="single" w:sz="8" w:space="0" w:color="E9E9E9"/>
              <w:right w:val="nil"/>
            </w:tcBorders>
            <w:tcMar>
              <w:top w:w="0" w:type="dxa"/>
              <w:left w:w="53" w:type="dxa"/>
              <w:bottom w:w="0" w:type="dxa"/>
              <w:right w:w="53" w:type="dxa"/>
            </w:tcMar>
            <w:vAlign w:val="bottom"/>
          </w:tcPr>
          <w:p w14:paraId="4DF02B50" w14:textId="77777777" w:rsidR="001614AC" w:rsidRDefault="004468F9">
            <w:pPr>
              <w:keepNext/>
              <w:spacing w:before="55" w:after="30" w:line="288" w:lineRule="auto"/>
            </w:pPr>
            <w:r>
              <w:rPr>
                <w:rFonts w:ascii="Arial" w:eastAsia="Arial" w:hAnsi="Arial" w:cs="Arial"/>
                <w:color w:val="000000"/>
                <w:sz w:val="18"/>
              </w:rPr>
              <w:t xml:space="preserve">Radian Guaranty </w:t>
            </w:r>
          </w:p>
        </w:tc>
        <w:tc>
          <w:tcPr>
            <w:tcW w:w="105" w:type="dxa"/>
            <w:tcBorders>
              <w:top w:val="nil"/>
              <w:left w:val="nil"/>
              <w:bottom w:val="nil"/>
              <w:right w:val="nil"/>
            </w:tcBorders>
            <w:tcMar>
              <w:top w:w="0" w:type="dxa"/>
              <w:left w:w="0" w:type="dxa"/>
              <w:bottom w:w="0" w:type="dxa"/>
              <w:right w:w="0" w:type="dxa"/>
            </w:tcMar>
            <w:vAlign w:val="bottom"/>
          </w:tcPr>
          <w:p w14:paraId="11BA7202" w14:textId="77777777" w:rsidR="001614AC" w:rsidRDefault="001614AC">
            <w:pPr>
              <w:keepNext/>
            </w:pPr>
          </w:p>
        </w:tc>
        <w:tc>
          <w:tcPr>
            <w:tcW w:w="1500" w:type="dxa"/>
            <w:tcBorders>
              <w:top w:val="single" w:sz="8" w:space="0" w:color="E9E9E9"/>
              <w:left w:val="nil"/>
              <w:bottom w:val="single" w:sz="8" w:space="0" w:color="E9E9E9"/>
              <w:right w:val="nil"/>
            </w:tcBorders>
            <w:tcMar>
              <w:top w:w="0" w:type="dxa"/>
              <w:left w:w="53" w:type="dxa"/>
              <w:bottom w:w="0" w:type="dxa"/>
              <w:right w:w="53" w:type="dxa"/>
            </w:tcMar>
            <w:vAlign w:val="bottom"/>
          </w:tcPr>
          <w:p w14:paraId="38B47751" w14:textId="77777777" w:rsidR="001614AC" w:rsidRDefault="004468F9">
            <w:pPr>
              <w:keepNext/>
              <w:spacing w:before="55" w:after="30" w:line="288" w:lineRule="auto"/>
              <w:jc w:val="center"/>
            </w:pPr>
            <w:r>
              <w:rPr>
                <w:rFonts w:ascii="Arial" w:eastAsia="Arial" w:hAnsi="Arial" w:cs="Arial"/>
                <w:color w:val="000000"/>
                <w:sz w:val="18"/>
              </w:rPr>
              <w:t>Baa1</w:t>
            </w:r>
          </w:p>
        </w:tc>
        <w:tc>
          <w:tcPr>
            <w:tcW w:w="105" w:type="dxa"/>
            <w:tcBorders>
              <w:top w:val="nil"/>
              <w:left w:val="nil"/>
              <w:bottom w:val="nil"/>
              <w:right w:val="nil"/>
            </w:tcBorders>
            <w:tcMar>
              <w:top w:w="0" w:type="dxa"/>
              <w:left w:w="0" w:type="dxa"/>
              <w:bottom w:w="0" w:type="dxa"/>
              <w:right w:w="0" w:type="dxa"/>
            </w:tcMar>
            <w:vAlign w:val="bottom"/>
          </w:tcPr>
          <w:p w14:paraId="7E5227ED" w14:textId="77777777" w:rsidR="001614AC" w:rsidRDefault="001614AC">
            <w:pPr>
              <w:keepNext/>
            </w:pPr>
          </w:p>
        </w:tc>
        <w:tc>
          <w:tcPr>
            <w:tcW w:w="1500" w:type="dxa"/>
            <w:tcBorders>
              <w:top w:val="single" w:sz="8" w:space="0" w:color="E9E9E9"/>
              <w:left w:val="nil"/>
              <w:bottom w:val="single" w:sz="8" w:space="0" w:color="E9E9E9"/>
              <w:right w:val="nil"/>
            </w:tcBorders>
            <w:tcMar>
              <w:top w:w="0" w:type="dxa"/>
              <w:left w:w="53" w:type="dxa"/>
              <w:bottom w:w="0" w:type="dxa"/>
              <w:right w:w="53" w:type="dxa"/>
            </w:tcMar>
            <w:vAlign w:val="bottom"/>
          </w:tcPr>
          <w:p w14:paraId="30D2B692" w14:textId="77777777" w:rsidR="001614AC" w:rsidRDefault="004468F9">
            <w:pPr>
              <w:keepNext/>
              <w:spacing w:before="55" w:after="30" w:line="288" w:lineRule="auto"/>
              <w:jc w:val="center"/>
            </w:pPr>
            <w:r>
              <w:rPr>
                <w:rFonts w:ascii="Arial" w:eastAsia="Arial" w:hAnsi="Arial" w:cs="Arial"/>
                <w:color w:val="000000"/>
                <w:sz w:val="18"/>
              </w:rPr>
              <w:t>BBB+</w:t>
            </w:r>
          </w:p>
        </w:tc>
        <w:tc>
          <w:tcPr>
            <w:tcW w:w="105" w:type="dxa"/>
            <w:tcBorders>
              <w:top w:val="nil"/>
              <w:left w:val="nil"/>
              <w:bottom w:val="nil"/>
              <w:right w:val="nil"/>
            </w:tcBorders>
            <w:tcMar>
              <w:top w:w="0" w:type="dxa"/>
              <w:left w:w="0" w:type="dxa"/>
              <w:bottom w:w="0" w:type="dxa"/>
              <w:right w:w="0" w:type="dxa"/>
            </w:tcMar>
            <w:vAlign w:val="bottom"/>
          </w:tcPr>
          <w:p w14:paraId="1EB2C21A" w14:textId="77777777" w:rsidR="001614AC" w:rsidRDefault="001614AC">
            <w:pPr>
              <w:keepNext/>
            </w:pPr>
          </w:p>
        </w:tc>
        <w:tc>
          <w:tcPr>
            <w:tcW w:w="1500" w:type="dxa"/>
            <w:tcBorders>
              <w:top w:val="single" w:sz="8" w:space="0" w:color="E9E9E9"/>
              <w:left w:val="nil"/>
              <w:bottom w:val="single" w:sz="8" w:space="0" w:color="E9E9E9"/>
              <w:right w:val="nil"/>
            </w:tcBorders>
            <w:tcMar>
              <w:top w:w="0" w:type="dxa"/>
              <w:left w:w="53" w:type="dxa"/>
              <w:bottom w:w="0" w:type="dxa"/>
              <w:right w:w="53" w:type="dxa"/>
            </w:tcMar>
            <w:vAlign w:val="bottom"/>
          </w:tcPr>
          <w:p w14:paraId="4ACD28BA" w14:textId="77777777" w:rsidR="001614AC" w:rsidRDefault="004468F9">
            <w:pPr>
              <w:keepNext/>
              <w:spacing w:before="55" w:after="30" w:line="288" w:lineRule="auto"/>
              <w:jc w:val="center"/>
            </w:pPr>
            <w:r>
              <w:rPr>
                <w:rFonts w:ascii="Arial" w:eastAsia="Arial" w:hAnsi="Arial" w:cs="Arial"/>
                <w:color w:val="000000"/>
                <w:sz w:val="18"/>
              </w:rPr>
              <w:t>A-</w:t>
            </w:r>
          </w:p>
        </w:tc>
        <w:tc>
          <w:tcPr>
            <w:tcW w:w="105" w:type="dxa"/>
            <w:tcBorders>
              <w:top w:val="nil"/>
              <w:left w:val="nil"/>
              <w:bottom w:val="nil"/>
              <w:right w:val="nil"/>
            </w:tcBorders>
            <w:tcMar>
              <w:top w:w="0" w:type="dxa"/>
              <w:left w:w="0" w:type="dxa"/>
              <w:bottom w:w="0" w:type="dxa"/>
              <w:right w:w="0" w:type="dxa"/>
            </w:tcMar>
            <w:vAlign w:val="bottom"/>
          </w:tcPr>
          <w:p w14:paraId="3BA033C6" w14:textId="77777777" w:rsidR="001614AC" w:rsidRDefault="001614AC">
            <w:pPr>
              <w:keepNext/>
            </w:pPr>
          </w:p>
        </w:tc>
        <w:tc>
          <w:tcPr>
            <w:tcW w:w="1500" w:type="dxa"/>
            <w:tcBorders>
              <w:top w:val="single" w:sz="8" w:space="0" w:color="E9E9E9"/>
              <w:left w:val="nil"/>
              <w:bottom w:val="single" w:sz="8" w:space="0" w:color="E9E9E9"/>
              <w:right w:val="nil"/>
            </w:tcBorders>
            <w:tcMar>
              <w:top w:w="0" w:type="dxa"/>
              <w:left w:w="53" w:type="dxa"/>
              <w:bottom w:w="0" w:type="dxa"/>
              <w:right w:w="53" w:type="dxa"/>
            </w:tcMar>
            <w:vAlign w:val="bottom"/>
          </w:tcPr>
          <w:p w14:paraId="0BEF025B" w14:textId="77777777" w:rsidR="001614AC" w:rsidRDefault="004468F9">
            <w:pPr>
              <w:keepNext/>
              <w:spacing w:before="55" w:after="30" w:line="288" w:lineRule="auto"/>
              <w:jc w:val="center"/>
            </w:pPr>
            <w:r>
              <w:rPr>
                <w:rFonts w:ascii="Arial" w:eastAsia="Arial" w:hAnsi="Arial" w:cs="Arial"/>
                <w:color w:val="000000"/>
                <w:sz w:val="18"/>
              </w:rPr>
              <w:t>N/A</w:t>
            </w:r>
          </w:p>
        </w:tc>
      </w:tr>
      <w:tr w:rsidR="001614AC" w14:paraId="2993DF52" w14:textId="77777777">
        <w:trPr>
          <w:cantSplit/>
        </w:trPr>
        <w:tc>
          <w:tcPr>
            <w:tcW w:w="3660" w:type="dxa"/>
            <w:tcBorders>
              <w:top w:val="single" w:sz="8" w:space="0" w:color="E9E9E9"/>
              <w:left w:val="nil"/>
              <w:bottom w:val="single" w:sz="8" w:space="0" w:color="E9E9E9"/>
              <w:right w:val="nil"/>
            </w:tcBorders>
            <w:tcMar>
              <w:top w:w="0" w:type="dxa"/>
              <w:left w:w="53" w:type="dxa"/>
              <w:bottom w:w="0" w:type="dxa"/>
              <w:right w:w="53" w:type="dxa"/>
            </w:tcMar>
            <w:vAlign w:val="bottom"/>
          </w:tcPr>
          <w:p w14:paraId="30B285C0" w14:textId="77777777" w:rsidR="001614AC" w:rsidRDefault="004468F9">
            <w:pPr>
              <w:keepNext/>
              <w:spacing w:before="55" w:after="30" w:line="288" w:lineRule="auto"/>
            </w:pPr>
            <w:r>
              <w:rPr>
                <w:rFonts w:ascii="Arial" w:eastAsia="Arial" w:hAnsi="Arial" w:cs="Arial"/>
                <w:color w:val="000000"/>
                <w:sz w:val="18"/>
              </w:rPr>
              <w:t xml:space="preserve">Radian Reinsurance </w:t>
            </w:r>
          </w:p>
        </w:tc>
        <w:tc>
          <w:tcPr>
            <w:tcW w:w="105" w:type="dxa"/>
            <w:tcBorders>
              <w:top w:val="nil"/>
              <w:left w:val="nil"/>
              <w:bottom w:val="nil"/>
              <w:right w:val="nil"/>
            </w:tcBorders>
            <w:tcMar>
              <w:top w:w="0" w:type="dxa"/>
              <w:left w:w="0" w:type="dxa"/>
              <w:bottom w:w="0" w:type="dxa"/>
              <w:right w:w="0" w:type="dxa"/>
            </w:tcMar>
            <w:vAlign w:val="bottom"/>
          </w:tcPr>
          <w:p w14:paraId="4BC1D76A" w14:textId="77777777" w:rsidR="001614AC" w:rsidRDefault="001614AC">
            <w:pPr>
              <w:keepNext/>
            </w:pPr>
          </w:p>
        </w:tc>
        <w:tc>
          <w:tcPr>
            <w:tcW w:w="1500" w:type="dxa"/>
            <w:tcBorders>
              <w:top w:val="single" w:sz="8" w:space="0" w:color="E9E9E9"/>
              <w:left w:val="nil"/>
              <w:bottom w:val="single" w:sz="8" w:space="0" w:color="E9E9E9"/>
              <w:right w:val="nil"/>
            </w:tcBorders>
            <w:tcMar>
              <w:top w:w="0" w:type="dxa"/>
              <w:left w:w="53" w:type="dxa"/>
              <w:bottom w:w="0" w:type="dxa"/>
              <w:right w:w="53" w:type="dxa"/>
            </w:tcMar>
            <w:vAlign w:val="bottom"/>
          </w:tcPr>
          <w:p w14:paraId="6671CDFB" w14:textId="77777777" w:rsidR="001614AC" w:rsidRDefault="004468F9">
            <w:pPr>
              <w:keepNext/>
              <w:spacing w:before="55" w:after="30" w:line="288" w:lineRule="auto"/>
              <w:jc w:val="center"/>
            </w:pPr>
            <w:r>
              <w:rPr>
                <w:rFonts w:ascii="Arial" w:eastAsia="Arial" w:hAnsi="Arial" w:cs="Arial"/>
                <w:color w:val="000000"/>
                <w:sz w:val="18"/>
              </w:rPr>
              <w:t>N/A</w:t>
            </w:r>
          </w:p>
        </w:tc>
        <w:tc>
          <w:tcPr>
            <w:tcW w:w="105" w:type="dxa"/>
            <w:tcBorders>
              <w:top w:val="nil"/>
              <w:left w:val="nil"/>
              <w:bottom w:val="nil"/>
              <w:right w:val="nil"/>
            </w:tcBorders>
            <w:tcMar>
              <w:top w:w="0" w:type="dxa"/>
              <w:left w:w="0" w:type="dxa"/>
              <w:bottom w:w="0" w:type="dxa"/>
              <w:right w:w="0" w:type="dxa"/>
            </w:tcMar>
            <w:vAlign w:val="bottom"/>
          </w:tcPr>
          <w:p w14:paraId="36F7F32C" w14:textId="77777777" w:rsidR="001614AC" w:rsidRDefault="001614AC">
            <w:pPr>
              <w:keepNext/>
            </w:pPr>
          </w:p>
        </w:tc>
        <w:tc>
          <w:tcPr>
            <w:tcW w:w="1500" w:type="dxa"/>
            <w:tcBorders>
              <w:top w:val="single" w:sz="8" w:space="0" w:color="E9E9E9"/>
              <w:left w:val="nil"/>
              <w:bottom w:val="single" w:sz="8" w:space="0" w:color="E9E9E9"/>
              <w:right w:val="nil"/>
            </w:tcBorders>
            <w:tcMar>
              <w:top w:w="0" w:type="dxa"/>
              <w:left w:w="53" w:type="dxa"/>
              <w:bottom w:w="0" w:type="dxa"/>
              <w:right w:w="53" w:type="dxa"/>
            </w:tcMar>
            <w:vAlign w:val="bottom"/>
          </w:tcPr>
          <w:p w14:paraId="6138A26B" w14:textId="77777777" w:rsidR="001614AC" w:rsidRDefault="004468F9">
            <w:pPr>
              <w:keepNext/>
              <w:spacing w:before="55" w:after="30" w:line="288" w:lineRule="auto"/>
              <w:jc w:val="center"/>
            </w:pPr>
            <w:r>
              <w:rPr>
                <w:rFonts w:ascii="Arial" w:eastAsia="Arial" w:hAnsi="Arial" w:cs="Arial"/>
                <w:color w:val="000000"/>
                <w:sz w:val="18"/>
              </w:rPr>
              <w:t>BBB+</w:t>
            </w:r>
          </w:p>
        </w:tc>
        <w:tc>
          <w:tcPr>
            <w:tcW w:w="105" w:type="dxa"/>
            <w:tcBorders>
              <w:top w:val="nil"/>
              <w:left w:val="nil"/>
              <w:bottom w:val="nil"/>
              <w:right w:val="nil"/>
            </w:tcBorders>
            <w:tcMar>
              <w:top w:w="0" w:type="dxa"/>
              <w:left w:w="0" w:type="dxa"/>
              <w:bottom w:w="0" w:type="dxa"/>
              <w:right w:w="0" w:type="dxa"/>
            </w:tcMar>
            <w:vAlign w:val="bottom"/>
          </w:tcPr>
          <w:p w14:paraId="54BBCEFE" w14:textId="77777777" w:rsidR="001614AC" w:rsidRDefault="001614AC">
            <w:pPr>
              <w:keepNext/>
            </w:pPr>
          </w:p>
        </w:tc>
        <w:tc>
          <w:tcPr>
            <w:tcW w:w="1500" w:type="dxa"/>
            <w:tcBorders>
              <w:top w:val="single" w:sz="8" w:space="0" w:color="E9E9E9"/>
              <w:left w:val="nil"/>
              <w:bottom w:val="single" w:sz="8" w:space="0" w:color="E9E9E9"/>
              <w:right w:val="nil"/>
            </w:tcBorders>
            <w:tcMar>
              <w:top w:w="0" w:type="dxa"/>
              <w:left w:w="53" w:type="dxa"/>
              <w:bottom w:w="0" w:type="dxa"/>
              <w:right w:w="53" w:type="dxa"/>
            </w:tcMar>
            <w:vAlign w:val="bottom"/>
          </w:tcPr>
          <w:p w14:paraId="4400C43C" w14:textId="77777777" w:rsidR="001614AC" w:rsidRDefault="004468F9">
            <w:pPr>
              <w:keepNext/>
              <w:spacing w:before="55" w:after="30" w:line="288" w:lineRule="auto"/>
              <w:jc w:val="center"/>
            </w:pPr>
            <w:r>
              <w:rPr>
                <w:rFonts w:ascii="Arial" w:eastAsia="Arial" w:hAnsi="Arial" w:cs="Arial"/>
                <w:color w:val="000000"/>
                <w:sz w:val="18"/>
              </w:rPr>
              <w:t>N/A</w:t>
            </w:r>
          </w:p>
        </w:tc>
        <w:tc>
          <w:tcPr>
            <w:tcW w:w="105" w:type="dxa"/>
            <w:tcBorders>
              <w:top w:val="nil"/>
              <w:left w:val="nil"/>
              <w:bottom w:val="nil"/>
              <w:right w:val="nil"/>
            </w:tcBorders>
            <w:tcMar>
              <w:top w:w="0" w:type="dxa"/>
              <w:left w:w="0" w:type="dxa"/>
              <w:bottom w:w="0" w:type="dxa"/>
              <w:right w:w="0" w:type="dxa"/>
            </w:tcMar>
            <w:vAlign w:val="bottom"/>
          </w:tcPr>
          <w:p w14:paraId="6C750317" w14:textId="77777777" w:rsidR="001614AC" w:rsidRDefault="001614AC">
            <w:pPr>
              <w:keepNext/>
            </w:pPr>
          </w:p>
        </w:tc>
        <w:tc>
          <w:tcPr>
            <w:tcW w:w="1500" w:type="dxa"/>
            <w:tcBorders>
              <w:top w:val="single" w:sz="8" w:space="0" w:color="E9E9E9"/>
              <w:left w:val="nil"/>
              <w:bottom w:val="single" w:sz="8" w:space="0" w:color="E9E9E9"/>
              <w:right w:val="nil"/>
            </w:tcBorders>
            <w:tcMar>
              <w:top w:w="0" w:type="dxa"/>
              <w:left w:w="53" w:type="dxa"/>
              <w:bottom w:w="0" w:type="dxa"/>
              <w:right w:w="53" w:type="dxa"/>
            </w:tcMar>
            <w:vAlign w:val="bottom"/>
          </w:tcPr>
          <w:p w14:paraId="60048CA1" w14:textId="77777777" w:rsidR="001614AC" w:rsidRDefault="004468F9">
            <w:pPr>
              <w:keepNext/>
              <w:spacing w:before="55" w:after="30" w:line="288" w:lineRule="auto"/>
              <w:jc w:val="center"/>
            </w:pPr>
            <w:r>
              <w:rPr>
                <w:rFonts w:ascii="Arial" w:eastAsia="Arial" w:hAnsi="Arial" w:cs="Arial"/>
                <w:color w:val="000000"/>
                <w:sz w:val="18"/>
              </w:rPr>
              <w:t>N/A</w:t>
            </w:r>
          </w:p>
        </w:tc>
      </w:tr>
      <w:tr w:rsidR="001614AC" w14:paraId="79EB56C3" w14:textId="77777777">
        <w:trPr>
          <w:cantSplit/>
        </w:trPr>
        <w:tc>
          <w:tcPr>
            <w:tcW w:w="3660" w:type="dxa"/>
            <w:tcBorders>
              <w:top w:val="single" w:sz="8" w:space="0" w:color="E9E9E9"/>
              <w:left w:val="nil"/>
              <w:bottom w:val="single" w:sz="8" w:space="0" w:color="E9E9E9"/>
              <w:right w:val="nil"/>
            </w:tcBorders>
            <w:tcMar>
              <w:top w:w="0" w:type="dxa"/>
              <w:left w:w="53" w:type="dxa"/>
              <w:bottom w:w="0" w:type="dxa"/>
              <w:right w:w="53" w:type="dxa"/>
            </w:tcMar>
            <w:vAlign w:val="bottom"/>
          </w:tcPr>
          <w:p w14:paraId="28EB16AC" w14:textId="77777777" w:rsidR="001614AC" w:rsidRDefault="004468F9">
            <w:pPr>
              <w:spacing w:before="55" w:after="30" w:line="288" w:lineRule="auto"/>
            </w:pPr>
            <w:r>
              <w:rPr>
                <w:rFonts w:ascii="Arial" w:eastAsia="Arial" w:hAnsi="Arial" w:cs="Arial"/>
                <w:color w:val="000000"/>
                <w:sz w:val="18"/>
              </w:rPr>
              <w:t>Radian Title Insurance</w:t>
            </w:r>
          </w:p>
        </w:tc>
        <w:tc>
          <w:tcPr>
            <w:tcW w:w="105" w:type="dxa"/>
            <w:tcBorders>
              <w:top w:val="nil"/>
              <w:left w:val="nil"/>
              <w:bottom w:val="nil"/>
              <w:right w:val="nil"/>
            </w:tcBorders>
            <w:tcMar>
              <w:top w:w="0" w:type="dxa"/>
              <w:left w:w="0" w:type="dxa"/>
              <w:bottom w:w="0" w:type="dxa"/>
              <w:right w:w="0" w:type="dxa"/>
            </w:tcMar>
            <w:vAlign w:val="bottom"/>
          </w:tcPr>
          <w:p w14:paraId="5DD17BB4" w14:textId="77777777" w:rsidR="001614AC" w:rsidRDefault="001614AC"/>
        </w:tc>
        <w:tc>
          <w:tcPr>
            <w:tcW w:w="1500" w:type="dxa"/>
            <w:tcBorders>
              <w:top w:val="single" w:sz="8" w:space="0" w:color="E9E9E9"/>
              <w:left w:val="nil"/>
              <w:bottom w:val="single" w:sz="8" w:space="0" w:color="E9E9E9"/>
              <w:right w:val="nil"/>
            </w:tcBorders>
            <w:tcMar>
              <w:top w:w="0" w:type="dxa"/>
              <w:left w:w="53" w:type="dxa"/>
              <w:bottom w:w="0" w:type="dxa"/>
              <w:right w:w="53" w:type="dxa"/>
            </w:tcMar>
            <w:vAlign w:val="bottom"/>
          </w:tcPr>
          <w:p w14:paraId="4883A393" w14:textId="77777777" w:rsidR="001614AC" w:rsidRDefault="004468F9">
            <w:pPr>
              <w:spacing w:before="55" w:after="30" w:line="288" w:lineRule="auto"/>
              <w:jc w:val="center"/>
            </w:pPr>
            <w:r>
              <w:rPr>
                <w:rFonts w:ascii="Arial" w:eastAsia="Arial" w:hAnsi="Arial" w:cs="Arial"/>
                <w:color w:val="000000"/>
                <w:sz w:val="18"/>
              </w:rPr>
              <w:t>N/A</w:t>
            </w:r>
          </w:p>
        </w:tc>
        <w:tc>
          <w:tcPr>
            <w:tcW w:w="105" w:type="dxa"/>
            <w:tcBorders>
              <w:top w:val="nil"/>
              <w:left w:val="nil"/>
              <w:bottom w:val="nil"/>
              <w:right w:val="nil"/>
            </w:tcBorders>
            <w:tcMar>
              <w:top w:w="0" w:type="dxa"/>
              <w:left w:w="0" w:type="dxa"/>
              <w:bottom w:w="0" w:type="dxa"/>
              <w:right w:w="0" w:type="dxa"/>
            </w:tcMar>
            <w:vAlign w:val="bottom"/>
          </w:tcPr>
          <w:p w14:paraId="7D27098D" w14:textId="77777777" w:rsidR="001614AC" w:rsidRDefault="001614AC"/>
        </w:tc>
        <w:tc>
          <w:tcPr>
            <w:tcW w:w="1500" w:type="dxa"/>
            <w:tcBorders>
              <w:top w:val="single" w:sz="8" w:space="0" w:color="E9E9E9"/>
              <w:left w:val="nil"/>
              <w:bottom w:val="single" w:sz="8" w:space="0" w:color="E9E9E9"/>
              <w:right w:val="nil"/>
            </w:tcBorders>
            <w:tcMar>
              <w:top w:w="0" w:type="dxa"/>
              <w:left w:w="53" w:type="dxa"/>
              <w:bottom w:w="0" w:type="dxa"/>
              <w:right w:w="53" w:type="dxa"/>
            </w:tcMar>
            <w:vAlign w:val="bottom"/>
          </w:tcPr>
          <w:p w14:paraId="5DA66D8B" w14:textId="77777777" w:rsidR="001614AC" w:rsidRDefault="004468F9">
            <w:pPr>
              <w:spacing w:before="55" w:after="30" w:line="288" w:lineRule="auto"/>
              <w:jc w:val="center"/>
            </w:pPr>
            <w:r>
              <w:rPr>
                <w:rFonts w:ascii="Arial" w:eastAsia="Arial" w:hAnsi="Arial" w:cs="Arial"/>
                <w:color w:val="000000"/>
                <w:sz w:val="18"/>
              </w:rPr>
              <w:t>N/A</w:t>
            </w:r>
          </w:p>
        </w:tc>
        <w:tc>
          <w:tcPr>
            <w:tcW w:w="105" w:type="dxa"/>
            <w:tcBorders>
              <w:top w:val="nil"/>
              <w:left w:val="nil"/>
              <w:bottom w:val="nil"/>
              <w:right w:val="nil"/>
            </w:tcBorders>
            <w:tcMar>
              <w:top w:w="0" w:type="dxa"/>
              <w:left w:w="0" w:type="dxa"/>
              <w:bottom w:w="0" w:type="dxa"/>
              <w:right w:w="0" w:type="dxa"/>
            </w:tcMar>
            <w:vAlign w:val="bottom"/>
          </w:tcPr>
          <w:p w14:paraId="54C54922" w14:textId="77777777" w:rsidR="001614AC" w:rsidRDefault="001614AC"/>
        </w:tc>
        <w:tc>
          <w:tcPr>
            <w:tcW w:w="1500" w:type="dxa"/>
            <w:tcBorders>
              <w:top w:val="single" w:sz="8" w:space="0" w:color="E9E9E9"/>
              <w:left w:val="nil"/>
              <w:bottom w:val="single" w:sz="8" w:space="0" w:color="E9E9E9"/>
              <w:right w:val="nil"/>
            </w:tcBorders>
            <w:tcMar>
              <w:top w:w="0" w:type="dxa"/>
              <w:left w:w="53" w:type="dxa"/>
              <w:bottom w:w="0" w:type="dxa"/>
              <w:right w:w="53" w:type="dxa"/>
            </w:tcMar>
            <w:vAlign w:val="bottom"/>
          </w:tcPr>
          <w:p w14:paraId="2F937CD0" w14:textId="77777777" w:rsidR="001614AC" w:rsidRDefault="004468F9">
            <w:pPr>
              <w:spacing w:before="55" w:after="30" w:line="288" w:lineRule="auto"/>
              <w:jc w:val="center"/>
            </w:pPr>
            <w:r>
              <w:rPr>
                <w:rFonts w:ascii="Arial" w:eastAsia="Arial" w:hAnsi="Arial" w:cs="Arial"/>
                <w:color w:val="000000"/>
                <w:sz w:val="18"/>
              </w:rPr>
              <w:t>N/A</w:t>
            </w:r>
          </w:p>
        </w:tc>
        <w:tc>
          <w:tcPr>
            <w:tcW w:w="105" w:type="dxa"/>
            <w:tcBorders>
              <w:top w:val="nil"/>
              <w:left w:val="nil"/>
              <w:bottom w:val="nil"/>
              <w:right w:val="nil"/>
            </w:tcBorders>
            <w:tcMar>
              <w:top w:w="0" w:type="dxa"/>
              <w:left w:w="0" w:type="dxa"/>
              <w:bottom w:w="0" w:type="dxa"/>
              <w:right w:w="0" w:type="dxa"/>
            </w:tcMar>
            <w:vAlign w:val="bottom"/>
          </w:tcPr>
          <w:p w14:paraId="4827FAC6" w14:textId="77777777" w:rsidR="001614AC" w:rsidRDefault="001614AC"/>
        </w:tc>
        <w:tc>
          <w:tcPr>
            <w:tcW w:w="1500" w:type="dxa"/>
            <w:tcBorders>
              <w:top w:val="single" w:sz="8" w:space="0" w:color="E9E9E9"/>
              <w:left w:val="nil"/>
              <w:bottom w:val="single" w:sz="8" w:space="0" w:color="E9E9E9"/>
              <w:right w:val="nil"/>
            </w:tcBorders>
            <w:tcMar>
              <w:top w:w="0" w:type="dxa"/>
              <w:left w:w="53" w:type="dxa"/>
              <w:bottom w:w="0" w:type="dxa"/>
              <w:right w:w="53" w:type="dxa"/>
            </w:tcMar>
            <w:vAlign w:val="bottom"/>
          </w:tcPr>
          <w:p w14:paraId="40CC5526" w14:textId="77777777" w:rsidR="001614AC" w:rsidRDefault="004468F9">
            <w:pPr>
              <w:spacing w:before="55" w:after="30" w:line="288" w:lineRule="auto"/>
              <w:jc w:val="center"/>
            </w:pPr>
            <w:r>
              <w:rPr>
                <w:rFonts w:ascii="Arial" w:eastAsia="Arial" w:hAnsi="Arial" w:cs="Arial"/>
                <w:color w:val="000000"/>
                <w:sz w:val="18"/>
              </w:rPr>
              <w:t>A</w:t>
            </w:r>
          </w:p>
        </w:tc>
      </w:tr>
    </w:tbl>
    <w:p w14:paraId="546C6D60" w14:textId="77777777" w:rsidR="001614AC" w:rsidRDefault="004468F9" w:rsidP="004468F9">
      <w:pPr>
        <w:numPr>
          <w:ilvl w:val="0"/>
          <w:numId w:val="42"/>
        </w:numPr>
        <w:spacing w:line="288" w:lineRule="auto"/>
        <w:ind w:left="360"/>
        <w:rPr>
          <w:rFonts w:ascii="Arial" w:eastAsia="Arial" w:hAnsi="Arial" w:cs="Arial"/>
          <w:b/>
          <w:i/>
          <w:color w:val="64615D"/>
          <w:sz w:val="16"/>
        </w:rPr>
      </w:pPr>
      <w:r>
        <w:rPr>
          <w:rFonts w:ascii="Arial" w:eastAsia="Arial" w:hAnsi="Arial" w:cs="Arial"/>
          <w:color w:val="64615D"/>
          <w:sz w:val="16"/>
        </w:rPr>
        <w:t xml:space="preserve">Based on the July 14, 2020 update, Moody’s outlook for Radian Group and Radian Guaranty currently is Stable. </w:t>
      </w:r>
    </w:p>
    <w:p w14:paraId="5EACE380" w14:textId="77777777" w:rsidR="001614AC" w:rsidRDefault="004468F9" w:rsidP="004468F9">
      <w:pPr>
        <w:numPr>
          <w:ilvl w:val="0"/>
          <w:numId w:val="42"/>
        </w:numPr>
        <w:spacing w:line="288" w:lineRule="auto"/>
        <w:ind w:left="360"/>
        <w:rPr>
          <w:rFonts w:ascii="Arial" w:eastAsia="Arial" w:hAnsi="Arial" w:cs="Arial"/>
          <w:b/>
          <w:i/>
          <w:color w:val="64615D"/>
          <w:sz w:val="16"/>
        </w:rPr>
      </w:pPr>
      <w:r>
        <w:rPr>
          <w:rFonts w:ascii="Arial" w:eastAsia="Arial" w:hAnsi="Arial" w:cs="Arial"/>
          <w:color w:val="64615D"/>
          <w:sz w:val="16"/>
        </w:rPr>
        <w:t>Based on the April 28, 2021 update, S&amp;P’s outlook for Radian Group, Radian Guaranty and Radian Reinsurance is currently Stable.</w:t>
      </w:r>
    </w:p>
    <w:p w14:paraId="29A0875C" w14:textId="77777777" w:rsidR="001614AC" w:rsidRDefault="004468F9" w:rsidP="004468F9">
      <w:pPr>
        <w:numPr>
          <w:ilvl w:val="0"/>
          <w:numId w:val="42"/>
        </w:numPr>
        <w:spacing w:line="288" w:lineRule="auto"/>
        <w:ind w:left="360"/>
        <w:rPr>
          <w:rFonts w:ascii="Arial" w:eastAsia="Arial" w:hAnsi="Arial" w:cs="Arial"/>
          <w:b/>
          <w:i/>
          <w:color w:val="64615D"/>
          <w:sz w:val="16"/>
        </w:rPr>
      </w:pPr>
      <w:r>
        <w:rPr>
          <w:rFonts w:ascii="Arial" w:eastAsia="Arial" w:hAnsi="Arial" w:cs="Arial"/>
          <w:color w:val="64615D"/>
          <w:sz w:val="16"/>
        </w:rPr>
        <w:t>Based on the May 3</w:t>
      </w:r>
      <w:r>
        <w:rPr>
          <w:rFonts w:ascii="Arial" w:eastAsia="Arial" w:hAnsi="Arial" w:cs="Arial"/>
          <w:color w:val="64615D"/>
          <w:sz w:val="16"/>
        </w:rPr>
        <w:t>, 2021 release, Fitch’s outlook for Radian Group and Radian Guaranty is currently Stable.</w:t>
      </w:r>
    </w:p>
    <w:p w14:paraId="0E759071" w14:textId="77777777" w:rsidR="001614AC" w:rsidRDefault="004468F9" w:rsidP="004468F9">
      <w:pPr>
        <w:numPr>
          <w:ilvl w:val="0"/>
          <w:numId w:val="42"/>
        </w:numPr>
        <w:spacing w:line="288" w:lineRule="auto"/>
        <w:ind w:left="360"/>
        <w:rPr>
          <w:rFonts w:ascii="Arial" w:eastAsia="Arial" w:hAnsi="Arial" w:cs="Arial"/>
          <w:b/>
          <w:i/>
          <w:color w:val="64615D"/>
          <w:sz w:val="16"/>
        </w:rPr>
      </w:pPr>
      <w:r>
        <w:rPr>
          <w:rFonts w:ascii="Arial" w:eastAsia="Arial" w:hAnsi="Arial" w:cs="Arial"/>
          <w:color w:val="64615D"/>
          <w:sz w:val="16"/>
        </w:rPr>
        <w:t>Based on the May 20, 2021 release, Demotech’s outlook for Radian Title Insurance is currently Exceptional.</w:t>
      </w:r>
    </w:p>
    <w:p w14:paraId="4F33057C" w14:textId="77777777" w:rsidR="001614AC" w:rsidRDefault="001614AC" w:rsidP="004468F9">
      <w:pPr>
        <w:numPr>
          <w:ilvl w:val="0"/>
          <w:numId w:val="42"/>
        </w:numPr>
        <w:spacing w:line="288" w:lineRule="auto"/>
        <w:ind w:left="360"/>
        <w:rPr>
          <w:rFonts w:ascii="Arial" w:eastAsia="Arial" w:hAnsi="Arial" w:cs="Arial"/>
          <w:b/>
          <w:i/>
          <w:color w:val="64615D"/>
          <w:sz w:val="16"/>
        </w:rPr>
        <w:sectPr w:rsidR="001614AC">
          <w:headerReference w:type="default" r:id="rId51"/>
          <w:type w:val="continuous"/>
          <w:pgSz w:w="12240" w:h="15840"/>
          <w:pgMar w:top="1260" w:right="1080" w:bottom="1080" w:left="1080" w:header="270" w:footer="270" w:gutter="0"/>
          <w:cols w:space="708"/>
        </w:sectPr>
      </w:pPr>
    </w:p>
    <w:p w14:paraId="736635FE" w14:textId="77777777" w:rsidR="001614AC" w:rsidRDefault="004468F9">
      <w:pPr>
        <w:keepNext/>
        <w:spacing w:before="200" w:after="160" w:line="288" w:lineRule="auto"/>
        <w:ind w:left="360" w:hanging="360"/>
        <w:rPr>
          <w:rFonts w:ascii="Arial" w:eastAsia="Arial" w:hAnsi="Arial" w:cs="Arial"/>
          <w:b/>
          <w:color w:val="4D6B80"/>
          <w:sz w:val="30"/>
        </w:rPr>
      </w:pPr>
      <w:bookmarkStart w:id="37" w:name="Section38"/>
      <w:bookmarkEnd w:id="37"/>
      <w:r>
        <w:rPr>
          <w:rFonts w:ascii="Arial" w:eastAsia="Arial" w:hAnsi="Arial" w:cs="Arial"/>
          <w:b/>
          <w:color w:val="4D6B80"/>
          <w:sz w:val="30"/>
        </w:rPr>
        <w:t>Critical Accounting Estimates</w:t>
      </w:r>
    </w:p>
    <w:p w14:paraId="33324A35" w14:textId="77777777" w:rsidR="001614AC" w:rsidRDefault="004468F9">
      <w:pPr>
        <w:spacing w:before="100" w:line="288" w:lineRule="auto"/>
        <w:ind w:firstLine="450"/>
        <w:rPr>
          <w:rFonts w:ascii="Arial" w:eastAsia="Arial" w:hAnsi="Arial" w:cs="Arial"/>
          <w:b/>
          <w:color w:val="4D6B80"/>
          <w:sz w:val="18"/>
        </w:rPr>
      </w:pPr>
      <w:r>
        <w:rPr>
          <w:rFonts w:ascii="Arial" w:eastAsia="Arial" w:hAnsi="Arial" w:cs="Arial"/>
          <w:sz w:val="18"/>
        </w:rPr>
        <w:t>As of the filing date of this report, there were no significant changes in our critical accounting estimates from those discussed in our 2020 Form 10-K. See Note 2 of Notes to Unaudited Condensed Consolidated Financial Statements for accounting pronounceme</w:t>
      </w:r>
      <w:r>
        <w:rPr>
          <w:rFonts w:ascii="Arial" w:eastAsia="Arial" w:hAnsi="Arial" w:cs="Arial"/>
          <w:sz w:val="18"/>
        </w:rPr>
        <w:t>nts issued but not yet adopted that may impact the Company’s consolidated financial position, earnings, cash flows or disclosures.</w:t>
      </w:r>
    </w:p>
    <w:p w14:paraId="2B55B3B0" w14:textId="77777777" w:rsidR="001614AC" w:rsidRDefault="001614AC">
      <w:pPr>
        <w:spacing w:before="100" w:line="288" w:lineRule="auto"/>
        <w:ind w:firstLine="450"/>
        <w:rPr>
          <w:rFonts w:ascii="Arial" w:eastAsia="Arial" w:hAnsi="Arial" w:cs="Arial"/>
          <w:b/>
          <w:color w:val="4D6B80"/>
          <w:sz w:val="30"/>
        </w:rPr>
        <w:sectPr w:rsidR="001614AC">
          <w:headerReference w:type="default" r:id="rId52"/>
          <w:type w:val="continuous"/>
          <w:pgSz w:w="12240" w:h="15840"/>
          <w:pgMar w:top="1260" w:right="1080" w:bottom="1080" w:left="1080" w:header="270" w:footer="270" w:gutter="0"/>
          <w:cols w:space="708"/>
        </w:sectPr>
      </w:pPr>
    </w:p>
    <w:p w14:paraId="11DB3803" w14:textId="77777777" w:rsidR="001614AC" w:rsidRDefault="004468F9">
      <w:pPr>
        <w:keepNext/>
        <w:tabs>
          <w:tab w:val="left" w:pos="1160"/>
        </w:tabs>
        <w:spacing w:before="220" w:after="180" w:line="288" w:lineRule="auto"/>
        <w:outlineLvl w:val="1"/>
        <w:rPr>
          <w:rFonts w:ascii="Arial" w:eastAsia="Arial" w:hAnsi="Arial" w:cs="Arial"/>
          <w:color w:val="00BAB3"/>
          <w:sz w:val="34"/>
        </w:rPr>
      </w:pPr>
      <w:bookmarkStart w:id="38" w:name="Section39"/>
      <w:bookmarkEnd w:id="38"/>
      <w:r>
        <w:rPr>
          <w:rFonts w:ascii="Arial" w:eastAsia="Arial" w:hAnsi="Arial" w:cs="Arial"/>
          <w:color w:val="00BAB3"/>
          <w:sz w:val="34"/>
        </w:rPr>
        <w:t>Item 3.</w:t>
      </w:r>
      <w:r>
        <w:rPr>
          <w:rFonts w:ascii="Arial" w:eastAsia="Arial" w:hAnsi="Arial" w:cs="Arial"/>
          <w:color w:val="00BAB3"/>
          <w:sz w:val="34"/>
        </w:rPr>
        <w:tab/>
        <w:t>Quantitative and Qualitative Disclosures About Market Risk</w:t>
      </w:r>
    </w:p>
    <w:p w14:paraId="22009319" w14:textId="77777777" w:rsidR="001614AC" w:rsidRDefault="004468F9">
      <w:pPr>
        <w:spacing w:before="100" w:after="100" w:line="288" w:lineRule="auto"/>
        <w:ind w:firstLine="450"/>
        <w:rPr>
          <w:rFonts w:ascii="Arial" w:eastAsia="Arial" w:hAnsi="Arial" w:cs="Arial"/>
          <w:sz w:val="18"/>
        </w:rPr>
      </w:pPr>
      <w:r>
        <w:rPr>
          <w:rFonts w:ascii="Arial" w:eastAsia="Arial" w:hAnsi="Arial" w:cs="Arial"/>
          <w:sz w:val="18"/>
        </w:rPr>
        <w:t xml:space="preserve">Market risk represents the potential for loss due to adverse changes in the value of </w:t>
      </w:r>
      <w:r>
        <w:rPr>
          <w:rFonts w:ascii="Arial" w:eastAsia="Arial" w:hAnsi="Arial" w:cs="Arial"/>
          <w:sz w:val="18"/>
        </w:rPr>
        <w:t>financial instruments as a result of changes in market conditions. Examples of market risk include changes in interest rates, credit spreads, foreign currency exchange rates and equity prices. We regularly analyze our exposure to interest-rate risk and cre</w:t>
      </w:r>
      <w:r>
        <w:rPr>
          <w:rFonts w:ascii="Arial" w:eastAsia="Arial" w:hAnsi="Arial" w:cs="Arial"/>
          <w:sz w:val="18"/>
        </w:rPr>
        <w:t>dit-spread risk and have determined that the fair value of our investments is materially exposed to changes in both interest rates and credit s</w:t>
      </w:r>
      <w:r>
        <w:rPr>
          <w:rFonts w:ascii="Arial" w:eastAsia="Arial" w:hAnsi="Arial" w:cs="Arial"/>
          <w:sz w:val="18"/>
          <w:shd w:val="clear" w:color="auto" w:fill="FFFFFF"/>
        </w:rPr>
        <w:t>preads. See “Item 1A. Risk Factors—</w:t>
      </w:r>
      <w:r>
        <w:rPr>
          <w:rFonts w:ascii="Arial" w:eastAsia="Arial" w:hAnsi="Arial" w:cs="Arial"/>
          <w:i/>
          <w:sz w:val="18"/>
          <w:shd w:val="clear" w:color="auto" w:fill="FFFFFF"/>
        </w:rPr>
        <w:t>Our success depends, in part, on our ability to manage risks in our investment</w:t>
      </w:r>
      <w:r>
        <w:rPr>
          <w:rFonts w:ascii="Arial" w:eastAsia="Arial" w:hAnsi="Arial" w:cs="Arial"/>
          <w:i/>
          <w:sz w:val="18"/>
          <w:shd w:val="clear" w:color="auto" w:fill="FFFFFF"/>
        </w:rPr>
        <w:t xml:space="preserve"> portfolio</w:t>
      </w:r>
      <w:r>
        <w:rPr>
          <w:rFonts w:ascii="Arial" w:eastAsia="Arial" w:hAnsi="Arial" w:cs="Arial"/>
          <w:sz w:val="18"/>
          <w:shd w:val="clear" w:color="auto" w:fill="FFFFFF"/>
        </w:rPr>
        <w:t>” in our 2020</w:t>
      </w:r>
      <w:r>
        <w:rPr>
          <w:rFonts w:ascii="Arial" w:eastAsia="Arial" w:hAnsi="Arial" w:cs="Arial"/>
          <w:sz w:val="18"/>
        </w:rPr>
        <w:t xml:space="preserve"> Form 10-K.</w:t>
      </w:r>
    </w:p>
    <w:p w14:paraId="0B17EEEA" w14:textId="77777777" w:rsidR="001614AC" w:rsidRDefault="004468F9">
      <w:pPr>
        <w:spacing w:before="100" w:line="288" w:lineRule="auto"/>
        <w:ind w:firstLine="450"/>
        <w:rPr>
          <w:rFonts w:ascii="Arial" w:eastAsia="Arial" w:hAnsi="Arial" w:cs="Arial"/>
          <w:i/>
          <w:sz w:val="22"/>
        </w:rPr>
      </w:pPr>
      <w:r>
        <w:rPr>
          <w:rFonts w:ascii="Arial" w:eastAsia="Arial" w:hAnsi="Arial" w:cs="Arial"/>
          <w:sz w:val="18"/>
        </w:rPr>
        <w:t>Our market risk exposures at June 30, 2021 have not materially changed from those identified in our 2020</w:t>
      </w:r>
      <w:r>
        <w:rPr>
          <w:rFonts w:ascii="Arial" w:eastAsia="Arial" w:hAnsi="Arial" w:cs="Arial"/>
          <w:sz w:val="16"/>
        </w:rPr>
        <w:t xml:space="preserve"> </w:t>
      </w:r>
      <w:r>
        <w:rPr>
          <w:rFonts w:ascii="Arial" w:eastAsia="Arial" w:hAnsi="Arial" w:cs="Arial"/>
          <w:sz w:val="16"/>
        </w:rPr>
        <w:br/>
      </w:r>
      <w:r>
        <w:rPr>
          <w:rFonts w:ascii="Arial" w:eastAsia="Arial" w:hAnsi="Arial" w:cs="Arial"/>
          <w:sz w:val="18"/>
        </w:rPr>
        <w:t>Form 10-K.</w:t>
      </w:r>
    </w:p>
    <w:p w14:paraId="30354FC4" w14:textId="77777777" w:rsidR="001614AC" w:rsidRDefault="001614AC">
      <w:pPr>
        <w:spacing w:before="100" w:line="288" w:lineRule="auto"/>
        <w:ind w:firstLine="450"/>
        <w:sectPr w:rsidR="001614AC">
          <w:headerReference w:type="default" r:id="rId53"/>
          <w:type w:val="continuous"/>
          <w:pgSz w:w="12240" w:h="15840"/>
          <w:pgMar w:top="1260" w:right="1080" w:bottom="1080" w:left="1080" w:header="270" w:footer="270" w:gutter="0"/>
          <w:cols w:space="708"/>
        </w:sectPr>
      </w:pPr>
    </w:p>
    <w:p w14:paraId="0841D3FE" w14:textId="77777777" w:rsidR="001614AC" w:rsidRDefault="004468F9">
      <w:pPr>
        <w:keepNext/>
        <w:tabs>
          <w:tab w:val="left" w:pos="1160"/>
        </w:tabs>
        <w:spacing w:before="220" w:after="180" w:line="288" w:lineRule="auto"/>
        <w:outlineLvl w:val="1"/>
        <w:rPr>
          <w:rFonts w:ascii="Arial" w:eastAsia="Arial" w:hAnsi="Arial" w:cs="Arial"/>
          <w:color w:val="00BAB3"/>
          <w:sz w:val="34"/>
        </w:rPr>
      </w:pPr>
      <w:bookmarkStart w:id="39" w:name="Section40"/>
      <w:bookmarkEnd w:id="39"/>
      <w:r>
        <w:rPr>
          <w:rFonts w:ascii="Arial" w:eastAsia="Arial" w:hAnsi="Arial" w:cs="Arial"/>
          <w:color w:val="00BAB3"/>
          <w:sz w:val="34"/>
        </w:rPr>
        <w:lastRenderedPageBreak/>
        <w:t>Item 4.</w:t>
      </w:r>
      <w:r>
        <w:rPr>
          <w:rFonts w:ascii="Arial" w:eastAsia="Arial" w:hAnsi="Arial" w:cs="Arial"/>
          <w:color w:val="00BAB3"/>
          <w:sz w:val="34"/>
        </w:rPr>
        <w:tab/>
        <w:t xml:space="preserve">Controls and Procedures </w:t>
      </w:r>
    </w:p>
    <w:p w14:paraId="606E7D2E" w14:textId="77777777" w:rsidR="001614AC" w:rsidRDefault="004468F9">
      <w:pPr>
        <w:keepNext/>
        <w:spacing w:before="200" w:after="160" w:line="288" w:lineRule="auto"/>
        <w:ind w:left="360" w:hanging="360"/>
        <w:rPr>
          <w:rFonts w:ascii="Arial" w:eastAsia="Arial" w:hAnsi="Arial" w:cs="Arial"/>
          <w:b/>
          <w:color w:val="4D6B80"/>
          <w:sz w:val="30"/>
        </w:rPr>
      </w:pPr>
      <w:r>
        <w:rPr>
          <w:rFonts w:ascii="Arial" w:eastAsia="Arial" w:hAnsi="Arial" w:cs="Arial"/>
          <w:b/>
          <w:color w:val="4D6B80"/>
          <w:sz w:val="30"/>
        </w:rPr>
        <w:t>Evaluation of Disclosure Controls and Procedures</w:t>
      </w:r>
    </w:p>
    <w:p w14:paraId="09C5399C" w14:textId="77777777" w:rsidR="001614AC" w:rsidRDefault="004468F9">
      <w:pPr>
        <w:spacing w:before="100" w:after="100" w:line="288" w:lineRule="auto"/>
        <w:ind w:firstLine="450"/>
        <w:rPr>
          <w:rFonts w:ascii="Arial" w:eastAsia="Arial" w:hAnsi="Arial" w:cs="Arial"/>
          <w:sz w:val="18"/>
        </w:rPr>
      </w:pPr>
      <w:r>
        <w:rPr>
          <w:rFonts w:ascii="Arial" w:eastAsia="Arial" w:hAnsi="Arial" w:cs="Arial"/>
          <w:sz w:val="18"/>
        </w:rPr>
        <w:t xml:space="preserve">We maintain disclosure controls and procedures designed to provide reasonable assurance that information required to be disclosed in the reports we file or submit under </w:t>
      </w:r>
      <w:r>
        <w:rPr>
          <w:rFonts w:ascii="Arial" w:eastAsia="Arial" w:hAnsi="Arial" w:cs="Arial"/>
          <w:sz w:val="18"/>
        </w:rPr>
        <w:t>the Exchange Act is recorded, processed, summarized and reported within the time periods specified in the SEC’s rules and forms and that such information is accumulated and communicated to our management, including our Chief Executive Officer and Chief Fin</w:t>
      </w:r>
      <w:r>
        <w:rPr>
          <w:rFonts w:ascii="Arial" w:eastAsia="Arial" w:hAnsi="Arial" w:cs="Arial"/>
          <w:sz w:val="18"/>
        </w:rPr>
        <w:t>ancial Officer, as appropriate, to allow timely decisions regarding required disclosure.</w:t>
      </w:r>
    </w:p>
    <w:p w14:paraId="6E3FDEB9" w14:textId="77777777" w:rsidR="001614AC" w:rsidRDefault="004468F9">
      <w:pPr>
        <w:spacing w:before="100" w:after="100" w:line="288" w:lineRule="auto"/>
        <w:ind w:firstLine="450"/>
        <w:rPr>
          <w:rFonts w:ascii="Arial" w:eastAsia="Arial" w:hAnsi="Arial" w:cs="Arial"/>
          <w:i/>
          <w:sz w:val="22"/>
        </w:rPr>
      </w:pPr>
      <w:r>
        <w:rPr>
          <w:rFonts w:ascii="Arial" w:eastAsia="Arial" w:hAnsi="Arial" w:cs="Arial"/>
          <w:sz w:val="18"/>
        </w:rPr>
        <w:t>Our management, including our Chief Executive Officer and Chief Financial Officer, conducted an evaluation of the effectiveness of our disclosure controls and procedur</w:t>
      </w:r>
      <w:r>
        <w:rPr>
          <w:rFonts w:ascii="Arial" w:eastAsia="Arial" w:hAnsi="Arial" w:cs="Arial"/>
          <w:sz w:val="18"/>
        </w:rPr>
        <w:t xml:space="preserve">es (as defined in Rules 13a-15(e) and 15d-15(e) of the Exchange Act) as of June 30, 2021, pursuant to Rule 15d-15(b) under the Exchange Act. Based upon that evaluation, our Chief Executive Officer and Chief Financial Officer concluded that, as of June 30, </w:t>
      </w:r>
      <w:r>
        <w:rPr>
          <w:rFonts w:ascii="Arial" w:eastAsia="Arial" w:hAnsi="Arial" w:cs="Arial"/>
          <w:sz w:val="18"/>
        </w:rPr>
        <w:t>2021, our disclosure controls and procedures were effective to provide reasonable assurance that the information required to be disclosed by us in the reports we file or submit under the Exchange Act is recorded, processed, summarized and reported within t</w:t>
      </w:r>
      <w:r>
        <w:rPr>
          <w:rFonts w:ascii="Arial" w:eastAsia="Arial" w:hAnsi="Arial" w:cs="Arial"/>
          <w:sz w:val="18"/>
        </w:rPr>
        <w:t>he time periods specified in the SEC’s rules and forms.</w:t>
      </w:r>
    </w:p>
    <w:p w14:paraId="2350633C" w14:textId="77777777" w:rsidR="001614AC" w:rsidRDefault="004468F9">
      <w:pPr>
        <w:keepNext/>
        <w:spacing w:before="200" w:after="160" w:line="288" w:lineRule="auto"/>
        <w:ind w:left="360" w:hanging="360"/>
        <w:rPr>
          <w:rFonts w:ascii="Arial" w:eastAsia="Arial" w:hAnsi="Arial" w:cs="Arial"/>
          <w:b/>
          <w:color w:val="4D6B80"/>
          <w:sz w:val="30"/>
        </w:rPr>
      </w:pPr>
      <w:r>
        <w:rPr>
          <w:rFonts w:ascii="Arial" w:eastAsia="Arial" w:hAnsi="Arial" w:cs="Arial"/>
          <w:b/>
          <w:color w:val="4D6B80"/>
          <w:sz w:val="30"/>
        </w:rPr>
        <w:t>Changes in Internal Control Over Financial Reporting</w:t>
      </w:r>
    </w:p>
    <w:p w14:paraId="5DFBAA5E" w14:textId="77777777" w:rsidR="001614AC" w:rsidRDefault="004468F9">
      <w:pPr>
        <w:spacing w:before="100" w:line="288" w:lineRule="auto"/>
        <w:ind w:firstLine="450"/>
        <w:rPr>
          <w:rFonts w:ascii="Arial" w:eastAsia="Arial" w:hAnsi="Arial" w:cs="Arial"/>
          <w:i/>
          <w:sz w:val="22"/>
        </w:rPr>
      </w:pPr>
      <w:r>
        <w:rPr>
          <w:rFonts w:ascii="Arial" w:eastAsia="Arial" w:hAnsi="Arial" w:cs="Arial"/>
          <w:sz w:val="18"/>
        </w:rPr>
        <w:t>During the three-month period ended June 30, 2021, there has been no change in our internal control over financial reporting (as defined in Rule 13</w:t>
      </w:r>
      <w:r>
        <w:rPr>
          <w:rFonts w:ascii="Arial" w:eastAsia="Arial" w:hAnsi="Arial" w:cs="Arial"/>
          <w:sz w:val="18"/>
        </w:rPr>
        <w:t>a-15(f) of the Exchange Act) that has materially affected, or is reasonably likely to materially affect, our internal control over financial reporting.</w:t>
      </w:r>
    </w:p>
    <w:p w14:paraId="1AC3D37C" w14:textId="77777777" w:rsidR="001614AC" w:rsidRDefault="001614AC">
      <w:pPr>
        <w:spacing w:before="100" w:line="288" w:lineRule="auto"/>
        <w:ind w:firstLine="450"/>
        <w:sectPr w:rsidR="001614AC">
          <w:type w:val="continuous"/>
          <w:pgSz w:w="12240" w:h="15840"/>
          <w:pgMar w:top="1260" w:right="1080" w:bottom="1080" w:left="1080" w:header="270" w:footer="270" w:gutter="0"/>
          <w:cols w:space="708"/>
        </w:sectPr>
      </w:pPr>
    </w:p>
    <w:p w14:paraId="6594EEC5" w14:textId="77777777" w:rsidR="001614AC" w:rsidRDefault="004468F9">
      <w:pPr>
        <w:keepNext/>
        <w:keepLines/>
        <w:widowControl w:val="0"/>
        <w:spacing w:line="288" w:lineRule="auto"/>
        <w:outlineLvl w:val="0"/>
        <w:rPr>
          <w:rFonts w:ascii="Arial" w:eastAsia="Arial" w:hAnsi="Arial" w:cs="Arial"/>
          <w:color w:val="00BAB3"/>
          <w:sz w:val="38"/>
        </w:rPr>
      </w:pPr>
      <w:bookmarkStart w:id="40" w:name="Section41"/>
      <w:bookmarkEnd w:id="40"/>
      <w:r>
        <w:rPr>
          <w:rFonts w:ascii="Arial" w:eastAsia="Arial" w:hAnsi="Arial" w:cs="Arial"/>
          <w:color w:val="00BAB3"/>
          <w:sz w:val="38"/>
        </w:rPr>
        <w:lastRenderedPageBreak/>
        <w:t>PART II—OTHER INFORMATION</w:t>
      </w:r>
    </w:p>
    <w:p w14:paraId="1D98FAA6" w14:textId="77777777" w:rsidR="001614AC" w:rsidRDefault="001614AC">
      <w:pPr>
        <w:keepNext/>
        <w:keepLines/>
        <w:widowControl w:val="0"/>
        <w:spacing w:line="288" w:lineRule="auto"/>
        <w:outlineLvl w:val="0"/>
        <w:sectPr w:rsidR="001614AC">
          <w:pgSz w:w="12240" w:h="15840"/>
          <w:pgMar w:top="1260" w:right="1080" w:bottom="1080" w:left="1080" w:header="270" w:footer="270" w:gutter="0"/>
          <w:cols w:space="708"/>
        </w:sectPr>
      </w:pPr>
    </w:p>
    <w:p w14:paraId="10D4682E" w14:textId="77777777" w:rsidR="001614AC" w:rsidRDefault="004468F9">
      <w:pPr>
        <w:keepNext/>
        <w:spacing w:before="220" w:after="180" w:line="288" w:lineRule="auto"/>
        <w:outlineLvl w:val="1"/>
        <w:rPr>
          <w:rFonts w:ascii="Arial" w:eastAsia="Arial" w:hAnsi="Arial" w:cs="Arial"/>
          <w:color w:val="00BAB3"/>
          <w:sz w:val="34"/>
        </w:rPr>
      </w:pPr>
      <w:bookmarkStart w:id="41" w:name="Section42"/>
      <w:bookmarkEnd w:id="41"/>
      <w:r>
        <w:rPr>
          <w:rFonts w:ascii="Arial" w:eastAsia="Arial" w:hAnsi="Arial" w:cs="Arial"/>
          <w:color w:val="00BAB3"/>
          <w:sz w:val="34"/>
        </w:rPr>
        <w:t>Item 1.</w:t>
      </w:r>
      <w:r>
        <w:rPr>
          <w:rFonts w:ascii="Arial" w:eastAsia="Arial" w:hAnsi="Arial" w:cs="Arial"/>
          <w:color w:val="00BAB3"/>
          <w:sz w:val="34"/>
        </w:rPr>
        <w:tab/>
        <w:t>Legal Proceedings</w:t>
      </w:r>
    </w:p>
    <w:p w14:paraId="3FAD7731" w14:textId="77777777" w:rsidR="001614AC" w:rsidRDefault="004468F9">
      <w:pPr>
        <w:spacing w:before="100" w:line="288" w:lineRule="auto"/>
        <w:ind w:firstLine="450"/>
        <w:rPr>
          <w:rFonts w:ascii="Arial" w:eastAsia="Arial" w:hAnsi="Arial" w:cs="Arial"/>
          <w:sz w:val="18"/>
        </w:rPr>
      </w:pPr>
      <w:r>
        <w:rPr>
          <w:rFonts w:ascii="Arial" w:eastAsia="Arial" w:hAnsi="Arial" w:cs="Arial"/>
          <w:sz w:val="18"/>
        </w:rPr>
        <w:t>We are routinely i</w:t>
      </w:r>
      <w:r>
        <w:rPr>
          <w:rFonts w:ascii="Arial" w:eastAsia="Arial" w:hAnsi="Arial" w:cs="Arial"/>
          <w:sz w:val="18"/>
        </w:rPr>
        <w:t>nvolved in a number of legal actions and proceedings, including reviews, audits and inquiries by various regulatory entities, as well as litigation and other disputes arising in the ordinary course of our business. See Note 13 of Notes to Unaudited Condens</w:t>
      </w:r>
      <w:r>
        <w:rPr>
          <w:rFonts w:ascii="Arial" w:eastAsia="Arial" w:hAnsi="Arial" w:cs="Arial"/>
          <w:sz w:val="18"/>
        </w:rPr>
        <w:t>ed Consolidated Financial Statements for additional information regarding legal and regulatory matters and proceedings.</w:t>
      </w:r>
    </w:p>
    <w:p w14:paraId="7CC25B67" w14:textId="77777777" w:rsidR="001614AC" w:rsidRDefault="001614AC">
      <w:pPr>
        <w:spacing w:before="100" w:line="288" w:lineRule="auto"/>
        <w:ind w:firstLine="450"/>
        <w:sectPr w:rsidR="001614AC">
          <w:type w:val="continuous"/>
          <w:pgSz w:w="12240" w:h="15840"/>
          <w:pgMar w:top="1260" w:right="1080" w:bottom="1080" w:left="1080" w:header="270" w:footer="270" w:gutter="0"/>
          <w:cols w:space="708"/>
        </w:sectPr>
      </w:pPr>
    </w:p>
    <w:p w14:paraId="47397EFF" w14:textId="77777777" w:rsidR="001614AC" w:rsidRDefault="004468F9">
      <w:pPr>
        <w:keepNext/>
        <w:tabs>
          <w:tab w:val="left" w:pos="1160"/>
        </w:tabs>
        <w:spacing w:before="220" w:after="180" w:line="288" w:lineRule="auto"/>
        <w:outlineLvl w:val="1"/>
        <w:rPr>
          <w:rFonts w:ascii="Arial" w:eastAsia="Arial" w:hAnsi="Arial" w:cs="Arial"/>
          <w:color w:val="00BAB3"/>
          <w:sz w:val="34"/>
        </w:rPr>
      </w:pPr>
      <w:bookmarkStart w:id="42" w:name="Section43"/>
      <w:bookmarkEnd w:id="42"/>
      <w:r>
        <w:rPr>
          <w:rFonts w:ascii="Arial" w:eastAsia="Arial" w:hAnsi="Arial" w:cs="Arial"/>
          <w:color w:val="00BAB3"/>
          <w:sz w:val="34"/>
        </w:rPr>
        <w:t>Item 1A.</w:t>
      </w:r>
      <w:r>
        <w:rPr>
          <w:rFonts w:ascii="Arial" w:eastAsia="Arial" w:hAnsi="Arial" w:cs="Arial"/>
          <w:color w:val="00BAB3"/>
          <w:sz w:val="34"/>
        </w:rPr>
        <w:tab/>
        <w:t>Risk Factors</w:t>
      </w:r>
    </w:p>
    <w:p w14:paraId="03C9CACA" w14:textId="77777777" w:rsidR="001614AC" w:rsidRDefault="004468F9">
      <w:pPr>
        <w:spacing w:before="100" w:line="288" w:lineRule="auto"/>
        <w:ind w:firstLine="450"/>
        <w:rPr>
          <w:rFonts w:ascii="Arial" w:eastAsia="Arial" w:hAnsi="Arial" w:cs="Arial"/>
          <w:i/>
          <w:sz w:val="22"/>
        </w:rPr>
      </w:pPr>
      <w:r>
        <w:rPr>
          <w:rFonts w:ascii="Arial" w:eastAsia="Arial" w:hAnsi="Arial" w:cs="Arial"/>
          <w:sz w:val="18"/>
        </w:rPr>
        <w:t>There have been no material changes to our risk factors from those previously disclosed in our 2</w:t>
      </w:r>
      <w:r>
        <w:rPr>
          <w:rFonts w:ascii="Arial" w:eastAsia="Arial" w:hAnsi="Arial" w:cs="Arial"/>
          <w:sz w:val="18"/>
        </w:rPr>
        <w:t>020 Form 10-K.</w:t>
      </w:r>
    </w:p>
    <w:p w14:paraId="6F756C2A" w14:textId="77777777" w:rsidR="001614AC" w:rsidRDefault="001614AC">
      <w:pPr>
        <w:spacing w:before="100" w:line="288" w:lineRule="auto"/>
        <w:ind w:firstLine="450"/>
        <w:sectPr w:rsidR="001614AC">
          <w:type w:val="continuous"/>
          <w:pgSz w:w="12240" w:h="15840"/>
          <w:pgMar w:top="1260" w:right="1080" w:bottom="1080" w:left="1080" w:header="270" w:footer="270" w:gutter="0"/>
          <w:cols w:space="708"/>
        </w:sectPr>
      </w:pPr>
    </w:p>
    <w:p w14:paraId="06C37DB9" w14:textId="77777777" w:rsidR="001614AC" w:rsidRDefault="004468F9">
      <w:pPr>
        <w:keepNext/>
        <w:tabs>
          <w:tab w:val="left" w:pos="1160"/>
        </w:tabs>
        <w:spacing w:before="220" w:after="180" w:line="288" w:lineRule="auto"/>
        <w:outlineLvl w:val="1"/>
        <w:rPr>
          <w:rFonts w:ascii="Arial" w:eastAsia="Arial" w:hAnsi="Arial" w:cs="Arial"/>
          <w:color w:val="00BAB3"/>
          <w:sz w:val="34"/>
        </w:rPr>
      </w:pPr>
      <w:bookmarkStart w:id="43" w:name="Section44"/>
      <w:bookmarkEnd w:id="43"/>
      <w:r>
        <w:rPr>
          <w:rFonts w:ascii="Arial" w:eastAsia="Arial" w:hAnsi="Arial" w:cs="Arial"/>
          <w:color w:val="00BAB3"/>
          <w:sz w:val="34"/>
        </w:rPr>
        <w:t>Item 2.</w:t>
      </w:r>
      <w:r>
        <w:rPr>
          <w:rFonts w:ascii="Arial" w:eastAsia="Arial" w:hAnsi="Arial" w:cs="Arial"/>
          <w:color w:val="00BAB3"/>
          <w:sz w:val="34"/>
        </w:rPr>
        <w:tab/>
        <w:t>Unregistered Sales of Equity Securities and Use of Proceeds</w:t>
      </w:r>
    </w:p>
    <w:p w14:paraId="14BADC6E" w14:textId="77777777" w:rsidR="001614AC" w:rsidRDefault="004468F9">
      <w:pPr>
        <w:keepNext/>
        <w:spacing w:before="200" w:after="160" w:line="288" w:lineRule="auto"/>
        <w:ind w:left="360" w:hanging="360"/>
        <w:rPr>
          <w:rFonts w:ascii="Arial" w:eastAsia="Arial" w:hAnsi="Arial" w:cs="Arial"/>
          <w:b/>
          <w:color w:val="4D6B80"/>
          <w:sz w:val="30"/>
        </w:rPr>
      </w:pPr>
      <w:r>
        <w:rPr>
          <w:rFonts w:ascii="Arial" w:eastAsia="Arial" w:hAnsi="Arial" w:cs="Arial"/>
          <w:b/>
          <w:color w:val="4D6B80"/>
          <w:sz w:val="30"/>
        </w:rPr>
        <w:t>Issuance of Unregistered Securities</w:t>
      </w:r>
    </w:p>
    <w:p w14:paraId="5FA7209B" w14:textId="77777777" w:rsidR="001614AC" w:rsidRDefault="004468F9">
      <w:pPr>
        <w:spacing w:before="100" w:after="100" w:line="288" w:lineRule="auto"/>
        <w:ind w:firstLine="450"/>
        <w:rPr>
          <w:rFonts w:ascii="Arial" w:eastAsia="Arial" w:hAnsi="Arial" w:cs="Arial"/>
          <w:sz w:val="18"/>
        </w:rPr>
      </w:pPr>
      <w:r>
        <w:rPr>
          <w:rFonts w:ascii="Arial" w:eastAsia="Arial" w:hAnsi="Arial" w:cs="Arial"/>
          <w:sz w:val="18"/>
        </w:rPr>
        <w:t>During the three months ended June 30, 2021</w:t>
      </w:r>
      <w:r>
        <w:rPr>
          <w:rFonts w:ascii="Arial" w:eastAsia="Arial" w:hAnsi="Arial" w:cs="Arial"/>
          <w:sz w:val="18"/>
        </w:rPr>
        <w:t xml:space="preserve">, no equity securities of Radian Group were sold that were not registered under the Securities Act. </w:t>
      </w:r>
    </w:p>
    <w:p w14:paraId="299AC070" w14:textId="77777777" w:rsidR="001614AC" w:rsidRDefault="004468F9">
      <w:pPr>
        <w:keepNext/>
        <w:spacing w:before="200" w:after="160" w:line="288" w:lineRule="auto"/>
        <w:ind w:left="360" w:hanging="360"/>
        <w:rPr>
          <w:rFonts w:ascii="Arial" w:eastAsia="Arial" w:hAnsi="Arial" w:cs="Arial"/>
          <w:b/>
          <w:color w:val="4D6B80"/>
          <w:sz w:val="30"/>
        </w:rPr>
      </w:pPr>
      <w:r>
        <w:rPr>
          <w:rFonts w:ascii="Arial" w:eastAsia="Arial" w:hAnsi="Arial" w:cs="Arial"/>
          <w:b/>
          <w:color w:val="4D6B80"/>
          <w:sz w:val="30"/>
        </w:rPr>
        <w:t>Issuer Purchases of Equity Securities</w:t>
      </w:r>
    </w:p>
    <w:p w14:paraId="30D55245" w14:textId="77777777" w:rsidR="001614AC" w:rsidRDefault="004468F9">
      <w:pPr>
        <w:keepNext/>
        <w:spacing w:before="100" w:after="100" w:line="288" w:lineRule="auto"/>
        <w:ind w:firstLine="450"/>
        <w:rPr>
          <w:rFonts w:ascii="Arial" w:eastAsia="Arial" w:hAnsi="Arial" w:cs="Arial"/>
          <w:sz w:val="18"/>
        </w:rPr>
      </w:pPr>
      <w:r>
        <w:rPr>
          <w:rFonts w:ascii="Arial" w:eastAsia="Arial" w:hAnsi="Arial" w:cs="Arial"/>
          <w:sz w:val="18"/>
        </w:rPr>
        <w:t>The following table provides information about purchases of Radian Group common stock by us (and our affiliated purch</w:t>
      </w:r>
      <w:r>
        <w:rPr>
          <w:rFonts w:ascii="Arial" w:eastAsia="Arial" w:hAnsi="Arial" w:cs="Arial"/>
          <w:sz w:val="18"/>
        </w:rPr>
        <w:t xml:space="preserve">asers) during the three months ended June 30, 2021. </w:t>
      </w:r>
    </w:p>
    <w:tbl>
      <w:tblPr>
        <w:tblW w:w="102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06"/>
        <w:gridCol w:w="107"/>
        <w:gridCol w:w="1535"/>
        <w:gridCol w:w="102"/>
        <w:gridCol w:w="107"/>
        <w:gridCol w:w="163"/>
        <w:gridCol w:w="1372"/>
        <w:gridCol w:w="102"/>
        <w:gridCol w:w="107"/>
        <w:gridCol w:w="1535"/>
        <w:gridCol w:w="102"/>
        <w:gridCol w:w="107"/>
        <w:gridCol w:w="163"/>
        <w:gridCol w:w="1372"/>
        <w:gridCol w:w="102"/>
      </w:tblGrid>
      <w:tr w:rsidR="001614AC" w14:paraId="6325D198" w14:textId="77777777">
        <w:trPr>
          <w:cantSplit/>
        </w:trPr>
        <w:tc>
          <w:tcPr>
            <w:tcW w:w="10080" w:type="dxa"/>
            <w:gridSpan w:val="15"/>
            <w:tcBorders>
              <w:top w:val="nil"/>
              <w:left w:val="nil"/>
              <w:bottom w:val="single" w:sz="12" w:space="0" w:color="99AAB6"/>
              <w:right w:val="nil"/>
            </w:tcBorders>
            <w:tcMar>
              <w:top w:w="0" w:type="dxa"/>
              <w:left w:w="53" w:type="dxa"/>
              <w:bottom w:w="0" w:type="dxa"/>
              <w:right w:w="53" w:type="dxa"/>
            </w:tcMar>
            <w:vAlign w:val="bottom"/>
          </w:tcPr>
          <w:p w14:paraId="02C1E2C8" w14:textId="77777777" w:rsidR="001614AC" w:rsidRDefault="004468F9">
            <w:pPr>
              <w:keepNext/>
              <w:spacing w:before="75" w:after="30" w:line="288" w:lineRule="auto"/>
              <w:rPr>
                <w:rFonts w:ascii="Arial" w:eastAsia="Arial" w:hAnsi="Arial" w:cs="Arial"/>
                <w:b/>
                <w:sz w:val="20"/>
              </w:rPr>
            </w:pPr>
            <w:r>
              <w:rPr>
                <w:rFonts w:ascii="Arial" w:eastAsia="Arial" w:hAnsi="Arial" w:cs="Arial"/>
                <w:b/>
                <w:sz w:val="20"/>
              </w:rPr>
              <w:t>Share repurchase program</w:t>
            </w:r>
          </w:p>
        </w:tc>
      </w:tr>
      <w:tr w:rsidR="001614AC" w14:paraId="0A099999" w14:textId="77777777">
        <w:trPr>
          <w:cantSplit/>
          <w:trHeight w:hRule="exact" w:val="135"/>
        </w:trPr>
        <w:tc>
          <w:tcPr>
            <w:tcW w:w="3240" w:type="dxa"/>
            <w:tcBorders>
              <w:top w:val="nil"/>
              <w:left w:val="nil"/>
              <w:bottom w:val="nil"/>
              <w:right w:val="nil"/>
            </w:tcBorders>
            <w:tcMar>
              <w:top w:w="0" w:type="dxa"/>
              <w:left w:w="0" w:type="dxa"/>
              <w:bottom w:w="0" w:type="dxa"/>
              <w:right w:w="0" w:type="dxa"/>
            </w:tcMar>
            <w:vAlign w:val="bottom"/>
          </w:tcPr>
          <w:p w14:paraId="3CE6A43D" w14:textId="77777777" w:rsidR="001614AC" w:rsidRDefault="001614AC">
            <w:pPr>
              <w:keepNext/>
            </w:pPr>
          </w:p>
        </w:tc>
        <w:tc>
          <w:tcPr>
            <w:tcW w:w="105" w:type="dxa"/>
            <w:tcBorders>
              <w:top w:val="single" w:sz="12" w:space="0" w:color="99AAB6"/>
              <w:left w:val="nil"/>
              <w:bottom w:val="nil"/>
              <w:right w:val="nil"/>
            </w:tcBorders>
            <w:tcMar>
              <w:top w:w="0" w:type="dxa"/>
              <w:left w:w="0" w:type="dxa"/>
              <w:bottom w:w="0" w:type="dxa"/>
              <w:right w:w="0" w:type="dxa"/>
            </w:tcMar>
            <w:vAlign w:val="bottom"/>
          </w:tcPr>
          <w:p w14:paraId="773797D7" w14:textId="77777777" w:rsidR="001614AC" w:rsidRDefault="001614AC">
            <w:pPr>
              <w:keepNext/>
            </w:pPr>
          </w:p>
        </w:tc>
        <w:tc>
          <w:tcPr>
            <w:tcW w:w="1605" w:type="dxa"/>
            <w:gridSpan w:val="2"/>
            <w:tcBorders>
              <w:top w:val="single" w:sz="12" w:space="0" w:color="99AAB6"/>
              <w:left w:val="nil"/>
              <w:bottom w:val="nil"/>
              <w:right w:val="nil"/>
            </w:tcBorders>
            <w:tcMar>
              <w:top w:w="0" w:type="dxa"/>
              <w:left w:w="0" w:type="dxa"/>
              <w:bottom w:w="0" w:type="dxa"/>
              <w:right w:w="0" w:type="dxa"/>
            </w:tcMar>
            <w:vAlign w:val="bottom"/>
          </w:tcPr>
          <w:p w14:paraId="2AC91196" w14:textId="77777777" w:rsidR="001614AC" w:rsidRDefault="001614AC">
            <w:pPr>
              <w:keepNext/>
            </w:pPr>
          </w:p>
        </w:tc>
        <w:tc>
          <w:tcPr>
            <w:tcW w:w="105" w:type="dxa"/>
            <w:tcBorders>
              <w:top w:val="single" w:sz="12" w:space="0" w:color="99AAB6"/>
              <w:left w:val="nil"/>
              <w:bottom w:val="nil"/>
              <w:right w:val="nil"/>
            </w:tcBorders>
            <w:tcMar>
              <w:top w:w="0" w:type="dxa"/>
              <w:left w:w="0" w:type="dxa"/>
              <w:bottom w:w="0" w:type="dxa"/>
              <w:right w:w="0" w:type="dxa"/>
            </w:tcMar>
            <w:vAlign w:val="bottom"/>
          </w:tcPr>
          <w:p w14:paraId="7EB47258" w14:textId="77777777" w:rsidR="001614AC" w:rsidRDefault="001614AC">
            <w:pPr>
              <w:keepNext/>
            </w:pPr>
          </w:p>
        </w:tc>
        <w:tc>
          <w:tcPr>
            <w:tcW w:w="1605" w:type="dxa"/>
            <w:gridSpan w:val="3"/>
            <w:tcBorders>
              <w:top w:val="single" w:sz="12" w:space="0" w:color="99AAB6"/>
              <w:left w:val="nil"/>
              <w:bottom w:val="nil"/>
              <w:right w:val="nil"/>
            </w:tcBorders>
            <w:tcMar>
              <w:top w:w="0" w:type="dxa"/>
              <w:left w:w="0" w:type="dxa"/>
              <w:bottom w:w="0" w:type="dxa"/>
              <w:right w:w="0" w:type="dxa"/>
            </w:tcMar>
            <w:vAlign w:val="bottom"/>
          </w:tcPr>
          <w:p w14:paraId="6B93856A" w14:textId="77777777" w:rsidR="001614AC" w:rsidRDefault="001614AC">
            <w:pPr>
              <w:keepNext/>
            </w:pPr>
          </w:p>
        </w:tc>
        <w:tc>
          <w:tcPr>
            <w:tcW w:w="105" w:type="dxa"/>
            <w:tcBorders>
              <w:top w:val="single" w:sz="12" w:space="0" w:color="99AAB6"/>
              <w:left w:val="nil"/>
              <w:bottom w:val="nil"/>
              <w:right w:val="nil"/>
            </w:tcBorders>
            <w:tcMar>
              <w:top w:w="0" w:type="dxa"/>
              <w:left w:w="0" w:type="dxa"/>
              <w:bottom w:w="0" w:type="dxa"/>
              <w:right w:w="0" w:type="dxa"/>
            </w:tcMar>
            <w:vAlign w:val="bottom"/>
          </w:tcPr>
          <w:p w14:paraId="15721FA2" w14:textId="77777777" w:rsidR="001614AC" w:rsidRDefault="001614AC">
            <w:pPr>
              <w:keepNext/>
            </w:pPr>
          </w:p>
        </w:tc>
        <w:tc>
          <w:tcPr>
            <w:tcW w:w="1605" w:type="dxa"/>
            <w:gridSpan w:val="2"/>
            <w:tcBorders>
              <w:top w:val="single" w:sz="12" w:space="0" w:color="99AAB6"/>
              <w:left w:val="nil"/>
              <w:bottom w:val="nil"/>
              <w:right w:val="nil"/>
            </w:tcBorders>
            <w:tcMar>
              <w:top w:w="0" w:type="dxa"/>
              <w:left w:w="0" w:type="dxa"/>
              <w:bottom w:w="0" w:type="dxa"/>
              <w:right w:w="0" w:type="dxa"/>
            </w:tcMar>
            <w:vAlign w:val="bottom"/>
          </w:tcPr>
          <w:p w14:paraId="56344186" w14:textId="77777777" w:rsidR="001614AC" w:rsidRDefault="001614AC">
            <w:pPr>
              <w:keepNext/>
            </w:pPr>
          </w:p>
        </w:tc>
        <w:tc>
          <w:tcPr>
            <w:tcW w:w="105" w:type="dxa"/>
            <w:tcBorders>
              <w:top w:val="single" w:sz="12" w:space="0" w:color="99AAB6"/>
              <w:left w:val="nil"/>
              <w:bottom w:val="nil"/>
              <w:right w:val="nil"/>
            </w:tcBorders>
            <w:tcMar>
              <w:top w:w="0" w:type="dxa"/>
              <w:left w:w="0" w:type="dxa"/>
              <w:bottom w:w="0" w:type="dxa"/>
              <w:right w:w="0" w:type="dxa"/>
            </w:tcMar>
            <w:vAlign w:val="bottom"/>
          </w:tcPr>
          <w:p w14:paraId="2DC289F2" w14:textId="77777777" w:rsidR="001614AC" w:rsidRDefault="001614AC">
            <w:pPr>
              <w:keepNext/>
            </w:pPr>
          </w:p>
        </w:tc>
        <w:tc>
          <w:tcPr>
            <w:tcW w:w="1605" w:type="dxa"/>
            <w:gridSpan w:val="3"/>
            <w:tcBorders>
              <w:top w:val="single" w:sz="12" w:space="0" w:color="99AAB6"/>
              <w:left w:val="nil"/>
              <w:bottom w:val="nil"/>
              <w:right w:val="nil"/>
            </w:tcBorders>
            <w:tcMar>
              <w:top w:w="0" w:type="dxa"/>
              <w:left w:w="0" w:type="dxa"/>
              <w:bottom w:w="0" w:type="dxa"/>
              <w:right w:w="0" w:type="dxa"/>
            </w:tcMar>
            <w:vAlign w:val="bottom"/>
          </w:tcPr>
          <w:p w14:paraId="1B32E1B5" w14:textId="77777777" w:rsidR="001614AC" w:rsidRDefault="001614AC">
            <w:pPr>
              <w:keepNext/>
            </w:pPr>
          </w:p>
        </w:tc>
      </w:tr>
      <w:tr w:rsidR="001614AC" w14:paraId="70D853B1" w14:textId="77777777">
        <w:trPr>
          <w:cantSplit/>
        </w:trPr>
        <w:tc>
          <w:tcPr>
            <w:tcW w:w="3240" w:type="dxa"/>
            <w:tcBorders>
              <w:top w:val="nil"/>
              <w:left w:val="nil"/>
              <w:bottom w:val="single" w:sz="8" w:space="0" w:color="C7C9C7"/>
              <w:right w:val="nil"/>
            </w:tcBorders>
            <w:tcMar>
              <w:top w:w="0" w:type="dxa"/>
              <w:left w:w="53" w:type="dxa"/>
              <w:bottom w:w="0" w:type="dxa"/>
              <w:right w:w="53" w:type="dxa"/>
            </w:tcMar>
            <w:vAlign w:val="bottom"/>
          </w:tcPr>
          <w:p w14:paraId="2D5648F1" w14:textId="77777777" w:rsidR="001614AC" w:rsidRDefault="004468F9">
            <w:pPr>
              <w:keepNext/>
              <w:spacing w:before="75" w:after="30" w:line="288" w:lineRule="auto"/>
            </w:pPr>
            <w:r>
              <w:rPr>
                <w:rFonts w:ascii="Arial" w:eastAsia="Arial" w:hAnsi="Arial" w:cs="Arial"/>
                <w:color w:val="8B8886"/>
                <w:sz w:val="16"/>
              </w:rPr>
              <w:t>($ in thousands, except per-share amounts)</w:t>
            </w:r>
          </w:p>
        </w:tc>
        <w:tc>
          <w:tcPr>
            <w:tcW w:w="105" w:type="dxa"/>
            <w:tcBorders>
              <w:top w:val="nil"/>
              <w:left w:val="nil"/>
              <w:bottom w:val="single" w:sz="8" w:space="0" w:color="C7C9C7"/>
              <w:right w:val="nil"/>
            </w:tcBorders>
            <w:tcMar>
              <w:top w:w="0" w:type="dxa"/>
              <w:left w:w="0" w:type="dxa"/>
              <w:bottom w:w="0" w:type="dxa"/>
              <w:right w:w="0" w:type="dxa"/>
            </w:tcMar>
            <w:vAlign w:val="bottom"/>
          </w:tcPr>
          <w:p w14:paraId="62390E87" w14:textId="77777777" w:rsidR="001614AC" w:rsidRDefault="001614AC">
            <w:pPr>
              <w:keepNext/>
            </w:pPr>
          </w:p>
        </w:tc>
        <w:tc>
          <w:tcPr>
            <w:tcW w:w="1605" w:type="dxa"/>
            <w:gridSpan w:val="2"/>
            <w:tcBorders>
              <w:top w:val="nil"/>
              <w:left w:val="nil"/>
              <w:bottom w:val="single" w:sz="8" w:space="0" w:color="C7C9C7"/>
              <w:right w:val="nil"/>
            </w:tcBorders>
            <w:shd w:val="clear" w:color="auto" w:fill="F4F4F4"/>
            <w:tcMar>
              <w:top w:w="0" w:type="dxa"/>
              <w:left w:w="53" w:type="dxa"/>
              <w:bottom w:w="0" w:type="dxa"/>
              <w:right w:w="53" w:type="dxa"/>
            </w:tcMar>
            <w:vAlign w:val="bottom"/>
          </w:tcPr>
          <w:p w14:paraId="41EF4E19" w14:textId="77777777" w:rsidR="001614AC" w:rsidRDefault="004468F9">
            <w:pPr>
              <w:keepNext/>
              <w:spacing w:before="75" w:after="30" w:line="288" w:lineRule="auto"/>
              <w:jc w:val="center"/>
              <w:rPr>
                <w:rFonts w:ascii="Arial" w:eastAsia="Arial" w:hAnsi="Arial" w:cs="Arial"/>
                <w:b/>
                <w:sz w:val="14"/>
              </w:rPr>
            </w:pPr>
            <w:r>
              <w:rPr>
                <w:rFonts w:ascii="Arial" w:eastAsia="Arial" w:hAnsi="Arial" w:cs="Arial"/>
                <w:b/>
                <w:sz w:val="14"/>
              </w:rPr>
              <w:t xml:space="preserve">Total Number of Shares Purchased </w:t>
            </w:r>
            <w:r>
              <w:rPr>
                <w:rFonts w:ascii="Arial" w:eastAsia="Arial" w:hAnsi="Arial" w:cs="Arial"/>
                <w:b/>
                <w:sz w:val="14"/>
                <w:vertAlign w:val="superscript"/>
              </w:rPr>
              <w:t>(1)</w:t>
            </w:r>
          </w:p>
        </w:tc>
        <w:tc>
          <w:tcPr>
            <w:tcW w:w="105" w:type="dxa"/>
            <w:tcBorders>
              <w:top w:val="nil"/>
              <w:left w:val="nil"/>
              <w:bottom w:val="single" w:sz="8" w:space="0" w:color="C7C9C7"/>
              <w:right w:val="nil"/>
            </w:tcBorders>
            <w:tcMar>
              <w:top w:w="0" w:type="dxa"/>
              <w:left w:w="0" w:type="dxa"/>
              <w:bottom w:w="0" w:type="dxa"/>
              <w:right w:w="0" w:type="dxa"/>
            </w:tcMar>
            <w:vAlign w:val="bottom"/>
          </w:tcPr>
          <w:p w14:paraId="1493F4FE" w14:textId="77777777" w:rsidR="001614AC" w:rsidRDefault="001614AC">
            <w:pPr>
              <w:keepNext/>
            </w:pPr>
          </w:p>
        </w:tc>
        <w:tc>
          <w:tcPr>
            <w:tcW w:w="1605" w:type="dxa"/>
            <w:gridSpan w:val="3"/>
            <w:tcBorders>
              <w:top w:val="nil"/>
              <w:left w:val="nil"/>
              <w:bottom w:val="single" w:sz="8" w:space="0" w:color="C7C9C7"/>
              <w:right w:val="nil"/>
            </w:tcBorders>
            <w:shd w:val="clear" w:color="auto" w:fill="F4F4F4"/>
            <w:tcMar>
              <w:top w:w="0" w:type="dxa"/>
              <w:left w:w="53" w:type="dxa"/>
              <w:bottom w:w="0" w:type="dxa"/>
              <w:right w:w="53" w:type="dxa"/>
            </w:tcMar>
            <w:vAlign w:val="bottom"/>
          </w:tcPr>
          <w:p w14:paraId="0B2A7AEF" w14:textId="77777777" w:rsidR="001614AC" w:rsidRDefault="004468F9">
            <w:pPr>
              <w:keepNext/>
              <w:spacing w:before="75" w:after="30" w:line="288" w:lineRule="auto"/>
              <w:jc w:val="center"/>
            </w:pPr>
            <w:r>
              <w:rPr>
                <w:rFonts w:ascii="Arial" w:eastAsia="Arial" w:hAnsi="Arial" w:cs="Arial"/>
                <w:b/>
                <w:color w:val="000000"/>
                <w:sz w:val="14"/>
              </w:rPr>
              <w:t>Average Price Paid per Share</w:t>
            </w:r>
          </w:p>
        </w:tc>
        <w:tc>
          <w:tcPr>
            <w:tcW w:w="105" w:type="dxa"/>
            <w:tcBorders>
              <w:top w:val="nil"/>
              <w:left w:val="nil"/>
              <w:bottom w:val="single" w:sz="8" w:space="0" w:color="C7C9C7"/>
              <w:right w:val="nil"/>
            </w:tcBorders>
            <w:tcMar>
              <w:top w:w="0" w:type="dxa"/>
              <w:left w:w="0" w:type="dxa"/>
              <w:bottom w:w="0" w:type="dxa"/>
              <w:right w:w="0" w:type="dxa"/>
            </w:tcMar>
            <w:vAlign w:val="bottom"/>
          </w:tcPr>
          <w:p w14:paraId="77BAE150" w14:textId="77777777" w:rsidR="001614AC" w:rsidRDefault="001614AC">
            <w:pPr>
              <w:keepNext/>
            </w:pPr>
          </w:p>
        </w:tc>
        <w:tc>
          <w:tcPr>
            <w:tcW w:w="1605" w:type="dxa"/>
            <w:gridSpan w:val="2"/>
            <w:tcBorders>
              <w:top w:val="nil"/>
              <w:left w:val="nil"/>
              <w:bottom w:val="single" w:sz="8" w:space="0" w:color="C7C9C7"/>
              <w:right w:val="nil"/>
            </w:tcBorders>
            <w:shd w:val="clear" w:color="auto" w:fill="F4F4F4"/>
            <w:tcMar>
              <w:top w:w="0" w:type="dxa"/>
              <w:left w:w="53" w:type="dxa"/>
              <w:bottom w:w="0" w:type="dxa"/>
              <w:right w:w="53" w:type="dxa"/>
            </w:tcMar>
            <w:vAlign w:val="bottom"/>
          </w:tcPr>
          <w:p w14:paraId="5762A6A2" w14:textId="77777777" w:rsidR="001614AC" w:rsidRDefault="004468F9">
            <w:pPr>
              <w:keepNext/>
              <w:spacing w:before="75" w:after="30" w:line="288" w:lineRule="auto"/>
              <w:jc w:val="center"/>
              <w:rPr>
                <w:rFonts w:ascii="Arial" w:eastAsia="Arial" w:hAnsi="Arial" w:cs="Arial"/>
                <w:b/>
                <w:sz w:val="14"/>
              </w:rPr>
            </w:pPr>
            <w:r>
              <w:rPr>
                <w:rFonts w:ascii="Arial" w:eastAsia="Arial" w:hAnsi="Arial" w:cs="Arial"/>
                <w:b/>
                <w:sz w:val="14"/>
              </w:rPr>
              <w:t xml:space="preserve">Total Number of Shares Purchased as Part of Publicly Announced Plans or Programs </w:t>
            </w:r>
            <w:r>
              <w:rPr>
                <w:rFonts w:ascii="Arial" w:eastAsia="Arial" w:hAnsi="Arial" w:cs="Arial"/>
                <w:b/>
                <w:sz w:val="14"/>
                <w:vertAlign w:val="superscript"/>
              </w:rPr>
              <w:t>(2)</w:t>
            </w:r>
          </w:p>
        </w:tc>
        <w:tc>
          <w:tcPr>
            <w:tcW w:w="105" w:type="dxa"/>
            <w:tcBorders>
              <w:top w:val="nil"/>
              <w:left w:val="nil"/>
              <w:bottom w:val="single" w:sz="8" w:space="0" w:color="C7C9C7"/>
              <w:right w:val="nil"/>
            </w:tcBorders>
            <w:tcMar>
              <w:top w:w="0" w:type="dxa"/>
              <w:left w:w="0" w:type="dxa"/>
              <w:bottom w:w="0" w:type="dxa"/>
              <w:right w:w="0" w:type="dxa"/>
            </w:tcMar>
            <w:vAlign w:val="bottom"/>
          </w:tcPr>
          <w:p w14:paraId="7E9F7654" w14:textId="77777777" w:rsidR="001614AC" w:rsidRDefault="001614AC">
            <w:pPr>
              <w:keepNext/>
            </w:pPr>
          </w:p>
        </w:tc>
        <w:tc>
          <w:tcPr>
            <w:tcW w:w="1605" w:type="dxa"/>
            <w:gridSpan w:val="3"/>
            <w:tcBorders>
              <w:top w:val="nil"/>
              <w:left w:val="nil"/>
              <w:bottom w:val="single" w:sz="8" w:space="0" w:color="C7C9C7"/>
              <w:right w:val="nil"/>
            </w:tcBorders>
            <w:shd w:val="clear" w:color="auto" w:fill="F4F4F4"/>
            <w:tcMar>
              <w:top w:w="0" w:type="dxa"/>
              <w:left w:w="53" w:type="dxa"/>
              <w:bottom w:w="0" w:type="dxa"/>
              <w:right w:w="53" w:type="dxa"/>
            </w:tcMar>
            <w:vAlign w:val="bottom"/>
          </w:tcPr>
          <w:p w14:paraId="468B80C8" w14:textId="77777777" w:rsidR="001614AC" w:rsidRDefault="004468F9">
            <w:pPr>
              <w:keepNext/>
              <w:spacing w:before="75" w:after="30" w:line="288" w:lineRule="auto"/>
              <w:jc w:val="center"/>
              <w:rPr>
                <w:rFonts w:ascii="Arial" w:eastAsia="Arial" w:hAnsi="Arial" w:cs="Arial"/>
                <w:b/>
                <w:sz w:val="14"/>
              </w:rPr>
            </w:pPr>
            <w:r>
              <w:rPr>
                <w:rFonts w:ascii="Arial" w:eastAsia="Arial" w:hAnsi="Arial" w:cs="Arial"/>
                <w:b/>
                <w:sz w:val="14"/>
              </w:rPr>
              <w:t>Approximate Dollar Value of Shares That May Yet Be Purchased Under the Plans or Programs</w:t>
            </w:r>
            <w:r>
              <w:rPr>
                <w:rFonts w:ascii="Arial" w:eastAsia="Arial" w:hAnsi="Arial" w:cs="Arial"/>
                <w:b/>
                <w:sz w:val="14"/>
                <w:vertAlign w:val="superscript"/>
              </w:rPr>
              <w:t xml:space="preserve"> (2)</w:t>
            </w:r>
          </w:p>
        </w:tc>
      </w:tr>
      <w:tr w:rsidR="001614AC" w14:paraId="6403099E" w14:textId="77777777">
        <w:trPr>
          <w:cantSplit/>
        </w:trPr>
        <w:tc>
          <w:tcPr>
            <w:tcW w:w="3240" w:type="dxa"/>
            <w:tcBorders>
              <w:top w:val="single" w:sz="8" w:space="0" w:color="C7C9C7"/>
              <w:left w:val="nil"/>
              <w:bottom w:val="single" w:sz="8" w:space="0" w:color="E9E9E9"/>
              <w:right w:val="nil"/>
            </w:tcBorders>
            <w:tcMar>
              <w:top w:w="0" w:type="dxa"/>
              <w:left w:w="53" w:type="dxa"/>
              <w:bottom w:w="0" w:type="dxa"/>
              <w:right w:w="53" w:type="dxa"/>
            </w:tcMar>
            <w:vAlign w:val="bottom"/>
          </w:tcPr>
          <w:p w14:paraId="360FA1BE" w14:textId="77777777" w:rsidR="001614AC" w:rsidRDefault="004468F9">
            <w:pPr>
              <w:keepNext/>
              <w:spacing w:before="55" w:after="30" w:line="288" w:lineRule="auto"/>
            </w:pPr>
            <w:r>
              <w:rPr>
                <w:rFonts w:ascii="Arial" w:eastAsia="Arial" w:hAnsi="Arial" w:cs="Arial"/>
                <w:color w:val="000000"/>
                <w:sz w:val="18"/>
              </w:rPr>
              <w:t>Period:</w:t>
            </w:r>
          </w:p>
        </w:tc>
        <w:tc>
          <w:tcPr>
            <w:tcW w:w="105" w:type="dxa"/>
            <w:tcBorders>
              <w:top w:val="single" w:sz="8" w:space="0" w:color="C7C9C7"/>
              <w:left w:val="nil"/>
              <w:bottom w:val="nil"/>
              <w:right w:val="nil"/>
            </w:tcBorders>
            <w:tcMar>
              <w:top w:w="0" w:type="dxa"/>
              <w:left w:w="0" w:type="dxa"/>
              <w:bottom w:w="0" w:type="dxa"/>
              <w:right w:w="0" w:type="dxa"/>
            </w:tcMar>
            <w:vAlign w:val="bottom"/>
          </w:tcPr>
          <w:p w14:paraId="10BCB3FE" w14:textId="77777777" w:rsidR="001614AC" w:rsidRDefault="001614AC">
            <w:pPr>
              <w:keepNext/>
            </w:pPr>
          </w:p>
        </w:tc>
        <w:tc>
          <w:tcPr>
            <w:tcW w:w="1605" w:type="dxa"/>
            <w:gridSpan w:val="2"/>
            <w:tcBorders>
              <w:top w:val="single" w:sz="8" w:space="0" w:color="C7C9C7"/>
              <w:left w:val="nil"/>
              <w:bottom w:val="single" w:sz="8" w:space="0" w:color="E9E9E9"/>
              <w:right w:val="nil"/>
            </w:tcBorders>
            <w:tcMar>
              <w:top w:w="0" w:type="dxa"/>
              <w:left w:w="0" w:type="dxa"/>
              <w:bottom w:w="0" w:type="dxa"/>
              <w:right w:w="0" w:type="dxa"/>
            </w:tcMar>
            <w:vAlign w:val="bottom"/>
          </w:tcPr>
          <w:p w14:paraId="3251D311" w14:textId="77777777" w:rsidR="001614AC" w:rsidRDefault="001614AC">
            <w:pPr>
              <w:keepNext/>
            </w:pPr>
          </w:p>
        </w:tc>
        <w:tc>
          <w:tcPr>
            <w:tcW w:w="105" w:type="dxa"/>
            <w:tcBorders>
              <w:top w:val="single" w:sz="8" w:space="0" w:color="C7C9C7"/>
              <w:left w:val="nil"/>
              <w:bottom w:val="nil"/>
              <w:right w:val="nil"/>
            </w:tcBorders>
            <w:tcMar>
              <w:top w:w="0" w:type="dxa"/>
              <w:left w:w="0" w:type="dxa"/>
              <w:bottom w:w="0" w:type="dxa"/>
              <w:right w:w="0" w:type="dxa"/>
            </w:tcMar>
            <w:vAlign w:val="bottom"/>
          </w:tcPr>
          <w:p w14:paraId="081B0B12" w14:textId="77777777" w:rsidR="001614AC" w:rsidRDefault="001614AC">
            <w:pPr>
              <w:keepNext/>
            </w:pPr>
          </w:p>
        </w:tc>
        <w:tc>
          <w:tcPr>
            <w:tcW w:w="1605" w:type="dxa"/>
            <w:gridSpan w:val="3"/>
            <w:tcBorders>
              <w:top w:val="single" w:sz="8" w:space="0" w:color="C7C9C7"/>
              <w:left w:val="nil"/>
              <w:bottom w:val="single" w:sz="8" w:space="0" w:color="E9E9E9"/>
              <w:right w:val="nil"/>
            </w:tcBorders>
            <w:tcMar>
              <w:top w:w="0" w:type="dxa"/>
              <w:left w:w="0" w:type="dxa"/>
              <w:bottom w:w="0" w:type="dxa"/>
              <w:right w:w="0" w:type="dxa"/>
            </w:tcMar>
            <w:vAlign w:val="bottom"/>
          </w:tcPr>
          <w:p w14:paraId="1084677E" w14:textId="77777777" w:rsidR="001614AC" w:rsidRDefault="001614AC">
            <w:pPr>
              <w:keepNext/>
            </w:pPr>
          </w:p>
        </w:tc>
        <w:tc>
          <w:tcPr>
            <w:tcW w:w="105" w:type="dxa"/>
            <w:tcBorders>
              <w:top w:val="single" w:sz="8" w:space="0" w:color="C7C9C7"/>
              <w:left w:val="nil"/>
              <w:bottom w:val="nil"/>
              <w:right w:val="nil"/>
            </w:tcBorders>
            <w:tcMar>
              <w:top w:w="0" w:type="dxa"/>
              <w:left w:w="0" w:type="dxa"/>
              <w:bottom w:w="0" w:type="dxa"/>
              <w:right w:w="0" w:type="dxa"/>
            </w:tcMar>
            <w:vAlign w:val="bottom"/>
          </w:tcPr>
          <w:p w14:paraId="4282F7DB" w14:textId="77777777" w:rsidR="001614AC" w:rsidRDefault="001614AC">
            <w:pPr>
              <w:keepNext/>
            </w:pPr>
          </w:p>
        </w:tc>
        <w:tc>
          <w:tcPr>
            <w:tcW w:w="1605" w:type="dxa"/>
            <w:gridSpan w:val="2"/>
            <w:tcBorders>
              <w:top w:val="single" w:sz="8" w:space="0" w:color="C7C9C7"/>
              <w:left w:val="nil"/>
              <w:bottom w:val="single" w:sz="8" w:space="0" w:color="E9E9E9"/>
              <w:right w:val="nil"/>
            </w:tcBorders>
            <w:tcMar>
              <w:top w:w="0" w:type="dxa"/>
              <w:left w:w="0" w:type="dxa"/>
              <w:bottom w:w="0" w:type="dxa"/>
              <w:right w:w="0" w:type="dxa"/>
            </w:tcMar>
            <w:vAlign w:val="bottom"/>
          </w:tcPr>
          <w:p w14:paraId="356B7768" w14:textId="77777777" w:rsidR="001614AC" w:rsidRDefault="001614AC">
            <w:pPr>
              <w:keepNext/>
            </w:pPr>
          </w:p>
        </w:tc>
        <w:tc>
          <w:tcPr>
            <w:tcW w:w="105" w:type="dxa"/>
            <w:tcBorders>
              <w:top w:val="single" w:sz="8" w:space="0" w:color="C7C9C7"/>
              <w:left w:val="nil"/>
              <w:bottom w:val="nil"/>
              <w:right w:val="nil"/>
            </w:tcBorders>
            <w:tcMar>
              <w:top w:w="0" w:type="dxa"/>
              <w:left w:w="0" w:type="dxa"/>
              <w:bottom w:w="0" w:type="dxa"/>
              <w:right w:w="0" w:type="dxa"/>
            </w:tcMar>
            <w:vAlign w:val="bottom"/>
          </w:tcPr>
          <w:p w14:paraId="76D0AB5E" w14:textId="77777777" w:rsidR="001614AC" w:rsidRDefault="001614AC">
            <w:pPr>
              <w:keepNext/>
            </w:pPr>
          </w:p>
        </w:tc>
        <w:tc>
          <w:tcPr>
            <w:tcW w:w="1605" w:type="dxa"/>
            <w:gridSpan w:val="3"/>
            <w:tcBorders>
              <w:top w:val="single" w:sz="8" w:space="0" w:color="C7C9C7"/>
              <w:left w:val="nil"/>
              <w:bottom w:val="single" w:sz="8" w:space="0" w:color="E9E9E9"/>
              <w:right w:val="nil"/>
            </w:tcBorders>
            <w:tcMar>
              <w:top w:w="0" w:type="dxa"/>
              <w:left w:w="0" w:type="dxa"/>
              <w:bottom w:w="0" w:type="dxa"/>
              <w:right w:w="0" w:type="dxa"/>
            </w:tcMar>
            <w:vAlign w:val="bottom"/>
          </w:tcPr>
          <w:p w14:paraId="3E4B2624" w14:textId="77777777" w:rsidR="001614AC" w:rsidRDefault="001614AC">
            <w:pPr>
              <w:keepNext/>
            </w:pPr>
          </w:p>
        </w:tc>
      </w:tr>
      <w:tr w:rsidR="001614AC" w14:paraId="77AC9D4B" w14:textId="77777777">
        <w:trPr>
          <w:cantSplit/>
        </w:trPr>
        <w:tc>
          <w:tcPr>
            <w:tcW w:w="3240" w:type="dxa"/>
            <w:tcBorders>
              <w:top w:val="single" w:sz="8" w:space="0" w:color="E9E9E9"/>
              <w:left w:val="nil"/>
              <w:bottom w:val="single" w:sz="8" w:space="0" w:color="E9E9E9"/>
              <w:right w:val="nil"/>
            </w:tcBorders>
            <w:tcMar>
              <w:top w:w="0" w:type="dxa"/>
              <w:left w:w="53" w:type="dxa"/>
              <w:bottom w:w="0" w:type="dxa"/>
              <w:right w:w="53" w:type="dxa"/>
            </w:tcMar>
            <w:vAlign w:val="bottom"/>
          </w:tcPr>
          <w:p w14:paraId="6394EABB" w14:textId="77777777" w:rsidR="001614AC" w:rsidRDefault="004468F9">
            <w:pPr>
              <w:keepNext/>
              <w:spacing w:before="55" w:after="30" w:line="288" w:lineRule="auto"/>
              <w:ind w:left="240"/>
            </w:pPr>
            <w:r>
              <w:rPr>
                <w:rFonts w:ascii="Arial" w:eastAsia="Arial" w:hAnsi="Arial" w:cs="Arial"/>
                <w:color w:val="000000"/>
                <w:sz w:val="18"/>
              </w:rPr>
              <w:t>4/1/2021 to 4/30/2021</w:t>
            </w:r>
          </w:p>
        </w:tc>
        <w:tc>
          <w:tcPr>
            <w:tcW w:w="105" w:type="dxa"/>
            <w:tcBorders>
              <w:top w:val="nil"/>
              <w:left w:val="nil"/>
              <w:bottom w:val="nil"/>
              <w:right w:val="nil"/>
            </w:tcBorders>
            <w:tcMar>
              <w:top w:w="0" w:type="dxa"/>
              <w:left w:w="0" w:type="dxa"/>
              <w:bottom w:w="0" w:type="dxa"/>
              <w:right w:w="0" w:type="dxa"/>
            </w:tcMar>
            <w:vAlign w:val="bottom"/>
          </w:tcPr>
          <w:p w14:paraId="62FDFD32" w14:textId="77777777" w:rsidR="001614AC" w:rsidRDefault="001614AC">
            <w:pPr>
              <w:keepNext/>
            </w:pPr>
          </w:p>
        </w:tc>
        <w:tc>
          <w:tcPr>
            <w:tcW w:w="1505" w:type="dxa"/>
            <w:tcBorders>
              <w:top w:val="single" w:sz="8" w:space="0" w:color="E9E9E9"/>
              <w:left w:val="nil"/>
              <w:bottom w:val="single" w:sz="8" w:space="0" w:color="E9E9E9"/>
              <w:right w:val="nil"/>
            </w:tcBorders>
            <w:tcMar>
              <w:top w:w="0" w:type="dxa"/>
              <w:left w:w="53" w:type="dxa"/>
              <w:bottom w:w="0" w:type="dxa"/>
              <w:right w:w="0" w:type="dxa"/>
            </w:tcMar>
            <w:vAlign w:val="bottom"/>
          </w:tcPr>
          <w:p w14:paraId="44E74B45" w14:textId="77777777" w:rsidR="001614AC" w:rsidRDefault="004468F9">
            <w:pPr>
              <w:keepNext/>
              <w:spacing w:before="55" w:after="30" w:line="288" w:lineRule="auto"/>
              <w:jc w:val="right"/>
            </w:pPr>
            <w:r>
              <w:rPr>
                <w:rFonts w:ascii="Arial" w:eastAsia="Arial" w:hAnsi="Arial" w:cs="Arial"/>
                <w:color w:val="000000"/>
                <w:sz w:val="18"/>
              </w:rPr>
              <w:t>—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783F6350" w14:textId="77777777" w:rsidR="001614AC" w:rsidRDefault="001614AC">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32D1FEAE" w14:textId="77777777" w:rsidR="001614AC" w:rsidRDefault="001614AC">
            <w:pPr>
              <w:keepNext/>
            </w:pPr>
          </w:p>
        </w:tc>
        <w:tc>
          <w:tcPr>
            <w:tcW w:w="160" w:type="dxa"/>
            <w:tcBorders>
              <w:top w:val="single" w:sz="8" w:space="0" w:color="E9E9E9"/>
              <w:left w:val="nil"/>
              <w:bottom w:val="single" w:sz="8" w:space="0" w:color="E9E9E9"/>
              <w:right w:val="nil"/>
            </w:tcBorders>
            <w:tcMar>
              <w:top w:w="0" w:type="dxa"/>
              <w:left w:w="53" w:type="dxa"/>
              <w:bottom w:w="0" w:type="dxa"/>
              <w:right w:w="0" w:type="dxa"/>
            </w:tcMar>
            <w:vAlign w:val="bottom"/>
          </w:tcPr>
          <w:p w14:paraId="3D24348D" w14:textId="77777777" w:rsidR="001614AC" w:rsidRDefault="004468F9">
            <w:pPr>
              <w:keepNext/>
              <w:spacing w:before="55" w:after="30" w:line="288" w:lineRule="auto"/>
            </w:pPr>
            <w:r>
              <w:rPr>
                <w:rFonts w:ascii="Arial" w:eastAsia="Arial" w:hAnsi="Arial" w:cs="Arial"/>
                <w:color w:val="000000"/>
                <w:sz w:val="18"/>
              </w:rPr>
              <w:t>$</w:t>
            </w:r>
          </w:p>
        </w:tc>
        <w:tc>
          <w:tcPr>
            <w:tcW w:w="1345" w:type="dxa"/>
            <w:tcBorders>
              <w:top w:val="single" w:sz="8" w:space="0" w:color="E9E9E9"/>
              <w:left w:val="nil"/>
              <w:bottom w:val="single" w:sz="8" w:space="0" w:color="E9E9E9"/>
              <w:right w:val="nil"/>
            </w:tcBorders>
            <w:tcMar>
              <w:top w:w="0" w:type="dxa"/>
              <w:left w:w="0" w:type="dxa"/>
              <w:bottom w:w="0" w:type="dxa"/>
              <w:right w:w="0" w:type="dxa"/>
            </w:tcMar>
            <w:vAlign w:val="bottom"/>
          </w:tcPr>
          <w:p w14:paraId="3100C8CF" w14:textId="77777777" w:rsidR="001614AC" w:rsidRDefault="004468F9">
            <w:pPr>
              <w:keepNext/>
              <w:spacing w:before="55" w:after="30" w:line="288" w:lineRule="auto"/>
              <w:jc w:val="right"/>
            </w:pPr>
            <w:r>
              <w:rPr>
                <w:rFonts w:ascii="Arial" w:eastAsia="Arial" w:hAnsi="Arial" w:cs="Arial"/>
                <w:color w:val="000000"/>
                <w:sz w:val="18"/>
              </w:rPr>
              <w:t>—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062480E6" w14:textId="77777777" w:rsidR="001614AC" w:rsidRDefault="001614AC">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4171A6E9" w14:textId="77777777" w:rsidR="001614AC" w:rsidRDefault="001614AC">
            <w:pPr>
              <w:keepNext/>
            </w:pPr>
          </w:p>
        </w:tc>
        <w:tc>
          <w:tcPr>
            <w:tcW w:w="1505" w:type="dxa"/>
            <w:tcBorders>
              <w:top w:val="single" w:sz="8" w:space="0" w:color="E9E9E9"/>
              <w:left w:val="nil"/>
              <w:bottom w:val="single" w:sz="8" w:space="0" w:color="E9E9E9"/>
              <w:right w:val="nil"/>
            </w:tcBorders>
            <w:tcMar>
              <w:top w:w="0" w:type="dxa"/>
              <w:left w:w="53" w:type="dxa"/>
              <w:bottom w:w="0" w:type="dxa"/>
              <w:right w:w="0" w:type="dxa"/>
            </w:tcMar>
            <w:vAlign w:val="bottom"/>
          </w:tcPr>
          <w:p w14:paraId="401D0AB1" w14:textId="77777777" w:rsidR="001614AC" w:rsidRDefault="004468F9">
            <w:pPr>
              <w:keepNext/>
              <w:spacing w:before="55" w:after="30" w:line="288" w:lineRule="auto"/>
              <w:jc w:val="right"/>
            </w:pPr>
            <w:r>
              <w:rPr>
                <w:rFonts w:ascii="Arial" w:eastAsia="Arial" w:hAnsi="Arial" w:cs="Arial"/>
                <w:color w:val="000000"/>
                <w:sz w:val="18"/>
              </w:rPr>
              <w:t>—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352FFE2B" w14:textId="77777777" w:rsidR="001614AC" w:rsidRDefault="001614AC">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0D36979C" w14:textId="77777777" w:rsidR="001614AC" w:rsidRDefault="001614AC">
            <w:pPr>
              <w:keepNext/>
            </w:pPr>
          </w:p>
        </w:tc>
        <w:tc>
          <w:tcPr>
            <w:tcW w:w="160" w:type="dxa"/>
            <w:tcBorders>
              <w:top w:val="single" w:sz="8" w:space="0" w:color="E9E9E9"/>
              <w:left w:val="nil"/>
              <w:bottom w:val="single" w:sz="8" w:space="0" w:color="E9E9E9"/>
              <w:right w:val="nil"/>
            </w:tcBorders>
            <w:tcMar>
              <w:top w:w="0" w:type="dxa"/>
              <w:left w:w="53" w:type="dxa"/>
              <w:bottom w:w="0" w:type="dxa"/>
              <w:right w:w="0" w:type="dxa"/>
            </w:tcMar>
            <w:vAlign w:val="bottom"/>
          </w:tcPr>
          <w:p w14:paraId="0262E2F0" w14:textId="77777777" w:rsidR="001614AC" w:rsidRDefault="004468F9">
            <w:pPr>
              <w:keepNext/>
              <w:spacing w:before="55" w:after="30" w:line="288" w:lineRule="auto"/>
            </w:pPr>
            <w:r>
              <w:rPr>
                <w:rFonts w:ascii="Arial" w:eastAsia="Arial" w:hAnsi="Arial" w:cs="Arial"/>
                <w:color w:val="000000"/>
                <w:sz w:val="18"/>
              </w:rPr>
              <w:t>$</w:t>
            </w:r>
          </w:p>
        </w:tc>
        <w:tc>
          <w:tcPr>
            <w:tcW w:w="1345" w:type="dxa"/>
            <w:tcBorders>
              <w:top w:val="single" w:sz="8" w:space="0" w:color="E9E9E9"/>
              <w:left w:val="nil"/>
              <w:bottom w:val="single" w:sz="8" w:space="0" w:color="E9E9E9"/>
              <w:right w:val="nil"/>
            </w:tcBorders>
            <w:tcMar>
              <w:top w:w="0" w:type="dxa"/>
              <w:left w:w="0" w:type="dxa"/>
              <w:bottom w:w="0" w:type="dxa"/>
              <w:right w:w="0" w:type="dxa"/>
            </w:tcMar>
            <w:vAlign w:val="bottom"/>
          </w:tcPr>
          <w:p w14:paraId="26A8CB8F" w14:textId="77777777" w:rsidR="001614AC" w:rsidRDefault="004468F9">
            <w:pPr>
              <w:keepNext/>
              <w:spacing w:before="55" w:after="30" w:line="288" w:lineRule="auto"/>
              <w:jc w:val="right"/>
            </w:pPr>
            <w:r>
              <w:rPr>
                <w:rFonts w:ascii="Arial" w:eastAsia="Arial" w:hAnsi="Arial" w:cs="Arial"/>
                <w:color w:val="000000"/>
                <w:sz w:val="18"/>
              </w:rPr>
              <w:t>190,229 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3495F389" w14:textId="77777777" w:rsidR="001614AC" w:rsidRDefault="001614AC">
            <w:pPr>
              <w:keepNext/>
              <w:spacing w:before="55" w:after="30" w:line="288" w:lineRule="auto"/>
              <w:jc w:val="right"/>
            </w:pPr>
          </w:p>
        </w:tc>
      </w:tr>
      <w:tr w:rsidR="001614AC" w14:paraId="42C9324B" w14:textId="77777777">
        <w:trPr>
          <w:cantSplit/>
        </w:trPr>
        <w:tc>
          <w:tcPr>
            <w:tcW w:w="3240" w:type="dxa"/>
            <w:tcBorders>
              <w:top w:val="single" w:sz="8" w:space="0" w:color="E9E9E9"/>
              <w:left w:val="nil"/>
              <w:bottom w:val="single" w:sz="8" w:space="0" w:color="E9E9E9"/>
              <w:right w:val="nil"/>
            </w:tcBorders>
            <w:tcMar>
              <w:top w:w="0" w:type="dxa"/>
              <w:left w:w="53" w:type="dxa"/>
              <w:bottom w:w="0" w:type="dxa"/>
              <w:right w:w="53" w:type="dxa"/>
            </w:tcMar>
            <w:vAlign w:val="bottom"/>
          </w:tcPr>
          <w:p w14:paraId="341B2DDF" w14:textId="77777777" w:rsidR="001614AC" w:rsidRDefault="004468F9">
            <w:pPr>
              <w:keepNext/>
              <w:spacing w:before="55" w:after="30" w:line="288" w:lineRule="auto"/>
              <w:ind w:left="240"/>
            </w:pPr>
            <w:r>
              <w:rPr>
                <w:rFonts w:ascii="Arial" w:eastAsia="Arial" w:hAnsi="Arial" w:cs="Arial"/>
                <w:color w:val="000000"/>
                <w:sz w:val="18"/>
              </w:rPr>
              <w:t>5/1/2021 to 5/31/2021</w:t>
            </w:r>
          </w:p>
        </w:tc>
        <w:tc>
          <w:tcPr>
            <w:tcW w:w="105" w:type="dxa"/>
            <w:tcBorders>
              <w:top w:val="nil"/>
              <w:left w:val="nil"/>
              <w:bottom w:val="nil"/>
              <w:right w:val="nil"/>
            </w:tcBorders>
            <w:tcMar>
              <w:top w:w="0" w:type="dxa"/>
              <w:left w:w="0" w:type="dxa"/>
              <w:bottom w:w="0" w:type="dxa"/>
              <w:right w:w="0" w:type="dxa"/>
            </w:tcMar>
            <w:vAlign w:val="bottom"/>
          </w:tcPr>
          <w:p w14:paraId="11BBA5F2" w14:textId="77777777" w:rsidR="001614AC" w:rsidRDefault="001614AC">
            <w:pPr>
              <w:keepNext/>
            </w:pPr>
          </w:p>
        </w:tc>
        <w:tc>
          <w:tcPr>
            <w:tcW w:w="1505" w:type="dxa"/>
            <w:tcBorders>
              <w:top w:val="single" w:sz="8" w:space="0" w:color="E9E9E9"/>
              <w:left w:val="nil"/>
              <w:bottom w:val="single" w:sz="8" w:space="0" w:color="E9E9E9"/>
              <w:right w:val="nil"/>
            </w:tcBorders>
            <w:tcMar>
              <w:top w:w="0" w:type="dxa"/>
              <w:left w:w="53" w:type="dxa"/>
              <w:bottom w:w="0" w:type="dxa"/>
              <w:right w:w="0" w:type="dxa"/>
            </w:tcMar>
            <w:vAlign w:val="bottom"/>
          </w:tcPr>
          <w:p w14:paraId="66D9F7E6" w14:textId="77777777" w:rsidR="001614AC" w:rsidRDefault="004468F9">
            <w:pPr>
              <w:keepNext/>
              <w:spacing w:before="55" w:after="30" w:line="288" w:lineRule="auto"/>
              <w:jc w:val="right"/>
            </w:pPr>
            <w:r>
              <w:rPr>
                <w:rFonts w:ascii="Arial" w:eastAsia="Arial" w:hAnsi="Arial" w:cs="Arial"/>
                <w:color w:val="000000"/>
                <w:sz w:val="18"/>
              </w:rPr>
              <w:t>422,920 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53081B3B" w14:textId="77777777" w:rsidR="001614AC" w:rsidRDefault="001614AC">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790976C1" w14:textId="77777777" w:rsidR="001614AC" w:rsidRDefault="001614AC">
            <w:pPr>
              <w:keepNext/>
            </w:pPr>
          </w:p>
        </w:tc>
        <w:tc>
          <w:tcPr>
            <w:tcW w:w="150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7B1DBF86" w14:textId="77777777" w:rsidR="001614AC" w:rsidRDefault="004468F9">
            <w:pPr>
              <w:keepNext/>
              <w:spacing w:before="55" w:after="30" w:line="288" w:lineRule="auto"/>
              <w:jc w:val="right"/>
            </w:pPr>
            <w:r>
              <w:rPr>
                <w:rFonts w:ascii="Arial" w:eastAsia="Arial" w:hAnsi="Arial" w:cs="Arial"/>
                <w:color w:val="000000"/>
                <w:sz w:val="18"/>
              </w:rPr>
              <w:t>23.21 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3F4969CC" w14:textId="77777777" w:rsidR="001614AC" w:rsidRDefault="001614AC">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7E6C8328" w14:textId="77777777" w:rsidR="001614AC" w:rsidRDefault="001614AC">
            <w:pPr>
              <w:keepNext/>
            </w:pPr>
          </w:p>
        </w:tc>
        <w:tc>
          <w:tcPr>
            <w:tcW w:w="1505" w:type="dxa"/>
            <w:tcBorders>
              <w:top w:val="single" w:sz="8" w:space="0" w:color="E9E9E9"/>
              <w:left w:val="nil"/>
              <w:bottom w:val="single" w:sz="8" w:space="0" w:color="E9E9E9"/>
              <w:right w:val="nil"/>
            </w:tcBorders>
            <w:tcMar>
              <w:top w:w="0" w:type="dxa"/>
              <w:left w:w="53" w:type="dxa"/>
              <w:bottom w:w="0" w:type="dxa"/>
              <w:right w:w="0" w:type="dxa"/>
            </w:tcMar>
            <w:vAlign w:val="bottom"/>
          </w:tcPr>
          <w:p w14:paraId="23F0A3BF" w14:textId="77777777" w:rsidR="001614AC" w:rsidRDefault="004468F9">
            <w:pPr>
              <w:keepNext/>
              <w:spacing w:before="55" w:after="30" w:line="288" w:lineRule="auto"/>
              <w:jc w:val="right"/>
            </w:pPr>
            <w:r>
              <w:rPr>
                <w:rFonts w:ascii="Arial" w:eastAsia="Arial" w:hAnsi="Arial" w:cs="Arial"/>
                <w:color w:val="000000"/>
                <w:sz w:val="18"/>
              </w:rPr>
              <w:t>—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61C6A6EF" w14:textId="77777777" w:rsidR="001614AC" w:rsidRDefault="001614AC">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1CFF02C8" w14:textId="77777777" w:rsidR="001614AC" w:rsidRDefault="001614AC">
            <w:pPr>
              <w:keepNext/>
            </w:pPr>
          </w:p>
        </w:tc>
        <w:tc>
          <w:tcPr>
            <w:tcW w:w="1505" w:type="dxa"/>
            <w:gridSpan w:val="2"/>
            <w:tcBorders>
              <w:top w:val="single" w:sz="8" w:space="0" w:color="E9E9E9"/>
              <w:left w:val="nil"/>
              <w:bottom w:val="single" w:sz="8" w:space="0" w:color="E9E9E9"/>
              <w:right w:val="nil"/>
            </w:tcBorders>
            <w:tcMar>
              <w:top w:w="0" w:type="dxa"/>
              <w:left w:w="53" w:type="dxa"/>
              <w:bottom w:w="0" w:type="dxa"/>
              <w:right w:w="0" w:type="dxa"/>
            </w:tcMar>
            <w:vAlign w:val="bottom"/>
          </w:tcPr>
          <w:p w14:paraId="7E1A71F8" w14:textId="77777777" w:rsidR="001614AC" w:rsidRDefault="004468F9">
            <w:pPr>
              <w:keepNext/>
              <w:spacing w:before="55" w:after="30" w:line="288" w:lineRule="auto"/>
              <w:jc w:val="right"/>
            </w:pPr>
            <w:r>
              <w:rPr>
                <w:rFonts w:ascii="Arial" w:eastAsia="Arial" w:hAnsi="Arial" w:cs="Arial"/>
                <w:color w:val="000000"/>
                <w:sz w:val="18"/>
              </w:rPr>
              <w:t>190,229 </w:t>
            </w:r>
          </w:p>
        </w:tc>
        <w:tc>
          <w:tcPr>
            <w:tcW w:w="100" w:type="dxa"/>
            <w:tcBorders>
              <w:top w:val="single" w:sz="8" w:space="0" w:color="E9E9E9"/>
              <w:left w:val="nil"/>
              <w:bottom w:val="single" w:sz="8" w:space="0" w:color="E9E9E9"/>
              <w:right w:val="nil"/>
            </w:tcBorders>
            <w:tcMar>
              <w:top w:w="0" w:type="dxa"/>
              <w:left w:w="0" w:type="dxa"/>
              <w:bottom w:w="0" w:type="dxa"/>
              <w:right w:w="15" w:type="dxa"/>
            </w:tcMar>
            <w:vAlign w:val="bottom"/>
          </w:tcPr>
          <w:p w14:paraId="57932397" w14:textId="77777777" w:rsidR="001614AC" w:rsidRDefault="001614AC">
            <w:pPr>
              <w:keepNext/>
              <w:spacing w:before="55" w:after="30" w:line="288" w:lineRule="auto"/>
              <w:jc w:val="right"/>
            </w:pPr>
          </w:p>
        </w:tc>
      </w:tr>
      <w:tr w:rsidR="001614AC" w14:paraId="1EAB5093" w14:textId="77777777">
        <w:trPr>
          <w:cantSplit/>
        </w:trPr>
        <w:tc>
          <w:tcPr>
            <w:tcW w:w="3240" w:type="dxa"/>
            <w:tcBorders>
              <w:top w:val="single" w:sz="8" w:space="0" w:color="E9E9E9"/>
              <w:left w:val="nil"/>
              <w:bottom w:val="nil"/>
              <w:right w:val="nil"/>
            </w:tcBorders>
            <w:tcMar>
              <w:top w:w="0" w:type="dxa"/>
              <w:left w:w="53" w:type="dxa"/>
              <w:bottom w:w="0" w:type="dxa"/>
              <w:right w:w="53" w:type="dxa"/>
            </w:tcMar>
            <w:vAlign w:val="bottom"/>
          </w:tcPr>
          <w:p w14:paraId="3B9B4A4D" w14:textId="77777777" w:rsidR="001614AC" w:rsidRDefault="004468F9">
            <w:pPr>
              <w:keepNext/>
              <w:spacing w:before="55" w:after="30" w:line="288" w:lineRule="auto"/>
              <w:ind w:left="240"/>
            </w:pPr>
            <w:r>
              <w:rPr>
                <w:rFonts w:ascii="Arial" w:eastAsia="Arial" w:hAnsi="Arial" w:cs="Arial"/>
                <w:color w:val="000000"/>
                <w:sz w:val="18"/>
              </w:rPr>
              <w:t>6/1/2021 to 6/30/2021</w:t>
            </w:r>
          </w:p>
        </w:tc>
        <w:tc>
          <w:tcPr>
            <w:tcW w:w="105" w:type="dxa"/>
            <w:tcBorders>
              <w:top w:val="nil"/>
              <w:left w:val="nil"/>
              <w:bottom w:val="nil"/>
              <w:right w:val="nil"/>
            </w:tcBorders>
            <w:tcMar>
              <w:top w:w="0" w:type="dxa"/>
              <w:left w:w="0" w:type="dxa"/>
              <w:bottom w:w="0" w:type="dxa"/>
              <w:right w:w="0" w:type="dxa"/>
            </w:tcMar>
            <w:vAlign w:val="bottom"/>
          </w:tcPr>
          <w:p w14:paraId="4F7E4AC2" w14:textId="77777777" w:rsidR="001614AC" w:rsidRDefault="001614AC">
            <w:pPr>
              <w:keepNext/>
            </w:pPr>
          </w:p>
        </w:tc>
        <w:tc>
          <w:tcPr>
            <w:tcW w:w="1505" w:type="dxa"/>
            <w:tcBorders>
              <w:top w:val="single" w:sz="8" w:space="0" w:color="E9E9E9"/>
              <w:left w:val="nil"/>
              <w:bottom w:val="single" w:sz="8" w:space="0" w:color="C7C9C7"/>
              <w:right w:val="nil"/>
            </w:tcBorders>
            <w:tcMar>
              <w:top w:w="0" w:type="dxa"/>
              <w:left w:w="53" w:type="dxa"/>
              <w:bottom w:w="0" w:type="dxa"/>
              <w:right w:w="0" w:type="dxa"/>
            </w:tcMar>
            <w:vAlign w:val="bottom"/>
          </w:tcPr>
          <w:p w14:paraId="3B06C5B3" w14:textId="77777777" w:rsidR="001614AC" w:rsidRDefault="004468F9">
            <w:pPr>
              <w:keepNext/>
              <w:spacing w:before="55" w:after="30" w:line="288" w:lineRule="auto"/>
              <w:jc w:val="right"/>
            </w:pPr>
            <w:r>
              <w:rPr>
                <w:rFonts w:ascii="Arial" w:eastAsia="Arial" w:hAnsi="Arial" w:cs="Arial"/>
                <w:color w:val="000000"/>
                <w:sz w:val="18"/>
              </w:rPr>
              <w:t>3,895,099 </w:t>
            </w:r>
          </w:p>
        </w:tc>
        <w:tc>
          <w:tcPr>
            <w:tcW w:w="100" w:type="dxa"/>
            <w:tcBorders>
              <w:top w:val="single" w:sz="8" w:space="0" w:color="E9E9E9"/>
              <w:left w:val="nil"/>
              <w:bottom w:val="single" w:sz="8" w:space="0" w:color="C7C9C7"/>
              <w:right w:val="nil"/>
            </w:tcBorders>
            <w:tcMar>
              <w:top w:w="0" w:type="dxa"/>
              <w:left w:w="0" w:type="dxa"/>
              <w:bottom w:w="0" w:type="dxa"/>
              <w:right w:w="15" w:type="dxa"/>
            </w:tcMar>
            <w:vAlign w:val="bottom"/>
          </w:tcPr>
          <w:p w14:paraId="0DDB39F9" w14:textId="77777777" w:rsidR="001614AC" w:rsidRDefault="001614AC">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2E4BC60C" w14:textId="77777777" w:rsidR="001614AC" w:rsidRDefault="001614AC">
            <w:pPr>
              <w:keepNext/>
            </w:pPr>
          </w:p>
        </w:tc>
        <w:tc>
          <w:tcPr>
            <w:tcW w:w="1505" w:type="dxa"/>
            <w:gridSpan w:val="2"/>
            <w:tcBorders>
              <w:top w:val="single" w:sz="8" w:space="0" w:color="E9E9E9"/>
              <w:left w:val="nil"/>
              <w:bottom w:val="nil"/>
              <w:right w:val="nil"/>
            </w:tcBorders>
            <w:tcMar>
              <w:top w:w="0" w:type="dxa"/>
              <w:left w:w="53" w:type="dxa"/>
              <w:bottom w:w="0" w:type="dxa"/>
              <w:right w:w="0" w:type="dxa"/>
            </w:tcMar>
            <w:vAlign w:val="bottom"/>
          </w:tcPr>
          <w:p w14:paraId="2BF983DE" w14:textId="77777777" w:rsidR="001614AC" w:rsidRDefault="004468F9">
            <w:pPr>
              <w:keepNext/>
              <w:spacing w:before="55" w:after="30" w:line="288" w:lineRule="auto"/>
              <w:jc w:val="right"/>
            </w:pPr>
            <w:r>
              <w:rPr>
                <w:rFonts w:ascii="Arial" w:eastAsia="Arial" w:hAnsi="Arial" w:cs="Arial"/>
                <w:color w:val="000000"/>
                <w:sz w:val="18"/>
              </w:rPr>
              <w:t>23.14 </w:t>
            </w:r>
          </w:p>
        </w:tc>
        <w:tc>
          <w:tcPr>
            <w:tcW w:w="100" w:type="dxa"/>
            <w:tcBorders>
              <w:top w:val="single" w:sz="8" w:space="0" w:color="E9E9E9"/>
              <w:left w:val="nil"/>
              <w:bottom w:val="nil"/>
              <w:right w:val="nil"/>
            </w:tcBorders>
            <w:tcMar>
              <w:top w:w="0" w:type="dxa"/>
              <w:left w:w="0" w:type="dxa"/>
              <w:bottom w:w="0" w:type="dxa"/>
              <w:right w:w="15" w:type="dxa"/>
            </w:tcMar>
            <w:vAlign w:val="bottom"/>
          </w:tcPr>
          <w:p w14:paraId="1E449665" w14:textId="77777777" w:rsidR="001614AC" w:rsidRDefault="001614AC">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484A63C1" w14:textId="77777777" w:rsidR="001614AC" w:rsidRDefault="001614AC">
            <w:pPr>
              <w:keepNext/>
            </w:pPr>
          </w:p>
        </w:tc>
        <w:tc>
          <w:tcPr>
            <w:tcW w:w="1505" w:type="dxa"/>
            <w:tcBorders>
              <w:top w:val="single" w:sz="8" w:space="0" w:color="E9E9E9"/>
              <w:left w:val="nil"/>
              <w:bottom w:val="single" w:sz="8" w:space="0" w:color="C7C9C7"/>
              <w:right w:val="nil"/>
            </w:tcBorders>
            <w:tcMar>
              <w:top w:w="0" w:type="dxa"/>
              <w:left w:w="53" w:type="dxa"/>
              <w:bottom w:w="0" w:type="dxa"/>
              <w:right w:w="0" w:type="dxa"/>
            </w:tcMar>
            <w:vAlign w:val="bottom"/>
          </w:tcPr>
          <w:p w14:paraId="68E1AC64" w14:textId="77777777" w:rsidR="001614AC" w:rsidRDefault="004468F9">
            <w:pPr>
              <w:keepNext/>
              <w:spacing w:before="55" w:after="30" w:line="288" w:lineRule="auto"/>
              <w:jc w:val="right"/>
            </w:pPr>
            <w:r>
              <w:rPr>
                <w:rFonts w:ascii="Arial" w:eastAsia="Arial" w:hAnsi="Arial" w:cs="Arial"/>
                <w:color w:val="000000"/>
                <w:sz w:val="18"/>
              </w:rPr>
              <w:t>3,892,456 </w:t>
            </w:r>
          </w:p>
        </w:tc>
        <w:tc>
          <w:tcPr>
            <w:tcW w:w="100" w:type="dxa"/>
            <w:tcBorders>
              <w:top w:val="single" w:sz="8" w:space="0" w:color="E9E9E9"/>
              <w:left w:val="nil"/>
              <w:bottom w:val="single" w:sz="8" w:space="0" w:color="C7C9C7"/>
              <w:right w:val="nil"/>
            </w:tcBorders>
            <w:tcMar>
              <w:top w:w="0" w:type="dxa"/>
              <w:left w:w="0" w:type="dxa"/>
              <w:bottom w:w="0" w:type="dxa"/>
              <w:right w:w="15" w:type="dxa"/>
            </w:tcMar>
            <w:vAlign w:val="bottom"/>
          </w:tcPr>
          <w:p w14:paraId="349F6AE5" w14:textId="77777777" w:rsidR="001614AC" w:rsidRDefault="001614AC">
            <w:pPr>
              <w:keepNext/>
              <w:spacing w:before="55" w:after="30" w:line="288" w:lineRule="auto"/>
              <w:jc w:val="right"/>
            </w:pPr>
          </w:p>
        </w:tc>
        <w:tc>
          <w:tcPr>
            <w:tcW w:w="105" w:type="dxa"/>
            <w:tcBorders>
              <w:top w:val="nil"/>
              <w:left w:val="nil"/>
              <w:bottom w:val="nil"/>
              <w:right w:val="nil"/>
            </w:tcBorders>
            <w:tcMar>
              <w:top w:w="0" w:type="dxa"/>
              <w:left w:w="0" w:type="dxa"/>
              <w:bottom w:w="0" w:type="dxa"/>
              <w:right w:w="0" w:type="dxa"/>
            </w:tcMar>
            <w:vAlign w:val="bottom"/>
          </w:tcPr>
          <w:p w14:paraId="62D4A29D" w14:textId="77777777" w:rsidR="001614AC" w:rsidRDefault="001614AC">
            <w:pPr>
              <w:keepNext/>
            </w:pPr>
          </w:p>
        </w:tc>
        <w:tc>
          <w:tcPr>
            <w:tcW w:w="1505" w:type="dxa"/>
            <w:gridSpan w:val="2"/>
            <w:tcBorders>
              <w:top w:val="single" w:sz="8" w:space="0" w:color="E9E9E9"/>
              <w:left w:val="nil"/>
              <w:bottom w:val="nil"/>
              <w:right w:val="nil"/>
            </w:tcBorders>
            <w:tcMar>
              <w:top w:w="0" w:type="dxa"/>
              <w:left w:w="53" w:type="dxa"/>
              <w:bottom w:w="0" w:type="dxa"/>
              <w:right w:w="0" w:type="dxa"/>
            </w:tcMar>
            <w:vAlign w:val="bottom"/>
          </w:tcPr>
          <w:p w14:paraId="126F4F8F" w14:textId="77777777" w:rsidR="001614AC" w:rsidRDefault="004468F9">
            <w:pPr>
              <w:keepNext/>
              <w:spacing w:before="55" w:after="30" w:line="288" w:lineRule="auto"/>
              <w:jc w:val="right"/>
            </w:pPr>
            <w:r>
              <w:rPr>
                <w:rFonts w:ascii="Arial" w:eastAsia="Arial" w:hAnsi="Arial" w:cs="Arial"/>
                <w:color w:val="000000"/>
                <w:sz w:val="18"/>
              </w:rPr>
              <w:t>100,229 </w:t>
            </w:r>
          </w:p>
        </w:tc>
        <w:tc>
          <w:tcPr>
            <w:tcW w:w="100" w:type="dxa"/>
            <w:tcBorders>
              <w:top w:val="single" w:sz="8" w:space="0" w:color="E9E9E9"/>
              <w:left w:val="nil"/>
              <w:bottom w:val="nil"/>
              <w:right w:val="nil"/>
            </w:tcBorders>
            <w:tcMar>
              <w:top w:w="0" w:type="dxa"/>
              <w:left w:w="0" w:type="dxa"/>
              <w:bottom w:w="0" w:type="dxa"/>
              <w:right w:w="15" w:type="dxa"/>
            </w:tcMar>
            <w:vAlign w:val="bottom"/>
          </w:tcPr>
          <w:p w14:paraId="534BD15A" w14:textId="77777777" w:rsidR="001614AC" w:rsidRDefault="001614AC">
            <w:pPr>
              <w:keepNext/>
              <w:spacing w:before="55" w:after="30" w:line="288" w:lineRule="auto"/>
              <w:jc w:val="right"/>
            </w:pPr>
          </w:p>
        </w:tc>
      </w:tr>
      <w:tr w:rsidR="001614AC" w14:paraId="3556C4F4" w14:textId="77777777">
        <w:trPr>
          <w:cantSplit/>
        </w:trPr>
        <w:tc>
          <w:tcPr>
            <w:tcW w:w="3240" w:type="dxa"/>
            <w:tcBorders>
              <w:top w:val="nil"/>
              <w:left w:val="nil"/>
              <w:bottom w:val="nil"/>
              <w:right w:val="nil"/>
            </w:tcBorders>
            <w:shd w:val="clear" w:color="auto" w:fill="F4F4F4"/>
            <w:tcMar>
              <w:top w:w="0" w:type="dxa"/>
              <w:left w:w="53" w:type="dxa"/>
              <w:bottom w:w="0" w:type="dxa"/>
              <w:right w:w="53" w:type="dxa"/>
            </w:tcMar>
            <w:vAlign w:val="bottom"/>
          </w:tcPr>
          <w:p w14:paraId="2D3ED9F1" w14:textId="77777777" w:rsidR="001614AC" w:rsidRDefault="004468F9">
            <w:pPr>
              <w:spacing w:before="75" w:after="30" w:line="288" w:lineRule="auto"/>
              <w:ind w:left="240"/>
            </w:pPr>
            <w:r>
              <w:rPr>
                <w:rFonts w:ascii="Arial" w:eastAsia="Arial" w:hAnsi="Arial" w:cs="Arial"/>
                <w:color w:val="000000"/>
                <w:sz w:val="18"/>
              </w:rPr>
              <w:t xml:space="preserve">Total </w:t>
            </w:r>
          </w:p>
        </w:tc>
        <w:tc>
          <w:tcPr>
            <w:tcW w:w="105" w:type="dxa"/>
            <w:tcBorders>
              <w:top w:val="nil"/>
              <w:left w:val="nil"/>
              <w:bottom w:val="nil"/>
              <w:right w:val="nil"/>
            </w:tcBorders>
            <w:shd w:val="clear" w:color="auto" w:fill="F4F4F4"/>
            <w:tcMar>
              <w:top w:w="0" w:type="dxa"/>
              <w:left w:w="0" w:type="dxa"/>
              <w:bottom w:w="0" w:type="dxa"/>
              <w:right w:w="0" w:type="dxa"/>
            </w:tcMar>
            <w:vAlign w:val="bottom"/>
          </w:tcPr>
          <w:p w14:paraId="5F3BB16A" w14:textId="77777777" w:rsidR="001614AC" w:rsidRDefault="001614AC"/>
        </w:tc>
        <w:tc>
          <w:tcPr>
            <w:tcW w:w="1505" w:type="dxa"/>
            <w:tcBorders>
              <w:top w:val="single" w:sz="8" w:space="0" w:color="C7C9C7"/>
              <w:left w:val="nil"/>
              <w:bottom w:val="double" w:sz="8" w:space="0" w:color="C7C9C7"/>
              <w:right w:val="nil"/>
            </w:tcBorders>
            <w:shd w:val="clear" w:color="auto" w:fill="F4F4F4"/>
            <w:tcMar>
              <w:top w:w="0" w:type="dxa"/>
              <w:left w:w="53" w:type="dxa"/>
              <w:bottom w:w="0" w:type="dxa"/>
              <w:right w:w="0" w:type="dxa"/>
            </w:tcMar>
            <w:vAlign w:val="bottom"/>
          </w:tcPr>
          <w:p w14:paraId="1012188F" w14:textId="77777777" w:rsidR="001614AC" w:rsidRDefault="004468F9">
            <w:pPr>
              <w:spacing w:before="55" w:after="30" w:line="288" w:lineRule="auto"/>
              <w:jc w:val="right"/>
            </w:pPr>
            <w:r>
              <w:rPr>
                <w:rFonts w:ascii="Arial" w:eastAsia="Arial" w:hAnsi="Arial" w:cs="Arial"/>
                <w:color w:val="000000"/>
                <w:sz w:val="18"/>
              </w:rPr>
              <w:t>4,318,019 </w:t>
            </w:r>
          </w:p>
        </w:tc>
        <w:tc>
          <w:tcPr>
            <w:tcW w:w="100" w:type="dxa"/>
            <w:tcBorders>
              <w:top w:val="single" w:sz="8" w:space="0" w:color="C7C9C7"/>
              <w:left w:val="nil"/>
              <w:bottom w:val="double" w:sz="8" w:space="0" w:color="C7C9C7"/>
              <w:right w:val="nil"/>
            </w:tcBorders>
            <w:shd w:val="clear" w:color="auto" w:fill="F4F4F4"/>
            <w:tcMar>
              <w:top w:w="0" w:type="dxa"/>
              <w:left w:w="0" w:type="dxa"/>
              <w:bottom w:w="0" w:type="dxa"/>
              <w:right w:w="15" w:type="dxa"/>
            </w:tcMar>
            <w:vAlign w:val="bottom"/>
          </w:tcPr>
          <w:p w14:paraId="2144F2C1" w14:textId="77777777" w:rsidR="001614AC" w:rsidRDefault="001614AC">
            <w:pPr>
              <w:spacing w:before="55" w:after="30" w:line="288" w:lineRule="auto"/>
              <w:jc w:val="right"/>
            </w:pPr>
          </w:p>
        </w:tc>
        <w:tc>
          <w:tcPr>
            <w:tcW w:w="105" w:type="dxa"/>
            <w:tcBorders>
              <w:top w:val="nil"/>
              <w:left w:val="nil"/>
              <w:bottom w:val="nil"/>
              <w:right w:val="nil"/>
            </w:tcBorders>
            <w:shd w:val="clear" w:color="auto" w:fill="F4F4F4"/>
            <w:tcMar>
              <w:top w:w="0" w:type="dxa"/>
              <w:left w:w="0" w:type="dxa"/>
              <w:bottom w:w="0" w:type="dxa"/>
              <w:right w:w="0" w:type="dxa"/>
            </w:tcMar>
            <w:vAlign w:val="bottom"/>
          </w:tcPr>
          <w:p w14:paraId="6D21908E" w14:textId="77777777" w:rsidR="001614AC" w:rsidRDefault="001614AC"/>
        </w:tc>
        <w:tc>
          <w:tcPr>
            <w:tcW w:w="1605" w:type="dxa"/>
            <w:gridSpan w:val="3"/>
            <w:tcBorders>
              <w:top w:val="nil"/>
              <w:left w:val="nil"/>
              <w:bottom w:val="nil"/>
              <w:right w:val="nil"/>
            </w:tcBorders>
            <w:shd w:val="clear" w:color="auto" w:fill="F4F4F4"/>
            <w:tcMar>
              <w:top w:w="0" w:type="dxa"/>
              <w:left w:w="0" w:type="dxa"/>
              <w:bottom w:w="0" w:type="dxa"/>
              <w:right w:w="0" w:type="dxa"/>
            </w:tcMar>
            <w:vAlign w:val="bottom"/>
          </w:tcPr>
          <w:p w14:paraId="3BB38B80" w14:textId="77777777" w:rsidR="001614AC" w:rsidRDefault="001614AC"/>
        </w:tc>
        <w:tc>
          <w:tcPr>
            <w:tcW w:w="105" w:type="dxa"/>
            <w:tcBorders>
              <w:top w:val="nil"/>
              <w:left w:val="nil"/>
              <w:bottom w:val="nil"/>
              <w:right w:val="nil"/>
            </w:tcBorders>
            <w:shd w:val="clear" w:color="auto" w:fill="F4F4F4"/>
            <w:tcMar>
              <w:top w:w="0" w:type="dxa"/>
              <w:left w:w="0" w:type="dxa"/>
              <w:bottom w:w="0" w:type="dxa"/>
              <w:right w:w="0" w:type="dxa"/>
            </w:tcMar>
            <w:vAlign w:val="bottom"/>
          </w:tcPr>
          <w:p w14:paraId="71FB8756" w14:textId="77777777" w:rsidR="001614AC" w:rsidRDefault="001614AC"/>
        </w:tc>
        <w:tc>
          <w:tcPr>
            <w:tcW w:w="1505" w:type="dxa"/>
            <w:tcBorders>
              <w:top w:val="single" w:sz="8" w:space="0" w:color="C7C9C7"/>
              <w:left w:val="nil"/>
              <w:bottom w:val="double" w:sz="8" w:space="0" w:color="C7C9C7"/>
              <w:right w:val="nil"/>
            </w:tcBorders>
            <w:shd w:val="clear" w:color="auto" w:fill="F4F4F4"/>
            <w:tcMar>
              <w:top w:w="0" w:type="dxa"/>
              <w:left w:w="53" w:type="dxa"/>
              <w:bottom w:w="0" w:type="dxa"/>
              <w:right w:w="0" w:type="dxa"/>
            </w:tcMar>
            <w:vAlign w:val="bottom"/>
          </w:tcPr>
          <w:p w14:paraId="5983E647" w14:textId="77777777" w:rsidR="001614AC" w:rsidRDefault="004468F9">
            <w:pPr>
              <w:spacing w:before="55" w:after="30" w:line="288" w:lineRule="auto"/>
              <w:jc w:val="right"/>
            </w:pPr>
            <w:r>
              <w:rPr>
                <w:rFonts w:ascii="Arial" w:eastAsia="Arial" w:hAnsi="Arial" w:cs="Arial"/>
                <w:color w:val="000000"/>
                <w:sz w:val="18"/>
              </w:rPr>
              <w:t>3,892,456 </w:t>
            </w:r>
          </w:p>
        </w:tc>
        <w:tc>
          <w:tcPr>
            <w:tcW w:w="100" w:type="dxa"/>
            <w:tcBorders>
              <w:top w:val="single" w:sz="8" w:space="0" w:color="C7C9C7"/>
              <w:left w:val="nil"/>
              <w:bottom w:val="double" w:sz="8" w:space="0" w:color="C7C9C7"/>
              <w:right w:val="nil"/>
            </w:tcBorders>
            <w:shd w:val="clear" w:color="auto" w:fill="F4F4F4"/>
            <w:tcMar>
              <w:top w:w="0" w:type="dxa"/>
              <w:left w:w="0" w:type="dxa"/>
              <w:bottom w:w="0" w:type="dxa"/>
              <w:right w:w="15" w:type="dxa"/>
            </w:tcMar>
            <w:vAlign w:val="bottom"/>
          </w:tcPr>
          <w:p w14:paraId="34260B55" w14:textId="77777777" w:rsidR="001614AC" w:rsidRDefault="001614AC">
            <w:pPr>
              <w:spacing w:before="55" w:after="30" w:line="288" w:lineRule="auto"/>
              <w:jc w:val="right"/>
            </w:pPr>
          </w:p>
        </w:tc>
        <w:tc>
          <w:tcPr>
            <w:tcW w:w="105" w:type="dxa"/>
            <w:tcBorders>
              <w:top w:val="nil"/>
              <w:left w:val="nil"/>
              <w:bottom w:val="nil"/>
              <w:right w:val="nil"/>
            </w:tcBorders>
            <w:shd w:val="clear" w:color="auto" w:fill="F4F4F4"/>
            <w:tcMar>
              <w:top w:w="0" w:type="dxa"/>
              <w:left w:w="0" w:type="dxa"/>
              <w:bottom w:w="0" w:type="dxa"/>
              <w:right w:w="0" w:type="dxa"/>
            </w:tcMar>
            <w:vAlign w:val="bottom"/>
          </w:tcPr>
          <w:p w14:paraId="328D980B" w14:textId="77777777" w:rsidR="001614AC" w:rsidRDefault="001614AC"/>
        </w:tc>
        <w:tc>
          <w:tcPr>
            <w:tcW w:w="1605" w:type="dxa"/>
            <w:gridSpan w:val="3"/>
            <w:tcBorders>
              <w:top w:val="nil"/>
              <w:left w:val="nil"/>
              <w:bottom w:val="nil"/>
              <w:right w:val="nil"/>
            </w:tcBorders>
            <w:shd w:val="clear" w:color="auto" w:fill="F4F4F4"/>
            <w:tcMar>
              <w:top w:w="0" w:type="dxa"/>
              <w:left w:w="0" w:type="dxa"/>
              <w:bottom w:w="0" w:type="dxa"/>
              <w:right w:w="0" w:type="dxa"/>
            </w:tcMar>
            <w:vAlign w:val="bottom"/>
          </w:tcPr>
          <w:p w14:paraId="7D0EA181" w14:textId="77777777" w:rsidR="001614AC" w:rsidRDefault="001614AC"/>
        </w:tc>
      </w:tr>
    </w:tbl>
    <w:p w14:paraId="5CCE9E7A" w14:textId="77777777" w:rsidR="001614AC" w:rsidRDefault="004468F9" w:rsidP="004468F9">
      <w:pPr>
        <w:numPr>
          <w:ilvl w:val="0"/>
          <w:numId w:val="43"/>
        </w:numPr>
        <w:spacing w:line="288" w:lineRule="auto"/>
        <w:ind w:left="360"/>
        <w:rPr>
          <w:rFonts w:ascii="Arial" w:eastAsia="Arial" w:hAnsi="Arial" w:cs="Arial"/>
          <w:color w:val="64615D"/>
          <w:sz w:val="16"/>
        </w:rPr>
      </w:pPr>
      <w:r>
        <w:rPr>
          <w:rFonts w:ascii="Arial" w:eastAsia="Arial" w:hAnsi="Arial" w:cs="Arial"/>
          <w:color w:val="64615D"/>
          <w:sz w:val="16"/>
        </w:rPr>
        <w:t>Includes 425,563</w:t>
      </w:r>
      <w:r>
        <w:rPr>
          <w:rFonts w:ascii="Arial" w:eastAsia="Arial" w:hAnsi="Arial" w:cs="Arial"/>
          <w:color w:val="64615D"/>
          <w:sz w:val="16"/>
        </w:rPr>
        <w:t xml:space="preserve"> shares tendered by employees as payment of taxes withheld on the vesting of certain restricted stock awards granted under the Company’s equity compensation plans.</w:t>
      </w:r>
    </w:p>
    <w:p w14:paraId="7DA2A65A" w14:textId="77777777" w:rsidR="001614AC" w:rsidRDefault="004468F9" w:rsidP="004468F9">
      <w:pPr>
        <w:numPr>
          <w:ilvl w:val="0"/>
          <w:numId w:val="43"/>
        </w:numPr>
        <w:spacing w:line="288" w:lineRule="auto"/>
        <w:ind w:left="360"/>
        <w:rPr>
          <w:rFonts w:ascii="Arial" w:eastAsia="Arial" w:hAnsi="Arial" w:cs="Arial"/>
          <w:color w:val="64615D"/>
          <w:sz w:val="16"/>
        </w:rPr>
      </w:pPr>
      <w:r>
        <w:rPr>
          <w:rFonts w:ascii="Arial" w:eastAsia="Arial" w:hAnsi="Arial" w:cs="Arial"/>
          <w:color w:val="64615D"/>
          <w:sz w:val="16"/>
        </w:rPr>
        <w:t>On August 14, 2019, Radian Group’s board of directors approved a share repurchase program th</w:t>
      </w:r>
      <w:r>
        <w:rPr>
          <w:rFonts w:ascii="Arial" w:eastAsia="Arial" w:hAnsi="Arial" w:cs="Arial"/>
          <w:color w:val="64615D"/>
          <w:sz w:val="16"/>
        </w:rPr>
        <w:t>at authorizes the Company to spend up to $200 million to repurchase Radian Group common stock. On February 13, 2020, Radian Group’s board of directors authorized a $275 million increase in this program, bringing the total authorization to repurchase shares</w:t>
      </w:r>
      <w:r>
        <w:rPr>
          <w:rFonts w:ascii="Arial" w:eastAsia="Arial" w:hAnsi="Arial" w:cs="Arial"/>
          <w:color w:val="64615D"/>
          <w:sz w:val="16"/>
        </w:rPr>
        <w:t xml:space="preserve"> up to $475 million, excluding commissions. In March 2021, the Company entered into a new 10b5-1 plan and resumed purchases under this program which had been temporarily suspended in March 2020 in response to the COVID-19 pandemic. During the three months </w:t>
      </w:r>
      <w:r>
        <w:rPr>
          <w:rFonts w:ascii="Arial" w:eastAsia="Arial" w:hAnsi="Arial" w:cs="Arial"/>
          <w:color w:val="64615D"/>
          <w:sz w:val="16"/>
        </w:rPr>
        <w:t>ended June 30, 2021, the Company purchased 3,892,456 shares at an average price of $23.14, including commissions, under this share repurchase program which expires on August 31, 2021. See Note 14 of Notes to Unaudited Condensed Consolidated Financial State</w:t>
      </w:r>
      <w:r>
        <w:rPr>
          <w:rFonts w:ascii="Arial" w:eastAsia="Arial" w:hAnsi="Arial" w:cs="Arial"/>
          <w:color w:val="64615D"/>
          <w:sz w:val="16"/>
        </w:rPr>
        <w:t>ments for additional details on our share repurchase program.</w:t>
      </w:r>
    </w:p>
    <w:p w14:paraId="63D4CA72" w14:textId="77777777" w:rsidR="001614AC" w:rsidRDefault="001614AC" w:rsidP="004468F9">
      <w:pPr>
        <w:numPr>
          <w:ilvl w:val="0"/>
          <w:numId w:val="43"/>
        </w:numPr>
        <w:spacing w:line="288" w:lineRule="auto"/>
        <w:ind w:left="360"/>
        <w:rPr>
          <w:rFonts w:ascii="Arial" w:eastAsia="Arial" w:hAnsi="Arial" w:cs="Arial"/>
          <w:color w:val="64615D"/>
          <w:sz w:val="16"/>
        </w:rPr>
        <w:sectPr w:rsidR="001614AC">
          <w:type w:val="continuous"/>
          <w:pgSz w:w="12240" w:h="15840"/>
          <w:pgMar w:top="1260" w:right="1080" w:bottom="1080" w:left="1080" w:header="270" w:footer="270" w:gutter="0"/>
          <w:cols w:space="708"/>
        </w:sectPr>
      </w:pPr>
    </w:p>
    <w:p w14:paraId="75676C13" w14:textId="77777777" w:rsidR="001614AC" w:rsidRDefault="004468F9">
      <w:pPr>
        <w:keepNext/>
        <w:spacing w:after="180" w:line="288" w:lineRule="auto"/>
        <w:outlineLvl w:val="1"/>
        <w:rPr>
          <w:rFonts w:ascii="Arial" w:eastAsia="Arial" w:hAnsi="Arial" w:cs="Arial"/>
          <w:color w:val="00BAB3"/>
          <w:sz w:val="34"/>
        </w:rPr>
      </w:pPr>
      <w:bookmarkStart w:id="44" w:name="Section45"/>
      <w:bookmarkEnd w:id="44"/>
      <w:r>
        <w:rPr>
          <w:rFonts w:ascii="Arial" w:eastAsia="Arial" w:hAnsi="Arial" w:cs="Arial"/>
          <w:color w:val="00BAB3"/>
          <w:sz w:val="34"/>
        </w:rPr>
        <w:lastRenderedPageBreak/>
        <w:t>Item 6. Exhibits</w:t>
      </w:r>
    </w:p>
    <w:tbl>
      <w:tblPr>
        <w:tblW w:w="102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8"/>
        <w:gridCol w:w="122"/>
        <w:gridCol w:w="9012"/>
      </w:tblGrid>
      <w:tr w:rsidR="001614AC" w14:paraId="30EBF9DE" w14:textId="77777777">
        <w:trPr>
          <w:cantSplit/>
        </w:trPr>
        <w:tc>
          <w:tcPr>
            <w:tcW w:w="1125" w:type="dxa"/>
            <w:tcBorders>
              <w:top w:val="nil"/>
              <w:left w:val="nil"/>
              <w:bottom w:val="single" w:sz="8" w:space="0" w:color="C7C9C7"/>
              <w:right w:val="nil"/>
            </w:tcBorders>
            <w:shd w:val="clear" w:color="auto" w:fill="F4F4F4"/>
            <w:tcMar>
              <w:top w:w="0" w:type="dxa"/>
              <w:left w:w="53" w:type="dxa"/>
              <w:bottom w:w="0" w:type="dxa"/>
              <w:right w:w="53" w:type="dxa"/>
            </w:tcMar>
            <w:vAlign w:val="center"/>
          </w:tcPr>
          <w:p w14:paraId="1BAA0DFD" w14:textId="77777777" w:rsidR="001614AC" w:rsidRDefault="004468F9">
            <w:pPr>
              <w:keepNext/>
              <w:spacing w:line="288" w:lineRule="auto"/>
              <w:jc w:val="center"/>
              <w:rPr>
                <w:rFonts w:ascii="Arial" w:eastAsia="Arial" w:hAnsi="Arial" w:cs="Arial"/>
                <w:b/>
                <w:sz w:val="14"/>
              </w:rPr>
            </w:pPr>
            <w:r>
              <w:rPr>
                <w:rFonts w:ascii="Arial" w:eastAsia="Arial" w:hAnsi="Arial" w:cs="Arial"/>
                <w:b/>
                <w:sz w:val="14"/>
              </w:rPr>
              <w:t>Exhibit Number</w:t>
            </w:r>
          </w:p>
        </w:tc>
        <w:tc>
          <w:tcPr>
            <w:tcW w:w="120" w:type="dxa"/>
            <w:tcBorders>
              <w:top w:val="nil"/>
              <w:left w:val="nil"/>
              <w:bottom w:val="single" w:sz="8" w:space="0" w:color="C7C9C7"/>
              <w:right w:val="nil"/>
            </w:tcBorders>
            <w:shd w:val="clear" w:color="auto" w:fill="F4F4F4"/>
            <w:tcMar>
              <w:top w:w="0" w:type="dxa"/>
              <w:left w:w="0" w:type="dxa"/>
              <w:bottom w:w="0" w:type="dxa"/>
              <w:right w:w="0" w:type="dxa"/>
            </w:tcMar>
            <w:vAlign w:val="bottom"/>
          </w:tcPr>
          <w:p w14:paraId="65E76AC4" w14:textId="77777777" w:rsidR="001614AC" w:rsidRDefault="001614AC">
            <w:pPr>
              <w:keepNext/>
            </w:pPr>
          </w:p>
        </w:tc>
        <w:tc>
          <w:tcPr>
            <w:tcW w:w="8835" w:type="dxa"/>
            <w:tcBorders>
              <w:top w:val="nil"/>
              <w:left w:val="nil"/>
              <w:bottom w:val="single" w:sz="8" w:space="0" w:color="C7C9C7"/>
              <w:right w:val="nil"/>
            </w:tcBorders>
            <w:shd w:val="clear" w:color="auto" w:fill="F4F4F4"/>
            <w:tcMar>
              <w:top w:w="0" w:type="dxa"/>
              <w:left w:w="53" w:type="dxa"/>
              <w:bottom w:w="0" w:type="dxa"/>
              <w:right w:w="53" w:type="dxa"/>
            </w:tcMar>
            <w:vAlign w:val="center"/>
          </w:tcPr>
          <w:p w14:paraId="79F7C275" w14:textId="77777777" w:rsidR="001614AC" w:rsidRDefault="004468F9">
            <w:pPr>
              <w:keepNext/>
              <w:spacing w:line="288" w:lineRule="auto"/>
              <w:ind w:left="60"/>
            </w:pPr>
            <w:r>
              <w:rPr>
                <w:rFonts w:ascii="Arial" w:eastAsia="Arial" w:hAnsi="Arial" w:cs="Arial"/>
                <w:b/>
                <w:color w:val="000000"/>
                <w:sz w:val="18"/>
              </w:rPr>
              <w:t>Exhibit</w:t>
            </w:r>
          </w:p>
        </w:tc>
      </w:tr>
      <w:tr w:rsidR="001614AC" w14:paraId="24626221" w14:textId="77777777">
        <w:trPr>
          <w:cantSplit/>
        </w:trPr>
        <w:tc>
          <w:tcPr>
            <w:tcW w:w="1125" w:type="dxa"/>
            <w:tcBorders>
              <w:top w:val="single" w:sz="8" w:space="0" w:color="C7C9C7"/>
              <w:left w:val="nil"/>
              <w:bottom w:val="nil"/>
              <w:right w:val="nil"/>
            </w:tcBorders>
            <w:shd w:val="clear" w:color="auto" w:fill="FFFFFF"/>
            <w:tcMar>
              <w:top w:w="0" w:type="dxa"/>
              <w:left w:w="0" w:type="dxa"/>
              <w:bottom w:w="0" w:type="dxa"/>
              <w:right w:w="0" w:type="dxa"/>
            </w:tcMar>
            <w:vAlign w:val="bottom"/>
          </w:tcPr>
          <w:p w14:paraId="67DD7AC2" w14:textId="77777777" w:rsidR="001614AC" w:rsidRDefault="001614AC">
            <w:pPr>
              <w:keepNext/>
            </w:pPr>
          </w:p>
        </w:tc>
        <w:tc>
          <w:tcPr>
            <w:tcW w:w="120" w:type="dxa"/>
            <w:tcBorders>
              <w:top w:val="single" w:sz="8" w:space="0" w:color="C7C9C7"/>
              <w:left w:val="nil"/>
              <w:bottom w:val="nil"/>
              <w:right w:val="nil"/>
            </w:tcBorders>
            <w:shd w:val="clear" w:color="auto" w:fill="FFFFFF"/>
            <w:tcMar>
              <w:top w:w="0" w:type="dxa"/>
              <w:left w:w="0" w:type="dxa"/>
              <w:bottom w:w="0" w:type="dxa"/>
              <w:right w:w="0" w:type="dxa"/>
            </w:tcMar>
            <w:vAlign w:val="bottom"/>
          </w:tcPr>
          <w:p w14:paraId="36BB5EC3" w14:textId="77777777" w:rsidR="001614AC" w:rsidRDefault="001614AC">
            <w:pPr>
              <w:keepNext/>
            </w:pPr>
          </w:p>
        </w:tc>
        <w:tc>
          <w:tcPr>
            <w:tcW w:w="8835" w:type="dxa"/>
            <w:tcBorders>
              <w:top w:val="single" w:sz="8" w:space="0" w:color="C7C9C7"/>
              <w:left w:val="nil"/>
              <w:bottom w:val="nil"/>
              <w:right w:val="nil"/>
            </w:tcBorders>
            <w:shd w:val="clear" w:color="auto" w:fill="FFFFFF"/>
            <w:tcMar>
              <w:top w:w="0" w:type="dxa"/>
              <w:left w:w="0" w:type="dxa"/>
              <w:bottom w:w="0" w:type="dxa"/>
              <w:right w:w="0" w:type="dxa"/>
            </w:tcMar>
            <w:vAlign w:val="bottom"/>
          </w:tcPr>
          <w:p w14:paraId="4D2F2319" w14:textId="77777777" w:rsidR="001614AC" w:rsidRDefault="001614AC">
            <w:pPr>
              <w:keepNext/>
            </w:pPr>
          </w:p>
        </w:tc>
      </w:tr>
      <w:tr w:rsidR="001614AC" w14:paraId="40EBF109" w14:textId="77777777">
        <w:trPr>
          <w:cantSplit/>
        </w:trPr>
        <w:tc>
          <w:tcPr>
            <w:tcW w:w="1125" w:type="dxa"/>
            <w:tcBorders>
              <w:top w:val="nil"/>
              <w:left w:val="nil"/>
              <w:bottom w:val="nil"/>
              <w:right w:val="nil"/>
            </w:tcBorders>
            <w:shd w:val="clear" w:color="auto" w:fill="F4F4F4"/>
            <w:tcMar>
              <w:top w:w="0" w:type="dxa"/>
              <w:left w:w="53" w:type="dxa"/>
              <w:bottom w:w="0" w:type="dxa"/>
              <w:right w:w="53" w:type="dxa"/>
            </w:tcMar>
          </w:tcPr>
          <w:p w14:paraId="6D5B62FA" w14:textId="77777777" w:rsidR="001614AC" w:rsidRDefault="004468F9">
            <w:pPr>
              <w:keepNext/>
              <w:spacing w:before="75" w:after="30" w:line="288" w:lineRule="auto"/>
              <w:jc w:val="center"/>
            </w:pPr>
            <w:r>
              <w:rPr>
                <w:rFonts w:ascii="Arial" w:eastAsia="Arial" w:hAnsi="Arial" w:cs="Arial"/>
                <w:color w:val="668092"/>
                <w:sz w:val="18"/>
              </w:rPr>
              <w:t>+*10.1</w:t>
            </w:r>
          </w:p>
        </w:tc>
        <w:tc>
          <w:tcPr>
            <w:tcW w:w="120" w:type="dxa"/>
            <w:tcBorders>
              <w:top w:val="nil"/>
              <w:left w:val="nil"/>
              <w:bottom w:val="nil"/>
              <w:right w:val="nil"/>
            </w:tcBorders>
            <w:shd w:val="clear" w:color="auto" w:fill="F4F4F4"/>
            <w:tcMar>
              <w:top w:w="0" w:type="dxa"/>
              <w:left w:w="0" w:type="dxa"/>
              <w:bottom w:w="0" w:type="dxa"/>
              <w:right w:w="0" w:type="dxa"/>
            </w:tcMar>
            <w:vAlign w:val="bottom"/>
          </w:tcPr>
          <w:p w14:paraId="65F10C9A" w14:textId="77777777" w:rsidR="001614AC" w:rsidRDefault="001614AC">
            <w:pPr>
              <w:keepNext/>
            </w:pPr>
          </w:p>
        </w:tc>
        <w:tc>
          <w:tcPr>
            <w:tcW w:w="8835" w:type="dxa"/>
            <w:tcBorders>
              <w:top w:val="nil"/>
              <w:left w:val="nil"/>
              <w:bottom w:val="nil"/>
              <w:right w:val="nil"/>
            </w:tcBorders>
            <w:shd w:val="clear" w:color="auto" w:fill="F4F4F4"/>
            <w:tcMar>
              <w:top w:w="0" w:type="dxa"/>
              <w:left w:w="53" w:type="dxa"/>
              <w:bottom w:w="0" w:type="dxa"/>
              <w:right w:w="53" w:type="dxa"/>
            </w:tcMar>
          </w:tcPr>
          <w:p w14:paraId="6B7D4C7B" w14:textId="77777777" w:rsidR="001614AC" w:rsidRDefault="004468F9">
            <w:pPr>
              <w:keepNext/>
              <w:spacing w:before="75" w:after="30" w:line="288" w:lineRule="auto"/>
              <w:rPr>
                <w:rFonts w:ascii="Arial" w:eastAsia="Arial" w:hAnsi="Arial" w:cs="Arial"/>
                <w:color w:val="668092"/>
                <w:sz w:val="18"/>
              </w:rPr>
            </w:pPr>
            <w:hyperlink r:id="rId54" w:history="1">
              <w:r>
                <w:rPr>
                  <w:rFonts w:ascii="Arial" w:eastAsia="Arial" w:hAnsi="Arial" w:cs="Arial"/>
                  <w:color w:val="668092"/>
                  <w:sz w:val="18"/>
                  <w:u w:val="single"/>
                </w:rPr>
                <w:t>Form of Executive Officer 2021 Performance-Based Restricted Stock Unit Grant Agreement (book value) under the Radian Group Inc. Equity Compensation Plan</w:t>
              </w:r>
            </w:hyperlink>
          </w:p>
        </w:tc>
      </w:tr>
      <w:tr w:rsidR="001614AC" w14:paraId="4720E920" w14:textId="77777777">
        <w:trPr>
          <w:cantSplit/>
        </w:trPr>
        <w:tc>
          <w:tcPr>
            <w:tcW w:w="1125" w:type="dxa"/>
            <w:tcBorders>
              <w:top w:val="nil"/>
              <w:left w:val="nil"/>
              <w:bottom w:val="nil"/>
              <w:right w:val="nil"/>
            </w:tcBorders>
            <w:shd w:val="clear" w:color="auto" w:fill="FFFFFF"/>
            <w:tcMar>
              <w:top w:w="0" w:type="dxa"/>
              <w:left w:w="53" w:type="dxa"/>
              <w:bottom w:w="0" w:type="dxa"/>
              <w:right w:w="53" w:type="dxa"/>
            </w:tcMar>
          </w:tcPr>
          <w:p w14:paraId="368AC4E8" w14:textId="77777777" w:rsidR="001614AC" w:rsidRDefault="004468F9">
            <w:pPr>
              <w:keepNext/>
              <w:spacing w:before="75" w:after="30" w:line="288" w:lineRule="auto"/>
              <w:jc w:val="center"/>
            </w:pPr>
            <w:r>
              <w:rPr>
                <w:rFonts w:ascii="Arial" w:eastAsia="Arial" w:hAnsi="Arial" w:cs="Arial"/>
                <w:color w:val="668092"/>
                <w:sz w:val="18"/>
              </w:rPr>
              <w:t>+*10.2</w:t>
            </w:r>
          </w:p>
        </w:tc>
        <w:tc>
          <w:tcPr>
            <w:tcW w:w="120" w:type="dxa"/>
            <w:tcBorders>
              <w:top w:val="nil"/>
              <w:left w:val="nil"/>
              <w:bottom w:val="nil"/>
              <w:right w:val="nil"/>
            </w:tcBorders>
            <w:shd w:val="clear" w:color="auto" w:fill="FFFFFF"/>
            <w:tcMar>
              <w:top w:w="0" w:type="dxa"/>
              <w:left w:w="0" w:type="dxa"/>
              <w:bottom w:w="0" w:type="dxa"/>
              <w:right w:w="0" w:type="dxa"/>
            </w:tcMar>
            <w:vAlign w:val="bottom"/>
          </w:tcPr>
          <w:p w14:paraId="04B0BB92" w14:textId="77777777" w:rsidR="001614AC" w:rsidRDefault="001614AC">
            <w:pPr>
              <w:keepNext/>
            </w:pPr>
          </w:p>
        </w:tc>
        <w:tc>
          <w:tcPr>
            <w:tcW w:w="8835" w:type="dxa"/>
            <w:tcBorders>
              <w:top w:val="nil"/>
              <w:left w:val="nil"/>
              <w:bottom w:val="nil"/>
              <w:right w:val="nil"/>
            </w:tcBorders>
            <w:shd w:val="clear" w:color="auto" w:fill="FFFFFF"/>
            <w:tcMar>
              <w:top w:w="0" w:type="dxa"/>
              <w:left w:w="53" w:type="dxa"/>
              <w:bottom w:w="0" w:type="dxa"/>
              <w:right w:w="53" w:type="dxa"/>
            </w:tcMar>
          </w:tcPr>
          <w:p w14:paraId="0B1887DD" w14:textId="77777777" w:rsidR="001614AC" w:rsidRDefault="004468F9">
            <w:pPr>
              <w:keepNext/>
              <w:spacing w:before="75" w:after="30" w:line="288" w:lineRule="auto"/>
              <w:rPr>
                <w:rFonts w:ascii="Arial" w:eastAsia="Arial" w:hAnsi="Arial" w:cs="Arial"/>
                <w:color w:val="668092"/>
                <w:sz w:val="18"/>
              </w:rPr>
            </w:pPr>
            <w:hyperlink r:id="rId55" w:history="1">
              <w:r>
                <w:rPr>
                  <w:rFonts w:ascii="Arial" w:eastAsia="Arial" w:hAnsi="Arial" w:cs="Arial"/>
                  <w:color w:val="668092"/>
                  <w:sz w:val="18"/>
                  <w:u w:val="single"/>
                </w:rPr>
                <w:t>2021 Performance-Based Restricted Stock Unit Grant Agreement (book value) under the Radian Group Inc. Equity Compensation Plan between the Registrant and Richard G. Thornberry</w:t>
              </w:r>
            </w:hyperlink>
          </w:p>
        </w:tc>
      </w:tr>
      <w:tr w:rsidR="001614AC" w14:paraId="7285CEC7" w14:textId="77777777">
        <w:trPr>
          <w:cantSplit/>
        </w:trPr>
        <w:tc>
          <w:tcPr>
            <w:tcW w:w="1125" w:type="dxa"/>
            <w:tcBorders>
              <w:top w:val="nil"/>
              <w:left w:val="nil"/>
              <w:bottom w:val="nil"/>
              <w:right w:val="nil"/>
            </w:tcBorders>
            <w:shd w:val="clear" w:color="auto" w:fill="F4F4F4"/>
            <w:tcMar>
              <w:top w:w="0" w:type="dxa"/>
              <w:left w:w="53" w:type="dxa"/>
              <w:bottom w:w="0" w:type="dxa"/>
              <w:right w:w="53" w:type="dxa"/>
            </w:tcMar>
          </w:tcPr>
          <w:p w14:paraId="549C412C" w14:textId="77777777" w:rsidR="001614AC" w:rsidRDefault="004468F9">
            <w:pPr>
              <w:keepNext/>
              <w:spacing w:before="75" w:after="30" w:line="288" w:lineRule="auto"/>
              <w:jc w:val="center"/>
            </w:pPr>
            <w:r>
              <w:rPr>
                <w:rFonts w:ascii="Arial" w:eastAsia="Arial" w:hAnsi="Arial" w:cs="Arial"/>
                <w:color w:val="668092"/>
                <w:sz w:val="18"/>
              </w:rPr>
              <w:t>+*10.3</w:t>
            </w:r>
          </w:p>
        </w:tc>
        <w:tc>
          <w:tcPr>
            <w:tcW w:w="120" w:type="dxa"/>
            <w:tcBorders>
              <w:top w:val="nil"/>
              <w:left w:val="nil"/>
              <w:bottom w:val="nil"/>
              <w:right w:val="nil"/>
            </w:tcBorders>
            <w:shd w:val="clear" w:color="auto" w:fill="F4F4F4"/>
            <w:tcMar>
              <w:top w:w="0" w:type="dxa"/>
              <w:left w:w="0" w:type="dxa"/>
              <w:bottom w:w="0" w:type="dxa"/>
              <w:right w:w="0" w:type="dxa"/>
            </w:tcMar>
            <w:vAlign w:val="bottom"/>
          </w:tcPr>
          <w:p w14:paraId="097D18F1" w14:textId="77777777" w:rsidR="001614AC" w:rsidRDefault="001614AC">
            <w:pPr>
              <w:keepNext/>
            </w:pPr>
          </w:p>
        </w:tc>
        <w:tc>
          <w:tcPr>
            <w:tcW w:w="8835" w:type="dxa"/>
            <w:tcBorders>
              <w:top w:val="nil"/>
              <w:left w:val="nil"/>
              <w:bottom w:val="nil"/>
              <w:right w:val="nil"/>
            </w:tcBorders>
            <w:shd w:val="clear" w:color="auto" w:fill="F4F4F4"/>
            <w:tcMar>
              <w:top w:w="0" w:type="dxa"/>
              <w:left w:w="53" w:type="dxa"/>
              <w:bottom w:w="0" w:type="dxa"/>
              <w:right w:w="53" w:type="dxa"/>
            </w:tcMar>
          </w:tcPr>
          <w:p w14:paraId="1F3294DE" w14:textId="77777777" w:rsidR="001614AC" w:rsidRDefault="004468F9">
            <w:pPr>
              <w:keepNext/>
              <w:spacing w:before="75" w:after="30" w:line="288" w:lineRule="auto"/>
              <w:rPr>
                <w:rFonts w:ascii="Arial" w:eastAsia="Arial" w:hAnsi="Arial" w:cs="Arial"/>
                <w:color w:val="668092"/>
                <w:sz w:val="18"/>
              </w:rPr>
            </w:pPr>
            <w:hyperlink r:id="rId56" w:history="1">
              <w:r>
                <w:rPr>
                  <w:rFonts w:ascii="Arial" w:eastAsia="Arial" w:hAnsi="Arial" w:cs="Arial"/>
                  <w:color w:val="668092"/>
                  <w:sz w:val="18"/>
                  <w:u w:val="single"/>
                </w:rPr>
                <w:t>2021 Time-Based Restricted Stock Unit Grant Agreement (book value) under the Radian Group Inc. Equity Compensation Plan between the Registrant and Richard G. Thornberry</w:t>
              </w:r>
            </w:hyperlink>
          </w:p>
        </w:tc>
      </w:tr>
      <w:tr w:rsidR="001614AC" w14:paraId="62EBA997" w14:textId="77777777">
        <w:trPr>
          <w:cantSplit/>
        </w:trPr>
        <w:tc>
          <w:tcPr>
            <w:tcW w:w="1125" w:type="dxa"/>
            <w:tcBorders>
              <w:top w:val="nil"/>
              <w:left w:val="nil"/>
              <w:bottom w:val="nil"/>
              <w:right w:val="nil"/>
            </w:tcBorders>
            <w:shd w:val="clear" w:color="auto" w:fill="FFFFFF"/>
            <w:tcMar>
              <w:top w:w="0" w:type="dxa"/>
              <w:left w:w="53" w:type="dxa"/>
              <w:bottom w:w="0" w:type="dxa"/>
              <w:right w:w="53" w:type="dxa"/>
            </w:tcMar>
          </w:tcPr>
          <w:p w14:paraId="125AA919" w14:textId="77777777" w:rsidR="001614AC" w:rsidRDefault="004468F9">
            <w:pPr>
              <w:keepNext/>
              <w:spacing w:before="75" w:after="30" w:line="288" w:lineRule="auto"/>
              <w:jc w:val="center"/>
            </w:pPr>
            <w:r>
              <w:rPr>
                <w:rFonts w:ascii="Arial" w:eastAsia="Arial" w:hAnsi="Arial" w:cs="Arial"/>
                <w:color w:val="668092"/>
                <w:sz w:val="18"/>
              </w:rPr>
              <w:t>+*10.4</w:t>
            </w:r>
          </w:p>
        </w:tc>
        <w:tc>
          <w:tcPr>
            <w:tcW w:w="120" w:type="dxa"/>
            <w:tcBorders>
              <w:top w:val="nil"/>
              <w:left w:val="nil"/>
              <w:bottom w:val="nil"/>
              <w:right w:val="nil"/>
            </w:tcBorders>
            <w:shd w:val="clear" w:color="auto" w:fill="FFFFFF"/>
            <w:tcMar>
              <w:top w:w="0" w:type="dxa"/>
              <w:left w:w="0" w:type="dxa"/>
              <w:bottom w:w="0" w:type="dxa"/>
              <w:right w:w="0" w:type="dxa"/>
            </w:tcMar>
            <w:vAlign w:val="bottom"/>
          </w:tcPr>
          <w:p w14:paraId="3B15E0D9" w14:textId="77777777" w:rsidR="001614AC" w:rsidRDefault="001614AC">
            <w:pPr>
              <w:keepNext/>
            </w:pPr>
          </w:p>
        </w:tc>
        <w:tc>
          <w:tcPr>
            <w:tcW w:w="8835" w:type="dxa"/>
            <w:tcBorders>
              <w:top w:val="nil"/>
              <w:left w:val="nil"/>
              <w:bottom w:val="nil"/>
              <w:right w:val="nil"/>
            </w:tcBorders>
            <w:shd w:val="clear" w:color="auto" w:fill="FFFFFF"/>
            <w:tcMar>
              <w:top w:w="0" w:type="dxa"/>
              <w:left w:w="53" w:type="dxa"/>
              <w:bottom w:w="0" w:type="dxa"/>
              <w:right w:w="53" w:type="dxa"/>
            </w:tcMar>
          </w:tcPr>
          <w:p w14:paraId="515FCA95" w14:textId="77777777" w:rsidR="001614AC" w:rsidRDefault="004468F9">
            <w:pPr>
              <w:keepNext/>
              <w:spacing w:before="75" w:after="30" w:line="288" w:lineRule="auto"/>
              <w:rPr>
                <w:rFonts w:ascii="Arial" w:eastAsia="Arial" w:hAnsi="Arial" w:cs="Arial"/>
                <w:color w:val="668092"/>
                <w:sz w:val="18"/>
              </w:rPr>
            </w:pPr>
            <w:hyperlink r:id="rId57" w:history="1">
              <w:r>
                <w:rPr>
                  <w:rFonts w:ascii="Arial" w:eastAsia="Arial" w:hAnsi="Arial" w:cs="Arial"/>
                  <w:color w:val="668092"/>
                  <w:sz w:val="18"/>
                  <w:u w:val="single"/>
                </w:rPr>
                <w:t>Form of Executive Officer 2021 Time-Based Restricted Stock Unit Grant Agreement under the Radian Group Inc. Equity Compensation Plan</w:t>
              </w:r>
            </w:hyperlink>
          </w:p>
        </w:tc>
      </w:tr>
      <w:tr w:rsidR="001614AC" w14:paraId="3F715883" w14:textId="77777777">
        <w:trPr>
          <w:cantSplit/>
        </w:trPr>
        <w:tc>
          <w:tcPr>
            <w:tcW w:w="1125" w:type="dxa"/>
            <w:tcBorders>
              <w:top w:val="nil"/>
              <w:left w:val="nil"/>
              <w:bottom w:val="nil"/>
              <w:right w:val="nil"/>
            </w:tcBorders>
            <w:shd w:val="clear" w:color="auto" w:fill="F4F4F4"/>
            <w:tcMar>
              <w:top w:w="0" w:type="dxa"/>
              <w:left w:w="53" w:type="dxa"/>
              <w:bottom w:w="0" w:type="dxa"/>
              <w:right w:w="53" w:type="dxa"/>
            </w:tcMar>
          </w:tcPr>
          <w:p w14:paraId="05D6028A" w14:textId="77777777" w:rsidR="001614AC" w:rsidRDefault="004468F9">
            <w:pPr>
              <w:keepNext/>
              <w:spacing w:before="75" w:after="30" w:line="288" w:lineRule="auto"/>
              <w:jc w:val="center"/>
              <w:rPr>
                <w:rFonts w:ascii="Arial" w:eastAsia="Arial" w:hAnsi="Arial" w:cs="Arial"/>
                <w:color w:val="668092"/>
                <w:sz w:val="18"/>
              </w:rPr>
            </w:pPr>
            <w:r>
              <w:rPr>
                <w:rFonts w:ascii="Arial" w:eastAsia="Arial" w:hAnsi="Arial" w:cs="Arial"/>
                <w:color w:val="668092"/>
                <w:sz w:val="18"/>
              </w:rPr>
              <w:t>+10.5</w:t>
            </w:r>
          </w:p>
        </w:tc>
        <w:tc>
          <w:tcPr>
            <w:tcW w:w="120" w:type="dxa"/>
            <w:tcBorders>
              <w:top w:val="nil"/>
              <w:left w:val="nil"/>
              <w:bottom w:val="nil"/>
              <w:right w:val="nil"/>
            </w:tcBorders>
            <w:shd w:val="clear" w:color="auto" w:fill="F4F4F4"/>
            <w:tcMar>
              <w:top w:w="0" w:type="dxa"/>
              <w:left w:w="0" w:type="dxa"/>
              <w:bottom w:w="0" w:type="dxa"/>
              <w:right w:w="0" w:type="dxa"/>
            </w:tcMar>
            <w:vAlign w:val="bottom"/>
          </w:tcPr>
          <w:p w14:paraId="7E2C2532" w14:textId="77777777" w:rsidR="001614AC" w:rsidRDefault="001614AC">
            <w:pPr>
              <w:keepNext/>
            </w:pPr>
          </w:p>
        </w:tc>
        <w:tc>
          <w:tcPr>
            <w:tcW w:w="8835" w:type="dxa"/>
            <w:tcBorders>
              <w:top w:val="nil"/>
              <w:left w:val="nil"/>
              <w:bottom w:val="nil"/>
              <w:right w:val="nil"/>
            </w:tcBorders>
            <w:shd w:val="clear" w:color="auto" w:fill="F4F4F4"/>
            <w:tcMar>
              <w:top w:w="0" w:type="dxa"/>
              <w:left w:w="53" w:type="dxa"/>
              <w:bottom w:w="0" w:type="dxa"/>
              <w:right w:w="53" w:type="dxa"/>
            </w:tcMar>
          </w:tcPr>
          <w:p w14:paraId="7E9BF0C9" w14:textId="77777777" w:rsidR="001614AC" w:rsidRDefault="004468F9">
            <w:pPr>
              <w:keepNext/>
              <w:spacing w:before="75" w:after="30" w:line="288" w:lineRule="auto"/>
              <w:rPr>
                <w:rFonts w:ascii="Arial" w:eastAsia="Arial" w:hAnsi="Arial" w:cs="Arial"/>
                <w:color w:val="668092"/>
                <w:sz w:val="18"/>
              </w:rPr>
            </w:pPr>
            <w:hyperlink r:id="rId58" w:anchor="i312069c10f8b48788c3f16fbff6bd922_2077" w:history="1">
              <w:r>
                <w:rPr>
                  <w:rFonts w:ascii="Arial" w:eastAsia="Arial" w:hAnsi="Arial" w:cs="Arial"/>
                  <w:color w:val="668092"/>
                  <w:sz w:val="18"/>
                  <w:u w:val="single"/>
                </w:rPr>
                <w:t>Radian Group Inc. 2021 Equity Compensation Plan (incorporated by reference to Appendix A to the Registrant’s Defi</w:t>
              </w:r>
              <w:r>
                <w:rPr>
                  <w:rFonts w:ascii="Arial" w:eastAsia="Arial" w:hAnsi="Arial" w:cs="Arial"/>
                  <w:color w:val="668092"/>
                  <w:sz w:val="18"/>
                  <w:u w:val="single"/>
                </w:rPr>
                <w:t>nitive Proxy Statement on Schedule 14A (file no. 1-11356) filed on April 9, 2021 for the 2021 Annual Meeting of Stockholders)</w:t>
              </w:r>
            </w:hyperlink>
          </w:p>
        </w:tc>
      </w:tr>
      <w:tr w:rsidR="001614AC" w14:paraId="17904D03" w14:textId="77777777">
        <w:trPr>
          <w:cantSplit/>
        </w:trPr>
        <w:tc>
          <w:tcPr>
            <w:tcW w:w="1125" w:type="dxa"/>
            <w:tcBorders>
              <w:top w:val="nil"/>
              <w:left w:val="nil"/>
              <w:bottom w:val="nil"/>
              <w:right w:val="nil"/>
            </w:tcBorders>
            <w:shd w:val="clear" w:color="auto" w:fill="FFFFFF"/>
            <w:tcMar>
              <w:top w:w="0" w:type="dxa"/>
              <w:left w:w="53" w:type="dxa"/>
              <w:bottom w:w="0" w:type="dxa"/>
              <w:right w:w="53" w:type="dxa"/>
            </w:tcMar>
          </w:tcPr>
          <w:p w14:paraId="7A5D7F6A" w14:textId="77777777" w:rsidR="001614AC" w:rsidRDefault="004468F9">
            <w:pPr>
              <w:keepNext/>
              <w:spacing w:before="75" w:after="30" w:line="288" w:lineRule="auto"/>
              <w:jc w:val="center"/>
            </w:pPr>
            <w:r>
              <w:rPr>
                <w:rFonts w:ascii="Arial" w:eastAsia="Arial" w:hAnsi="Arial" w:cs="Arial"/>
                <w:color w:val="668092"/>
                <w:sz w:val="18"/>
              </w:rPr>
              <w:t>*31</w:t>
            </w:r>
          </w:p>
        </w:tc>
        <w:tc>
          <w:tcPr>
            <w:tcW w:w="120" w:type="dxa"/>
            <w:tcBorders>
              <w:top w:val="nil"/>
              <w:left w:val="nil"/>
              <w:bottom w:val="nil"/>
              <w:right w:val="nil"/>
            </w:tcBorders>
            <w:shd w:val="clear" w:color="auto" w:fill="FFFFFF"/>
            <w:tcMar>
              <w:top w:w="0" w:type="dxa"/>
              <w:left w:w="0" w:type="dxa"/>
              <w:bottom w:w="0" w:type="dxa"/>
              <w:right w:w="0" w:type="dxa"/>
            </w:tcMar>
            <w:vAlign w:val="bottom"/>
          </w:tcPr>
          <w:p w14:paraId="6FEDFFF0" w14:textId="77777777" w:rsidR="001614AC" w:rsidRDefault="001614AC">
            <w:pPr>
              <w:keepNext/>
            </w:pPr>
          </w:p>
        </w:tc>
        <w:tc>
          <w:tcPr>
            <w:tcW w:w="8835" w:type="dxa"/>
            <w:tcBorders>
              <w:top w:val="nil"/>
              <w:left w:val="nil"/>
              <w:bottom w:val="nil"/>
              <w:right w:val="nil"/>
            </w:tcBorders>
            <w:shd w:val="clear" w:color="auto" w:fill="FFFFFF"/>
            <w:tcMar>
              <w:top w:w="0" w:type="dxa"/>
              <w:left w:w="53" w:type="dxa"/>
              <w:bottom w:w="0" w:type="dxa"/>
              <w:right w:w="53" w:type="dxa"/>
            </w:tcMar>
          </w:tcPr>
          <w:p w14:paraId="188092E6" w14:textId="77777777" w:rsidR="001614AC" w:rsidRDefault="004468F9">
            <w:pPr>
              <w:keepNext/>
              <w:spacing w:before="75" w:after="30" w:line="288" w:lineRule="auto"/>
              <w:rPr>
                <w:rFonts w:ascii="Arial" w:eastAsia="Arial" w:hAnsi="Arial" w:cs="Arial"/>
                <w:color w:val="668092"/>
                <w:sz w:val="18"/>
              </w:rPr>
            </w:pPr>
            <w:hyperlink r:id="rId59" w:history="1">
              <w:r>
                <w:rPr>
                  <w:rFonts w:ascii="Arial" w:eastAsia="Arial" w:hAnsi="Arial" w:cs="Arial"/>
                  <w:color w:val="668092"/>
                  <w:sz w:val="18"/>
                  <w:u w:val="single"/>
                </w:rPr>
                <w:t>Rule 13a - 14(a) Certifications</w:t>
              </w:r>
            </w:hyperlink>
          </w:p>
        </w:tc>
      </w:tr>
      <w:tr w:rsidR="001614AC" w14:paraId="10730850" w14:textId="77777777">
        <w:trPr>
          <w:cantSplit/>
        </w:trPr>
        <w:tc>
          <w:tcPr>
            <w:tcW w:w="1125" w:type="dxa"/>
            <w:tcBorders>
              <w:top w:val="nil"/>
              <w:left w:val="nil"/>
              <w:bottom w:val="nil"/>
              <w:right w:val="nil"/>
            </w:tcBorders>
            <w:shd w:val="clear" w:color="auto" w:fill="F4F4F4"/>
            <w:tcMar>
              <w:top w:w="0" w:type="dxa"/>
              <w:left w:w="53" w:type="dxa"/>
              <w:bottom w:w="0" w:type="dxa"/>
              <w:right w:w="53" w:type="dxa"/>
            </w:tcMar>
          </w:tcPr>
          <w:p w14:paraId="15E71C32" w14:textId="77777777" w:rsidR="001614AC" w:rsidRDefault="004468F9">
            <w:pPr>
              <w:keepNext/>
              <w:spacing w:before="75" w:after="30" w:line="288" w:lineRule="auto"/>
              <w:jc w:val="center"/>
            </w:pPr>
            <w:r>
              <w:rPr>
                <w:rFonts w:ascii="Arial" w:eastAsia="Arial" w:hAnsi="Arial" w:cs="Arial"/>
                <w:color w:val="668092"/>
                <w:sz w:val="18"/>
              </w:rPr>
              <w:t>**32</w:t>
            </w:r>
          </w:p>
        </w:tc>
        <w:tc>
          <w:tcPr>
            <w:tcW w:w="120" w:type="dxa"/>
            <w:tcBorders>
              <w:top w:val="nil"/>
              <w:left w:val="nil"/>
              <w:bottom w:val="nil"/>
              <w:right w:val="nil"/>
            </w:tcBorders>
            <w:shd w:val="clear" w:color="auto" w:fill="F4F4F4"/>
            <w:tcMar>
              <w:top w:w="0" w:type="dxa"/>
              <w:left w:w="0" w:type="dxa"/>
              <w:bottom w:w="0" w:type="dxa"/>
              <w:right w:w="0" w:type="dxa"/>
            </w:tcMar>
            <w:vAlign w:val="bottom"/>
          </w:tcPr>
          <w:p w14:paraId="5E31752A" w14:textId="77777777" w:rsidR="001614AC" w:rsidRDefault="001614AC">
            <w:pPr>
              <w:keepNext/>
            </w:pPr>
          </w:p>
        </w:tc>
        <w:tc>
          <w:tcPr>
            <w:tcW w:w="8835" w:type="dxa"/>
            <w:tcBorders>
              <w:top w:val="nil"/>
              <w:left w:val="nil"/>
              <w:bottom w:val="nil"/>
              <w:right w:val="nil"/>
            </w:tcBorders>
            <w:shd w:val="clear" w:color="auto" w:fill="F4F4F4"/>
            <w:tcMar>
              <w:top w:w="0" w:type="dxa"/>
              <w:left w:w="53" w:type="dxa"/>
              <w:bottom w:w="0" w:type="dxa"/>
              <w:right w:w="53" w:type="dxa"/>
            </w:tcMar>
          </w:tcPr>
          <w:p w14:paraId="2A68C5A5" w14:textId="77777777" w:rsidR="001614AC" w:rsidRDefault="004468F9">
            <w:pPr>
              <w:keepNext/>
              <w:spacing w:before="75" w:after="30" w:line="288" w:lineRule="auto"/>
              <w:rPr>
                <w:rFonts w:ascii="Arial" w:eastAsia="Arial" w:hAnsi="Arial" w:cs="Arial"/>
                <w:color w:val="668092"/>
                <w:sz w:val="18"/>
              </w:rPr>
            </w:pPr>
            <w:hyperlink r:id="rId60" w:history="1">
              <w:r>
                <w:rPr>
                  <w:rFonts w:ascii="Arial" w:eastAsia="Arial" w:hAnsi="Arial" w:cs="Arial"/>
                  <w:color w:val="668092"/>
                  <w:sz w:val="18"/>
                  <w:u w:val="single"/>
                </w:rPr>
                <w:t>Section 1350 Certifications</w:t>
              </w:r>
            </w:hyperlink>
          </w:p>
        </w:tc>
      </w:tr>
      <w:tr w:rsidR="001614AC" w14:paraId="48621DC3" w14:textId="77777777">
        <w:trPr>
          <w:cantSplit/>
        </w:trPr>
        <w:tc>
          <w:tcPr>
            <w:tcW w:w="1125" w:type="dxa"/>
            <w:tcBorders>
              <w:top w:val="nil"/>
              <w:left w:val="nil"/>
              <w:bottom w:val="nil"/>
              <w:right w:val="nil"/>
            </w:tcBorders>
            <w:shd w:val="clear" w:color="auto" w:fill="FFFFFF"/>
            <w:tcMar>
              <w:top w:w="0" w:type="dxa"/>
              <w:left w:w="53" w:type="dxa"/>
              <w:bottom w:w="0" w:type="dxa"/>
              <w:right w:w="53" w:type="dxa"/>
            </w:tcMar>
          </w:tcPr>
          <w:p w14:paraId="28128F79" w14:textId="77777777" w:rsidR="001614AC" w:rsidRDefault="004468F9">
            <w:pPr>
              <w:keepNext/>
              <w:spacing w:before="75" w:after="30" w:line="288" w:lineRule="auto"/>
              <w:jc w:val="center"/>
            </w:pPr>
            <w:r>
              <w:rPr>
                <w:rFonts w:ascii="Arial" w:eastAsia="Arial" w:hAnsi="Arial" w:cs="Arial"/>
                <w:color w:val="668092"/>
                <w:sz w:val="18"/>
              </w:rPr>
              <w:t>*101.INS</w:t>
            </w:r>
          </w:p>
        </w:tc>
        <w:tc>
          <w:tcPr>
            <w:tcW w:w="120" w:type="dxa"/>
            <w:tcBorders>
              <w:top w:val="nil"/>
              <w:left w:val="nil"/>
              <w:bottom w:val="nil"/>
              <w:right w:val="nil"/>
            </w:tcBorders>
            <w:shd w:val="clear" w:color="auto" w:fill="FFFFFF"/>
            <w:tcMar>
              <w:top w:w="0" w:type="dxa"/>
              <w:left w:w="0" w:type="dxa"/>
              <w:bottom w:w="0" w:type="dxa"/>
              <w:right w:w="0" w:type="dxa"/>
            </w:tcMar>
            <w:vAlign w:val="bottom"/>
          </w:tcPr>
          <w:p w14:paraId="6B16E773" w14:textId="77777777" w:rsidR="001614AC" w:rsidRDefault="001614AC">
            <w:pPr>
              <w:keepNext/>
            </w:pPr>
          </w:p>
        </w:tc>
        <w:tc>
          <w:tcPr>
            <w:tcW w:w="8835" w:type="dxa"/>
            <w:tcBorders>
              <w:top w:val="nil"/>
              <w:left w:val="nil"/>
              <w:bottom w:val="nil"/>
              <w:right w:val="nil"/>
            </w:tcBorders>
            <w:shd w:val="clear" w:color="auto" w:fill="FFFFFF"/>
            <w:tcMar>
              <w:top w:w="0" w:type="dxa"/>
              <w:left w:w="53" w:type="dxa"/>
              <w:bottom w:w="0" w:type="dxa"/>
              <w:right w:w="53" w:type="dxa"/>
            </w:tcMar>
          </w:tcPr>
          <w:p w14:paraId="68BA2674" w14:textId="77777777" w:rsidR="001614AC" w:rsidRDefault="004468F9">
            <w:pPr>
              <w:keepNext/>
              <w:spacing w:before="75" w:after="30" w:line="288" w:lineRule="auto"/>
            </w:pPr>
            <w:r>
              <w:rPr>
                <w:rFonts w:ascii="Arial" w:eastAsia="Arial" w:hAnsi="Arial" w:cs="Arial"/>
                <w:color w:val="668092"/>
                <w:sz w:val="18"/>
              </w:rPr>
              <w:t xml:space="preserve">Inline XBRL Instance Document - the </w:t>
            </w:r>
            <w:r>
              <w:rPr>
                <w:rFonts w:ascii="Arial" w:eastAsia="Arial" w:hAnsi="Arial" w:cs="Arial"/>
                <w:color w:val="668092"/>
                <w:sz w:val="18"/>
              </w:rPr>
              <w:t>instance document does not appear in the Interactive Data File because its XBRL tags are embedded within the Inline XBRL document.</w:t>
            </w:r>
          </w:p>
        </w:tc>
      </w:tr>
      <w:tr w:rsidR="001614AC" w14:paraId="45236AE7" w14:textId="77777777">
        <w:trPr>
          <w:cantSplit/>
        </w:trPr>
        <w:tc>
          <w:tcPr>
            <w:tcW w:w="1125" w:type="dxa"/>
            <w:tcBorders>
              <w:top w:val="nil"/>
              <w:left w:val="nil"/>
              <w:bottom w:val="nil"/>
              <w:right w:val="nil"/>
            </w:tcBorders>
            <w:shd w:val="clear" w:color="auto" w:fill="F4F4F4"/>
            <w:tcMar>
              <w:top w:w="0" w:type="dxa"/>
              <w:left w:w="53" w:type="dxa"/>
              <w:bottom w:w="0" w:type="dxa"/>
              <w:right w:w="53" w:type="dxa"/>
            </w:tcMar>
          </w:tcPr>
          <w:p w14:paraId="771C91B6" w14:textId="77777777" w:rsidR="001614AC" w:rsidRDefault="004468F9">
            <w:pPr>
              <w:keepNext/>
              <w:spacing w:before="75" w:after="30" w:line="288" w:lineRule="auto"/>
              <w:jc w:val="center"/>
            </w:pPr>
            <w:r>
              <w:rPr>
                <w:rFonts w:ascii="Arial" w:eastAsia="Arial" w:hAnsi="Arial" w:cs="Arial"/>
                <w:color w:val="668092"/>
                <w:sz w:val="18"/>
              </w:rPr>
              <w:t>*101.SCH</w:t>
            </w:r>
          </w:p>
        </w:tc>
        <w:tc>
          <w:tcPr>
            <w:tcW w:w="120" w:type="dxa"/>
            <w:tcBorders>
              <w:top w:val="nil"/>
              <w:left w:val="nil"/>
              <w:bottom w:val="nil"/>
              <w:right w:val="nil"/>
            </w:tcBorders>
            <w:shd w:val="clear" w:color="auto" w:fill="F4F4F4"/>
            <w:tcMar>
              <w:top w:w="0" w:type="dxa"/>
              <w:left w:w="0" w:type="dxa"/>
              <w:bottom w:w="0" w:type="dxa"/>
              <w:right w:w="0" w:type="dxa"/>
            </w:tcMar>
            <w:vAlign w:val="bottom"/>
          </w:tcPr>
          <w:p w14:paraId="1E0EE516" w14:textId="77777777" w:rsidR="001614AC" w:rsidRDefault="001614AC">
            <w:pPr>
              <w:keepNext/>
            </w:pPr>
          </w:p>
        </w:tc>
        <w:tc>
          <w:tcPr>
            <w:tcW w:w="8835" w:type="dxa"/>
            <w:tcBorders>
              <w:top w:val="nil"/>
              <w:left w:val="nil"/>
              <w:bottom w:val="nil"/>
              <w:right w:val="nil"/>
            </w:tcBorders>
            <w:shd w:val="clear" w:color="auto" w:fill="F4F4F4"/>
            <w:tcMar>
              <w:top w:w="0" w:type="dxa"/>
              <w:left w:w="53" w:type="dxa"/>
              <w:bottom w:w="0" w:type="dxa"/>
              <w:right w:w="53" w:type="dxa"/>
            </w:tcMar>
          </w:tcPr>
          <w:p w14:paraId="3C773B1C" w14:textId="77777777" w:rsidR="001614AC" w:rsidRDefault="004468F9">
            <w:pPr>
              <w:keepNext/>
              <w:spacing w:before="75" w:after="30" w:line="288" w:lineRule="auto"/>
            </w:pPr>
            <w:r>
              <w:rPr>
                <w:rFonts w:ascii="Arial" w:eastAsia="Arial" w:hAnsi="Arial" w:cs="Arial"/>
                <w:color w:val="668092"/>
                <w:sz w:val="18"/>
              </w:rPr>
              <w:t>Inline XBRL Taxonomy Extension Schema Document</w:t>
            </w:r>
          </w:p>
        </w:tc>
      </w:tr>
      <w:tr w:rsidR="001614AC" w14:paraId="719AD08D" w14:textId="77777777">
        <w:trPr>
          <w:cantSplit/>
        </w:trPr>
        <w:tc>
          <w:tcPr>
            <w:tcW w:w="1125" w:type="dxa"/>
            <w:tcBorders>
              <w:top w:val="nil"/>
              <w:left w:val="nil"/>
              <w:bottom w:val="nil"/>
              <w:right w:val="nil"/>
            </w:tcBorders>
            <w:shd w:val="clear" w:color="auto" w:fill="FFFFFF"/>
            <w:tcMar>
              <w:top w:w="0" w:type="dxa"/>
              <w:left w:w="53" w:type="dxa"/>
              <w:bottom w:w="0" w:type="dxa"/>
              <w:right w:w="53" w:type="dxa"/>
            </w:tcMar>
          </w:tcPr>
          <w:p w14:paraId="7AC8EF90" w14:textId="77777777" w:rsidR="001614AC" w:rsidRDefault="004468F9">
            <w:pPr>
              <w:keepNext/>
              <w:spacing w:before="75" w:after="30" w:line="288" w:lineRule="auto"/>
              <w:jc w:val="center"/>
            </w:pPr>
            <w:r>
              <w:rPr>
                <w:rFonts w:ascii="Arial" w:eastAsia="Arial" w:hAnsi="Arial" w:cs="Arial"/>
                <w:color w:val="668092"/>
                <w:sz w:val="18"/>
              </w:rPr>
              <w:t>*101.CAL</w:t>
            </w:r>
          </w:p>
        </w:tc>
        <w:tc>
          <w:tcPr>
            <w:tcW w:w="120" w:type="dxa"/>
            <w:tcBorders>
              <w:top w:val="nil"/>
              <w:left w:val="nil"/>
              <w:bottom w:val="nil"/>
              <w:right w:val="nil"/>
            </w:tcBorders>
            <w:shd w:val="clear" w:color="auto" w:fill="FFFFFF"/>
            <w:tcMar>
              <w:top w:w="0" w:type="dxa"/>
              <w:left w:w="0" w:type="dxa"/>
              <w:bottom w:w="0" w:type="dxa"/>
              <w:right w:w="0" w:type="dxa"/>
            </w:tcMar>
            <w:vAlign w:val="bottom"/>
          </w:tcPr>
          <w:p w14:paraId="099B6ABE" w14:textId="77777777" w:rsidR="001614AC" w:rsidRDefault="001614AC">
            <w:pPr>
              <w:keepNext/>
            </w:pPr>
          </w:p>
        </w:tc>
        <w:tc>
          <w:tcPr>
            <w:tcW w:w="8835" w:type="dxa"/>
            <w:tcBorders>
              <w:top w:val="nil"/>
              <w:left w:val="nil"/>
              <w:bottom w:val="nil"/>
              <w:right w:val="nil"/>
            </w:tcBorders>
            <w:shd w:val="clear" w:color="auto" w:fill="FFFFFF"/>
            <w:tcMar>
              <w:top w:w="0" w:type="dxa"/>
              <w:left w:w="53" w:type="dxa"/>
              <w:bottom w:w="0" w:type="dxa"/>
              <w:right w:w="53" w:type="dxa"/>
            </w:tcMar>
          </w:tcPr>
          <w:p w14:paraId="2A5A9F37" w14:textId="77777777" w:rsidR="001614AC" w:rsidRDefault="004468F9">
            <w:pPr>
              <w:keepNext/>
              <w:spacing w:before="75" w:after="30" w:line="288" w:lineRule="auto"/>
            </w:pPr>
            <w:r>
              <w:rPr>
                <w:rFonts w:ascii="Arial" w:eastAsia="Arial" w:hAnsi="Arial" w:cs="Arial"/>
                <w:color w:val="668092"/>
                <w:sz w:val="18"/>
              </w:rPr>
              <w:t xml:space="preserve">Inline XBRL Taxonomy Extension Calculation </w:t>
            </w:r>
            <w:r>
              <w:rPr>
                <w:rFonts w:ascii="Arial" w:eastAsia="Arial" w:hAnsi="Arial" w:cs="Arial"/>
                <w:color w:val="668092"/>
                <w:sz w:val="18"/>
              </w:rPr>
              <w:t>Linkbase Document</w:t>
            </w:r>
          </w:p>
        </w:tc>
      </w:tr>
      <w:tr w:rsidR="001614AC" w14:paraId="033E9A7C" w14:textId="77777777">
        <w:trPr>
          <w:cantSplit/>
        </w:trPr>
        <w:tc>
          <w:tcPr>
            <w:tcW w:w="1125" w:type="dxa"/>
            <w:tcBorders>
              <w:top w:val="nil"/>
              <w:left w:val="nil"/>
              <w:bottom w:val="nil"/>
              <w:right w:val="nil"/>
            </w:tcBorders>
            <w:shd w:val="clear" w:color="auto" w:fill="F4F4F4"/>
            <w:tcMar>
              <w:top w:w="0" w:type="dxa"/>
              <w:left w:w="53" w:type="dxa"/>
              <w:bottom w:w="0" w:type="dxa"/>
              <w:right w:w="53" w:type="dxa"/>
            </w:tcMar>
          </w:tcPr>
          <w:p w14:paraId="5B3FADAD" w14:textId="77777777" w:rsidR="001614AC" w:rsidRDefault="004468F9">
            <w:pPr>
              <w:keepNext/>
              <w:spacing w:before="75" w:after="30" w:line="288" w:lineRule="auto"/>
              <w:jc w:val="center"/>
            </w:pPr>
            <w:r>
              <w:rPr>
                <w:rFonts w:ascii="Arial" w:eastAsia="Arial" w:hAnsi="Arial" w:cs="Arial"/>
                <w:color w:val="668092"/>
                <w:sz w:val="18"/>
              </w:rPr>
              <w:t>*101.DEF</w:t>
            </w:r>
          </w:p>
        </w:tc>
        <w:tc>
          <w:tcPr>
            <w:tcW w:w="120" w:type="dxa"/>
            <w:tcBorders>
              <w:top w:val="nil"/>
              <w:left w:val="nil"/>
              <w:bottom w:val="nil"/>
              <w:right w:val="nil"/>
            </w:tcBorders>
            <w:shd w:val="clear" w:color="auto" w:fill="F4F4F4"/>
            <w:tcMar>
              <w:top w:w="0" w:type="dxa"/>
              <w:left w:w="0" w:type="dxa"/>
              <w:bottom w:w="0" w:type="dxa"/>
              <w:right w:w="0" w:type="dxa"/>
            </w:tcMar>
            <w:vAlign w:val="bottom"/>
          </w:tcPr>
          <w:p w14:paraId="34F6BAD0" w14:textId="77777777" w:rsidR="001614AC" w:rsidRDefault="001614AC">
            <w:pPr>
              <w:keepNext/>
            </w:pPr>
          </w:p>
        </w:tc>
        <w:tc>
          <w:tcPr>
            <w:tcW w:w="8835" w:type="dxa"/>
            <w:tcBorders>
              <w:top w:val="nil"/>
              <w:left w:val="nil"/>
              <w:bottom w:val="nil"/>
              <w:right w:val="nil"/>
            </w:tcBorders>
            <w:shd w:val="clear" w:color="auto" w:fill="F4F4F4"/>
            <w:tcMar>
              <w:top w:w="0" w:type="dxa"/>
              <w:left w:w="53" w:type="dxa"/>
              <w:bottom w:w="0" w:type="dxa"/>
              <w:right w:w="53" w:type="dxa"/>
            </w:tcMar>
          </w:tcPr>
          <w:p w14:paraId="786985CA" w14:textId="77777777" w:rsidR="001614AC" w:rsidRDefault="004468F9">
            <w:pPr>
              <w:keepNext/>
              <w:spacing w:before="75" w:after="30" w:line="288" w:lineRule="auto"/>
            </w:pPr>
            <w:r>
              <w:rPr>
                <w:rFonts w:ascii="Arial" w:eastAsia="Arial" w:hAnsi="Arial" w:cs="Arial"/>
                <w:color w:val="668092"/>
                <w:sz w:val="18"/>
              </w:rPr>
              <w:t>Inline XBRL Taxonomy Extension Definition Linkbase Document</w:t>
            </w:r>
          </w:p>
        </w:tc>
      </w:tr>
      <w:tr w:rsidR="001614AC" w14:paraId="022E20DA" w14:textId="77777777">
        <w:trPr>
          <w:cantSplit/>
        </w:trPr>
        <w:tc>
          <w:tcPr>
            <w:tcW w:w="1125" w:type="dxa"/>
            <w:tcBorders>
              <w:top w:val="nil"/>
              <w:left w:val="nil"/>
              <w:bottom w:val="nil"/>
              <w:right w:val="nil"/>
            </w:tcBorders>
            <w:shd w:val="clear" w:color="auto" w:fill="FFFFFF"/>
            <w:tcMar>
              <w:top w:w="0" w:type="dxa"/>
              <w:left w:w="53" w:type="dxa"/>
              <w:bottom w:w="0" w:type="dxa"/>
              <w:right w:w="53" w:type="dxa"/>
            </w:tcMar>
          </w:tcPr>
          <w:p w14:paraId="13B94384" w14:textId="77777777" w:rsidR="001614AC" w:rsidRDefault="004468F9">
            <w:pPr>
              <w:keepNext/>
              <w:spacing w:before="75" w:after="30" w:line="288" w:lineRule="auto"/>
              <w:jc w:val="center"/>
            </w:pPr>
            <w:r>
              <w:rPr>
                <w:rFonts w:ascii="Arial" w:eastAsia="Arial" w:hAnsi="Arial" w:cs="Arial"/>
                <w:color w:val="668092"/>
                <w:sz w:val="18"/>
              </w:rPr>
              <w:t>*101.LAB</w:t>
            </w:r>
          </w:p>
        </w:tc>
        <w:tc>
          <w:tcPr>
            <w:tcW w:w="120" w:type="dxa"/>
            <w:tcBorders>
              <w:top w:val="nil"/>
              <w:left w:val="nil"/>
              <w:bottom w:val="nil"/>
              <w:right w:val="nil"/>
            </w:tcBorders>
            <w:shd w:val="clear" w:color="auto" w:fill="FFFFFF"/>
            <w:tcMar>
              <w:top w:w="0" w:type="dxa"/>
              <w:left w:w="0" w:type="dxa"/>
              <w:bottom w:w="0" w:type="dxa"/>
              <w:right w:w="0" w:type="dxa"/>
            </w:tcMar>
            <w:vAlign w:val="bottom"/>
          </w:tcPr>
          <w:p w14:paraId="455FE8D6" w14:textId="77777777" w:rsidR="001614AC" w:rsidRDefault="001614AC">
            <w:pPr>
              <w:keepNext/>
            </w:pPr>
          </w:p>
        </w:tc>
        <w:tc>
          <w:tcPr>
            <w:tcW w:w="8835" w:type="dxa"/>
            <w:tcBorders>
              <w:top w:val="nil"/>
              <w:left w:val="nil"/>
              <w:bottom w:val="nil"/>
              <w:right w:val="nil"/>
            </w:tcBorders>
            <w:shd w:val="clear" w:color="auto" w:fill="FFFFFF"/>
            <w:tcMar>
              <w:top w:w="0" w:type="dxa"/>
              <w:left w:w="53" w:type="dxa"/>
              <w:bottom w:w="0" w:type="dxa"/>
              <w:right w:w="53" w:type="dxa"/>
            </w:tcMar>
          </w:tcPr>
          <w:p w14:paraId="0B7427F9" w14:textId="77777777" w:rsidR="001614AC" w:rsidRDefault="004468F9">
            <w:pPr>
              <w:keepNext/>
              <w:spacing w:before="75" w:after="30" w:line="288" w:lineRule="auto"/>
            </w:pPr>
            <w:r>
              <w:rPr>
                <w:rFonts w:ascii="Arial" w:eastAsia="Arial" w:hAnsi="Arial" w:cs="Arial"/>
                <w:color w:val="668092"/>
                <w:sz w:val="18"/>
              </w:rPr>
              <w:t>Inline XBRL Taxonomy Extension Label Linkbase Document</w:t>
            </w:r>
          </w:p>
        </w:tc>
      </w:tr>
      <w:tr w:rsidR="001614AC" w14:paraId="5F9F17BE" w14:textId="77777777">
        <w:trPr>
          <w:cantSplit/>
        </w:trPr>
        <w:tc>
          <w:tcPr>
            <w:tcW w:w="1125" w:type="dxa"/>
            <w:tcBorders>
              <w:top w:val="nil"/>
              <w:left w:val="nil"/>
              <w:bottom w:val="nil"/>
              <w:right w:val="nil"/>
            </w:tcBorders>
            <w:shd w:val="clear" w:color="auto" w:fill="F4F4F4"/>
            <w:tcMar>
              <w:top w:w="0" w:type="dxa"/>
              <w:left w:w="53" w:type="dxa"/>
              <w:bottom w:w="0" w:type="dxa"/>
              <w:right w:w="53" w:type="dxa"/>
            </w:tcMar>
          </w:tcPr>
          <w:p w14:paraId="3EAEF0CF" w14:textId="77777777" w:rsidR="001614AC" w:rsidRDefault="004468F9">
            <w:pPr>
              <w:keepNext/>
              <w:spacing w:before="75" w:after="30" w:line="288" w:lineRule="auto"/>
              <w:jc w:val="center"/>
            </w:pPr>
            <w:r>
              <w:rPr>
                <w:rFonts w:ascii="Arial" w:eastAsia="Arial" w:hAnsi="Arial" w:cs="Arial"/>
                <w:color w:val="668092"/>
                <w:sz w:val="18"/>
              </w:rPr>
              <w:t>*101.PRE</w:t>
            </w:r>
          </w:p>
        </w:tc>
        <w:tc>
          <w:tcPr>
            <w:tcW w:w="120" w:type="dxa"/>
            <w:tcBorders>
              <w:top w:val="nil"/>
              <w:left w:val="nil"/>
              <w:bottom w:val="nil"/>
              <w:right w:val="nil"/>
            </w:tcBorders>
            <w:shd w:val="clear" w:color="auto" w:fill="F4F4F4"/>
            <w:tcMar>
              <w:top w:w="0" w:type="dxa"/>
              <w:left w:w="0" w:type="dxa"/>
              <w:bottom w:w="0" w:type="dxa"/>
              <w:right w:w="0" w:type="dxa"/>
            </w:tcMar>
            <w:vAlign w:val="bottom"/>
          </w:tcPr>
          <w:p w14:paraId="58591615" w14:textId="77777777" w:rsidR="001614AC" w:rsidRDefault="001614AC">
            <w:pPr>
              <w:keepNext/>
            </w:pPr>
          </w:p>
        </w:tc>
        <w:tc>
          <w:tcPr>
            <w:tcW w:w="8835" w:type="dxa"/>
            <w:tcBorders>
              <w:top w:val="nil"/>
              <w:left w:val="nil"/>
              <w:bottom w:val="nil"/>
              <w:right w:val="nil"/>
            </w:tcBorders>
            <w:shd w:val="clear" w:color="auto" w:fill="F4F4F4"/>
            <w:tcMar>
              <w:top w:w="0" w:type="dxa"/>
              <w:left w:w="53" w:type="dxa"/>
              <w:bottom w:w="0" w:type="dxa"/>
              <w:right w:w="53" w:type="dxa"/>
            </w:tcMar>
          </w:tcPr>
          <w:p w14:paraId="6CB10F26" w14:textId="77777777" w:rsidR="001614AC" w:rsidRDefault="004468F9">
            <w:pPr>
              <w:keepNext/>
              <w:spacing w:before="75" w:after="30" w:line="288" w:lineRule="auto"/>
            </w:pPr>
            <w:r>
              <w:rPr>
                <w:rFonts w:ascii="Arial" w:eastAsia="Arial" w:hAnsi="Arial" w:cs="Arial"/>
                <w:color w:val="668092"/>
                <w:sz w:val="18"/>
              </w:rPr>
              <w:t>Inline XBRL Taxonomy Extension Presentation Linkbase Document</w:t>
            </w:r>
          </w:p>
        </w:tc>
      </w:tr>
      <w:tr w:rsidR="001614AC" w14:paraId="7BCECB29" w14:textId="77777777">
        <w:trPr>
          <w:cantSplit/>
        </w:trPr>
        <w:tc>
          <w:tcPr>
            <w:tcW w:w="1125" w:type="dxa"/>
            <w:tcBorders>
              <w:top w:val="nil"/>
              <w:left w:val="nil"/>
              <w:bottom w:val="nil"/>
              <w:right w:val="nil"/>
            </w:tcBorders>
            <w:shd w:val="clear" w:color="auto" w:fill="FFFFFF"/>
            <w:tcMar>
              <w:top w:w="0" w:type="dxa"/>
              <w:left w:w="53" w:type="dxa"/>
              <w:bottom w:w="0" w:type="dxa"/>
              <w:right w:w="53" w:type="dxa"/>
            </w:tcMar>
          </w:tcPr>
          <w:p w14:paraId="755EC670" w14:textId="77777777" w:rsidR="001614AC" w:rsidRDefault="004468F9">
            <w:pPr>
              <w:spacing w:before="75" w:after="30" w:line="288" w:lineRule="auto"/>
              <w:jc w:val="center"/>
            </w:pPr>
            <w:r>
              <w:rPr>
                <w:rFonts w:ascii="Arial" w:eastAsia="Arial" w:hAnsi="Arial" w:cs="Arial"/>
                <w:color w:val="668092"/>
                <w:sz w:val="18"/>
              </w:rPr>
              <w:t>*104</w:t>
            </w:r>
          </w:p>
        </w:tc>
        <w:tc>
          <w:tcPr>
            <w:tcW w:w="120" w:type="dxa"/>
            <w:tcBorders>
              <w:top w:val="nil"/>
              <w:left w:val="nil"/>
              <w:bottom w:val="nil"/>
              <w:right w:val="nil"/>
            </w:tcBorders>
            <w:shd w:val="clear" w:color="auto" w:fill="FFFFFF"/>
            <w:tcMar>
              <w:top w:w="0" w:type="dxa"/>
              <w:left w:w="0" w:type="dxa"/>
              <w:bottom w:w="0" w:type="dxa"/>
              <w:right w:w="0" w:type="dxa"/>
            </w:tcMar>
            <w:vAlign w:val="bottom"/>
          </w:tcPr>
          <w:p w14:paraId="4FEF9E8A" w14:textId="77777777" w:rsidR="001614AC" w:rsidRDefault="001614AC"/>
        </w:tc>
        <w:tc>
          <w:tcPr>
            <w:tcW w:w="8835" w:type="dxa"/>
            <w:tcBorders>
              <w:top w:val="nil"/>
              <w:left w:val="nil"/>
              <w:bottom w:val="nil"/>
              <w:right w:val="nil"/>
            </w:tcBorders>
            <w:shd w:val="clear" w:color="auto" w:fill="FFFFFF"/>
            <w:tcMar>
              <w:top w:w="0" w:type="dxa"/>
              <w:left w:w="53" w:type="dxa"/>
              <w:bottom w:w="0" w:type="dxa"/>
              <w:right w:w="53" w:type="dxa"/>
            </w:tcMar>
          </w:tcPr>
          <w:p w14:paraId="36A1E4AE" w14:textId="77777777" w:rsidR="001614AC" w:rsidRDefault="004468F9">
            <w:pPr>
              <w:spacing w:before="75" w:after="30" w:line="288" w:lineRule="auto"/>
            </w:pPr>
            <w:r>
              <w:rPr>
                <w:rFonts w:ascii="Arial" w:eastAsia="Arial" w:hAnsi="Arial" w:cs="Arial"/>
                <w:color w:val="668092"/>
                <w:sz w:val="18"/>
              </w:rPr>
              <w:t xml:space="preserve">Cover Page </w:t>
            </w:r>
            <w:r>
              <w:rPr>
                <w:rFonts w:ascii="Arial" w:eastAsia="Arial" w:hAnsi="Arial" w:cs="Arial"/>
                <w:color w:val="668092"/>
                <w:sz w:val="18"/>
              </w:rPr>
              <w:t>Interactive Data File (formatted as Inline XBRL and contained in Exhibit 101.INS)</w:t>
            </w:r>
          </w:p>
        </w:tc>
      </w:tr>
    </w:tbl>
    <w:p w14:paraId="4754EFEF" w14:textId="77777777" w:rsidR="001614AC" w:rsidRDefault="004468F9">
      <w:pPr>
        <w:keepNext/>
        <w:tabs>
          <w:tab w:val="left" w:pos="260"/>
        </w:tabs>
        <w:spacing w:line="288" w:lineRule="auto"/>
        <w:rPr>
          <w:rFonts w:ascii="Arial" w:eastAsia="Arial" w:hAnsi="Arial" w:cs="Arial"/>
          <w:sz w:val="18"/>
        </w:rPr>
      </w:pPr>
      <w:r>
        <w:rPr>
          <w:rFonts w:ascii="Arial" w:eastAsia="Arial" w:hAnsi="Arial" w:cs="Arial"/>
          <w:sz w:val="18"/>
        </w:rPr>
        <w:t>*</w:t>
      </w:r>
      <w:r>
        <w:rPr>
          <w:rFonts w:ascii="Arial" w:eastAsia="Arial" w:hAnsi="Arial" w:cs="Arial"/>
          <w:sz w:val="18"/>
        </w:rPr>
        <w:tab/>
        <w:t>Filed herewith.</w:t>
      </w:r>
    </w:p>
    <w:p w14:paraId="20859066" w14:textId="77777777" w:rsidR="001614AC" w:rsidRDefault="004468F9">
      <w:pPr>
        <w:tabs>
          <w:tab w:val="left" w:pos="260"/>
        </w:tabs>
        <w:spacing w:before="100" w:after="100" w:line="288" w:lineRule="auto"/>
        <w:ind w:left="270" w:hanging="270"/>
        <w:rPr>
          <w:rFonts w:ascii="Arial" w:eastAsia="Arial" w:hAnsi="Arial" w:cs="Arial"/>
          <w:sz w:val="18"/>
        </w:rPr>
      </w:pPr>
      <w:r>
        <w:rPr>
          <w:rFonts w:ascii="Arial" w:eastAsia="Arial" w:hAnsi="Arial" w:cs="Arial"/>
          <w:sz w:val="18"/>
        </w:rPr>
        <w:t>**</w:t>
      </w:r>
      <w:r>
        <w:rPr>
          <w:rFonts w:ascii="Arial" w:eastAsia="Arial" w:hAnsi="Arial" w:cs="Arial"/>
          <w:sz w:val="18"/>
        </w:rPr>
        <w:tab/>
        <w:t>Furnished herewith.</w:t>
      </w:r>
    </w:p>
    <w:p w14:paraId="3F015419" w14:textId="77777777" w:rsidR="001614AC" w:rsidRDefault="004468F9">
      <w:pPr>
        <w:tabs>
          <w:tab w:val="left" w:pos="260"/>
        </w:tabs>
        <w:spacing w:before="100" w:line="288" w:lineRule="auto"/>
        <w:ind w:left="270" w:hanging="270"/>
        <w:rPr>
          <w:rFonts w:ascii="Arial" w:eastAsia="Arial" w:hAnsi="Arial" w:cs="Arial"/>
          <w:sz w:val="18"/>
        </w:rPr>
      </w:pPr>
      <w:r>
        <w:rPr>
          <w:rFonts w:ascii="Arial" w:eastAsia="Arial" w:hAnsi="Arial" w:cs="Arial"/>
          <w:sz w:val="18"/>
        </w:rPr>
        <w:t>+   Management contract, compensatory plan or arrangement.</w:t>
      </w:r>
    </w:p>
    <w:p w14:paraId="31042204" w14:textId="77777777" w:rsidR="001614AC" w:rsidRDefault="001614AC">
      <w:pPr>
        <w:tabs>
          <w:tab w:val="left" w:pos="260"/>
        </w:tabs>
        <w:spacing w:before="100" w:line="288" w:lineRule="auto"/>
        <w:ind w:left="270" w:hanging="270"/>
        <w:rPr>
          <w:rFonts w:ascii="Arial" w:eastAsia="Arial" w:hAnsi="Arial" w:cs="Arial"/>
          <w:sz w:val="18"/>
        </w:rPr>
        <w:sectPr w:rsidR="001614AC">
          <w:pgSz w:w="12240" w:h="15840"/>
          <w:pgMar w:top="1260" w:right="1080" w:bottom="1080" w:left="1080" w:header="270" w:footer="270" w:gutter="0"/>
          <w:cols w:space="708"/>
        </w:sectPr>
      </w:pPr>
    </w:p>
    <w:p w14:paraId="0699D29E" w14:textId="77777777" w:rsidR="001614AC" w:rsidRDefault="004468F9">
      <w:pPr>
        <w:keepNext/>
        <w:spacing w:after="160" w:line="288" w:lineRule="auto"/>
        <w:ind w:left="360" w:hanging="360"/>
        <w:jc w:val="center"/>
        <w:outlineLvl w:val="0"/>
        <w:rPr>
          <w:rFonts w:ascii="Arial" w:eastAsia="Arial" w:hAnsi="Arial" w:cs="Arial"/>
          <w:b/>
          <w:color w:val="4D6B80"/>
          <w:sz w:val="30"/>
        </w:rPr>
      </w:pPr>
      <w:bookmarkStart w:id="45" w:name="Section46"/>
      <w:bookmarkEnd w:id="45"/>
      <w:r>
        <w:rPr>
          <w:rFonts w:ascii="Arial" w:eastAsia="Arial" w:hAnsi="Arial" w:cs="Arial"/>
          <w:b/>
          <w:color w:val="4D6B80"/>
          <w:sz w:val="30"/>
        </w:rPr>
        <w:lastRenderedPageBreak/>
        <w:t>Signatures</w:t>
      </w:r>
    </w:p>
    <w:p w14:paraId="56319EBC" w14:textId="77777777" w:rsidR="001614AC" w:rsidRDefault="004468F9">
      <w:pPr>
        <w:spacing w:before="180" w:after="180" w:line="288" w:lineRule="auto"/>
        <w:ind w:firstLine="495"/>
        <w:rPr>
          <w:rFonts w:ascii="Arial" w:eastAsia="Arial" w:hAnsi="Arial" w:cs="Arial"/>
          <w:sz w:val="18"/>
        </w:rPr>
      </w:pPr>
      <w:r>
        <w:rPr>
          <w:rFonts w:ascii="Arial" w:eastAsia="Arial" w:hAnsi="Arial" w:cs="Arial"/>
          <w:sz w:val="18"/>
        </w:rPr>
        <w:t xml:space="preserve">Pursuant to the requirements of the Securities Exchange Act of 1934, the registrant has duly caused this report to be signed on its behalf by the undersigned thereunto duly authorized. </w:t>
      </w:r>
    </w:p>
    <w:tbl>
      <w:tblPr>
        <w:tblW w:w="8446" w:type="dxa"/>
        <w:tblInd w:w="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2"/>
        <w:gridCol w:w="2310"/>
        <w:gridCol w:w="5524"/>
      </w:tblGrid>
      <w:tr w:rsidR="001614AC" w14:paraId="14D8A5CC" w14:textId="77777777">
        <w:trPr>
          <w:cantSplit/>
          <w:trHeight w:hRule="exact" w:val="285"/>
        </w:trPr>
        <w:tc>
          <w:tcPr>
            <w:tcW w:w="600" w:type="dxa"/>
            <w:tcBorders>
              <w:top w:val="nil"/>
              <w:left w:val="nil"/>
              <w:bottom w:val="nil"/>
              <w:right w:val="nil"/>
            </w:tcBorders>
            <w:tcMar>
              <w:top w:w="0" w:type="dxa"/>
              <w:left w:w="0" w:type="dxa"/>
              <w:bottom w:w="0" w:type="dxa"/>
              <w:right w:w="0" w:type="dxa"/>
            </w:tcMar>
            <w:vAlign w:val="bottom"/>
          </w:tcPr>
          <w:p w14:paraId="48A379FF" w14:textId="77777777" w:rsidR="001614AC" w:rsidRDefault="001614AC"/>
        </w:tc>
        <w:tc>
          <w:tcPr>
            <w:tcW w:w="2265" w:type="dxa"/>
            <w:tcBorders>
              <w:top w:val="nil"/>
              <w:left w:val="nil"/>
              <w:bottom w:val="nil"/>
              <w:right w:val="nil"/>
            </w:tcBorders>
            <w:tcMar>
              <w:top w:w="0" w:type="dxa"/>
              <w:left w:w="0" w:type="dxa"/>
              <w:bottom w:w="0" w:type="dxa"/>
              <w:right w:w="0" w:type="dxa"/>
            </w:tcMar>
            <w:vAlign w:val="bottom"/>
          </w:tcPr>
          <w:p w14:paraId="428C1476" w14:textId="77777777" w:rsidR="001614AC" w:rsidRDefault="001614AC"/>
        </w:tc>
        <w:tc>
          <w:tcPr>
            <w:tcW w:w="5415" w:type="dxa"/>
            <w:tcBorders>
              <w:top w:val="nil"/>
              <w:left w:val="nil"/>
              <w:bottom w:val="nil"/>
              <w:right w:val="nil"/>
            </w:tcBorders>
            <w:tcMar>
              <w:top w:w="0" w:type="dxa"/>
              <w:left w:w="53" w:type="dxa"/>
              <w:bottom w:w="0" w:type="dxa"/>
              <w:right w:w="53" w:type="dxa"/>
            </w:tcMar>
            <w:vAlign w:val="bottom"/>
          </w:tcPr>
          <w:p w14:paraId="12F9D121" w14:textId="77777777" w:rsidR="001614AC" w:rsidRDefault="004468F9">
            <w:pPr>
              <w:spacing w:before="75" w:after="30" w:line="288" w:lineRule="auto"/>
            </w:pPr>
            <w:r>
              <w:rPr>
                <w:rFonts w:ascii="Arial" w:eastAsia="Arial" w:hAnsi="Arial" w:cs="Arial"/>
                <w:b/>
                <w:color w:val="000000"/>
                <w:sz w:val="18"/>
              </w:rPr>
              <w:t>Radian Group Inc.</w:t>
            </w:r>
          </w:p>
        </w:tc>
      </w:tr>
      <w:tr w:rsidR="001614AC" w14:paraId="288AD00E" w14:textId="77777777">
        <w:trPr>
          <w:cantSplit/>
          <w:trHeight w:hRule="exact" w:val="300"/>
        </w:trPr>
        <w:tc>
          <w:tcPr>
            <w:tcW w:w="600" w:type="dxa"/>
            <w:tcBorders>
              <w:top w:val="nil"/>
              <w:left w:val="nil"/>
              <w:bottom w:val="nil"/>
              <w:right w:val="nil"/>
            </w:tcBorders>
            <w:tcMar>
              <w:top w:w="0" w:type="dxa"/>
              <w:left w:w="0" w:type="dxa"/>
              <w:bottom w:w="0" w:type="dxa"/>
              <w:right w:w="0" w:type="dxa"/>
            </w:tcMar>
            <w:vAlign w:val="bottom"/>
          </w:tcPr>
          <w:p w14:paraId="565D4F89" w14:textId="77777777" w:rsidR="001614AC" w:rsidRDefault="001614AC"/>
        </w:tc>
        <w:tc>
          <w:tcPr>
            <w:tcW w:w="2265" w:type="dxa"/>
            <w:tcBorders>
              <w:top w:val="nil"/>
              <w:left w:val="nil"/>
              <w:bottom w:val="nil"/>
              <w:right w:val="nil"/>
            </w:tcBorders>
            <w:tcMar>
              <w:top w:w="0" w:type="dxa"/>
              <w:left w:w="0" w:type="dxa"/>
              <w:bottom w:w="0" w:type="dxa"/>
              <w:right w:w="0" w:type="dxa"/>
            </w:tcMar>
            <w:vAlign w:val="bottom"/>
          </w:tcPr>
          <w:p w14:paraId="54C11F19" w14:textId="77777777" w:rsidR="001614AC" w:rsidRDefault="001614AC"/>
        </w:tc>
        <w:tc>
          <w:tcPr>
            <w:tcW w:w="5415" w:type="dxa"/>
            <w:tcBorders>
              <w:top w:val="nil"/>
              <w:left w:val="nil"/>
              <w:bottom w:val="nil"/>
              <w:right w:val="nil"/>
            </w:tcBorders>
            <w:tcMar>
              <w:top w:w="0" w:type="dxa"/>
              <w:left w:w="0" w:type="dxa"/>
              <w:bottom w:w="0" w:type="dxa"/>
              <w:right w:w="0" w:type="dxa"/>
            </w:tcMar>
            <w:vAlign w:val="bottom"/>
          </w:tcPr>
          <w:p w14:paraId="0FD2E43E" w14:textId="77777777" w:rsidR="001614AC" w:rsidRDefault="001614AC"/>
        </w:tc>
      </w:tr>
      <w:tr w:rsidR="001614AC" w14:paraId="27D4C0FA" w14:textId="77777777">
        <w:trPr>
          <w:cantSplit/>
          <w:trHeight w:hRule="exact" w:val="285"/>
        </w:trPr>
        <w:tc>
          <w:tcPr>
            <w:tcW w:w="600" w:type="dxa"/>
            <w:tcBorders>
              <w:top w:val="nil"/>
              <w:left w:val="nil"/>
              <w:bottom w:val="nil"/>
              <w:right w:val="nil"/>
            </w:tcBorders>
            <w:tcMar>
              <w:top w:w="0" w:type="dxa"/>
              <w:left w:w="53" w:type="dxa"/>
              <w:bottom w:w="0" w:type="dxa"/>
              <w:right w:w="53" w:type="dxa"/>
            </w:tcMar>
            <w:vAlign w:val="bottom"/>
          </w:tcPr>
          <w:p w14:paraId="705C5F08" w14:textId="77777777" w:rsidR="001614AC" w:rsidRDefault="004468F9">
            <w:pPr>
              <w:spacing w:before="75" w:after="30" w:line="288" w:lineRule="auto"/>
            </w:pPr>
            <w:r>
              <w:rPr>
                <w:rFonts w:ascii="Arial" w:eastAsia="Arial" w:hAnsi="Arial" w:cs="Arial"/>
                <w:color w:val="000000"/>
                <w:sz w:val="18"/>
              </w:rPr>
              <w:t>Date:</w:t>
            </w:r>
          </w:p>
        </w:tc>
        <w:tc>
          <w:tcPr>
            <w:tcW w:w="2265" w:type="dxa"/>
            <w:tcBorders>
              <w:top w:val="nil"/>
              <w:left w:val="nil"/>
              <w:bottom w:val="nil"/>
              <w:right w:val="nil"/>
            </w:tcBorders>
            <w:tcMar>
              <w:top w:w="0" w:type="dxa"/>
              <w:left w:w="53" w:type="dxa"/>
              <w:bottom w:w="0" w:type="dxa"/>
              <w:right w:w="53" w:type="dxa"/>
            </w:tcMar>
            <w:vAlign w:val="bottom"/>
          </w:tcPr>
          <w:p w14:paraId="22B6ADB8" w14:textId="77777777" w:rsidR="001614AC" w:rsidRDefault="004468F9">
            <w:pPr>
              <w:spacing w:before="75" w:after="30" w:line="288" w:lineRule="auto"/>
            </w:pPr>
            <w:r>
              <w:rPr>
                <w:rFonts w:ascii="Arial" w:eastAsia="Arial" w:hAnsi="Arial" w:cs="Arial"/>
                <w:color w:val="000000"/>
                <w:sz w:val="18"/>
              </w:rPr>
              <w:t>August 6, 2021</w:t>
            </w:r>
          </w:p>
        </w:tc>
        <w:tc>
          <w:tcPr>
            <w:tcW w:w="5415" w:type="dxa"/>
            <w:tcBorders>
              <w:top w:val="nil"/>
              <w:left w:val="nil"/>
              <w:bottom w:val="single" w:sz="8" w:space="0" w:color="000000"/>
              <w:right w:val="nil"/>
            </w:tcBorders>
            <w:tcMar>
              <w:top w:w="0" w:type="dxa"/>
              <w:left w:w="53" w:type="dxa"/>
              <w:bottom w:w="0" w:type="dxa"/>
              <w:right w:w="53" w:type="dxa"/>
            </w:tcMar>
            <w:vAlign w:val="bottom"/>
          </w:tcPr>
          <w:p w14:paraId="55333067" w14:textId="77777777" w:rsidR="001614AC" w:rsidRDefault="004468F9">
            <w:pPr>
              <w:spacing w:before="75" w:after="30"/>
              <w:jc w:val="center"/>
              <w:rPr>
                <w:rFonts w:ascii="Arial" w:eastAsia="Arial" w:hAnsi="Arial" w:cs="Arial"/>
                <w:sz w:val="18"/>
              </w:rPr>
            </w:pPr>
            <w:r>
              <w:rPr>
                <w:rFonts w:ascii="Arial" w:eastAsia="Arial" w:hAnsi="Arial" w:cs="Arial"/>
                <w:sz w:val="18"/>
              </w:rPr>
              <w:t>/s/    J. F</w:t>
            </w:r>
            <w:r>
              <w:rPr>
                <w:rFonts w:ascii="Arial" w:eastAsia="Arial" w:hAnsi="Arial" w:cs="Arial"/>
                <w:sz w:val="16"/>
              </w:rPr>
              <w:t>RANKLIN</w:t>
            </w:r>
            <w:r>
              <w:rPr>
                <w:rFonts w:ascii="Arial" w:eastAsia="Arial" w:hAnsi="Arial" w:cs="Arial"/>
                <w:sz w:val="18"/>
              </w:rPr>
              <w:t xml:space="preserve"> H</w:t>
            </w:r>
            <w:r>
              <w:rPr>
                <w:rFonts w:ascii="Arial" w:eastAsia="Arial" w:hAnsi="Arial" w:cs="Arial"/>
                <w:sz w:val="16"/>
              </w:rPr>
              <w:t>ALL</w:t>
            </w:r>
          </w:p>
        </w:tc>
      </w:tr>
      <w:tr w:rsidR="001614AC" w14:paraId="5F7FC296" w14:textId="77777777">
        <w:trPr>
          <w:cantSplit/>
          <w:trHeight w:hRule="exact" w:val="285"/>
        </w:trPr>
        <w:tc>
          <w:tcPr>
            <w:tcW w:w="600" w:type="dxa"/>
            <w:tcBorders>
              <w:top w:val="nil"/>
              <w:left w:val="nil"/>
              <w:bottom w:val="nil"/>
              <w:right w:val="nil"/>
            </w:tcBorders>
            <w:tcMar>
              <w:top w:w="0" w:type="dxa"/>
              <w:left w:w="0" w:type="dxa"/>
              <w:bottom w:w="0" w:type="dxa"/>
              <w:right w:w="0" w:type="dxa"/>
            </w:tcMar>
            <w:vAlign w:val="bottom"/>
          </w:tcPr>
          <w:p w14:paraId="27FBFD54" w14:textId="77777777" w:rsidR="001614AC" w:rsidRDefault="001614AC"/>
        </w:tc>
        <w:tc>
          <w:tcPr>
            <w:tcW w:w="2265" w:type="dxa"/>
            <w:tcBorders>
              <w:top w:val="nil"/>
              <w:left w:val="nil"/>
              <w:bottom w:val="nil"/>
              <w:right w:val="nil"/>
            </w:tcBorders>
            <w:tcMar>
              <w:top w:w="0" w:type="dxa"/>
              <w:left w:w="0" w:type="dxa"/>
              <w:bottom w:w="0" w:type="dxa"/>
              <w:right w:w="0" w:type="dxa"/>
            </w:tcMar>
            <w:vAlign w:val="bottom"/>
          </w:tcPr>
          <w:p w14:paraId="09325670" w14:textId="77777777" w:rsidR="001614AC" w:rsidRDefault="001614AC"/>
        </w:tc>
        <w:tc>
          <w:tcPr>
            <w:tcW w:w="5415" w:type="dxa"/>
            <w:tcBorders>
              <w:top w:val="single" w:sz="8" w:space="0" w:color="000000"/>
              <w:left w:val="nil"/>
              <w:bottom w:val="nil"/>
              <w:right w:val="nil"/>
            </w:tcBorders>
            <w:tcMar>
              <w:top w:w="0" w:type="dxa"/>
              <w:left w:w="53" w:type="dxa"/>
              <w:bottom w:w="0" w:type="dxa"/>
              <w:right w:w="53" w:type="dxa"/>
            </w:tcMar>
            <w:vAlign w:val="bottom"/>
          </w:tcPr>
          <w:p w14:paraId="6B2AAEC6" w14:textId="77777777" w:rsidR="001614AC" w:rsidRDefault="004468F9">
            <w:pPr>
              <w:spacing w:before="55" w:after="30" w:line="288" w:lineRule="auto"/>
              <w:jc w:val="center"/>
            </w:pPr>
            <w:r>
              <w:rPr>
                <w:rFonts w:ascii="Arial" w:eastAsia="Arial" w:hAnsi="Arial" w:cs="Arial"/>
                <w:b/>
                <w:color w:val="000000"/>
                <w:sz w:val="16"/>
              </w:rPr>
              <w:t>J. Franklin Hall</w:t>
            </w:r>
          </w:p>
        </w:tc>
      </w:tr>
      <w:tr w:rsidR="001614AC" w14:paraId="310E0C84" w14:textId="77777777">
        <w:trPr>
          <w:cantSplit/>
          <w:trHeight w:hRule="exact" w:val="285"/>
        </w:trPr>
        <w:tc>
          <w:tcPr>
            <w:tcW w:w="600" w:type="dxa"/>
            <w:tcBorders>
              <w:top w:val="nil"/>
              <w:left w:val="nil"/>
              <w:bottom w:val="nil"/>
              <w:right w:val="nil"/>
            </w:tcBorders>
            <w:tcMar>
              <w:top w:w="0" w:type="dxa"/>
              <w:left w:w="0" w:type="dxa"/>
              <w:bottom w:w="0" w:type="dxa"/>
              <w:right w:w="0" w:type="dxa"/>
            </w:tcMar>
            <w:vAlign w:val="bottom"/>
          </w:tcPr>
          <w:p w14:paraId="4358DA9F" w14:textId="77777777" w:rsidR="001614AC" w:rsidRDefault="001614AC"/>
        </w:tc>
        <w:tc>
          <w:tcPr>
            <w:tcW w:w="2265" w:type="dxa"/>
            <w:tcBorders>
              <w:top w:val="nil"/>
              <w:left w:val="nil"/>
              <w:bottom w:val="nil"/>
              <w:right w:val="nil"/>
            </w:tcBorders>
            <w:tcMar>
              <w:top w:w="0" w:type="dxa"/>
              <w:left w:w="0" w:type="dxa"/>
              <w:bottom w:w="0" w:type="dxa"/>
              <w:right w:w="0" w:type="dxa"/>
            </w:tcMar>
            <w:vAlign w:val="bottom"/>
          </w:tcPr>
          <w:p w14:paraId="42C7CF57" w14:textId="77777777" w:rsidR="001614AC" w:rsidRDefault="001614AC"/>
        </w:tc>
        <w:tc>
          <w:tcPr>
            <w:tcW w:w="5415" w:type="dxa"/>
            <w:tcBorders>
              <w:top w:val="nil"/>
              <w:left w:val="nil"/>
              <w:bottom w:val="nil"/>
              <w:right w:val="nil"/>
            </w:tcBorders>
            <w:tcMar>
              <w:top w:w="0" w:type="dxa"/>
              <w:left w:w="53" w:type="dxa"/>
              <w:bottom w:w="0" w:type="dxa"/>
              <w:right w:w="53" w:type="dxa"/>
            </w:tcMar>
            <w:vAlign w:val="bottom"/>
          </w:tcPr>
          <w:p w14:paraId="066A24AF" w14:textId="77777777" w:rsidR="001614AC" w:rsidRDefault="004468F9">
            <w:pPr>
              <w:spacing w:before="75" w:after="30" w:line="288" w:lineRule="auto"/>
              <w:jc w:val="center"/>
            </w:pPr>
            <w:r>
              <w:rPr>
                <w:rFonts w:ascii="Arial" w:eastAsia="Arial" w:hAnsi="Arial" w:cs="Arial"/>
                <w:b/>
                <w:color w:val="000000"/>
                <w:sz w:val="16"/>
              </w:rPr>
              <w:t>Senior Executive Vice President, Chief Financial Officer</w:t>
            </w:r>
          </w:p>
        </w:tc>
      </w:tr>
      <w:tr w:rsidR="001614AC" w14:paraId="257033C6" w14:textId="77777777">
        <w:trPr>
          <w:cantSplit/>
          <w:trHeight w:hRule="exact" w:val="300"/>
        </w:trPr>
        <w:tc>
          <w:tcPr>
            <w:tcW w:w="600" w:type="dxa"/>
            <w:tcBorders>
              <w:top w:val="nil"/>
              <w:left w:val="nil"/>
              <w:bottom w:val="nil"/>
              <w:right w:val="nil"/>
            </w:tcBorders>
            <w:tcMar>
              <w:top w:w="0" w:type="dxa"/>
              <w:left w:w="0" w:type="dxa"/>
              <w:bottom w:w="0" w:type="dxa"/>
              <w:right w:w="0" w:type="dxa"/>
            </w:tcMar>
            <w:vAlign w:val="bottom"/>
          </w:tcPr>
          <w:p w14:paraId="0302ED9D" w14:textId="77777777" w:rsidR="001614AC" w:rsidRDefault="001614AC"/>
        </w:tc>
        <w:tc>
          <w:tcPr>
            <w:tcW w:w="2265" w:type="dxa"/>
            <w:tcBorders>
              <w:top w:val="nil"/>
              <w:left w:val="nil"/>
              <w:bottom w:val="nil"/>
              <w:right w:val="nil"/>
            </w:tcBorders>
            <w:tcMar>
              <w:top w:w="0" w:type="dxa"/>
              <w:left w:w="0" w:type="dxa"/>
              <w:bottom w:w="0" w:type="dxa"/>
              <w:right w:w="0" w:type="dxa"/>
            </w:tcMar>
            <w:vAlign w:val="bottom"/>
          </w:tcPr>
          <w:p w14:paraId="2262425B" w14:textId="77777777" w:rsidR="001614AC" w:rsidRDefault="001614AC"/>
        </w:tc>
        <w:tc>
          <w:tcPr>
            <w:tcW w:w="5415" w:type="dxa"/>
            <w:tcBorders>
              <w:top w:val="nil"/>
              <w:left w:val="nil"/>
              <w:bottom w:val="nil"/>
              <w:right w:val="nil"/>
            </w:tcBorders>
            <w:tcMar>
              <w:top w:w="0" w:type="dxa"/>
              <w:left w:w="0" w:type="dxa"/>
              <w:bottom w:w="0" w:type="dxa"/>
              <w:right w:w="0" w:type="dxa"/>
            </w:tcMar>
            <w:vAlign w:val="bottom"/>
          </w:tcPr>
          <w:p w14:paraId="2E9857E2" w14:textId="77777777" w:rsidR="001614AC" w:rsidRDefault="001614AC"/>
        </w:tc>
      </w:tr>
      <w:tr w:rsidR="001614AC" w14:paraId="0BA902F4" w14:textId="77777777">
        <w:trPr>
          <w:cantSplit/>
          <w:trHeight w:hRule="exact" w:val="285"/>
        </w:trPr>
        <w:tc>
          <w:tcPr>
            <w:tcW w:w="600" w:type="dxa"/>
            <w:tcBorders>
              <w:top w:val="nil"/>
              <w:left w:val="nil"/>
              <w:bottom w:val="nil"/>
              <w:right w:val="nil"/>
            </w:tcBorders>
            <w:tcMar>
              <w:top w:w="0" w:type="dxa"/>
              <w:left w:w="0" w:type="dxa"/>
              <w:bottom w:w="0" w:type="dxa"/>
              <w:right w:w="0" w:type="dxa"/>
            </w:tcMar>
            <w:vAlign w:val="bottom"/>
          </w:tcPr>
          <w:p w14:paraId="5C7EEF05" w14:textId="77777777" w:rsidR="001614AC" w:rsidRDefault="001614AC"/>
        </w:tc>
        <w:tc>
          <w:tcPr>
            <w:tcW w:w="2265" w:type="dxa"/>
            <w:tcBorders>
              <w:top w:val="nil"/>
              <w:left w:val="nil"/>
              <w:bottom w:val="nil"/>
              <w:right w:val="nil"/>
            </w:tcBorders>
            <w:tcMar>
              <w:top w:w="0" w:type="dxa"/>
              <w:left w:w="0" w:type="dxa"/>
              <w:bottom w:w="0" w:type="dxa"/>
              <w:right w:w="0" w:type="dxa"/>
            </w:tcMar>
            <w:vAlign w:val="bottom"/>
          </w:tcPr>
          <w:p w14:paraId="0CA48696" w14:textId="77777777" w:rsidR="001614AC" w:rsidRDefault="001614AC"/>
        </w:tc>
        <w:tc>
          <w:tcPr>
            <w:tcW w:w="5415" w:type="dxa"/>
            <w:tcBorders>
              <w:top w:val="nil"/>
              <w:left w:val="nil"/>
              <w:bottom w:val="single" w:sz="8" w:space="0" w:color="000000"/>
              <w:right w:val="nil"/>
            </w:tcBorders>
            <w:tcMar>
              <w:top w:w="0" w:type="dxa"/>
              <w:left w:w="53" w:type="dxa"/>
              <w:bottom w:w="0" w:type="dxa"/>
              <w:right w:w="53" w:type="dxa"/>
            </w:tcMar>
            <w:vAlign w:val="bottom"/>
          </w:tcPr>
          <w:p w14:paraId="1ECBCDF5" w14:textId="77777777" w:rsidR="001614AC" w:rsidRDefault="004468F9">
            <w:pPr>
              <w:spacing w:before="75" w:after="30"/>
              <w:jc w:val="center"/>
              <w:rPr>
                <w:rFonts w:ascii="Arial" w:eastAsia="Arial" w:hAnsi="Arial" w:cs="Arial"/>
                <w:sz w:val="18"/>
              </w:rPr>
            </w:pPr>
            <w:r>
              <w:rPr>
                <w:rFonts w:ascii="Arial" w:eastAsia="Arial" w:hAnsi="Arial" w:cs="Arial"/>
                <w:sz w:val="18"/>
              </w:rPr>
              <w:t>/s/    R</w:t>
            </w:r>
            <w:r>
              <w:rPr>
                <w:rFonts w:ascii="Arial" w:eastAsia="Arial" w:hAnsi="Arial" w:cs="Arial"/>
                <w:sz w:val="16"/>
              </w:rPr>
              <w:t>OBERT</w:t>
            </w:r>
            <w:r>
              <w:rPr>
                <w:rFonts w:ascii="Arial" w:eastAsia="Arial" w:hAnsi="Arial" w:cs="Arial"/>
                <w:sz w:val="18"/>
              </w:rPr>
              <w:t xml:space="preserve"> J. Q</w:t>
            </w:r>
            <w:r>
              <w:rPr>
                <w:rFonts w:ascii="Arial" w:eastAsia="Arial" w:hAnsi="Arial" w:cs="Arial"/>
                <w:sz w:val="16"/>
              </w:rPr>
              <w:t>UIGLEY</w:t>
            </w:r>
          </w:p>
        </w:tc>
      </w:tr>
      <w:tr w:rsidR="001614AC" w14:paraId="2D80B9F7" w14:textId="77777777">
        <w:trPr>
          <w:cantSplit/>
          <w:trHeight w:hRule="exact" w:val="285"/>
        </w:trPr>
        <w:tc>
          <w:tcPr>
            <w:tcW w:w="600" w:type="dxa"/>
            <w:tcBorders>
              <w:top w:val="nil"/>
              <w:left w:val="nil"/>
              <w:bottom w:val="nil"/>
              <w:right w:val="nil"/>
            </w:tcBorders>
            <w:tcMar>
              <w:top w:w="0" w:type="dxa"/>
              <w:left w:w="0" w:type="dxa"/>
              <w:bottom w:w="0" w:type="dxa"/>
              <w:right w:w="0" w:type="dxa"/>
            </w:tcMar>
            <w:vAlign w:val="bottom"/>
          </w:tcPr>
          <w:p w14:paraId="6DE30109" w14:textId="77777777" w:rsidR="001614AC" w:rsidRDefault="001614AC"/>
        </w:tc>
        <w:tc>
          <w:tcPr>
            <w:tcW w:w="2265" w:type="dxa"/>
            <w:tcBorders>
              <w:top w:val="nil"/>
              <w:left w:val="nil"/>
              <w:bottom w:val="nil"/>
              <w:right w:val="nil"/>
            </w:tcBorders>
            <w:tcMar>
              <w:top w:w="0" w:type="dxa"/>
              <w:left w:w="0" w:type="dxa"/>
              <w:bottom w:w="0" w:type="dxa"/>
              <w:right w:w="0" w:type="dxa"/>
            </w:tcMar>
            <w:vAlign w:val="bottom"/>
          </w:tcPr>
          <w:p w14:paraId="38ABB187" w14:textId="77777777" w:rsidR="001614AC" w:rsidRDefault="001614AC"/>
        </w:tc>
        <w:tc>
          <w:tcPr>
            <w:tcW w:w="5415" w:type="dxa"/>
            <w:tcBorders>
              <w:top w:val="single" w:sz="8" w:space="0" w:color="000000"/>
              <w:left w:val="nil"/>
              <w:bottom w:val="nil"/>
              <w:right w:val="nil"/>
            </w:tcBorders>
            <w:tcMar>
              <w:top w:w="0" w:type="dxa"/>
              <w:left w:w="53" w:type="dxa"/>
              <w:bottom w:w="0" w:type="dxa"/>
              <w:right w:w="53" w:type="dxa"/>
            </w:tcMar>
            <w:vAlign w:val="bottom"/>
          </w:tcPr>
          <w:p w14:paraId="2DC65A3E" w14:textId="77777777" w:rsidR="001614AC" w:rsidRDefault="004468F9">
            <w:pPr>
              <w:spacing w:before="55" w:after="30" w:line="288" w:lineRule="auto"/>
              <w:jc w:val="center"/>
            </w:pPr>
            <w:r>
              <w:rPr>
                <w:rFonts w:ascii="Arial" w:eastAsia="Arial" w:hAnsi="Arial" w:cs="Arial"/>
                <w:b/>
                <w:color w:val="000000"/>
                <w:sz w:val="16"/>
              </w:rPr>
              <w:t>Robert J. Quigley</w:t>
            </w:r>
          </w:p>
        </w:tc>
      </w:tr>
      <w:tr w:rsidR="001614AC" w14:paraId="7EC3E2C5" w14:textId="77777777">
        <w:trPr>
          <w:cantSplit/>
          <w:trHeight w:hRule="exact" w:val="285"/>
        </w:trPr>
        <w:tc>
          <w:tcPr>
            <w:tcW w:w="600" w:type="dxa"/>
            <w:tcBorders>
              <w:top w:val="nil"/>
              <w:left w:val="nil"/>
              <w:bottom w:val="nil"/>
              <w:right w:val="nil"/>
            </w:tcBorders>
            <w:tcMar>
              <w:top w:w="0" w:type="dxa"/>
              <w:left w:w="0" w:type="dxa"/>
              <w:bottom w:w="0" w:type="dxa"/>
              <w:right w:w="0" w:type="dxa"/>
            </w:tcMar>
            <w:vAlign w:val="bottom"/>
          </w:tcPr>
          <w:p w14:paraId="3E6B1079" w14:textId="77777777" w:rsidR="001614AC" w:rsidRDefault="001614AC"/>
        </w:tc>
        <w:tc>
          <w:tcPr>
            <w:tcW w:w="2265" w:type="dxa"/>
            <w:tcBorders>
              <w:top w:val="nil"/>
              <w:left w:val="nil"/>
              <w:bottom w:val="nil"/>
              <w:right w:val="nil"/>
            </w:tcBorders>
            <w:tcMar>
              <w:top w:w="0" w:type="dxa"/>
              <w:left w:w="0" w:type="dxa"/>
              <w:bottom w:w="0" w:type="dxa"/>
              <w:right w:w="0" w:type="dxa"/>
            </w:tcMar>
            <w:vAlign w:val="bottom"/>
          </w:tcPr>
          <w:p w14:paraId="2C63C055" w14:textId="77777777" w:rsidR="001614AC" w:rsidRDefault="001614AC"/>
        </w:tc>
        <w:tc>
          <w:tcPr>
            <w:tcW w:w="5415" w:type="dxa"/>
            <w:tcBorders>
              <w:top w:val="nil"/>
              <w:left w:val="nil"/>
              <w:bottom w:val="nil"/>
              <w:right w:val="nil"/>
            </w:tcBorders>
            <w:tcMar>
              <w:top w:w="0" w:type="dxa"/>
              <w:left w:w="53" w:type="dxa"/>
              <w:bottom w:w="0" w:type="dxa"/>
              <w:right w:w="53" w:type="dxa"/>
            </w:tcMar>
            <w:vAlign w:val="bottom"/>
          </w:tcPr>
          <w:p w14:paraId="09D65692" w14:textId="77777777" w:rsidR="001614AC" w:rsidRDefault="004468F9">
            <w:pPr>
              <w:spacing w:before="75" w:after="30" w:line="288" w:lineRule="auto"/>
              <w:jc w:val="center"/>
            </w:pPr>
            <w:r>
              <w:rPr>
                <w:rFonts w:ascii="Arial" w:eastAsia="Arial" w:hAnsi="Arial" w:cs="Arial"/>
                <w:b/>
                <w:color w:val="000000"/>
                <w:sz w:val="16"/>
              </w:rPr>
              <w:t>Executive Vice President, Controller and Chief Accounting Officer</w:t>
            </w:r>
          </w:p>
        </w:tc>
      </w:tr>
    </w:tbl>
    <w:p w14:paraId="3BDFA790" w14:textId="77777777" w:rsidR="001614AC" w:rsidRDefault="001614AC">
      <w:pPr>
        <w:spacing w:before="100" w:line="288" w:lineRule="auto"/>
        <w:ind w:firstLine="450"/>
        <w:rPr>
          <w:rFonts w:ascii="Arial" w:eastAsia="Arial" w:hAnsi="Arial" w:cs="Arial"/>
          <w:sz w:val="18"/>
        </w:rPr>
      </w:pPr>
    </w:p>
    <w:sectPr w:rsidR="001614AC">
      <w:pgSz w:w="12240" w:h="15840"/>
      <w:pgMar w:top="1260" w:right="1080" w:bottom="1080" w:left="1080" w:header="270" w:footer="27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42B948" w14:textId="77777777" w:rsidR="004468F9" w:rsidRDefault="004468F9">
      <w:r>
        <w:separator/>
      </w:r>
    </w:p>
  </w:endnote>
  <w:endnote w:type="continuationSeparator" w:id="0">
    <w:p w14:paraId="46533597" w14:textId="77777777" w:rsidR="004468F9" w:rsidRDefault="004468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88D3C3" w14:textId="77777777" w:rsidR="001614AC" w:rsidRDefault="001614AC">
    <w:pPr>
      <w:spacing w:line="288" w:lineRule="auto"/>
      <w:ind w:left="630" w:right="630" w:firstLine="450"/>
      <w:rPr>
        <w:rFonts w:ascii="Arial" w:eastAsia="Arial" w:hAnsi="Arial" w:cs="Arial"/>
        <w:sz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7665EB" w14:textId="77777777" w:rsidR="001614AC" w:rsidRDefault="001614AC">
    <w:pPr>
      <w:spacing w:before="100" w:after="100" w:line="288" w:lineRule="auto"/>
      <w:ind w:left="-90" w:right="-90" w:firstLine="450"/>
      <w:jc w:val="center"/>
      <w:rPr>
        <w:rFonts w:ascii="Arial" w:eastAsia="Arial" w:hAnsi="Arial" w:cs="Arial"/>
        <w:sz w:val="18"/>
      </w:rPr>
    </w:pPr>
  </w:p>
  <w:p w14:paraId="4730B207" w14:textId="77777777" w:rsidR="001614AC" w:rsidRDefault="001614AC">
    <w:pPr>
      <w:spacing w:before="60" w:after="100" w:line="288" w:lineRule="auto"/>
      <w:ind w:left="-90" w:right="-90" w:firstLine="450"/>
      <w:jc w:val="center"/>
      <w:rPr>
        <w:rFonts w:ascii="Arial" w:eastAsia="Arial" w:hAnsi="Arial" w:cs="Arial"/>
        <w:sz w:val="18"/>
      </w:rPr>
    </w:pPr>
  </w:p>
  <w:p w14:paraId="322A7F39" w14:textId="77777777" w:rsidR="001614AC" w:rsidRDefault="001614AC">
    <w:pPr>
      <w:spacing w:before="60" w:after="100" w:line="288" w:lineRule="auto"/>
      <w:ind w:left="-90" w:right="-90" w:firstLine="450"/>
      <w:jc w:val="center"/>
      <w:rPr>
        <w:rFonts w:ascii="Arial" w:eastAsia="Arial" w:hAnsi="Arial" w:cs="Arial"/>
        <w:sz w:val="18"/>
      </w:rPr>
    </w:pPr>
  </w:p>
  <w:p w14:paraId="235F8EE4" w14:textId="77777777" w:rsidR="001614AC" w:rsidRDefault="004468F9">
    <w:pPr>
      <w:pageBreakBefore/>
      <w:spacing w:after="100" w:line="288" w:lineRule="auto"/>
      <w:ind w:left="-90" w:right="-90" w:firstLine="450"/>
      <w:jc w:val="center"/>
      <w:rPr>
        <w:rFonts w:ascii="Arial" w:eastAsia="Arial" w:hAnsi="Arial" w:cs="Arial"/>
        <w:sz w:val="18"/>
      </w:rPr>
    </w:pPr>
    <w:r>
      <w:rPr>
        <w:rFonts w:ascii="Arial" w:eastAsia="Arial" w:hAnsi="Arial" w:cs="Arial"/>
        <w:sz w:val="18"/>
      </w:rPr>
      <w:fldChar w:fldCharType="begin"/>
    </w:r>
    <w:r>
      <w:rPr>
        <w:rFonts w:ascii="Arial" w:eastAsia="Arial" w:hAnsi="Arial" w:cs="Arial"/>
        <w:sz w:val="18"/>
      </w:rPr>
      <w:instrText xml:space="preserve"> PAGE </w:instrText>
    </w:r>
    <w:r>
      <w:rPr>
        <w:rFonts w:ascii="Arial" w:eastAsia="Arial" w:hAnsi="Arial" w:cs="Arial"/>
        <w:sz w:val="18"/>
      </w:rPr>
      <w:fldChar w:fldCharType="separate"/>
    </w:r>
    <w:r>
      <w:rPr>
        <w:rFonts w:ascii="Arial" w:eastAsia="Arial" w:hAnsi="Arial" w:cs="Arial"/>
        <w:sz w:val="18"/>
      </w:rPr>
      <w:t>9</w:t>
    </w:r>
    <w:r>
      <w:rPr>
        <w:rFonts w:ascii="Arial" w:eastAsia="Arial" w:hAnsi="Arial" w:cs="Arial"/>
        <w:sz w:val="18"/>
      </w:rPr>
      <w:fldChar w:fldCharType="end"/>
    </w:r>
  </w:p>
  <w:p w14:paraId="23F98ADC" w14:textId="77777777" w:rsidR="001614AC" w:rsidRDefault="001614AC">
    <w:pPr>
      <w:spacing w:before="100" w:line="288" w:lineRule="auto"/>
      <w:ind w:left="-90" w:right="-90" w:firstLine="450"/>
      <w:jc w:val="center"/>
      <w:rPr>
        <w:rFonts w:ascii="Arial" w:eastAsia="Arial" w:hAnsi="Arial" w:cs="Arial"/>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AE7093" w14:textId="77777777" w:rsidR="001614AC" w:rsidRDefault="004468F9">
    <w:pPr>
      <w:spacing w:line="288" w:lineRule="auto"/>
      <w:ind w:firstLine="450"/>
      <w:jc w:val="center"/>
      <w:outlineLvl w:val="2"/>
      <w:rPr>
        <w:rFonts w:ascii="Arial" w:eastAsia="Arial" w:hAnsi="Arial" w:cs="Arial"/>
        <w:sz w:val="18"/>
      </w:rPr>
    </w:pPr>
    <w:r>
      <w:rPr>
        <w:rFonts w:ascii="Arial" w:eastAsia="Arial" w:hAnsi="Arial" w:cs="Arial"/>
        <w:sz w:val="18"/>
      </w:rPr>
      <w:t>See Notes to Unaudited Condensed Consolidated Financial Statements.</w:t>
    </w:r>
  </w:p>
  <w:p w14:paraId="36219BA9" w14:textId="77777777" w:rsidR="001614AC" w:rsidRDefault="001614AC">
    <w:pPr>
      <w:spacing w:line="288" w:lineRule="auto"/>
      <w:ind w:firstLine="450"/>
      <w:jc w:val="center"/>
      <w:rPr>
        <w:rFonts w:ascii="Arial" w:eastAsia="Arial" w:hAnsi="Arial" w:cs="Arial"/>
        <w:sz w:val="18"/>
      </w:rPr>
    </w:pPr>
  </w:p>
  <w:p w14:paraId="425D62AF" w14:textId="77777777" w:rsidR="001614AC" w:rsidRDefault="004468F9">
    <w:pPr>
      <w:spacing w:line="288" w:lineRule="auto"/>
      <w:ind w:firstLine="450"/>
      <w:jc w:val="center"/>
      <w:rPr>
        <w:rFonts w:ascii="Arial" w:eastAsia="Arial" w:hAnsi="Arial" w:cs="Arial"/>
        <w:sz w:val="18"/>
      </w:rPr>
    </w:pPr>
    <w:r>
      <w:rPr>
        <w:rFonts w:ascii="Arial" w:eastAsia="Arial" w:hAnsi="Arial" w:cs="Arial"/>
        <w:sz w:val="18"/>
      </w:rPr>
      <w:fldChar w:fldCharType="begin"/>
    </w:r>
    <w:r>
      <w:rPr>
        <w:rFonts w:ascii="Arial" w:eastAsia="Arial" w:hAnsi="Arial" w:cs="Arial"/>
        <w:sz w:val="18"/>
      </w:rPr>
      <w:instrText xml:space="preserve"> PAGE </w:instrText>
    </w:r>
    <w:r>
      <w:rPr>
        <w:rFonts w:ascii="Arial" w:eastAsia="Arial" w:hAnsi="Arial" w:cs="Arial"/>
        <w:sz w:val="18"/>
      </w:rPr>
      <w:fldChar w:fldCharType="separate"/>
    </w:r>
    <w:r>
      <w:rPr>
        <w:rFonts w:ascii="Arial" w:eastAsia="Arial" w:hAnsi="Arial" w:cs="Arial"/>
        <w:sz w:val="18"/>
      </w:rPr>
      <w:t>11</w:t>
    </w:r>
    <w:r>
      <w:rPr>
        <w:rFonts w:ascii="Arial" w:eastAsia="Arial" w:hAnsi="Arial" w:cs="Arial"/>
        <w:sz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B7C967" w14:textId="77777777" w:rsidR="001614AC" w:rsidRDefault="004468F9">
    <w:pPr>
      <w:spacing w:line="288" w:lineRule="auto"/>
      <w:ind w:firstLine="450"/>
      <w:jc w:val="center"/>
      <w:outlineLvl w:val="2"/>
      <w:rPr>
        <w:rFonts w:ascii="Arial" w:eastAsia="Arial" w:hAnsi="Arial" w:cs="Arial"/>
        <w:sz w:val="18"/>
      </w:rPr>
    </w:pPr>
    <w:r>
      <w:rPr>
        <w:rFonts w:ascii="Arial" w:eastAsia="Arial" w:hAnsi="Arial" w:cs="Arial"/>
        <w:sz w:val="18"/>
      </w:rPr>
      <w:t>See Notes to Unaudited Condensed Consolidated Financia</w:t>
    </w:r>
    <w:r>
      <w:rPr>
        <w:rFonts w:ascii="Arial" w:eastAsia="Arial" w:hAnsi="Arial" w:cs="Arial"/>
        <w:sz w:val="18"/>
      </w:rPr>
      <w:t>l Statements.</w:t>
    </w:r>
  </w:p>
  <w:p w14:paraId="72B63F32" w14:textId="77777777" w:rsidR="001614AC" w:rsidRDefault="001614AC">
    <w:pPr>
      <w:spacing w:line="288" w:lineRule="auto"/>
      <w:ind w:firstLine="450"/>
      <w:jc w:val="center"/>
      <w:rPr>
        <w:rFonts w:ascii="Arial" w:eastAsia="Arial" w:hAnsi="Arial" w:cs="Arial"/>
        <w:sz w:val="18"/>
      </w:rPr>
    </w:pPr>
  </w:p>
  <w:p w14:paraId="54A345A4" w14:textId="77777777" w:rsidR="001614AC" w:rsidRDefault="004468F9">
    <w:pPr>
      <w:spacing w:line="288" w:lineRule="auto"/>
      <w:ind w:firstLine="450"/>
      <w:jc w:val="center"/>
      <w:rPr>
        <w:rFonts w:ascii="Arial" w:eastAsia="Arial" w:hAnsi="Arial" w:cs="Arial"/>
        <w:sz w:val="18"/>
      </w:rPr>
    </w:pPr>
    <w:r>
      <w:rPr>
        <w:rFonts w:ascii="Arial" w:eastAsia="Arial" w:hAnsi="Arial" w:cs="Arial"/>
        <w:sz w:val="18"/>
      </w:rPr>
      <w:fldChar w:fldCharType="begin"/>
    </w:r>
    <w:r>
      <w:rPr>
        <w:rFonts w:ascii="Arial" w:eastAsia="Arial" w:hAnsi="Arial" w:cs="Arial"/>
        <w:sz w:val="18"/>
      </w:rPr>
      <w:instrText xml:space="preserve"> PAGE </w:instrText>
    </w:r>
    <w:r>
      <w:rPr>
        <w:rFonts w:ascii="Arial" w:eastAsia="Arial" w:hAnsi="Arial" w:cs="Arial"/>
        <w:sz w:val="18"/>
      </w:rPr>
      <w:fldChar w:fldCharType="separate"/>
    </w:r>
    <w:r>
      <w:rPr>
        <w:rFonts w:ascii="Arial" w:eastAsia="Arial" w:hAnsi="Arial" w:cs="Arial"/>
        <w:sz w:val="18"/>
      </w:rPr>
      <w:t>13</w:t>
    </w:r>
    <w:r>
      <w:rPr>
        <w:rFonts w:ascii="Arial" w:eastAsia="Arial" w:hAnsi="Arial" w:cs="Arial"/>
        <w:sz w:val="18"/>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5E3A02" w14:textId="77777777" w:rsidR="001614AC" w:rsidRDefault="004468F9">
    <w:pPr>
      <w:spacing w:line="288" w:lineRule="auto"/>
      <w:ind w:firstLine="450"/>
      <w:jc w:val="center"/>
      <w:outlineLvl w:val="2"/>
      <w:rPr>
        <w:rFonts w:ascii="Arial" w:eastAsia="Arial" w:hAnsi="Arial" w:cs="Arial"/>
        <w:sz w:val="18"/>
      </w:rPr>
    </w:pPr>
    <w:r>
      <w:rPr>
        <w:rFonts w:ascii="Arial" w:eastAsia="Arial" w:hAnsi="Arial" w:cs="Arial"/>
        <w:sz w:val="18"/>
      </w:rPr>
      <w:t>See Notes to Unaudited Condensed Consolidated Financial Statements.</w:t>
    </w:r>
  </w:p>
  <w:p w14:paraId="73E4114D" w14:textId="77777777" w:rsidR="001614AC" w:rsidRDefault="001614AC">
    <w:pPr>
      <w:spacing w:line="288" w:lineRule="auto"/>
      <w:ind w:firstLine="450"/>
      <w:jc w:val="center"/>
      <w:rPr>
        <w:rFonts w:ascii="Arial" w:eastAsia="Arial" w:hAnsi="Arial" w:cs="Arial"/>
        <w:sz w:val="18"/>
      </w:rPr>
    </w:pPr>
  </w:p>
  <w:p w14:paraId="0F78A81F" w14:textId="77777777" w:rsidR="001614AC" w:rsidRDefault="004468F9">
    <w:pPr>
      <w:spacing w:line="288" w:lineRule="auto"/>
      <w:ind w:firstLine="450"/>
      <w:jc w:val="center"/>
      <w:rPr>
        <w:rFonts w:ascii="Arial" w:eastAsia="Arial" w:hAnsi="Arial" w:cs="Arial"/>
        <w:sz w:val="18"/>
      </w:rPr>
    </w:pPr>
    <w:r>
      <w:rPr>
        <w:rFonts w:ascii="Arial" w:eastAsia="Arial" w:hAnsi="Arial" w:cs="Arial"/>
        <w:sz w:val="18"/>
      </w:rPr>
      <w:fldChar w:fldCharType="begin"/>
    </w:r>
    <w:r>
      <w:rPr>
        <w:rFonts w:ascii="Arial" w:eastAsia="Arial" w:hAnsi="Arial" w:cs="Arial"/>
        <w:sz w:val="18"/>
      </w:rPr>
      <w:instrText xml:space="preserve"> PAGE </w:instrText>
    </w:r>
    <w:r>
      <w:rPr>
        <w:rFonts w:ascii="Arial" w:eastAsia="Arial" w:hAnsi="Arial" w:cs="Arial"/>
        <w:sz w:val="18"/>
      </w:rPr>
      <w:fldChar w:fldCharType="separate"/>
    </w:r>
    <w:r>
      <w:rPr>
        <w:rFonts w:ascii="Arial" w:eastAsia="Arial" w:hAnsi="Arial" w:cs="Arial"/>
        <w:sz w:val="18"/>
      </w:rPr>
      <w:t>14</w:t>
    </w:r>
    <w:r>
      <w:rPr>
        <w:rFonts w:ascii="Arial" w:eastAsia="Arial" w:hAnsi="Arial" w:cs="Arial"/>
        <w:sz w:val="18"/>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97CC5A" w14:textId="77777777" w:rsidR="001614AC" w:rsidRDefault="004468F9">
    <w:pPr>
      <w:spacing w:line="288" w:lineRule="auto"/>
      <w:ind w:firstLine="450"/>
      <w:jc w:val="center"/>
      <w:outlineLvl w:val="2"/>
      <w:rPr>
        <w:rFonts w:ascii="Arial" w:eastAsia="Arial" w:hAnsi="Arial" w:cs="Arial"/>
        <w:sz w:val="18"/>
      </w:rPr>
    </w:pPr>
    <w:r>
      <w:rPr>
        <w:rFonts w:ascii="Arial" w:eastAsia="Arial" w:hAnsi="Arial" w:cs="Arial"/>
        <w:sz w:val="18"/>
      </w:rPr>
      <w:t>See Notes to Unaudited Condensed Consolidated Financial Statements.</w:t>
    </w:r>
  </w:p>
  <w:p w14:paraId="1E87650D" w14:textId="77777777" w:rsidR="001614AC" w:rsidRDefault="001614AC">
    <w:pPr>
      <w:spacing w:line="288" w:lineRule="auto"/>
      <w:ind w:firstLine="450"/>
      <w:jc w:val="center"/>
      <w:rPr>
        <w:rFonts w:ascii="Arial" w:eastAsia="Arial" w:hAnsi="Arial" w:cs="Arial"/>
        <w:sz w:val="18"/>
      </w:rPr>
    </w:pPr>
  </w:p>
  <w:p w14:paraId="4B3C5AB8" w14:textId="77777777" w:rsidR="001614AC" w:rsidRDefault="004468F9">
    <w:pPr>
      <w:spacing w:line="288" w:lineRule="auto"/>
      <w:ind w:firstLine="450"/>
      <w:jc w:val="center"/>
      <w:rPr>
        <w:rFonts w:ascii="Arial" w:eastAsia="Arial" w:hAnsi="Arial" w:cs="Arial"/>
        <w:sz w:val="18"/>
      </w:rPr>
    </w:pPr>
    <w:r>
      <w:rPr>
        <w:rFonts w:ascii="Arial" w:eastAsia="Arial" w:hAnsi="Arial" w:cs="Arial"/>
        <w:sz w:val="18"/>
      </w:rPr>
      <w:fldChar w:fldCharType="begin"/>
    </w:r>
    <w:r>
      <w:rPr>
        <w:rFonts w:ascii="Arial" w:eastAsia="Arial" w:hAnsi="Arial" w:cs="Arial"/>
        <w:sz w:val="18"/>
      </w:rPr>
      <w:instrText xml:space="preserve"> PAGE </w:instrText>
    </w:r>
    <w:r>
      <w:rPr>
        <w:rFonts w:ascii="Arial" w:eastAsia="Arial" w:hAnsi="Arial" w:cs="Arial"/>
        <w:sz w:val="18"/>
      </w:rPr>
      <w:fldChar w:fldCharType="separate"/>
    </w:r>
    <w:r>
      <w:rPr>
        <w:rFonts w:ascii="Arial" w:eastAsia="Arial" w:hAnsi="Arial" w:cs="Arial"/>
        <w:sz w:val="18"/>
      </w:rPr>
      <w:t>16</w:t>
    </w:r>
    <w:r>
      <w:rPr>
        <w:rFonts w:ascii="Arial" w:eastAsia="Arial" w:hAnsi="Arial" w:cs="Arial"/>
        <w:sz w:val="18"/>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DDCF0A" w14:textId="77777777" w:rsidR="001614AC" w:rsidRDefault="004468F9">
    <w:pPr>
      <w:spacing w:before="100" w:after="100" w:line="288" w:lineRule="auto"/>
      <w:ind w:firstLine="450"/>
      <w:jc w:val="center"/>
      <w:rPr>
        <w:rFonts w:ascii="Arial" w:eastAsia="Arial" w:hAnsi="Arial" w:cs="Arial"/>
        <w:sz w:val="18"/>
      </w:rPr>
    </w:pPr>
    <w:r>
      <w:rPr>
        <w:rFonts w:ascii="Arial" w:eastAsia="Arial" w:hAnsi="Arial" w:cs="Arial"/>
        <w:sz w:val="18"/>
      </w:rPr>
      <w:fldChar w:fldCharType="begin"/>
    </w:r>
    <w:r>
      <w:rPr>
        <w:rFonts w:ascii="Arial" w:eastAsia="Arial" w:hAnsi="Arial" w:cs="Arial"/>
        <w:sz w:val="18"/>
      </w:rPr>
      <w:instrText xml:space="preserve"> PAGE </w:instrText>
    </w:r>
    <w:r>
      <w:rPr>
        <w:rFonts w:ascii="Arial" w:eastAsia="Arial" w:hAnsi="Arial" w:cs="Arial"/>
        <w:sz w:val="18"/>
      </w:rPr>
      <w:fldChar w:fldCharType="separate"/>
    </w:r>
    <w:r>
      <w:rPr>
        <w:rFonts w:ascii="Arial" w:eastAsia="Arial" w:hAnsi="Arial" w:cs="Arial"/>
        <w:sz w:val="18"/>
      </w:rPr>
      <w:t>76</w:t>
    </w:r>
    <w:r>
      <w:rPr>
        <w:rFonts w:ascii="Arial" w:eastAsia="Arial" w:hAnsi="Arial" w:cs="Arial"/>
        <w:sz w:val="18"/>
      </w:rPr>
      <w:fldChar w:fldCharType="end"/>
    </w:r>
  </w:p>
  <w:p w14:paraId="145CB4A3" w14:textId="77777777" w:rsidR="001614AC" w:rsidRDefault="001614AC">
    <w:pPr>
      <w:spacing w:before="100" w:line="288" w:lineRule="auto"/>
      <w:ind w:firstLine="450"/>
      <w:jc w:val="center"/>
      <w:rPr>
        <w:rFonts w:ascii="Arial" w:eastAsia="Arial" w:hAnsi="Arial" w:cs="Arial"/>
        <w:sz w:val="18"/>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1595D2" w14:textId="77777777" w:rsidR="001614AC" w:rsidRDefault="004468F9">
    <w:pPr>
      <w:spacing w:before="100" w:after="100" w:line="288" w:lineRule="auto"/>
      <w:ind w:firstLine="450"/>
      <w:jc w:val="center"/>
      <w:rPr>
        <w:rFonts w:ascii="Arial" w:eastAsia="Arial" w:hAnsi="Arial" w:cs="Arial"/>
        <w:sz w:val="18"/>
      </w:rPr>
    </w:pPr>
    <w:r>
      <w:rPr>
        <w:rFonts w:ascii="Arial" w:eastAsia="Arial" w:hAnsi="Arial" w:cs="Arial"/>
        <w:sz w:val="18"/>
      </w:rPr>
      <w:fldChar w:fldCharType="begin"/>
    </w:r>
    <w:r>
      <w:rPr>
        <w:rFonts w:ascii="Arial" w:eastAsia="Arial" w:hAnsi="Arial" w:cs="Arial"/>
        <w:sz w:val="18"/>
      </w:rPr>
      <w:instrText xml:space="preserve"> PAGE </w:instrText>
    </w:r>
    <w:r>
      <w:rPr>
        <w:rFonts w:ascii="Arial" w:eastAsia="Arial" w:hAnsi="Arial" w:cs="Arial"/>
        <w:sz w:val="18"/>
      </w:rPr>
      <w:fldChar w:fldCharType="separate"/>
    </w:r>
    <w:r>
      <w:rPr>
        <w:rFonts w:ascii="Arial" w:eastAsia="Arial" w:hAnsi="Arial" w:cs="Arial"/>
        <w:sz w:val="18"/>
      </w:rPr>
      <w:t>47</w:t>
    </w:r>
    <w:r>
      <w:rPr>
        <w:rFonts w:ascii="Arial" w:eastAsia="Arial" w:hAnsi="Arial" w:cs="Arial"/>
        <w:sz w:val="18"/>
      </w:rPr>
      <w:fldChar w:fldCharType="end"/>
    </w:r>
  </w:p>
  <w:p w14:paraId="2A21955F" w14:textId="77777777" w:rsidR="001614AC" w:rsidRDefault="001614AC">
    <w:pPr>
      <w:spacing w:before="100" w:line="288" w:lineRule="auto"/>
      <w:ind w:firstLine="450"/>
      <w:jc w:val="center"/>
      <w:rPr>
        <w:rFonts w:ascii="Arial" w:eastAsia="Arial" w:hAnsi="Arial" w:cs="Arial"/>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C4058F" w14:textId="77777777" w:rsidR="004468F9" w:rsidRDefault="004468F9">
      <w:r>
        <w:separator/>
      </w:r>
    </w:p>
  </w:footnote>
  <w:footnote w:type="continuationSeparator" w:id="0">
    <w:p w14:paraId="55A1D975" w14:textId="77777777" w:rsidR="004468F9" w:rsidRDefault="004468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563A14" w14:textId="77777777" w:rsidR="001614AC" w:rsidRDefault="001614AC">
    <w:pPr>
      <w:spacing w:line="288" w:lineRule="auto"/>
      <w:ind w:left="630" w:right="630" w:firstLine="450"/>
      <w:rPr>
        <w:rFonts w:ascii="Arial" w:eastAsia="Arial" w:hAnsi="Arial" w:cs="Arial"/>
        <w:sz w:val="18"/>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465"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27"/>
      <w:gridCol w:w="7038"/>
    </w:tblGrid>
    <w:tr w:rsidR="001614AC" w14:paraId="5647D96B" w14:textId="77777777">
      <w:trPr>
        <w:cantSplit/>
        <w:trHeight w:hRule="exact" w:val="840"/>
      </w:trPr>
      <w:tc>
        <w:tcPr>
          <w:tcW w:w="3360" w:type="dxa"/>
          <w:tcBorders>
            <w:top w:val="nil"/>
            <w:left w:val="nil"/>
            <w:bottom w:val="single" w:sz="8" w:space="0" w:color="000000"/>
            <w:right w:val="nil"/>
          </w:tcBorders>
          <w:tcMar>
            <w:top w:w="0" w:type="dxa"/>
            <w:left w:w="53" w:type="dxa"/>
            <w:bottom w:w="0" w:type="dxa"/>
            <w:right w:w="53" w:type="dxa"/>
          </w:tcMar>
        </w:tcPr>
        <w:p w14:paraId="34EBC225" w14:textId="77777777" w:rsidR="001614AC" w:rsidRDefault="004468F9">
          <w:pPr>
            <w:spacing w:before="75" w:line="288" w:lineRule="auto"/>
            <w:rPr>
              <w:rFonts w:ascii="Arial" w:eastAsia="Arial" w:hAnsi="Arial" w:cs="Arial"/>
              <w:b/>
              <w:i/>
              <w:color w:val="8EA0AB"/>
              <w:sz w:val="14"/>
              <w:u w:val="single"/>
            </w:rPr>
          </w:pPr>
          <w:hyperlink w:anchor="Section2" w:history="1">
            <w:r>
              <w:rPr>
                <w:rFonts w:ascii="Arial" w:eastAsia="Arial" w:hAnsi="Arial" w:cs="Arial"/>
                <w:b/>
                <w:i/>
                <w:color w:val="8EA0AB"/>
                <w:sz w:val="14"/>
                <w:u w:val="single"/>
              </w:rPr>
              <w:t>Table of Contents</w:t>
            </w:r>
          </w:hyperlink>
        </w:p>
        <w:p w14:paraId="5383D889" w14:textId="77777777" w:rsidR="001614AC" w:rsidRDefault="004468F9">
          <w:pPr>
            <w:spacing w:after="30" w:line="288" w:lineRule="auto"/>
            <w:rPr>
              <w:rFonts w:ascii="Arial" w:eastAsia="Arial" w:hAnsi="Arial" w:cs="Arial"/>
              <w:b/>
              <w:i/>
              <w:sz w:val="14"/>
            </w:rPr>
          </w:pPr>
          <w:hyperlink w:anchor="Section3" w:history="1">
            <w:r>
              <w:rPr>
                <w:rFonts w:ascii="Arial" w:eastAsia="Arial" w:hAnsi="Arial" w:cs="Arial"/>
                <w:b/>
                <w:i/>
                <w:color w:val="8EA0AB"/>
                <w:sz w:val="14"/>
                <w:u w:val="single"/>
              </w:rPr>
              <w:t>Glossary</w:t>
            </w:r>
          </w:hyperlink>
        </w:p>
      </w:tc>
      <w:tc>
        <w:tcPr>
          <w:tcW w:w="6900" w:type="dxa"/>
          <w:tcBorders>
            <w:top w:val="nil"/>
            <w:left w:val="nil"/>
            <w:bottom w:val="single" w:sz="8" w:space="0" w:color="000000"/>
            <w:right w:val="nil"/>
          </w:tcBorders>
          <w:tcMar>
            <w:top w:w="0" w:type="dxa"/>
            <w:left w:w="53" w:type="dxa"/>
            <w:bottom w:w="0" w:type="dxa"/>
            <w:right w:w="53" w:type="dxa"/>
          </w:tcMar>
          <w:vAlign w:val="bottom"/>
        </w:tcPr>
        <w:p w14:paraId="0416EA79" w14:textId="77777777" w:rsidR="001614AC" w:rsidRDefault="004468F9">
          <w:pPr>
            <w:spacing w:before="75" w:line="288" w:lineRule="auto"/>
            <w:jc w:val="right"/>
          </w:pPr>
          <w:r>
            <w:rPr>
              <w:rFonts w:ascii="Arial" w:eastAsia="Arial" w:hAnsi="Arial" w:cs="Arial"/>
              <w:b/>
              <w:color w:val="000000"/>
              <w:sz w:val="16"/>
            </w:rPr>
            <w:t>Radian Group Inc.</w:t>
          </w:r>
        </w:p>
        <w:p w14:paraId="7E2DCA3E" w14:textId="77777777" w:rsidR="001614AC" w:rsidRDefault="004468F9">
          <w:pPr>
            <w:spacing w:line="288" w:lineRule="auto"/>
            <w:jc w:val="right"/>
          </w:pPr>
          <w:r>
            <w:rPr>
              <w:rFonts w:ascii="Arial" w:eastAsia="Arial" w:hAnsi="Arial" w:cs="Arial"/>
              <w:b/>
              <w:color w:val="000000"/>
              <w:sz w:val="16"/>
            </w:rPr>
            <w:t>Notes to Unaudited Condensed Consolidated Financial Statements</w:t>
          </w:r>
        </w:p>
        <w:p w14:paraId="3DB4A5C2" w14:textId="77777777" w:rsidR="001614AC" w:rsidRDefault="001614AC">
          <w:pPr>
            <w:spacing w:after="30" w:line="288" w:lineRule="auto"/>
            <w:jc w:val="right"/>
          </w:pPr>
        </w:p>
      </w:tc>
    </w:tr>
  </w:tbl>
  <w:p w14:paraId="1D6CC4D3" w14:textId="77777777" w:rsidR="001614AC" w:rsidRDefault="001614AC">
    <w:pPr>
      <w:spacing w:line="288" w:lineRule="auto"/>
      <w:ind w:left="-90" w:right="-90"/>
      <w:rPr>
        <w:rFonts w:ascii="Arial" w:eastAsia="Arial" w:hAnsi="Arial" w:cs="Arial"/>
        <w:b/>
        <w:i/>
        <w:sz w:val="16"/>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465"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27"/>
      <w:gridCol w:w="7038"/>
    </w:tblGrid>
    <w:tr w:rsidR="001614AC" w14:paraId="21439EE1" w14:textId="77777777">
      <w:trPr>
        <w:cantSplit/>
        <w:trHeight w:hRule="exact" w:val="840"/>
      </w:trPr>
      <w:tc>
        <w:tcPr>
          <w:tcW w:w="3360" w:type="dxa"/>
          <w:tcBorders>
            <w:top w:val="nil"/>
            <w:left w:val="nil"/>
            <w:bottom w:val="single" w:sz="8" w:space="0" w:color="000000"/>
            <w:right w:val="nil"/>
          </w:tcBorders>
          <w:tcMar>
            <w:top w:w="0" w:type="dxa"/>
            <w:left w:w="53" w:type="dxa"/>
            <w:bottom w:w="0" w:type="dxa"/>
            <w:right w:w="53" w:type="dxa"/>
          </w:tcMar>
        </w:tcPr>
        <w:p w14:paraId="34BE8BA4" w14:textId="77777777" w:rsidR="001614AC" w:rsidRDefault="004468F9">
          <w:pPr>
            <w:spacing w:before="75" w:line="288" w:lineRule="auto"/>
            <w:rPr>
              <w:rFonts w:ascii="Arial" w:eastAsia="Arial" w:hAnsi="Arial" w:cs="Arial"/>
              <w:b/>
              <w:i/>
              <w:color w:val="8EA0AB"/>
              <w:sz w:val="14"/>
              <w:u w:val="single"/>
            </w:rPr>
          </w:pPr>
          <w:hyperlink w:anchor="Section2" w:history="1">
            <w:r>
              <w:rPr>
                <w:rFonts w:ascii="Arial" w:eastAsia="Arial" w:hAnsi="Arial" w:cs="Arial"/>
                <w:b/>
                <w:i/>
                <w:color w:val="8EA0AB"/>
                <w:sz w:val="14"/>
                <w:u w:val="single"/>
              </w:rPr>
              <w:t>Table of Contents</w:t>
            </w:r>
          </w:hyperlink>
        </w:p>
        <w:p w14:paraId="0CFFD5A4" w14:textId="77777777" w:rsidR="001614AC" w:rsidRDefault="004468F9">
          <w:pPr>
            <w:spacing w:after="30" w:line="288" w:lineRule="auto"/>
            <w:rPr>
              <w:rFonts w:ascii="Arial" w:eastAsia="Arial" w:hAnsi="Arial" w:cs="Arial"/>
              <w:b/>
              <w:i/>
              <w:sz w:val="14"/>
            </w:rPr>
          </w:pPr>
          <w:hyperlink w:anchor="Section3" w:history="1">
            <w:r>
              <w:rPr>
                <w:rFonts w:ascii="Arial" w:eastAsia="Arial" w:hAnsi="Arial" w:cs="Arial"/>
                <w:b/>
                <w:i/>
                <w:color w:val="8EA0AB"/>
                <w:sz w:val="14"/>
                <w:u w:val="single"/>
              </w:rPr>
              <w:t>Glossary</w:t>
            </w:r>
          </w:hyperlink>
        </w:p>
      </w:tc>
      <w:tc>
        <w:tcPr>
          <w:tcW w:w="6900" w:type="dxa"/>
          <w:tcBorders>
            <w:top w:val="nil"/>
            <w:left w:val="nil"/>
            <w:bottom w:val="single" w:sz="8" w:space="0" w:color="000000"/>
            <w:right w:val="nil"/>
          </w:tcBorders>
          <w:tcMar>
            <w:top w:w="0" w:type="dxa"/>
            <w:left w:w="53" w:type="dxa"/>
            <w:bottom w:w="0" w:type="dxa"/>
            <w:right w:w="53" w:type="dxa"/>
          </w:tcMar>
          <w:vAlign w:val="bottom"/>
        </w:tcPr>
        <w:p w14:paraId="4DB3BDDC" w14:textId="77777777" w:rsidR="001614AC" w:rsidRDefault="004468F9">
          <w:pPr>
            <w:spacing w:before="75" w:line="288" w:lineRule="auto"/>
            <w:jc w:val="right"/>
          </w:pPr>
          <w:r>
            <w:rPr>
              <w:rFonts w:ascii="Arial" w:eastAsia="Arial" w:hAnsi="Arial" w:cs="Arial"/>
              <w:b/>
              <w:color w:val="000000"/>
              <w:sz w:val="16"/>
            </w:rPr>
            <w:t>Radian Group Inc.</w:t>
          </w:r>
        </w:p>
        <w:p w14:paraId="03876D21" w14:textId="77777777" w:rsidR="001614AC" w:rsidRDefault="004468F9">
          <w:pPr>
            <w:spacing w:line="288" w:lineRule="auto"/>
            <w:jc w:val="right"/>
          </w:pPr>
          <w:r>
            <w:rPr>
              <w:rFonts w:ascii="Arial" w:eastAsia="Arial" w:hAnsi="Arial" w:cs="Arial"/>
              <w:b/>
              <w:color w:val="000000"/>
              <w:sz w:val="16"/>
            </w:rPr>
            <w:t>Notes to Unaudited Condensed Consolidated Financial Statements</w:t>
          </w:r>
        </w:p>
        <w:p w14:paraId="7D72340C" w14:textId="77777777" w:rsidR="001614AC" w:rsidRDefault="001614AC">
          <w:pPr>
            <w:spacing w:after="30" w:line="288" w:lineRule="auto"/>
            <w:jc w:val="right"/>
          </w:pPr>
        </w:p>
      </w:tc>
    </w:tr>
  </w:tbl>
  <w:p w14:paraId="3A32F495" w14:textId="77777777" w:rsidR="001614AC" w:rsidRDefault="001614AC">
    <w:pPr>
      <w:spacing w:line="288" w:lineRule="auto"/>
      <w:ind w:left="-90" w:right="-90"/>
      <w:rPr>
        <w:rFonts w:ascii="Arial" w:eastAsia="Arial" w:hAnsi="Arial" w:cs="Arial"/>
        <w:b/>
        <w:i/>
        <w:sz w:val="16"/>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465"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27"/>
      <w:gridCol w:w="7038"/>
    </w:tblGrid>
    <w:tr w:rsidR="001614AC" w14:paraId="1E1223A0" w14:textId="77777777">
      <w:trPr>
        <w:cantSplit/>
        <w:trHeight w:hRule="exact" w:val="840"/>
      </w:trPr>
      <w:tc>
        <w:tcPr>
          <w:tcW w:w="3360" w:type="dxa"/>
          <w:tcBorders>
            <w:top w:val="nil"/>
            <w:left w:val="nil"/>
            <w:bottom w:val="single" w:sz="8" w:space="0" w:color="000000"/>
            <w:right w:val="nil"/>
          </w:tcBorders>
          <w:tcMar>
            <w:top w:w="0" w:type="dxa"/>
            <w:left w:w="53" w:type="dxa"/>
            <w:bottom w:w="0" w:type="dxa"/>
            <w:right w:w="53" w:type="dxa"/>
          </w:tcMar>
        </w:tcPr>
        <w:p w14:paraId="090CA874" w14:textId="77777777" w:rsidR="001614AC" w:rsidRDefault="004468F9">
          <w:pPr>
            <w:spacing w:before="75" w:line="288" w:lineRule="auto"/>
            <w:rPr>
              <w:rFonts w:ascii="Arial" w:eastAsia="Arial" w:hAnsi="Arial" w:cs="Arial"/>
              <w:b/>
              <w:i/>
              <w:color w:val="8EA0AB"/>
              <w:sz w:val="14"/>
              <w:u w:val="single"/>
            </w:rPr>
          </w:pPr>
          <w:hyperlink w:anchor="Section2" w:history="1">
            <w:r>
              <w:rPr>
                <w:rFonts w:ascii="Arial" w:eastAsia="Arial" w:hAnsi="Arial" w:cs="Arial"/>
                <w:b/>
                <w:i/>
                <w:color w:val="8EA0AB"/>
                <w:sz w:val="14"/>
                <w:u w:val="single"/>
              </w:rPr>
              <w:t>Table of Contents</w:t>
            </w:r>
          </w:hyperlink>
        </w:p>
        <w:p w14:paraId="45A72961" w14:textId="77777777" w:rsidR="001614AC" w:rsidRDefault="004468F9">
          <w:pPr>
            <w:spacing w:after="30" w:line="288" w:lineRule="auto"/>
            <w:rPr>
              <w:rFonts w:ascii="Arial" w:eastAsia="Arial" w:hAnsi="Arial" w:cs="Arial"/>
              <w:b/>
              <w:i/>
              <w:sz w:val="14"/>
            </w:rPr>
          </w:pPr>
          <w:hyperlink w:anchor="Section3" w:history="1">
            <w:r>
              <w:rPr>
                <w:rFonts w:ascii="Arial" w:eastAsia="Arial" w:hAnsi="Arial" w:cs="Arial"/>
                <w:b/>
                <w:i/>
                <w:color w:val="8EA0AB"/>
                <w:sz w:val="14"/>
                <w:u w:val="single"/>
              </w:rPr>
              <w:t>Glossary</w:t>
            </w:r>
          </w:hyperlink>
        </w:p>
      </w:tc>
      <w:tc>
        <w:tcPr>
          <w:tcW w:w="6900" w:type="dxa"/>
          <w:tcBorders>
            <w:top w:val="nil"/>
            <w:left w:val="nil"/>
            <w:bottom w:val="single" w:sz="8" w:space="0" w:color="000000"/>
            <w:right w:val="nil"/>
          </w:tcBorders>
          <w:tcMar>
            <w:top w:w="0" w:type="dxa"/>
            <w:left w:w="53" w:type="dxa"/>
            <w:bottom w:w="0" w:type="dxa"/>
            <w:right w:w="53" w:type="dxa"/>
          </w:tcMar>
          <w:vAlign w:val="bottom"/>
        </w:tcPr>
        <w:p w14:paraId="38EB53C4" w14:textId="77777777" w:rsidR="001614AC" w:rsidRDefault="004468F9">
          <w:pPr>
            <w:spacing w:before="75" w:line="288" w:lineRule="auto"/>
            <w:jc w:val="right"/>
          </w:pPr>
          <w:r>
            <w:rPr>
              <w:rFonts w:ascii="Arial" w:eastAsia="Arial" w:hAnsi="Arial" w:cs="Arial"/>
              <w:b/>
              <w:color w:val="000000"/>
              <w:sz w:val="16"/>
            </w:rPr>
            <w:t>Radian Group Inc.</w:t>
          </w:r>
        </w:p>
        <w:p w14:paraId="36F964C3" w14:textId="77777777" w:rsidR="001614AC" w:rsidRDefault="004468F9">
          <w:pPr>
            <w:spacing w:line="288" w:lineRule="auto"/>
            <w:jc w:val="right"/>
          </w:pPr>
          <w:r>
            <w:rPr>
              <w:rFonts w:ascii="Arial" w:eastAsia="Arial" w:hAnsi="Arial" w:cs="Arial"/>
              <w:b/>
              <w:color w:val="000000"/>
              <w:sz w:val="16"/>
            </w:rPr>
            <w:t>Notes to Unaudited Condensed</w:t>
          </w:r>
          <w:r>
            <w:rPr>
              <w:rFonts w:ascii="Arial" w:eastAsia="Arial" w:hAnsi="Arial" w:cs="Arial"/>
              <w:b/>
              <w:color w:val="000000"/>
              <w:sz w:val="16"/>
            </w:rPr>
            <w:t xml:space="preserve"> Consolidated Financial Statements</w:t>
          </w:r>
        </w:p>
        <w:p w14:paraId="189B6F86" w14:textId="77777777" w:rsidR="001614AC" w:rsidRDefault="001614AC">
          <w:pPr>
            <w:spacing w:after="30" w:line="288" w:lineRule="auto"/>
            <w:jc w:val="right"/>
          </w:pPr>
        </w:p>
      </w:tc>
    </w:tr>
  </w:tbl>
  <w:p w14:paraId="38ED7097" w14:textId="77777777" w:rsidR="001614AC" w:rsidRDefault="001614AC">
    <w:pPr>
      <w:spacing w:line="288" w:lineRule="auto"/>
      <w:ind w:left="-90" w:right="-90"/>
      <w:rPr>
        <w:rFonts w:ascii="Arial" w:eastAsia="Arial" w:hAnsi="Arial" w:cs="Arial"/>
        <w:b/>
        <w:i/>
        <w:sz w:val="16"/>
      </w:rP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465"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27"/>
      <w:gridCol w:w="7038"/>
    </w:tblGrid>
    <w:tr w:rsidR="001614AC" w14:paraId="284107BD" w14:textId="77777777">
      <w:trPr>
        <w:cantSplit/>
        <w:trHeight w:hRule="exact" w:val="840"/>
      </w:trPr>
      <w:tc>
        <w:tcPr>
          <w:tcW w:w="3360" w:type="dxa"/>
          <w:tcBorders>
            <w:top w:val="nil"/>
            <w:left w:val="nil"/>
            <w:bottom w:val="single" w:sz="8" w:space="0" w:color="000000"/>
            <w:right w:val="nil"/>
          </w:tcBorders>
          <w:tcMar>
            <w:top w:w="0" w:type="dxa"/>
            <w:left w:w="53" w:type="dxa"/>
            <w:bottom w:w="0" w:type="dxa"/>
            <w:right w:w="53" w:type="dxa"/>
          </w:tcMar>
        </w:tcPr>
        <w:p w14:paraId="48666A4B" w14:textId="77777777" w:rsidR="001614AC" w:rsidRDefault="004468F9">
          <w:pPr>
            <w:spacing w:before="75" w:line="288" w:lineRule="auto"/>
            <w:rPr>
              <w:rFonts w:ascii="Arial" w:eastAsia="Arial" w:hAnsi="Arial" w:cs="Arial"/>
              <w:b/>
              <w:i/>
              <w:color w:val="8EA0AB"/>
              <w:sz w:val="14"/>
              <w:u w:val="single"/>
            </w:rPr>
          </w:pPr>
          <w:hyperlink w:anchor="Section2" w:history="1">
            <w:r>
              <w:rPr>
                <w:rFonts w:ascii="Arial" w:eastAsia="Arial" w:hAnsi="Arial" w:cs="Arial"/>
                <w:b/>
                <w:i/>
                <w:color w:val="8EA0AB"/>
                <w:sz w:val="14"/>
                <w:u w:val="single"/>
              </w:rPr>
              <w:t>Table of Contents</w:t>
            </w:r>
          </w:hyperlink>
        </w:p>
        <w:p w14:paraId="1C08A30E" w14:textId="77777777" w:rsidR="001614AC" w:rsidRDefault="004468F9">
          <w:pPr>
            <w:spacing w:after="30" w:line="288" w:lineRule="auto"/>
            <w:rPr>
              <w:rFonts w:ascii="Arial" w:eastAsia="Arial" w:hAnsi="Arial" w:cs="Arial"/>
              <w:b/>
              <w:i/>
              <w:sz w:val="14"/>
            </w:rPr>
          </w:pPr>
          <w:hyperlink w:anchor="Section3" w:history="1">
            <w:r>
              <w:rPr>
                <w:rFonts w:ascii="Arial" w:eastAsia="Arial" w:hAnsi="Arial" w:cs="Arial"/>
                <w:b/>
                <w:i/>
                <w:color w:val="8EA0AB"/>
                <w:sz w:val="14"/>
                <w:u w:val="single"/>
              </w:rPr>
              <w:t>Glossary</w:t>
            </w:r>
          </w:hyperlink>
        </w:p>
      </w:tc>
      <w:tc>
        <w:tcPr>
          <w:tcW w:w="6900" w:type="dxa"/>
          <w:tcBorders>
            <w:top w:val="nil"/>
            <w:left w:val="nil"/>
            <w:bottom w:val="single" w:sz="8" w:space="0" w:color="000000"/>
            <w:right w:val="nil"/>
          </w:tcBorders>
          <w:tcMar>
            <w:top w:w="0" w:type="dxa"/>
            <w:left w:w="53" w:type="dxa"/>
            <w:bottom w:w="0" w:type="dxa"/>
            <w:right w:w="53" w:type="dxa"/>
          </w:tcMar>
          <w:vAlign w:val="bottom"/>
        </w:tcPr>
        <w:p w14:paraId="12640177" w14:textId="77777777" w:rsidR="001614AC" w:rsidRDefault="004468F9">
          <w:pPr>
            <w:spacing w:before="75" w:line="288" w:lineRule="auto"/>
            <w:jc w:val="right"/>
          </w:pPr>
          <w:r>
            <w:rPr>
              <w:rFonts w:ascii="Arial" w:eastAsia="Arial" w:hAnsi="Arial" w:cs="Arial"/>
              <w:b/>
              <w:color w:val="000000"/>
              <w:sz w:val="16"/>
            </w:rPr>
            <w:t>Radian Group Inc.</w:t>
          </w:r>
        </w:p>
        <w:p w14:paraId="2199009C" w14:textId="77777777" w:rsidR="001614AC" w:rsidRDefault="004468F9">
          <w:pPr>
            <w:spacing w:line="288" w:lineRule="auto"/>
            <w:jc w:val="right"/>
          </w:pPr>
          <w:r>
            <w:rPr>
              <w:rFonts w:ascii="Arial" w:eastAsia="Arial" w:hAnsi="Arial" w:cs="Arial"/>
              <w:b/>
              <w:color w:val="000000"/>
              <w:sz w:val="16"/>
            </w:rPr>
            <w:t>Notes to Unaudited Condensed Consolidated Financial Statements</w:t>
          </w:r>
        </w:p>
        <w:p w14:paraId="05B91400" w14:textId="77777777" w:rsidR="001614AC" w:rsidRDefault="001614AC">
          <w:pPr>
            <w:spacing w:after="30" w:line="288" w:lineRule="auto"/>
            <w:jc w:val="right"/>
          </w:pPr>
        </w:p>
      </w:tc>
    </w:tr>
  </w:tbl>
  <w:p w14:paraId="61D298ED" w14:textId="77777777" w:rsidR="001614AC" w:rsidRDefault="001614AC">
    <w:pPr>
      <w:spacing w:line="288" w:lineRule="auto"/>
      <w:ind w:left="-90" w:right="-90"/>
      <w:rPr>
        <w:rFonts w:ascii="Arial" w:eastAsia="Arial" w:hAnsi="Arial" w:cs="Arial"/>
        <w:b/>
        <w:i/>
        <w:sz w:val="16"/>
      </w:rP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465"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27"/>
      <w:gridCol w:w="7038"/>
    </w:tblGrid>
    <w:tr w:rsidR="001614AC" w14:paraId="05DE2249" w14:textId="77777777">
      <w:trPr>
        <w:cantSplit/>
        <w:trHeight w:hRule="exact" w:val="840"/>
      </w:trPr>
      <w:tc>
        <w:tcPr>
          <w:tcW w:w="3360" w:type="dxa"/>
          <w:tcBorders>
            <w:top w:val="nil"/>
            <w:left w:val="nil"/>
            <w:bottom w:val="single" w:sz="8" w:space="0" w:color="000000"/>
            <w:right w:val="nil"/>
          </w:tcBorders>
          <w:tcMar>
            <w:top w:w="0" w:type="dxa"/>
            <w:left w:w="53" w:type="dxa"/>
            <w:bottom w:w="0" w:type="dxa"/>
            <w:right w:w="53" w:type="dxa"/>
          </w:tcMar>
        </w:tcPr>
        <w:p w14:paraId="5E075CFB" w14:textId="77777777" w:rsidR="001614AC" w:rsidRDefault="004468F9">
          <w:pPr>
            <w:spacing w:before="75" w:line="288" w:lineRule="auto"/>
            <w:rPr>
              <w:rFonts w:ascii="Arial" w:eastAsia="Arial" w:hAnsi="Arial" w:cs="Arial"/>
              <w:b/>
              <w:i/>
              <w:color w:val="8EA0AB"/>
              <w:sz w:val="14"/>
              <w:u w:val="single"/>
            </w:rPr>
          </w:pPr>
          <w:hyperlink w:anchor="Section2" w:history="1">
            <w:r>
              <w:rPr>
                <w:rFonts w:ascii="Arial" w:eastAsia="Arial" w:hAnsi="Arial" w:cs="Arial"/>
                <w:b/>
                <w:i/>
                <w:color w:val="8EA0AB"/>
                <w:sz w:val="14"/>
                <w:u w:val="single"/>
              </w:rPr>
              <w:t>Table of Contents</w:t>
            </w:r>
          </w:hyperlink>
        </w:p>
        <w:p w14:paraId="5B86FE5F" w14:textId="77777777" w:rsidR="001614AC" w:rsidRDefault="004468F9">
          <w:pPr>
            <w:spacing w:after="30" w:line="288" w:lineRule="auto"/>
            <w:rPr>
              <w:rFonts w:ascii="Arial" w:eastAsia="Arial" w:hAnsi="Arial" w:cs="Arial"/>
              <w:b/>
              <w:i/>
              <w:sz w:val="14"/>
            </w:rPr>
          </w:pPr>
          <w:hyperlink w:anchor="Section3" w:history="1">
            <w:r>
              <w:rPr>
                <w:rFonts w:ascii="Arial" w:eastAsia="Arial" w:hAnsi="Arial" w:cs="Arial"/>
                <w:b/>
                <w:i/>
                <w:color w:val="8EA0AB"/>
                <w:sz w:val="14"/>
                <w:u w:val="single"/>
              </w:rPr>
              <w:t>Glossary</w:t>
            </w:r>
          </w:hyperlink>
        </w:p>
      </w:tc>
      <w:tc>
        <w:tcPr>
          <w:tcW w:w="6900" w:type="dxa"/>
          <w:tcBorders>
            <w:top w:val="nil"/>
            <w:left w:val="nil"/>
            <w:bottom w:val="single" w:sz="8" w:space="0" w:color="000000"/>
            <w:right w:val="nil"/>
          </w:tcBorders>
          <w:tcMar>
            <w:top w:w="0" w:type="dxa"/>
            <w:left w:w="53" w:type="dxa"/>
            <w:bottom w:w="0" w:type="dxa"/>
            <w:right w:w="53" w:type="dxa"/>
          </w:tcMar>
          <w:vAlign w:val="bottom"/>
        </w:tcPr>
        <w:p w14:paraId="64D95FA5" w14:textId="77777777" w:rsidR="001614AC" w:rsidRDefault="004468F9">
          <w:pPr>
            <w:spacing w:before="75" w:line="288" w:lineRule="auto"/>
            <w:jc w:val="right"/>
          </w:pPr>
          <w:r>
            <w:rPr>
              <w:rFonts w:ascii="Arial" w:eastAsia="Arial" w:hAnsi="Arial" w:cs="Arial"/>
              <w:b/>
              <w:color w:val="000000"/>
              <w:sz w:val="16"/>
            </w:rPr>
            <w:t>Radian Group Inc.</w:t>
          </w:r>
        </w:p>
        <w:p w14:paraId="023734AE" w14:textId="77777777" w:rsidR="001614AC" w:rsidRDefault="004468F9">
          <w:pPr>
            <w:spacing w:line="288" w:lineRule="auto"/>
            <w:jc w:val="right"/>
          </w:pPr>
          <w:r>
            <w:rPr>
              <w:rFonts w:ascii="Arial" w:eastAsia="Arial" w:hAnsi="Arial" w:cs="Arial"/>
              <w:b/>
              <w:color w:val="000000"/>
              <w:sz w:val="16"/>
            </w:rPr>
            <w:t>Notes to Unaudited Condensed Consolidated Financial Statements</w:t>
          </w:r>
        </w:p>
        <w:p w14:paraId="1AECB4BB" w14:textId="77777777" w:rsidR="001614AC" w:rsidRDefault="001614AC">
          <w:pPr>
            <w:spacing w:after="30" w:line="288" w:lineRule="auto"/>
            <w:jc w:val="right"/>
          </w:pPr>
        </w:p>
      </w:tc>
    </w:tr>
  </w:tbl>
  <w:p w14:paraId="35D6056A" w14:textId="77777777" w:rsidR="001614AC" w:rsidRDefault="001614AC">
    <w:pPr>
      <w:spacing w:line="288" w:lineRule="auto"/>
      <w:ind w:left="-90" w:right="-90"/>
      <w:rPr>
        <w:rFonts w:ascii="Arial" w:eastAsia="Arial" w:hAnsi="Arial" w:cs="Arial"/>
        <w:b/>
        <w:i/>
        <w:sz w:val="16"/>
      </w:rP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465"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27"/>
      <w:gridCol w:w="7038"/>
    </w:tblGrid>
    <w:tr w:rsidR="001614AC" w14:paraId="2B6F93B6" w14:textId="77777777">
      <w:trPr>
        <w:cantSplit/>
        <w:trHeight w:hRule="exact" w:val="840"/>
      </w:trPr>
      <w:tc>
        <w:tcPr>
          <w:tcW w:w="3360" w:type="dxa"/>
          <w:tcBorders>
            <w:top w:val="nil"/>
            <w:left w:val="nil"/>
            <w:bottom w:val="single" w:sz="8" w:space="0" w:color="000000"/>
            <w:right w:val="nil"/>
          </w:tcBorders>
          <w:tcMar>
            <w:top w:w="0" w:type="dxa"/>
            <w:left w:w="53" w:type="dxa"/>
            <w:bottom w:w="0" w:type="dxa"/>
            <w:right w:w="53" w:type="dxa"/>
          </w:tcMar>
        </w:tcPr>
        <w:p w14:paraId="38DA3044" w14:textId="77777777" w:rsidR="001614AC" w:rsidRDefault="004468F9">
          <w:pPr>
            <w:spacing w:before="75" w:line="288" w:lineRule="auto"/>
            <w:rPr>
              <w:rFonts w:ascii="Arial" w:eastAsia="Arial" w:hAnsi="Arial" w:cs="Arial"/>
              <w:b/>
              <w:i/>
              <w:color w:val="8EA0AB"/>
              <w:sz w:val="14"/>
              <w:u w:val="single"/>
            </w:rPr>
          </w:pPr>
          <w:hyperlink w:anchor="Section2" w:history="1">
            <w:r>
              <w:rPr>
                <w:rFonts w:ascii="Arial" w:eastAsia="Arial" w:hAnsi="Arial" w:cs="Arial"/>
                <w:b/>
                <w:i/>
                <w:color w:val="8EA0AB"/>
                <w:sz w:val="14"/>
                <w:u w:val="single"/>
              </w:rPr>
              <w:t>Table of Contents</w:t>
            </w:r>
          </w:hyperlink>
        </w:p>
        <w:p w14:paraId="257A6DA8" w14:textId="77777777" w:rsidR="001614AC" w:rsidRDefault="004468F9">
          <w:pPr>
            <w:spacing w:after="30" w:line="288" w:lineRule="auto"/>
            <w:rPr>
              <w:rFonts w:ascii="Arial" w:eastAsia="Arial" w:hAnsi="Arial" w:cs="Arial"/>
              <w:b/>
              <w:i/>
              <w:sz w:val="14"/>
            </w:rPr>
          </w:pPr>
          <w:hyperlink w:anchor="Section3" w:history="1">
            <w:r>
              <w:rPr>
                <w:rFonts w:ascii="Arial" w:eastAsia="Arial" w:hAnsi="Arial" w:cs="Arial"/>
                <w:b/>
                <w:i/>
                <w:color w:val="8EA0AB"/>
                <w:sz w:val="14"/>
                <w:u w:val="single"/>
              </w:rPr>
              <w:t>Glossary</w:t>
            </w:r>
          </w:hyperlink>
        </w:p>
      </w:tc>
      <w:tc>
        <w:tcPr>
          <w:tcW w:w="6900" w:type="dxa"/>
          <w:tcBorders>
            <w:top w:val="nil"/>
            <w:left w:val="nil"/>
            <w:bottom w:val="single" w:sz="8" w:space="0" w:color="000000"/>
            <w:right w:val="nil"/>
          </w:tcBorders>
          <w:tcMar>
            <w:top w:w="0" w:type="dxa"/>
            <w:left w:w="53" w:type="dxa"/>
            <w:bottom w:w="0" w:type="dxa"/>
            <w:right w:w="53" w:type="dxa"/>
          </w:tcMar>
          <w:vAlign w:val="bottom"/>
        </w:tcPr>
        <w:p w14:paraId="64CD8E69" w14:textId="77777777" w:rsidR="001614AC" w:rsidRDefault="004468F9">
          <w:pPr>
            <w:spacing w:before="75" w:line="288" w:lineRule="auto"/>
            <w:jc w:val="right"/>
          </w:pPr>
          <w:r>
            <w:rPr>
              <w:rFonts w:ascii="Arial" w:eastAsia="Arial" w:hAnsi="Arial" w:cs="Arial"/>
              <w:b/>
              <w:color w:val="000000"/>
              <w:sz w:val="16"/>
            </w:rPr>
            <w:t>Radian Group Inc.</w:t>
          </w:r>
        </w:p>
        <w:p w14:paraId="3CDD3DD1" w14:textId="77777777" w:rsidR="001614AC" w:rsidRDefault="004468F9">
          <w:pPr>
            <w:spacing w:line="288" w:lineRule="auto"/>
            <w:jc w:val="right"/>
          </w:pPr>
          <w:r>
            <w:rPr>
              <w:rFonts w:ascii="Arial" w:eastAsia="Arial" w:hAnsi="Arial" w:cs="Arial"/>
              <w:b/>
              <w:color w:val="000000"/>
              <w:sz w:val="16"/>
            </w:rPr>
            <w:t>Notes to Unaudited Condensed Consolidated Financial Statements</w:t>
          </w:r>
        </w:p>
        <w:p w14:paraId="0E995571" w14:textId="77777777" w:rsidR="001614AC" w:rsidRDefault="001614AC">
          <w:pPr>
            <w:spacing w:after="30" w:line="288" w:lineRule="auto"/>
            <w:jc w:val="right"/>
          </w:pPr>
        </w:p>
      </w:tc>
    </w:tr>
  </w:tbl>
  <w:p w14:paraId="728287C7" w14:textId="77777777" w:rsidR="001614AC" w:rsidRDefault="001614AC">
    <w:pPr>
      <w:spacing w:line="288" w:lineRule="auto"/>
      <w:ind w:left="-90" w:right="-90"/>
      <w:rPr>
        <w:rFonts w:ascii="Arial" w:eastAsia="Arial" w:hAnsi="Arial" w:cs="Arial"/>
        <w:b/>
        <w:i/>
        <w:sz w:val="16"/>
      </w:rP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465"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27"/>
      <w:gridCol w:w="7038"/>
    </w:tblGrid>
    <w:tr w:rsidR="001614AC" w14:paraId="3FDD8B90" w14:textId="77777777">
      <w:trPr>
        <w:cantSplit/>
        <w:trHeight w:hRule="exact" w:val="840"/>
      </w:trPr>
      <w:tc>
        <w:tcPr>
          <w:tcW w:w="3360" w:type="dxa"/>
          <w:tcBorders>
            <w:top w:val="nil"/>
            <w:left w:val="nil"/>
            <w:bottom w:val="single" w:sz="8" w:space="0" w:color="000000"/>
            <w:right w:val="nil"/>
          </w:tcBorders>
          <w:tcMar>
            <w:top w:w="0" w:type="dxa"/>
            <w:left w:w="53" w:type="dxa"/>
            <w:bottom w:w="0" w:type="dxa"/>
            <w:right w:w="53" w:type="dxa"/>
          </w:tcMar>
        </w:tcPr>
        <w:p w14:paraId="52C4F11C" w14:textId="77777777" w:rsidR="001614AC" w:rsidRDefault="004468F9">
          <w:pPr>
            <w:spacing w:before="75" w:line="288" w:lineRule="auto"/>
            <w:rPr>
              <w:rFonts w:ascii="Arial" w:eastAsia="Arial" w:hAnsi="Arial" w:cs="Arial"/>
              <w:b/>
              <w:i/>
              <w:color w:val="8EA0AB"/>
              <w:sz w:val="14"/>
              <w:u w:val="single"/>
            </w:rPr>
          </w:pPr>
          <w:hyperlink w:anchor="Section2" w:history="1">
            <w:r>
              <w:rPr>
                <w:rFonts w:ascii="Arial" w:eastAsia="Arial" w:hAnsi="Arial" w:cs="Arial"/>
                <w:b/>
                <w:i/>
                <w:color w:val="8EA0AB"/>
                <w:sz w:val="14"/>
                <w:u w:val="single"/>
              </w:rPr>
              <w:t>Table of Contents</w:t>
            </w:r>
          </w:hyperlink>
        </w:p>
        <w:p w14:paraId="6862987C" w14:textId="77777777" w:rsidR="001614AC" w:rsidRDefault="004468F9">
          <w:pPr>
            <w:spacing w:after="30" w:line="288" w:lineRule="auto"/>
            <w:rPr>
              <w:rFonts w:ascii="Arial" w:eastAsia="Arial" w:hAnsi="Arial" w:cs="Arial"/>
              <w:b/>
              <w:i/>
              <w:sz w:val="14"/>
            </w:rPr>
          </w:pPr>
          <w:hyperlink w:anchor="Section3" w:history="1">
            <w:r>
              <w:rPr>
                <w:rFonts w:ascii="Arial" w:eastAsia="Arial" w:hAnsi="Arial" w:cs="Arial"/>
                <w:b/>
                <w:i/>
                <w:color w:val="8EA0AB"/>
                <w:sz w:val="14"/>
                <w:u w:val="single"/>
              </w:rPr>
              <w:t>Glossary</w:t>
            </w:r>
          </w:hyperlink>
        </w:p>
      </w:tc>
      <w:tc>
        <w:tcPr>
          <w:tcW w:w="6900" w:type="dxa"/>
          <w:tcBorders>
            <w:top w:val="nil"/>
            <w:left w:val="nil"/>
            <w:bottom w:val="single" w:sz="8" w:space="0" w:color="000000"/>
            <w:right w:val="nil"/>
          </w:tcBorders>
          <w:tcMar>
            <w:top w:w="0" w:type="dxa"/>
            <w:left w:w="53" w:type="dxa"/>
            <w:bottom w:w="0" w:type="dxa"/>
            <w:right w:w="53" w:type="dxa"/>
          </w:tcMar>
          <w:vAlign w:val="bottom"/>
        </w:tcPr>
        <w:p w14:paraId="2980BAAB" w14:textId="77777777" w:rsidR="001614AC" w:rsidRDefault="004468F9">
          <w:pPr>
            <w:spacing w:before="75" w:line="288" w:lineRule="auto"/>
            <w:jc w:val="right"/>
          </w:pPr>
          <w:r>
            <w:rPr>
              <w:rFonts w:ascii="Arial" w:eastAsia="Arial" w:hAnsi="Arial" w:cs="Arial"/>
              <w:b/>
              <w:color w:val="000000"/>
              <w:sz w:val="16"/>
            </w:rPr>
            <w:t>Radian Group Inc.</w:t>
          </w:r>
        </w:p>
        <w:p w14:paraId="4A8601FF" w14:textId="77777777" w:rsidR="001614AC" w:rsidRDefault="004468F9">
          <w:pPr>
            <w:spacing w:line="288" w:lineRule="auto"/>
            <w:jc w:val="right"/>
          </w:pPr>
          <w:r>
            <w:rPr>
              <w:rFonts w:ascii="Arial" w:eastAsia="Arial" w:hAnsi="Arial" w:cs="Arial"/>
              <w:b/>
              <w:color w:val="000000"/>
              <w:sz w:val="16"/>
            </w:rPr>
            <w:t>Notes to Unaudited Condensed Consolidated Financial Statements</w:t>
          </w:r>
        </w:p>
        <w:p w14:paraId="12075F3E" w14:textId="77777777" w:rsidR="001614AC" w:rsidRDefault="001614AC">
          <w:pPr>
            <w:spacing w:after="30" w:line="288" w:lineRule="auto"/>
            <w:jc w:val="right"/>
          </w:pPr>
        </w:p>
      </w:tc>
    </w:tr>
  </w:tbl>
  <w:p w14:paraId="313FFC70" w14:textId="77777777" w:rsidR="001614AC" w:rsidRDefault="001614AC">
    <w:pPr>
      <w:spacing w:line="288" w:lineRule="auto"/>
      <w:ind w:left="-90" w:right="-90"/>
      <w:rPr>
        <w:rFonts w:ascii="Arial" w:eastAsia="Arial" w:hAnsi="Arial" w:cs="Arial"/>
        <w:b/>
        <w:i/>
        <w:sz w:val="16"/>
      </w:rP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465"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27"/>
      <w:gridCol w:w="7038"/>
    </w:tblGrid>
    <w:tr w:rsidR="001614AC" w14:paraId="47FC4E49" w14:textId="77777777">
      <w:trPr>
        <w:cantSplit/>
        <w:trHeight w:hRule="exact" w:val="840"/>
      </w:trPr>
      <w:tc>
        <w:tcPr>
          <w:tcW w:w="3360" w:type="dxa"/>
          <w:tcBorders>
            <w:top w:val="nil"/>
            <w:left w:val="nil"/>
            <w:bottom w:val="single" w:sz="8" w:space="0" w:color="000000"/>
            <w:right w:val="nil"/>
          </w:tcBorders>
          <w:tcMar>
            <w:top w:w="0" w:type="dxa"/>
            <w:left w:w="53" w:type="dxa"/>
            <w:bottom w:w="0" w:type="dxa"/>
            <w:right w:w="53" w:type="dxa"/>
          </w:tcMar>
        </w:tcPr>
        <w:p w14:paraId="4650ED31" w14:textId="77777777" w:rsidR="001614AC" w:rsidRDefault="004468F9">
          <w:pPr>
            <w:spacing w:before="75" w:line="288" w:lineRule="auto"/>
            <w:rPr>
              <w:rFonts w:ascii="Arial" w:eastAsia="Arial" w:hAnsi="Arial" w:cs="Arial"/>
              <w:b/>
              <w:i/>
              <w:color w:val="8EA0AB"/>
              <w:sz w:val="14"/>
              <w:u w:val="single"/>
            </w:rPr>
          </w:pPr>
          <w:hyperlink w:anchor="Section2" w:history="1">
            <w:r>
              <w:rPr>
                <w:rFonts w:ascii="Arial" w:eastAsia="Arial" w:hAnsi="Arial" w:cs="Arial"/>
                <w:b/>
                <w:i/>
                <w:color w:val="8EA0AB"/>
                <w:sz w:val="14"/>
                <w:u w:val="single"/>
              </w:rPr>
              <w:t>Table of Contents</w:t>
            </w:r>
          </w:hyperlink>
        </w:p>
        <w:p w14:paraId="29A83ECE" w14:textId="77777777" w:rsidR="001614AC" w:rsidRDefault="004468F9">
          <w:pPr>
            <w:spacing w:after="30" w:line="288" w:lineRule="auto"/>
            <w:rPr>
              <w:rFonts w:ascii="Arial" w:eastAsia="Arial" w:hAnsi="Arial" w:cs="Arial"/>
              <w:b/>
              <w:i/>
              <w:sz w:val="14"/>
            </w:rPr>
          </w:pPr>
          <w:hyperlink w:anchor="Section3" w:history="1">
            <w:r>
              <w:rPr>
                <w:rFonts w:ascii="Arial" w:eastAsia="Arial" w:hAnsi="Arial" w:cs="Arial"/>
                <w:b/>
                <w:i/>
                <w:color w:val="8EA0AB"/>
                <w:sz w:val="14"/>
                <w:u w:val="single"/>
              </w:rPr>
              <w:t>Glossary</w:t>
            </w:r>
          </w:hyperlink>
        </w:p>
      </w:tc>
      <w:tc>
        <w:tcPr>
          <w:tcW w:w="6900" w:type="dxa"/>
          <w:tcBorders>
            <w:top w:val="nil"/>
            <w:left w:val="nil"/>
            <w:bottom w:val="single" w:sz="8" w:space="0" w:color="000000"/>
            <w:right w:val="nil"/>
          </w:tcBorders>
          <w:tcMar>
            <w:top w:w="0" w:type="dxa"/>
            <w:left w:w="53" w:type="dxa"/>
            <w:bottom w:w="0" w:type="dxa"/>
            <w:right w:w="53" w:type="dxa"/>
          </w:tcMar>
          <w:vAlign w:val="bottom"/>
        </w:tcPr>
        <w:p w14:paraId="367E1BAF" w14:textId="77777777" w:rsidR="001614AC" w:rsidRDefault="004468F9">
          <w:pPr>
            <w:spacing w:before="75" w:line="288" w:lineRule="auto"/>
            <w:jc w:val="right"/>
          </w:pPr>
          <w:r>
            <w:rPr>
              <w:rFonts w:ascii="Arial" w:eastAsia="Arial" w:hAnsi="Arial" w:cs="Arial"/>
              <w:b/>
              <w:color w:val="000000"/>
              <w:sz w:val="16"/>
            </w:rPr>
            <w:t>Radian Group Inc.</w:t>
          </w:r>
        </w:p>
        <w:p w14:paraId="1EF8E0EB" w14:textId="77777777" w:rsidR="001614AC" w:rsidRDefault="004468F9">
          <w:pPr>
            <w:spacing w:line="288" w:lineRule="auto"/>
            <w:jc w:val="right"/>
          </w:pPr>
          <w:r>
            <w:rPr>
              <w:rFonts w:ascii="Arial" w:eastAsia="Arial" w:hAnsi="Arial" w:cs="Arial"/>
              <w:b/>
              <w:color w:val="000000"/>
              <w:sz w:val="16"/>
            </w:rPr>
            <w:t>Notes to Unaudited Condensed Consolidated Financial Statements</w:t>
          </w:r>
        </w:p>
        <w:p w14:paraId="4CD950C4" w14:textId="77777777" w:rsidR="001614AC" w:rsidRDefault="001614AC">
          <w:pPr>
            <w:spacing w:after="30" w:line="288" w:lineRule="auto"/>
            <w:jc w:val="right"/>
          </w:pPr>
        </w:p>
      </w:tc>
    </w:tr>
  </w:tbl>
  <w:p w14:paraId="3554339E" w14:textId="77777777" w:rsidR="001614AC" w:rsidRDefault="001614AC">
    <w:pPr>
      <w:spacing w:line="288" w:lineRule="auto"/>
      <w:ind w:left="-90" w:right="-90"/>
      <w:rPr>
        <w:rFonts w:ascii="Arial" w:eastAsia="Arial" w:hAnsi="Arial" w:cs="Arial"/>
        <w:b/>
        <w:i/>
        <w:sz w:val="16"/>
      </w:rP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465"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27"/>
      <w:gridCol w:w="7038"/>
    </w:tblGrid>
    <w:tr w:rsidR="001614AC" w14:paraId="051DD123" w14:textId="77777777">
      <w:trPr>
        <w:cantSplit/>
        <w:trHeight w:hRule="exact" w:val="840"/>
      </w:trPr>
      <w:tc>
        <w:tcPr>
          <w:tcW w:w="3360" w:type="dxa"/>
          <w:tcBorders>
            <w:top w:val="nil"/>
            <w:left w:val="nil"/>
            <w:bottom w:val="single" w:sz="8" w:space="0" w:color="000000"/>
            <w:right w:val="nil"/>
          </w:tcBorders>
          <w:tcMar>
            <w:top w:w="0" w:type="dxa"/>
            <w:left w:w="53" w:type="dxa"/>
            <w:bottom w:w="0" w:type="dxa"/>
            <w:right w:w="53" w:type="dxa"/>
          </w:tcMar>
        </w:tcPr>
        <w:p w14:paraId="761A2F01" w14:textId="77777777" w:rsidR="001614AC" w:rsidRDefault="004468F9">
          <w:pPr>
            <w:spacing w:before="75" w:line="288" w:lineRule="auto"/>
            <w:rPr>
              <w:rFonts w:ascii="Arial" w:eastAsia="Arial" w:hAnsi="Arial" w:cs="Arial"/>
              <w:b/>
              <w:i/>
              <w:color w:val="8EA0AB"/>
              <w:sz w:val="14"/>
              <w:u w:val="single"/>
            </w:rPr>
          </w:pPr>
          <w:hyperlink w:anchor="Section2" w:history="1">
            <w:r>
              <w:rPr>
                <w:rFonts w:ascii="Arial" w:eastAsia="Arial" w:hAnsi="Arial" w:cs="Arial"/>
                <w:b/>
                <w:i/>
                <w:color w:val="8EA0AB"/>
                <w:sz w:val="14"/>
                <w:u w:val="single"/>
              </w:rPr>
              <w:t xml:space="preserve">Table </w:t>
            </w:r>
            <w:r>
              <w:rPr>
                <w:rFonts w:ascii="Arial" w:eastAsia="Arial" w:hAnsi="Arial" w:cs="Arial"/>
                <w:b/>
                <w:i/>
                <w:color w:val="8EA0AB"/>
                <w:sz w:val="14"/>
                <w:u w:val="single"/>
              </w:rPr>
              <w:t>of Contents</w:t>
            </w:r>
          </w:hyperlink>
        </w:p>
        <w:p w14:paraId="658A41A8" w14:textId="77777777" w:rsidR="001614AC" w:rsidRDefault="004468F9">
          <w:pPr>
            <w:spacing w:after="30" w:line="288" w:lineRule="auto"/>
            <w:rPr>
              <w:rFonts w:ascii="Arial" w:eastAsia="Arial" w:hAnsi="Arial" w:cs="Arial"/>
              <w:b/>
              <w:i/>
              <w:sz w:val="14"/>
            </w:rPr>
          </w:pPr>
          <w:hyperlink w:anchor="Section3" w:history="1">
            <w:r>
              <w:rPr>
                <w:rFonts w:ascii="Arial" w:eastAsia="Arial" w:hAnsi="Arial" w:cs="Arial"/>
                <w:b/>
                <w:i/>
                <w:color w:val="8EA0AB"/>
                <w:sz w:val="14"/>
                <w:u w:val="single"/>
              </w:rPr>
              <w:t>Glossary</w:t>
            </w:r>
          </w:hyperlink>
        </w:p>
      </w:tc>
      <w:tc>
        <w:tcPr>
          <w:tcW w:w="6900" w:type="dxa"/>
          <w:tcBorders>
            <w:top w:val="nil"/>
            <w:left w:val="nil"/>
            <w:bottom w:val="single" w:sz="8" w:space="0" w:color="000000"/>
            <w:right w:val="nil"/>
          </w:tcBorders>
          <w:tcMar>
            <w:top w:w="0" w:type="dxa"/>
            <w:left w:w="53" w:type="dxa"/>
            <w:bottom w:w="0" w:type="dxa"/>
            <w:right w:w="53" w:type="dxa"/>
          </w:tcMar>
          <w:vAlign w:val="bottom"/>
        </w:tcPr>
        <w:p w14:paraId="0405B376" w14:textId="77777777" w:rsidR="001614AC" w:rsidRDefault="004468F9">
          <w:pPr>
            <w:spacing w:before="75" w:line="288" w:lineRule="auto"/>
            <w:jc w:val="right"/>
          </w:pPr>
          <w:r>
            <w:rPr>
              <w:rFonts w:ascii="Arial" w:eastAsia="Arial" w:hAnsi="Arial" w:cs="Arial"/>
              <w:b/>
              <w:color w:val="000000"/>
              <w:sz w:val="16"/>
            </w:rPr>
            <w:t>Radian Group Inc.</w:t>
          </w:r>
        </w:p>
        <w:p w14:paraId="69C258C8" w14:textId="77777777" w:rsidR="001614AC" w:rsidRDefault="004468F9">
          <w:pPr>
            <w:spacing w:line="288" w:lineRule="auto"/>
            <w:jc w:val="right"/>
          </w:pPr>
          <w:r>
            <w:rPr>
              <w:rFonts w:ascii="Arial" w:eastAsia="Arial" w:hAnsi="Arial" w:cs="Arial"/>
              <w:b/>
              <w:color w:val="000000"/>
              <w:sz w:val="16"/>
            </w:rPr>
            <w:t>Notes to Unaudited Condensed Consolidated Financial Statements</w:t>
          </w:r>
        </w:p>
        <w:p w14:paraId="5FD4E338" w14:textId="77777777" w:rsidR="001614AC" w:rsidRDefault="001614AC">
          <w:pPr>
            <w:spacing w:after="30" w:line="288" w:lineRule="auto"/>
            <w:jc w:val="right"/>
          </w:pPr>
        </w:p>
      </w:tc>
    </w:tr>
  </w:tbl>
  <w:p w14:paraId="63ECCD81" w14:textId="77777777" w:rsidR="001614AC" w:rsidRDefault="001614AC">
    <w:pPr>
      <w:spacing w:line="288" w:lineRule="auto"/>
      <w:ind w:left="-90" w:right="-90"/>
      <w:rPr>
        <w:rFonts w:ascii="Arial" w:eastAsia="Arial" w:hAnsi="Arial" w:cs="Arial"/>
        <w:b/>
        <w:i/>
        <w:sz w:val="16"/>
      </w:rP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465"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27"/>
      <w:gridCol w:w="7038"/>
    </w:tblGrid>
    <w:tr w:rsidR="001614AC" w14:paraId="6450F150" w14:textId="77777777">
      <w:trPr>
        <w:cantSplit/>
        <w:trHeight w:hRule="exact" w:val="840"/>
      </w:trPr>
      <w:tc>
        <w:tcPr>
          <w:tcW w:w="3360" w:type="dxa"/>
          <w:tcBorders>
            <w:top w:val="nil"/>
            <w:left w:val="nil"/>
            <w:bottom w:val="single" w:sz="8" w:space="0" w:color="000000"/>
            <w:right w:val="nil"/>
          </w:tcBorders>
          <w:tcMar>
            <w:top w:w="0" w:type="dxa"/>
            <w:left w:w="53" w:type="dxa"/>
            <w:bottom w:w="0" w:type="dxa"/>
            <w:right w:w="53" w:type="dxa"/>
          </w:tcMar>
        </w:tcPr>
        <w:p w14:paraId="7D3C5926" w14:textId="77777777" w:rsidR="001614AC" w:rsidRDefault="004468F9">
          <w:pPr>
            <w:spacing w:before="75" w:line="288" w:lineRule="auto"/>
            <w:rPr>
              <w:rFonts w:ascii="Arial" w:eastAsia="Arial" w:hAnsi="Arial" w:cs="Arial"/>
              <w:b/>
              <w:i/>
              <w:color w:val="8EA0AB"/>
              <w:sz w:val="14"/>
              <w:u w:val="single"/>
            </w:rPr>
          </w:pPr>
          <w:hyperlink w:anchor="Section2" w:history="1">
            <w:r>
              <w:rPr>
                <w:rFonts w:ascii="Arial" w:eastAsia="Arial" w:hAnsi="Arial" w:cs="Arial"/>
                <w:b/>
                <w:i/>
                <w:color w:val="8EA0AB"/>
                <w:sz w:val="14"/>
                <w:u w:val="single"/>
              </w:rPr>
              <w:t>Table of Contents</w:t>
            </w:r>
          </w:hyperlink>
        </w:p>
        <w:p w14:paraId="0F34EFB5" w14:textId="77777777" w:rsidR="001614AC" w:rsidRDefault="004468F9">
          <w:pPr>
            <w:spacing w:after="30" w:line="288" w:lineRule="auto"/>
            <w:rPr>
              <w:rFonts w:ascii="Arial" w:eastAsia="Arial" w:hAnsi="Arial" w:cs="Arial"/>
              <w:b/>
              <w:i/>
              <w:sz w:val="14"/>
            </w:rPr>
          </w:pPr>
          <w:hyperlink w:anchor="Section3" w:history="1">
            <w:r>
              <w:rPr>
                <w:rFonts w:ascii="Arial" w:eastAsia="Arial" w:hAnsi="Arial" w:cs="Arial"/>
                <w:b/>
                <w:i/>
                <w:color w:val="8EA0AB"/>
                <w:sz w:val="14"/>
                <w:u w:val="single"/>
              </w:rPr>
              <w:t>Glossary</w:t>
            </w:r>
          </w:hyperlink>
        </w:p>
      </w:tc>
      <w:tc>
        <w:tcPr>
          <w:tcW w:w="6900" w:type="dxa"/>
          <w:tcBorders>
            <w:top w:val="nil"/>
            <w:left w:val="nil"/>
            <w:bottom w:val="single" w:sz="8" w:space="0" w:color="000000"/>
            <w:right w:val="nil"/>
          </w:tcBorders>
          <w:tcMar>
            <w:top w:w="0" w:type="dxa"/>
            <w:left w:w="53" w:type="dxa"/>
            <w:bottom w:w="0" w:type="dxa"/>
            <w:right w:w="53" w:type="dxa"/>
          </w:tcMar>
          <w:vAlign w:val="bottom"/>
        </w:tcPr>
        <w:p w14:paraId="7CDCB19E" w14:textId="77777777" w:rsidR="001614AC" w:rsidRDefault="004468F9">
          <w:pPr>
            <w:spacing w:before="75" w:line="288" w:lineRule="auto"/>
            <w:jc w:val="right"/>
          </w:pPr>
          <w:r>
            <w:rPr>
              <w:rFonts w:ascii="Arial" w:eastAsia="Arial" w:hAnsi="Arial" w:cs="Arial"/>
              <w:b/>
              <w:color w:val="000000"/>
              <w:sz w:val="16"/>
            </w:rPr>
            <w:t>Radian Group Inc.</w:t>
          </w:r>
        </w:p>
        <w:p w14:paraId="3996E373" w14:textId="77777777" w:rsidR="001614AC" w:rsidRDefault="004468F9">
          <w:pPr>
            <w:spacing w:line="288" w:lineRule="auto"/>
            <w:jc w:val="right"/>
          </w:pPr>
          <w:r>
            <w:rPr>
              <w:rFonts w:ascii="Arial" w:eastAsia="Arial" w:hAnsi="Arial" w:cs="Arial"/>
              <w:b/>
              <w:color w:val="000000"/>
              <w:sz w:val="16"/>
            </w:rPr>
            <w:t>Notes to Unaudited Condensed Consolidated Financial Statements</w:t>
          </w:r>
        </w:p>
        <w:p w14:paraId="6CA07FBA" w14:textId="77777777" w:rsidR="001614AC" w:rsidRDefault="001614AC">
          <w:pPr>
            <w:spacing w:after="30" w:line="288" w:lineRule="auto"/>
            <w:jc w:val="right"/>
          </w:pPr>
        </w:p>
      </w:tc>
    </w:tr>
  </w:tbl>
  <w:p w14:paraId="104675E3" w14:textId="77777777" w:rsidR="001614AC" w:rsidRDefault="001614AC">
    <w:pPr>
      <w:spacing w:line="288" w:lineRule="auto"/>
      <w:ind w:left="-90" w:right="-90"/>
      <w:rPr>
        <w:rFonts w:ascii="Arial" w:eastAsia="Arial" w:hAnsi="Arial" w:cs="Arial"/>
        <w:b/>
        <w:i/>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6D86A0" w14:textId="77777777" w:rsidR="001614AC" w:rsidRDefault="001614AC">
    <w:pPr>
      <w:spacing w:before="100" w:line="288" w:lineRule="auto"/>
      <w:ind w:left="-90" w:right="-90" w:firstLine="450"/>
      <w:rPr>
        <w:rFonts w:ascii="Arial" w:eastAsia="Arial" w:hAnsi="Arial" w:cs="Arial"/>
        <w:sz w:val="18"/>
      </w:rP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465"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27"/>
      <w:gridCol w:w="7038"/>
    </w:tblGrid>
    <w:tr w:rsidR="001614AC" w14:paraId="7ECE99C6" w14:textId="77777777">
      <w:trPr>
        <w:cantSplit/>
        <w:trHeight w:hRule="exact" w:val="840"/>
      </w:trPr>
      <w:tc>
        <w:tcPr>
          <w:tcW w:w="3360" w:type="dxa"/>
          <w:tcBorders>
            <w:top w:val="nil"/>
            <w:left w:val="nil"/>
            <w:bottom w:val="single" w:sz="8" w:space="0" w:color="000000"/>
            <w:right w:val="nil"/>
          </w:tcBorders>
          <w:tcMar>
            <w:top w:w="0" w:type="dxa"/>
            <w:left w:w="53" w:type="dxa"/>
            <w:bottom w:w="0" w:type="dxa"/>
            <w:right w:w="53" w:type="dxa"/>
          </w:tcMar>
        </w:tcPr>
        <w:p w14:paraId="0336CE02" w14:textId="77777777" w:rsidR="001614AC" w:rsidRDefault="004468F9">
          <w:pPr>
            <w:spacing w:before="75" w:line="288" w:lineRule="auto"/>
            <w:rPr>
              <w:rFonts w:ascii="Arial" w:eastAsia="Arial" w:hAnsi="Arial" w:cs="Arial"/>
              <w:b/>
              <w:i/>
              <w:color w:val="8EA0AB"/>
              <w:sz w:val="14"/>
              <w:u w:val="single"/>
            </w:rPr>
          </w:pPr>
          <w:hyperlink w:anchor="Section2" w:history="1">
            <w:r>
              <w:rPr>
                <w:rFonts w:ascii="Arial" w:eastAsia="Arial" w:hAnsi="Arial" w:cs="Arial"/>
                <w:b/>
                <w:i/>
                <w:color w:val="8EA0AB"/>
                <w:sz w:val="14"/>
                <w:u w:val="single"/>
              </w:rPr>
              <w:t>Table of Contents</w:t>
            </w:r>
          </w:hyperlink>
        </w:p>
        <w:p w14:paraId="6889D7D9" w14:textId="77777777" w:rsidR="001614AC" w:rsidRDefault="004468F9">
          <w:pPr>
            <w:spacing w:after="30" w:line="288" w:lineRule="auto"/>
            <w:rPr>
              <w:rFonts w:ascii="Arial" w:eastAsia="Arial" w:hAnsi="Arial" w:cs="Arial"/>
              <w:b/>
              <w:i/>
              <w:sz w:val="14"/>
            </w:rPr>
          </w:pPr>
          <w:hyperlink w:anchor="Section3" w:history="1">
            <w:r>
              <w:rPr>
                <w:rFonts w:ascii="Arial" w:eastAsia="Arial" w:hAnsi="Arial" w:cs="Arial"/>
                <w:b/>
                <w:i/>
                <w:color w:val="8EA0AB"/>
                <w:sz w:val="14"/>
                <w:u w:val="single"/>
              </w:rPr>
              <w:t>Glossary</w:t>
            </w:r>
          </w:hyperlink>
        </w:p>
      </w:tc>
      <w:tc>
        <w:tcPr>
          <w:tcW w:w="6900" w:type="dxa"/>
          <w:tcBorders>
            <w:top w:val="nil"/>
            <w:left w:val="nil"/>
            <w:bottom w:val="single" w:sz="8" w:space="0" w:color="000000"/>
            <w:right w:val="nil"/>
          </w:tcBorders>
          <w:tcMar>
            <w:top w:w="0" w:type="dxa"/>
            <w:left w:w="53" w:type="dxa"/>
            <w:bottom w:w="0" w:type="dxa"/>
            <w:right w:w="53" w:type="dxa"/>
          </w:tcMar>
          <w:vAlign w:val="bottom"/>
        </w:tcPr>
        <w:p w14:paraId="0B2A97B9" w14:textId="77777777" w:rsidR="001614AC" w:rsidRDefault="004468F9">
          <w:pPr>
            <w:spacing w:before="75" w:line="288" w:lineRule="auto"/>
            <w:jc w:val="right"/>
          </w:pPr>
          <w:r>
            <w:rPr>
              <w:rFonts w:ascii="Arial" w:eastAsia="Arial" w:hAnsi="Arial" w:cs="Arial"/>
              <w:b/>
              <w:color w:val="000000"/>
              <w:sz w:val="16"/>
            </w:rPr>
            <w:t>Radian Group Inc.</w:t>
          </w:r>
        </w:p>
        <w:p w14:paraId="7C0B504C" w14:textId="77777777" w:rsidR="001614AC" w:rsidRDefault="004468F9">
          <w:pPr>
            <w:spacing w:line="288" w:lineRule="auto"/>
            <w:jc w:val="right"/>
          </w:pPr>
          <w:r>
            <w:rPr>
              <w:rFonts w:ascii="Arial" w:eastAsia="Arial" w:hAnsi="Arial" w:cs="Arial"/>
              <w:b/>
              <w:color w:val="000000"/>
              <w:sz w:val="16"/>
            </w:rPr>
            <w:t>Notes to Unaudited Condensed Consolidated Financial Statements</w:t>
          </w:r>
        </w:p>
        <w:p w14:paraId="5914675F" w14:textId="77777777" w:rsidR="001614AC" w:rsidRDefault="001614AC">
          <w:pPr>
            <w:spacing w:after="30" w:line="288" w:lineRule="auto"/>
            <w:jc w:val="right"/>
          </w:pPr>
        </w:p>
      </w:tc>
    </w:tr>
  </w:tbl>
  <w:p w14:paraId="56EE4135" w14:textId="77777777" w:rsidR="001614AC" w:rsidRDefault="001614AC">
    <w:pPr>
      <w:spacing w:line="288" w:lineRule="auto"/>
      <w:ind w:left="-90" w:right="-90"/>
      <w:rPr>
        <w:rFonts w:ascii="Arial" w:eastAsia="Arial" w:hAnsi="Arial" w:cs="Arial"/>
        <w:b/>
        <w:i/>
        <w:sz w:val="16"/>
      </w:rP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465"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27"/>
      <w:gridCol w:w="7038"/>
    </w:tblGrid>
    <w:tr w:rsidR="001614AC" w14:paraId="4FA4B044" w14:textId="77777777">
      <w:trPr>
        <w:cantSplit/>
        <w:trHeight w:hRule="exact" w:val="840"/>
      </w:trPr>
      <w:tc>
        <w:tcPr>
          <w:tcW w:w="3360" w:type="dxa"/>
          <w:tcBorders>
            <w:top w:val="nil"/>
            <w:left w:val="nil"/>
            <w:bottom w:val="single" w:sz="8" w:space="0" w:color="000000"/>
            <w:right w:val="nil"/>
          </w:tcBorders>
          <w:tcMar>
            <w:top w:w="0" w:type="dxa"/>
            <w:left w:w="53" w:type="dxa"/>
            <w:bottom w:w="0" w:type="dxa"/>
            <w:right w:w="53" w:type="dxa"/>
          </w:tcMar>
        </w:tcPr>
        <w:p w14:paraId="2DA03476" w14:textId="77777777" w:rsidR="001614AC" w:rsidRDefault="004468F9">
          <w:pPr>
            <w:spacing w:before="75" w:line="288" w:lineRule="auto"/>
            <w:rPr>
              <w:rFonts w:ascii="Arial" w:eastAsia="Arial" w:hAnsi="Arial" w:cs="Arial"/>
              <w:b/>
              <w:i/>
              <w:color w:val="8EA0AB"/>
              <w:sz w:val="14"/>
              <w:u w:val="single"/>
            </w:rPr>
          </w:pPr>
          <w:hyperlink w:anchor="Section2" w:history="1">
            <w:r>
              <w:rPr>
                <w:rFonts w:ascii="Arial" w:eastAsia="Arial" w:hAnsi="Arial" w:cs="Arial"/>
                <w:b/>
                <w:i/>
                <w:color w:val="8EA0AB"/>
                <w:sz w:val="14"/>
                <w:u w:val="single"/>
              </w:rPr>
              <w:t>Table of Contents</w:t>
            </w:r>
          </w:hyperlink>
        </w:p>
        <w:p w14:paraId="76096177" w14:textId="77777777" w:rsidR="001614AC" w:rsidRDefault="004468F9">
          <w:pPr>
            <w:spacing w:after="30" w:line="288" w:lineRule="auto"/>
            <w:rPr>
              <w:rFonts w:ascii="Arial" w:eastAsia="Arial" w:hAnsi="Arial" w:cs="Arial"/>
              <w:b/>
              <w:i/>
              <w:sz w:val="14"/>
            </w:rPr>
          </w:pPr>
          <w:hyperlink w:anchor="Section3" w:history="1">
            <w:r>
              <w:rPr>
                <w:rFonts w:ascii="Arial" w:eastAsia="Arial" w:hAnsi="Arial" w:cs="Arial"/>
                <w:b/>
                <w:i/>
                <w:color w:val="8EA0AB"/>
                <w:sz w:val="14"/>
                <w:u w:val="single"/>
              </w:rPr>
              <w:t>Glossary</w:t>
            </w:r>
          </w:hyperlink>
        </w:p>
      </w:tc>
      <w:tc>
        <w:tcPr>
          <w:tcW w:w="6900" w:type="dxa"/>
          <w:tcBorders>
            <w:top w:val="nil"/>
            <w:left w:val="nil"/>
            <w:bottom w:val="single" w:sz="8" w:space="0" w:color="000000"/>
            <w:right w:val="nil"/>
          </w:tcBorders>
          <w:tcMar>
            <w:top w:w="0" w:type="dxa"/>
            <w:left w:w="53" w:type="dxa"/>
            <w:bottom w:w="0" w:type="dxa"/>
            <w:right w:w="53" w:type="dxa"/>
          </w:tcMar>
          <w:vAlign w:val="bottom"/>
        </w:tcPr>
        <w:p w14:paraId="60ED00D3" w14:textId="77777777" w:rsidR="001614AC" w:rsidRDefault="004468F9">
          <w:pPr>
            <w:spacing w:before="75" w:line="288" w:lineRule="auto"/>
            <w:jc w:val="right"/>
          </w:pPr>
          <w:r>
            <w:rPr>
              <w:rFonts w:ascii="Arial" w:eastAsia="Arial" w:hAnsi="Arial" w:cs="Arial"/>
              <w:b/>
              <w:color w:val="000000"/>
              <w:sz w:val="16"/>
            </w:rPr>
            <w:t>Radian Group Inc.</w:t>
          </w:r>
        </w:p>
        <w:p w14:paraId="7F457C62" w14:textId="77777777" w:rsidR="001614AC" w:rsidRDefault="004468F9">
          <w:pPr>
            <w:spacing w:line="288" w:lineRule="auto"/>
            <w:jc w:val="right"/>
          </w:pPr>
          <w:r>
            <w:rPr>
              <w:rFonts w:ascii="Arial" w:eastAsia="Arial" w:hAnsi="Arial" w:cs="Arial"/>
              <w:b/>
              <w:color w:val="000000"/>
              <w:sz w:val="16"/>
            </w:rPr>
            <w:t>Notes to Unaudited Condensed Consolidated Financial Statements</w:t>
          </w:r>
        </w:p>
        <w:p w14:paraId="27C1C4B9" w14:textId="77777777" w:rsidR="001614AC" w:rsidRDefault="001614AC">
          <w:pPr>
            <w:spacing w:after="30" w:line="288" w:lineRule="auto"/>
            <w:jc w:val="right"/>
          </w:pPr>
        </w:p>
      </w:tc>
    </w:tr>
  </w:tbl>
  <w:p w14:paraId="7C0B1058" w14:textId="77777777" w:rsidR="001614AC" w:rsidRDefault="001614AC">
    <w:pPr>
      <w:spacing w:line="288" w:lineRule="auto"/>
      <w:ind w:left="-90" w:right="-90"/>
      <w:rPr>
        <w:rFonts w:ascii="Arial" w:eastAsia="Arial" w:hAnsi="Arial" w:cs="Arial"/>
        <w:b/>
        <w:i/>
        <w:sz w:val="16"/>
      </w:rP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465"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27"/>
      <w:gridCol w:w="7038"/>
    </w:tblGrid>
    <w:tr w:rsidR="001614AC" w14:paraId="0DDF7357" w14:textId="77777777">
      <w:trPr>
        <w:cantSplit/>
        <w:trHeight w:hRule="exact" w:val="840"/>
      </w:trPr>
      <w:tc>
        <w:tcPr>
          <w:tcW w:w="3360" w:type="dxa"/>
          <w:tcBorders>
            <w:top w:val="nil"/>
            <w:left w:val="nil"/>
            <w:bottom w:val="single" w:sz="8" w:space="0" w:color="000000"/>
            <w:right w:val="nil"/>
          </w:tcBorders>
          <w:tcMar>
            <w:top w:w="0" w:type="dxa"/>
            <w:left w:w="53" w:type="dxa"/>
            <w:bottom w:w="0" w:type="dxa"/>
            <w:right w:w="53" w:type="dxa"/>
          </w:tcMar>
        </w:tcPr>
        <w:p w14:paraId="542B4144" w14:textId="77777777" w:rsidR="001614AC" w:rsidRDefault="004468F9">
          <w:pPr>
            <w:spacing w:before="75" w:line="288" w:lineRule="auto"/>
            <w:rPr>
              <w:rFonts w:ascii="Arial" w:eastAsia="Arial" w:hAnsi="Arial" w:cs="Arial"/>
              <w:b/>
              <w:i/>
              <w:color w:val="8EA0AB"/>
              <w:sz w:val="14"/>
              <w:u w:val="single"/>
            </w:rPr>
          </w:pPr>
          <w:hyperlink w:anchor="Section2" w:history="1">
            <w:r>
              <w:rPr>
                <w:rFonts w:ascii="Arial" w:eastAsia="Arial" w:hAnsi="Arial" w:cs="Arial"/>
                <w:b/>
                <w:i/>
                <w:color w:val="8EA0AB"/>
                <w:sz w:val="14"/>
                <w:u w:val="single"/>
              </w:rPr>
              <w:t>Table of Contents</w:t>
            </w:r>
          </w:hyperlink>
        </w:p>
        <w:p w14:paraId="1A73C331" w14:textId="77777777" w:rsidR="001614AC" w:rsidRDefault="004468F9">
          <w:pPr>
            <w:spacing w:after="30" w:line="288" w:lineRule="auto"/>
            <w:rPr>
              <w:rFonts w:ascii="Arial" w:eastAsia="Arial" w:hAnsi="Arial" w:cs="Arial"/>
              <w:b/>
              <w:i/>
              <w:sz w:val="14"/>
            </w:rPr>
          </w:pPr>
          <w:hyperlink w:anchor="Section3" w:history="1">
            <w:r>
              <w:rPr>
                <w:rFonts w:ascii="Arial" w:eastAsia="Arial" w:hAnsi="Arial" w:cs="Arial"/>
                <w:b/>
                <w:i/>
                <w:color w:val="8EA0AB"/>
                <w:sz w:val="14"/>
                <w:u w:val="single"/>
              </w:rPr>
              <w:t>Glossary</w:t>
            </w:r>
          </w:hyperlink>
        </w:p>
      </w:tc>
      <w:tc>
        <w:tcPr>
          <w:tcW w:w="6900" w:type="dxa"/>
          <w:tcBorders>
            <w:top w:val="nil"/>
            <w:left w:val="nil"/>
            <w:bottom w:val="single" w:sz="8" w:space="0" w:color="000000"/>
            <w:right w:val="nil"/>
          </w:tcBorders>
          <w:tcMar>
            <w:top w:w="0" w:type="dxa"/>
            <w:left w:w="53" w:type="dxa"/>
            <w:bottom w:w="0" w:type="dxa"/>
            <w:right w:w="53" w:type="dxa"/>
          </w:tcMar>
          <w:vAlign w:val="bottom"/>
        </w:tcPr>
        <w:p w14:paraId="66140172" w14:textId="77777777" w:rsidR="001614AC" w:rsidRDefault="004468F9">
          <w:pPr>
            <w:spacing w:before="75" w:line="288" w:lineRule="auto"/>
            <w:jc w:val="right"/>
          </w:pPr>
          <w:r>
            <w:rPr>
              <w:rFonts w:ascii="Arial" w:eastAsia="Arial" w:hAnsi="Arial" w:cs="Arial"/>
              <w:b/>
              <w:color w:val="000000"/>
              <w:sz w:val="16"/>
            </w:rPr>
            <w:t>Radian Group Inc.</w:t>
          </w:r>
        </w:p>
        <w:p w14:paraId="288859AB" w14:textId="77777777" w:rsidR="001614AC" w:rsidRDefault="004468F9">
          <w:pPr>
            <w:spacing w:line="288" w:lineRule="auto"/>
            <w:jc w:val="right"/>
          </w:pPr>
          <w:r>
            <w:rPr>
              <w:rFonts w:ascii="Arial" w:eastAsia="Arial" w:hAnsi="Arial" w:cs="Arial"/>
              <w:b/>
              <w:color w:val="000000"/>
              <w:sz w:val="16"/>
            </w:rPr>
            <w:t>Notes to Unaudited Condensed Consolidated Financial Statements</w:t>
          </w:r>
        </w:p>
        <w:p w14:paraId="11E4B424" w14:textId="77777777" w:rsidR="001614AC" w:rsidRDefault="001614AC">
          <w:pPr>
            <w:spacing w:after="30" w:line="288" w:lineRule="auto"/>
            <w:jc w:val="right"/>
          </w:pPr>
        </w:p>
      </w:tc>
    </w:tr>
  </w:tbl>
  <w:p w14:paraId="5058952A" w14:textId="77777777" w:rsidR="001614AC" w:rsidRDefault="001614AC">
    <w:pPr>
      <w:spacing w:line="288" w:lineRule="auto"/>
      <w:ind w:left="-90" w:right="-90"/>
      <w:rPr>
        <w:rFonts w:ascii="Arial" w:eastAsia="Arial" w:hAnsi="Arial" w:cs="Arial"/>
        <w:b/>
        <w:i/>
        <w:sz w:val="16"/>
      </w:rP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465"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27"/>
      <w:gridCol w:w="7038"/>
    </w:tblGrid>
    <w:tr w:rsidR="001614AC" w14:paraId="0D58A82C" w14:textId="77777777">
      <w:trPr>
        <w:cantSplit/>
        <w:trHeight w:hRule="exact" w:val="840"/>
      </w:trPr>
      <w:tc>
        <w:tcPr>
          <w:tcW w:w="3360" w:type="dxa"/>
          <w:tcBorders>
            <w:top w:val="nil"/>
            <w:left w:val="nil"/>
            <w:bottom w:val="single" w:sz="8" w:space="0" w:color="000000"/>
            <w:right w:val="nil"/>
          </w:tcBorders>
          <w:tcMar>
            <w:top w:w="0" w:type="dxa"/>
            <w:left w:w="53" w:type="dxa"/>
            <w:bottom w:w="0" w:type="dxa"/>
            <w:right w:w="53" w:type="dxa"/>
          </w:tcMar>
        </w:tcPr>
        <w:p w14:paraId="7039116E" w14:textId="77777777" w:rsidR="001614AC" w:rsidRDefault="004468F9">
          <w:pPr>
            <w:spacing w:before="75" w:line="288" w:lineRule="auto"/>
            <w:rPr>
              <w:rFonts w:ascii="Arial" w:eastAsia="Arial" w:hAnsi="Arial" w:cs="Arial"/>
              <w:b/>
              <w:i/>
              <w:color w:val="8EA0AB"/>
              <w:sz w:val="14"/>
              <w:u w:val="single"/>
            </w:rPr>
          </w:pPr>
          <w:hyperlink w:anchor="Section2" w:history="1">
            <w:r>
              <w:rPr>
                <w:rFonts w:ascii="Arial" w:eastAsia="Arial" w:hAnsi="Arial" w:cs="Arial"/>
                <w:b/>
                <w:i/>
                <w:color w:val="8EA0AB"/>
                <w:sz w:val="14"/>
                <w:u w:val="single"/>
              </w:rPr>
              <w:t>Table of Contents</w:t>
            </w:r>
          </w:hyperlink>
        </w:p>
        <w:p w14:paraId="585EA651" w14:textId="77777777" w:rsidR="001614AC" w:rsidRDefault="004468F9">
          <w:pPr>
            <w:spacing w:after="30" w:line="288" w:lineRule="auto"/>
            <w:rPr>
              <w:rFonts w:ascii="Arial" w:eastAsia="Arial" w:hAnsi="Arial" w:cs="Arial"/>
              <w:b/>
              <w:i/>
              <w:sz w:val="14"/>
            </w:rPr>
          </w:pPr>
          <w:hyperlink w:anchor="Section3" w:history="1">
            <w:r>
              <w:rPr>
                <w:rFonts w:ascii="Arial" w:eastAsia="Arial" w:hAnsi="Arial" w:cs="Arial"/>
                <w:b/>
                <w:i/>
                <w:color w:val="8EA0AB"/>
                <w:sz w:val="14"/>
                <w:u w:val="single"/>
              </w:rPr>
              <w:t>Glossary</w:t>
            </w:r>
          </w:hyperlink>
        </w:p>
      </w:tc>
      <w:tc>
        <w:tcPr>
          <w:tcW w:w="6900" w:type="dxa"/>
          <w:tcBorders>
            <w:top w:val="nil"/>
            <w:left w:val="nil"/>
            <w:bottom w:val="single" w:sz="8" w:space="0" w:color="000000"/>
            <w:right w:val="nil"/>
          </w:tcBorders>
          <w:tcMar>
            <w:top w:w="0" w:type="dxa"/>
            <w:left w:w="53" w:type="dxa"/>
            <w:bottom w:w="0" w:type="dxa"/>
            <w:right w:w="53" w:type="dxa"/>
          </w:tcMar>
          <w:vAlign w:val="bottom"/>
        </w:tcPr>
        <w:p w14:paraId="421F46EB" w14:textId="77777777" w:rsidR="001614AC" w:rsidRDefault="004468F9">
          <w:pPr>
            <w:spacing w:before="75" w:line="288" w:lineRule="auto"/>
            <w:jc w:val="right"/>
          </w:pPr>
          <w:r>
            <w:rPr>
              <w:rFonts w:ascii="Arial" w:eastAsia="Arial" w:hAnsi="Arial" w:cs="Arial"/>
              <w:b/>
              <w:color w:val="000000"/>
              <w:sz w:val="16"/>
            </w:rPr>
            <w:t>Radian Group Inc.</w:t>
          </w:r>
        </w:p>
        <w:p w14:paraId="44F088E0" w14:textId="77777777" w:rsidR="001614AC" w:rsidRDefault="004468F9">
          <w:pPr>
            <w:spacing w:line="288" w:lineRule="auto"/>
            <w:jc w:val="right"/>
          </w:pPr>
          <w:r>
            <w:rPr>
              <w:rFonts w:ascii="Arial" w:eastAsia="Arial" w:hAnsi="Arial" w:cs="Arial"/>
              <w:b/>
              <w:color w:val="000000"/>
              <w:sz w:val="16"/>
            </w:rPr>
            <w:t xml:space="preserve">Notes to </w:t>
          </w:r>
          <w:r>
            <w:rPr>
              <w:rFonts w:ascii="Arial" w:eastAsia="Arial" w:hAnsi="Arial" w:cs="Arial"/>
              <w:b/>
              <w:color w:val="000000"/>
              <w:sz w:val="16"/>
            </w:rPr>
            <w:t>Unaudited Condensed Consolidated Financial Statements</w:t>
          </w:r>
        </w:p>
        <w:p w14:paraId="5ABFDB9B" w14:textId="77777777" w:rsidR="001614AC" w:rsidRDefault="001614AC">
          <w:pPr>
            <w:spacing w:after="30" w:line="288" w:lineRule="auto"/>
            <w:jc w:val="right"/>
          </w:pPr>
        </w:p>
      </w:tc>
    </w:tr>
  </w:tbl>
  <w:p w14:paraId="1D3851D0" w14:textId="77777777" w:rsidR="001614AC" w:rsidRDefault="001614AC">
    <w:pPr>
      <w:spacing w:line="288" w:lineRule="auto"/>
      <w:ind w:left="-90" w:right="-90"/>
      <w:rPr>
        <w:rFonts w:ascii="Arial" w:eastAsia="Arial" w:hAnsi="Arial" w:cs="Arial"/>
        <w:b/>
        <w:i/>
        <w:sz w:val="16"/>
      </w:rP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465"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27"/>
      <w:gridCol w:w="7038"/>
    </w:tblGrid>
    <w:tr w:rsidR="001614AC" w14:paraId="43D69E13" w14:textId="77777777">
      <w:trPr>
        <w:cantSplit/>
        <w:trHeight w:hRule="exact" w:val="840"/>
      </w:trPr>
      <w:tc>
        <w:tcPr>
          <w:tcW w:w="3360" w:type="dxa"/>
          <w:tcBorders>
            <w:top w:val="nil"/>
            <w:left w:val="nil"/>
            <w:bottom w:val="single" w:sz="8" w:space="0" w:color="000000"/>
            <w:right w:val="nil"/>
          </w:tcBorders>
          <w:tcMar>
            <w:top w:w="0" w:type="dxa"/>
            <w:left w:w="53" w:type="dxa"/>
            <w:bottom w:w="0" w:type="dxa"/>
            <w:right w:w="53" w:type="dxa"/>
          </w:tcMar>
        </w:tcPr>
        <w:p w14:paraId="75A918ED" w14:textId="77777777" w:rsidR="001614AC" w:rsidRDefault="004468F9">
          <w:pPr>
            <w:spacing w:before="75" w:line="288" w:lineRule="auto"/>
            <w:rPr>
              <w:rFonts w:ascii="Arial" w:eastAsia="Arial" w:hAnsi="Arial" w:cs="Arial"/>
              <w:b/>
              <w:i/>
              <w:color w:val="8EA0AB"/>
              <w:sz w:val="14"/>
              <w:u w:val="single"/>
            </w:rPr>
          </w:pPr>
          <w:hyperlink w:anchor="Section2" w:history="1">
            <w:r>
              <w:rPr>
                <w:rFonts w:ascii="Arial" w:eastAsia="Arial" w:hAnsi="Arial" w:cs="Arial"/>
                <w:b/>
                <w:i/>
                <w:color w:val="8EA0AB"/>
                <w:sz w:val="14"/>
                <w:u w:val="single"/>
              </w:rPr>
              <w:t>Table of Contents</w:t>
            </w:r>
          </w:hyperlink>
        </w:p>
        <w:p w14:paraId="732E2871" w14:textId="77777777" w:rsidR="001614AC" w:rsidRDefault="004468F9">
          <w:pPr>
            <w:spacing w:after="30" w:line="288" w:lineRule="auto"/>
            <w:rPr>
              <w:rFonts w:ascii="Arial" w:eastAsia="Arial" w:hAnsi="Arial" w:cs="Arial"/>
              <w:b/>
              <w:i/>
              <w:sz w:val="14"/>
            </w:rPr>
          </w:pPr>
          <w:hyperlink w:anchor="Section3" w:history="1">
            <w:r>
              <w:rPr>
                <w:rFonts w:ascii="Arial" w:eastAsia="Arial" w:hAnsi="Arial" w:cs="Arial"/>
                <w:b/>
                <w:i/>
                <w:color w:val="8EA0AB"/>
                <w:sz w:val="14"/>
                <w:u w:val="single"/>
              </w:rPr>
              <w:t>Glossary</w:t>
            </w:r>
          </w:hyperlink>
        </w:p>
      </w:tc>
      <w:tc>
        <w:tcPr>
          <w:tcW w:w="6900" w:type="dxa"/>
          <w:tcBorders>
            <w:top w:val="nil"/>
            <w:left w:val="nil"/>
            <w:bottom w:val="single" w:sz="8" w:space="0" w:color="000000"/>
            <w:right w:val="nil"/>
          </w:tcBorders>
          <w:tcMar>
            <w:top w:w="0" w:type="dxa"/>
            <w:left w:w="53" w:type="dxa"/>
            <w:bottom w:w="0" w:type="dxa"/>
            <w:right w:w="53" w:type="dxa"/>
          </w:tcMar>
          <w:vAlign w:val="bottom"/>
        </w:tcPr>
        <w:p w14:paraId="4CD26A11" w14:textId="77777777" w:rsidR="001614AC" w:rsidRDefault="004468F9">
          <w:pPr>
            <w:spacing w:before="75" w:line="288" w:lineRule="auto"/>
            <w:jc w:val="right"/>
          </w:pPr>
          <w:r>
            <w:rPr>
              <w:rFonts w:ascii="Arial" w:eastAsia="Arial" w:hAnsi="Arial" w:cs="Arial"/>
              <w:b/>
              <w:color w:val="000000"/>
              <w:sz w:val="16"/>
            </w:rPr>
            <w:t>Radian Group Inc.</w:t>
          </w:r>
        </w:p>
        <w:p w14:paraId="3F3BE11F" w14:textId="77777777" w:rsidR="001614AC" w:rsidRDefault="004468F9">
          <w:pPr>
            <w:spacing w:line="288" w:lineRule="auto"/>
            <w:jc w:val="right"/>
          </w:pPr>
          <w:r>
            <w:rPr>
              <w:rFonts w:ascii="Arial" w:eastAsia="Arial" w:hAnsi="Arial" w:cs="Arial"/>
              <w:b/>
              <w:color w:val="000000"/>
              <w:sz w:val="16"/>
            </w:rPr>
            <w:t>Notes to Unaudited Condensed Consolidated Financial Statements</w:t>
          </w:r>
        </w:p>
        <w:p w14:paraId="77383F05" w14:textId="77777777" w:rsidR="001614AC" w:rsidRDefault="001614AC">
          <w:pPr>
            <w:spacing w:after="30" w:line="288" w:lineRule="auto"/>
            <w:jc w:val="right"/>
          </w:pPr>
        </w:p>
      </w:tc>
    </w:tr>
  </w:tbl>
  <w:p w14:paraId="1B7B111A" w14:textId="77777777" w:rsidR="001614AC" w:rsidRDefault="001614AC">
    <w:pPr>
      <w:spacing w:line="288" w:lineRule="auto"/>
      <w:ind w:left="-90" w:right="-90"/>
      <w:rPr>
        <w:rFonts w:ascii="Arial" w:eastAsia="Arial" w:hAnsi="Arial" w:cs="Arial"/>
        <w:b/>
        <w:i/>
        <w:sz w:val="16"/>
      </w:rP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465"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27"/>
      <w:gridCol w:w="7038"/>
    </w:tblGrid>
    <w:tr w:rsidR="001614AC" w14:paraId="7C6CF0E8" w14:textId="77777777">
      <w:trPr>
        <w:cantSplit/>
        <w:trHeight w:hRule="exact" w:val="840"/>
      </w:trPr>
      <w:tc>
        <w:tcPr>
          <w:tcW w:w="3360" w:type="dxa"/>
          <w:tcBorders>
            <w:top w:val="nil"/>
            <w:left w:val="nil"/>
            <w:bottom w:val="single" w:sz="8" w:space="0" w:color="000000"/>
            <w:right w:val="nil"/>
          </w:tcBorders>
          <w:tcMar>
            <w:top w:w="0" w:type="dxa"/>
            <w:left w:w="53" w:type="dxa"/>
            <w:bottom w:w="0" w:type="dxa"/>
            <w:right w:w="53" w:type="dxa"/>
          </w:tcMar>
        </w:tcPr>
        <w:p w14:paraId="06730F36" w14:textId="77777777" w:rsidR="001614AC" w:rsidRDefault="004468F9">
          <w:pPr>
            <w:spacing w:before="75" w:line="288" w:lineRule="auto"/>
            <w:rPr>
              <w:rFonts w:ascii="Arial" w:eastAsia="Arial" w:hAnsi="Arial" w:cs="Arial"/>
              <w:b/>
              <w:i/>
              <w:color w:val="8EA0AB"/>
              <w:sz w:val="14"/>
              <w:u w:val="single"/>
            </w:rPr>
          </w:pPr>
          <w:hyperlink w:anchor="Section2" w:history="1">
            <w:r>
              <w:rPr>
                <w:rFonts w:ascii="Arial" w:eastAsia="Arial" w:hAnsi="Arial" w:cs="Arial"/>
                <w:b/>
                <w:i/>
                <w:color w:val="8EA0AB"/>
                <w:sz w:val="14"/>
                <w:u w:val="single"/>
              </w:rPr>
              <w:t>Table of Contents</w:t>
            </w:r>
          </w:hyperlink>
        </w:p>
        <w:p w14:paraId="071B32A2" w14:textId="77777777" w:rsidR="001614AC" w:rsidRDefault="004468F9">
          <w:pPr>
            <w:spacing w:after="30" w:line="288" w:lineRule="auto"/>
            <w:rPr>
              <w:rFonts w:ascii="Arial" w:eastAsia="Arial" w:hAnsi="Arial" w:cs="Arial"/>
              <w:b/>
              <w:i/>
              <w:sz w:val="14"/>
            </w:rPr>
          </w:pPr>
          <w:hyperlink w:anchor="Section3" w:history="1">
            <w:r>
              <w:rPr>
                <w:rFonts w:ascii="Arial" w:eastAsia="Arial" w:hAnsi="Arial" w:cs="Arial"/>
                <w:b/>
                <w:i/>
                <w:color w:val="8EA0AB"/>
                <w:sz w:val="14"/>
                <w:u w:val="single"/>
              </w:rPr>
              <w:t>Glossary</w:t>
            </w:r>
          </w:hyperlink>
        </w:p>
      </w:tc>
      <w:tc>
        <w:tcPr>
          <w:tcW w:w="6900" w:type="dxa"/>
          <w:tcBorders>
            <w:top w:val="nil"/>
            <w:left w:val="nil"/>
            <w:bottom w:val="single" w:sz="8" w:space="0" w:color="000000"/>
            <w:right w:val="nil"/>
          </w:tcBorders>
          <w:tcMar>
            <w:top w:w="0" w:type="dxa"/>
            <w:left w:w="53" w:type="dxa"/>
            <w:bottom w:w="0" w:type="dxa"/>
            <w:right w:w="53" w:type="dxa"/>
          </w:tcMar>
          <w:vAlign w:val="bottom"/>
        </w:tcPr>
        <w:p w14:paraId="3972242E" w14:textId="77777777" w:rsidR="001614AC" w:rsidRDefault="004468F9">
          <w:pPr>
            <w:spacing w:before="75" w:line="288" w:lineRule="auto"/>
            <w:jc w:val="right"/>
          </w:pPr>
          <w:r>
            <w:rPr>
              <w:rFonts w:ascii="Arial" w:eastAsia="Arial" w:hAnsi="Arial" w:cs="Arial"/>
              <w:b/>
              <w:color w:val="000000"/>
              <w:sz w:val="16"/>
            </w:rPr>
            <w:t>Radian Group Inc.</w:t>
          </w:r>
        </w:p>
        <w:p w14:paraId="6AE2BC72" w14:textId="77777777" w:rsidR="001614AC" w:rsidRDefault="004468F9">
          <w:pPr>
            <w:spacing w:line="288" w:lineRule="auto"/>
            <w:jc w:val="right"/>
          </w:pPr>
          <w:r>
            <w:rPr>
              <w:rFonts w:ascii="Arial" w:eastAsia="Arial" w:hAnsi="Arial" w:cs="Arial"/>
              <w:b/>
              <w:color w:val="000000"/>
              <w:sz w:val="16"/>
            </w:rPr>
            <w:t>Notes to Unaudited Condensed Consolidated Financial Statements</w:t>
          </w:r>
        </w:p>
        <w:p w14:paraId="1764430C" w14:textId="77777777" w:rsidR="001614AC" w:rsidRDefault="001614AC">
          <w:pPr>
            <w:spacing w:after="30" w:line="288" w:lineRule="auto"/>
            <w:jc w:val="right"/>
          </w:pPr>
        </w:p>
      </w:tc>
    </w:tr>
  </w:tbl>
  <w:p w14:paraId="7A62F468" w14:textId="77777777" w:rsidR="001614AC" w:rsidRDefault="001614AC">
    <w:pPr>
      <w:spacing w:line="288" w:lineRule="auto"/>
      <w:ind w:left="-90" w:right="-90"/>
      <w:rPr>
        <w:rFonts w:ascii="Arial" w:eastAsia="Arial" w:hAnsi="Arial" w:cs="Arial"/>
        <w:b/>
        <w:i/>
        <w:sz w:val="16"/>
      </w:rP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465"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65"/>
    </w:tblGrid>
    <w:tr w:rsidR="001614AC" w14:paraId="76E64561" w14:textId="77777777">
      <w:trPr>
        <w:cantSplit/>
        <w:trHeight w:hRule="exact" w:val="795"/>
      </w:trPr>
      <w:tc>
        <w:tcPr>
          <w:tcW w:w="10260" w:type="dxa"/>
          <w:tcBorders>
            <w:top w:val="nil"/>
            <w:left w:val="nil"/>
            <w:bottom w:val="single" w:sz="8" w:space="0" w:color="000000"/>
            <w:right w:val="nil"/>
          </w:tcBorders>
          <w:tcMar>
            <w:top w:w="0" w:type="dxa"/>
            <w:left w:w="53" w:type="dxa"/>
            <w:bottom w:w="0" w:type="dxa"/>
            <w:right w:w="53" w:type="dxa"/>
          </w:tcMar>
        </w:tcPr>
        <w:p w14:paraId="62496428" w14:textId="77777777" w:rsidR="001614AC" w:rsidRDefault="004468F9">
          <w:pPr>
            <w:spacing w:before="75" w:line="288" w:lineRule="auto"/>
            <w:rPr>
              <w:rFonts w:ascii="Arial" w:eastAsia="Arial" w:hAnsi="Arial" w:cs="Arial"/>
              <w:b/>
              <w:i/>
              <w:color w:val="8EA0AB"/>
              <w:sz w:val="14"/>
              <w:u w:val="single"/>
            </w:rPr>
          </w:pPr>
          <w:hyperlink w:anchor="Section2" w:history="1">
            <w:r>
              <w:rPr>
                <w:rFonts w:ascii="Arial" w:eastAsia="Arial" w:hAnsi="Arial" w:cs="Arial"/>
                <w:b/>
                <w:i/>
                <w:color w:val="8EA0AB"/>
                <w:sz w:val="14"/>
                <w:u w:val="single"/>
              </w:rPr>
              <w:t>Table of Contents</w:t>
            </w:r>
          </w:hyperlink>
        </w:p>
        <w:p w14:paraId="34944579" w14:textId="77777777" w:rsidR="001614AC" w:rsidRDefault="004468F9">
          <w:pPr>
            <w:spacing w:line="288" w:lineRule="auto"/>
            <w:rPr>
              <w:rFonts w:ascii="Arial" w:eastAsia="Arial" w:hAnsi="Arial" w:cs="Arial"/>
              <w:b/>
              <w:i/>
              <w:sz w:val="14"/>
            </w:rPr>
          </w:pPr>
          <w:hyperlink w:anchor="Section3" w:history="1">
            <w:r>
              <w:rPr>
                <w:rFonts w:ascii="Arial" w:eastAsia="Arial" w:hAnsi="Arial" w:cs="Arial"/>
                <w:b/>
                <w:i/>
                <w:color w:val="8EA0AB"/>
                <w:sz w:val="14"/>
                <w:u w:val="single"/>
              </w:rPr>
              <w:t>Glossary</w:t>
            </w:r>
          </w:hyperlink>
        </w:p>
        <w:p w14:paraId="3739FEDC" w14:textId="77777777" w:rsidR="001614AC" w:rsidRDefault="004468F9">
          <w:pPr>
            <w:spacing w:line="288" w:lineRule="auto"/>
            <w:jc w:val="right"/>
            <w:outlineLvl w:val="1"/>
            <w:rPr>
              <w:rFonts w:ascii="Arial" w:eastAsia="Arial" w:hAnsi="Arial" w:cs="Arial"/>
              <w:b/>
              <w:color w:val="8EA0AB"/>
              <w:sz w:val="16"/>
              <w:u w:val="single"/>
            </w:rPr>
          </w:pPr>
          <w:r>
            <w:rPr>
              <w:rFonts w:ascii="Arial" w:eastAsia="Arial" w:hAnsi="Arial" w:cs="Arial"/>
              <w:b/>
              <w:sz w:val="16"/>
            </w:rPr>
            <w:t xml:space="preserve">Part I. Item 2. </w:t>
          </w:r>
          <w:r>
            <w:rPr>
              <w:rFonts w:ascii="Arial" w:eastAsia="Arial" w:hAnsi="Arial" w:cs="Arial"/>
              <w:b/>
              <w:sz w:val="16"/>
            </w:rPr>
            <w:t>Management’s Discussion and Analysis of Financial Condition and Results of Operations</w:t>
          </w:r>
        </w:p>
        <w:p w14:paraId="46F317D6" w14:textId="77777777" w:rsidR="001614AC" w:rsidRDefault="001614AC">
          <w:pPr>
            <w:spacing w:after="30" w:line="288" w:lineRule="auto"/>
            <w:jc w:val="right"/>
            <w:rPr>
              <w:rFonts w:ascii="Arial" w:eastAsia="Arial" w:hAnsi="Arial" w:cs="Arial"/>
              <w:b/>
              <w:sz w:val="16"/>
            </w:rPr>
          </w:pPr>
        </w:p>
      </w:tc>
    </w:tr>
  </w:tbl>
  <w:p w14:paraId="7B0095DE" w14:textId="77777777" w:rsidR="001614AC" w:rsidRDefault="001614AC">
    <w:pPr>
      <w:spacing w:line="288" w:lineRule="auto"/>
      <w:ind w:left="-90" w:right="-90"/>
      <w:rPr>
        <w:rFonts w:ascii="Arial" w:eastAsia="Arial" w:hAnsi="Arial" w:cs="Arial"/>
        <w:b/>
        <w:i/>
        <w:color w:val="8EA0AB"/>
        <w:sz w:val="16"/>
        <w:u w:val="single"/>
      </w:rP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E0C116" w14:textId="77777777" w:rsidR="001614AC" w:rsidRDefault="001614AC">
    <w:pPr>
      <w:spacing w:line="288" w:lineRule="auto"/>
      <w:ind w:left="-90" w:right="-90"/>
      <w:rPr>
        <w:rFonts w:ascii="Arial" w:eastAsia="Arial" w:hAnsi="Arial" w:cs="Arial"/>
        <w:b/>
        <w:i/>
        <w:color w:val="8EA0AB"/>
        <w:sz w:val="10"/>
        <w:u w:val="single"/>
      </w:rPr>
    </w:pPr>
  </w:p>
  <w:tbl>
    <w:tblPr>
      <w:tblW w:w="10465"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65"/>
    </w:tblGrid>
    <w:tr w:rsidR="001614AC" w14:paraId="2853F944" w14:textId="77777777">
      <w:trPr>
        <w:cantSplit/>
        <w:trHeight w:hRule="exact" w:val="585"/>
      </w:trPr>
      <w:tc>
        <w:tcPr>
          <w:tcW w:w="10260" w:type="dxa"/>
          <w:tcBorders>
            <w:top w:val="nil"/>
            <w:left w:val="nil"/>
            <w:bottom w:val="single" w:sz="8" w:space="0" w:color="000000"/>
            <w:right w:val="nil"/>
          </w:tcBorders>
          <w:tcMar>
            <w:top w:w="0" w:type="dxa"/>
            <w:left w:w="53" w:type="dxa"/>
            <w:bottom w:w="0" w:type="dxa"/>
            <w:right w:w="53" w:type="dxa"/>
          </w:tcMar>
        </w:tcPr>
        <w:p w14:paraId="605C1F17" w14:textId="77777777" w:rsidR="001614AC" w:rsidRDefault="001614AC">
          <w:pPr>
            <w:spacing w:before="75" w:line="288" w:lineRule="auto"/>
            <w:rPr>
              <w:rFonts w:ascii="Arial" w:eastAsia="Arial" w:hAnsi="Arial" w:cs="Arial"/>
              <w:b/>
              <w:i/>
              <w:color w:val="8EA0AB"/>
              <w:sz w:val="14"/>
              <w:u w:val="single"/>
            </w:rPr>
          </w:pPr>
        </w:p>
        <w:p w14:paraId="492194BD" w14:textId="77777777" w:rsidR="001614AC" w:rsidRDefault="004468F9">
          <w:pPr>
            <w:spacing w:after="30" w:line="288" w:lineRule="auto"/>
            <w:rPr>
              <w:rFonts w:ascii="Arial" w:eastAsia="Arial" w:hAnsi="Arial" w:cs="Arial"/>
              <w:b/>
              <w:i/>
              <w:sz w:val="14"/>
            </w:rPr>
          </w:pPr>
          <w:hyperlink w:anchor="Section3" w:history="1">
            <w:r>
              <w:rPr>
                <w:rFonts w:ascii="Arial" w:eastAsia="Arial" w:hAnsi="Arial" w:cs="Arial"/>
                <w:b/>
                <w:i/>
                <w:color w:val="8EA0AB"/>
                <w:sz w:val="14"/>
                <w:u w:val="single"/>
              </w:rPr>
              <w:t>Glossary</w:t>
            </w:r>
          </w:hyperlink>
        </w:p>
      </w:tc>
    </w:tr>
  </w:tbl>
  <w:p w14:paraId="388E810B" w14:textId="77777777" w:rsidR="001614AC" w:rsidRDefault="004468F9">
    <w:pPr>
      <w:spacing w:line="288" w:lineRule="auto"/>
      <w:ind w:left="-90" w:right="-90"/>
      <w:rPr>
        <w:sz w:val="14"/>
      </w:rPr>
    </w:pPr>
    <w:hyperlink w:anchor="Section2" w:history="1">
      <w:r>
        <w:rPr>
          <w:rFonts w:ascii="Arial" w:eastAsia="Arial" w:hAnsi="Arial" w:cs="Arial"/>
          <w:b/>
          <w:i/>
          <w:color w:val="8EA0AB"/>
          <w:sz w:val="14"/>
          <w:u w:val="single"/>
        </w:rPr>
        <w:t>Table of Contents</w:t>
      </w:r>
    </w:hyperlink>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465"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65"/>
    </w:tblGrid>
    <w:tr w:rsidR="001614AC" w14:paraId="4E44955A" w14:textId="77777777">
      <w:trPr>
        <w:cantSplit/>
        <w:trHeight w:hRule="exact" w:val="795"/>
      </w:trPr>
      <w:tc>
        <w:tcPr>
          <w:tcW w:w="10260" w:type="dxa"/>
          <w:tcBorders>
            <w:top w:val="nil"/>
            <w:left w:val="nil"/>
            <w:bottom w:val="single" w:sz="8" w:space="0" w:color="000000"/>
            <w:right w:val="nil"/>
          </w:tcBorders>
          <w:tcMar>
            <w:top w:w="0" w:type="dxa"/>
            <w:left w:w="53" w:type="dxa"/>
            <w:bottom w:w="0" w:type="dxa"/>
            <w:right w:w="53" w:type="dxa"/>
          </w:tcMar>
        </w:tcPr>
        <w:p w14:paraId="026956D2" w14:textId="77777777" w:rsidR="001614AC" w:rsidRDefault="004468F9">
          <w:pPr>
            <w:spacing w:before="75" w:line="288" w:lineRule="auto"/>
            <w:rPr>
              <w:rFonts w:ascii="Arial" w:eastAsia="Arial" w:hAnsi="Arial" w:cs="Arial"/>
              <w:b/>
              <w:i/>
              <w:color w:val="8EA0AB"/>
              <w:sz w:val="14"/>
              <w:u w:val="single"/>
            </w:rPr>
          </w:pPr>
          <w:hyperlink w:anchor="Section2" w:history="1">
            <w:r>
              <w:rPr>
                <w:rFonts w:ascii="Arial" w:eastAsia="Arial" w:hAnsi="Arial" w:cs="Arial"/>
                <w:b/>
                <w:i/>
                <w:color w:val="8EA0AB"/>
                <w:sz w:val="14"/>
                <w:u w:val="single"/>
              </w:rPr>
              <w:t>Table of Contents</w:t>
            </w:r>
          </w:hyperlink>
        </w:p>
        <w:p w14:paraId="1E346FE9" w14:textId="77777777" w:rsidR="001614AC" w:rsidRDefault="004468F9">
          <w:pPr>
            <w:spacing w:line="288" w:lineRule="auto"/>
            <w:rPr>
              <w:rFonts w:ascii="Arial" w:eastAsia="Arial" w:hAnsi="Arial" w:cs="Arial"/>
              <w:b/>
              <w:i/>
              <w:sz w:val="14"/>
            </w:rPr>
          </w:pPr>
          <w:hyperlink w:anchor="Section3" w:history="1">
            <w:r>
              <w:rPr>
                <w:rFonts w:ascii="Arial" w:eastAsia="Arial" w:hAnsi="Arial" w:cs="Arial"/>
                <w:b/>
                <w:i/>
                <w:color w:val="8EA0AB"/>
                <w:sz w:val="14"/>
                <w:u w:val="single"/>
              </w:rPr>
              <w:t>Glossary</w:t>
            </w:r>
          </w:hyperlink>
        </w:p>
        <w:p w14:paraId="5CB60B45" w14:textId="77777777" w:rsidR="001614AC" w:rsidRDefault="004468F9">
          <w:pPr>
            <w:spacing w:line="288" w:lineRule="auto"/>
            <w:jc w:val="right"/>
            <w:outlineLvl w:val="2"/>
            <w:rPr>
              <w:rFonts w:ascii="Arial" w:eastAsia="Arial" w:hAnsi="Arial" w:cs="Arial"/>
              <w:b/>
              <w:color w:val="8EA0AB"/>
              <w:sz w:val="16"/>
              <w:u w:val="single"/>
            </w:rPr>
          </w:pPr>
          <w:r>
            <w:rPr>
              <w:rFonts w:ascii="Arial" w:eastAsia="Arial" w:hAnsi="Arial" w:cs="Arial"/>
              <w:b/>
              <w:sz w:val="16"/>
            </w:rPr>
            <w:t>Part I. Item 2. Management’s Discussion and Analysis of Financial Condition and Results of Operations</w:t>
          </w:r>
        </w:p>
        <w:p w14:paraId="4EDB4DCD" w14:textId="77777777" w:rsidR="001614AC" w:rsidRDefault="001614AC">
          <w:pPr>
            <w:spacing w:after="30" w:line="288" w:lineRule="auto"/>
            <w:jc w:val="right"/>
            <w:rPr>
              <w:rFonts w:ascii="Arial" w:eastAsia="Arial" w:hAnsi="Arial" w:cs="Arial"/>
              <w:b/>
              <w:sz w:val="16"/>
            </w:rPr>
          </w:pPr>
        </w:p>
      </w:tc>
    </w:tr>
  </w:tbl>
  <w:p w14:paraId="38227C68" w14:textId="77777777" w:rsidR="001614AC" w:rsidRDefault="001614AC">
    <w:pPr>
      <w:spacing w:line="288" w:lineRule="auto"/>
      <w:ind w:left="-90" w:right="-90"/>
      <w:rPr>
        <w:rFonts w:ascii="Arial" w:eastAsia="Arial" w:hAnsi="Arial" w:cs="Arial"/>
        <w:b/>
        <w:i/>
        <w:color w:val="8EA0AB"/>
        <w:sz w:val="16"/>
        <w:u w:val="single"/>
      </w:rPr>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465"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65"/>
    </w:tblGrid>
    <w:tr w:rsidR="001614AC" w14:paraId="2EC1CEAA" w14:textId="77777777">
      <w:trPr>
        <w:cantSplit/>
        <w:trHeight w:hRule="exact" w:val="795"/>
      </w:trPr>
      <w:tc>
        <w:tcPr>
          <w:tcW w:w="10260" w:type="dxa"/>
          <w:tcBorders>
            <w:top w:val="nil"/>
            <w:left w:val="nil"/>
            <w:bottom w:val="single" w:sz="8" w:space="0" w:color="000000"/>
            <w:right w:val="nil"/>
          </w:tcBorders>
          <w:tcMar>
            <w:top w:w="0" w:type="dxa"/>
            <w:left w:w="53" w:type="dxa"/>
            <w:bottom w:w="0" w:type="dxa"/>
            <w:right w:w="53" w:type="dxa"/>
          </w:tcMar>
        </w:tcPr>
        <w:p w14:paraId="373C6F56" w14:textId="77777777" w:rsidR="001614AC" w:rsidRDefault="004468F9">
          <w:pPr>
            <w:spacing w:before="75" w:line="288" w:lineRule="auto"/>
            <w:rPr>
              <w:rFonts w:ascii="Arial" w:eastAsia="Arial" w:hAnsi="Arial" w:cs="Arial"/>
              <w:b/>
              <w:i/>
              <w:color w:val="8EA0AB"/>
              <w:sz w:val="14"/>
              <w:u w:val="single"/>
            </w:rPr>
          </w:pPr>
          <w:hyperlink w:anchor="Section2" w:history="1">
            <w:r>
              <w:rPr>
                <w:rFonts w:ascii="Arial" w:eastAsia="Arial" w:hAnsi="Arial" w:cs="Arial"/>
                <w:b/>
                <w:i/>
                <w:color w:val="8EA0AB"/>
                <w:sz w:val="14"/>
                <w:u w:val="single"/>
              </w:rPr>
              <w:t>Table of Contents</w:t>
            </w:r>
          </w:hyperlink>
        </w:p>
        <w:p w14:paraId="2487F675" w14:textId="77777777" w:rsidR="001614AC" w:rsidRDefault="004468F9">
          <w:pPr>
            <w:spacing w:line="288" w:lineRule="auto"/>
            <w:rPr>
              <w:rFonts w:ascii="Arial" w:eastAsia="Arial" w:hAnsi="Arial" w:cs="Arial"/>
              <w:b/>
              <w:i/>
              <w:sz w:val="14"/>
            </w:rPr>
          </w:pPr>
          <w:hyperlink w:anchor="Section3" w:history="1">
            <w:r>
              <w:rPr>
                <w:rFonts w:ascii="Arial" w:eastAsia="Arial" w:hAnsi="Arial" w:cs="Arial"/>
                <w:b/>
                <w:i/>
                <w:color w:val="8EA0AB"/>
                <w:sz w:val="14"/>
                <w:u w:val="single"/>
              </w:rPr>
              <w:t>Glossary</w:t>
            </w:r>
          </w:hyperlink>
        </w:p>
        <w:p w14:paraId="0F06B389" w14:textId="77777777" w:rsidR="001614AC" w:rsidRDefault="004468F9">
          <w:pPr>
            <w:spacing w:line="288" w:lineRule="auto"/>
            <w:jc w:val="right"/>
            <w:outlineLvl w:val="2"/>
            <w:rPr>
              <w:rFonts w:ascii="Arial" w:eastAsia="Arial" w:hAnsi="Arial" w:cs="Arial"/>
              <w:b/>
              <w:color w:val="8EA0AB"/>
              <w:sz w:val="16"/>
              <w:u w:val="single"/>
            </w:rPr>
          </w:pPr>
          <w:r>
            <w:rPr>
              <w:rFonts w:ascii="Arial" w:eastAsia="Arial" w:hAnsi="Arial" w:cs="Arial"/>
              <w:b/>
              <w:sz w:val="16"/>
            </w:rPr>
            <w:t>Part I. Item 2. Management’s Discussion and Analysis of Financial Condition and Results of Operations</w:t>
          </w:r>
        </w:p>
        <w:p w14:paraId="0F2237C2" w14:textId="77777777" w:rsidR="001614AC" w:rsidRDefault="001614AC">
          <w:pPr>
            <w:spacing w:after="30" w:line="288" w:lineRule="auto"/>
            <w:jc w:val="right"/>
            <w:rPr>
              <w:rFonts w:ascii="Arial" w:eastAsia="Arial" w:hAnsi="Arial" w:cs="Arial"/>
              <w:b/>
              <w:sz w:val="16"/>
            </w:rPr>
          </w:pPr>
        </w:p>
      </w:tc>
    </w:tr>
  </w:tbl>
  <w:p w14:paraId="5C222AA5" w14:textId="77777777" w:rsidR="001614AC" w:rsidRDefault="001614AC">
    <w:pPr>
      <w:spacing w:line="288" w:lineRule="auto"/>
      <w:ind w:left="-90" w:right="-90"/>
      <w:rPr>
        <w:rFonts w:ascii="Arial" w:eastAsia="Arial" w:hAnsi="Arial" w:cs="Arial"/>
        <w:b/>
        <w:i/>
        <w:color w:val="8EA0AB"/>
        <w:sz w:val="16"/>
        <w:u w:val="singl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8AF535" w14:textId="77777777" w:rsidR="001614AC" w:rsidRDefault="004468F9">
    <w:pPr>
      <w:spacing w:line="288" w:lineRule="auto"/>
      <w:ind w:left="-90" w:right="-90"/>
      <w:rPr>
        <w:rFonts w:ascii="Arial" w:eastAsia="Arial" w:hAnsi="Arial" w:cs="Arial"/>
        <w:b/>
        <w:i/>
        <w:sz w:val="14"/>
      </w:rPr>
    </w:pPr>
    <w:hyperlink w:anchor="Section2" w:history="1">
      <w:r>
        <w:rPr>
          <w:rFonts w:ascii="Arial" w:eastAsia="Arial" w:hAnsi="Arial" w:cs="Arial"/>
          <w:b/>
          <w:i/>
          <w:color w:val="8EA0AB"/>
          <w:sz w:val="14"/>
          <w:u w:val="single"/>
        </w:rPr>
        <w:t>Table of Contents</w:t>
      </w:r>
    </w:hyperlink>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465"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65"/>
    </w:tblGrid>
    <w:tr w:rsidR="001614AC" w14:paraId="0D249E01" w14:textId="77777777">
      <w:trPr>
        <w:cantSplit/>
        <w:trHeight w:hRule="exact" w:val="795"/>
      </w:trPr>
      <w:tc>
        <w:tcPr>
          <w:tcW w:w="10260" w:type="dxa"/>
          <w:tcBorders>
            <w:top w:val="nil"/>
            <w:left w:val="nil"/>
            <w:bottom w:val="single" w:sz="8" w:space="0" w:color="000000"/>
            <w:right w:val="nil"/>
          </w:tcBorders>
          <w:tcMar>
            <w:top w:w="0" w:type="dxa"/>
            <w:left w:w="53" w:type="dxa"/>
            <w:bottom w:w="0" w:type="dxa"/>
            <w:right w:w="53" w:type="dxa"/>
          </w:tcMar>
        </w:tcPr>
        <w:p w14:paraId="735DF578" w14:textId="77777777" w:rsidR="001614AC" w:rsidRDefault="004468F9">
          <w:pPr>
            <w:spacing w:before="75" w:line="288" w:lineRule="auto"/>
            <w:rPr>
              <w:rFonts w:ascii="Arial" w:eastAsia="Arial" w:hAnsi="Arial" w:cs="Arial"/>
              <w:b/>
              <w:i/>
              <w:color w:val="8EA0AB"/>
              <w:sz w:val="14"/>
              <w:u w:val="single"/>
            </w:rPr>
          </w:pPr>
          <w:hyperlink w:anchor="Section2" w:history="1">
            <w:r>
              <w:rPr>
                <w:rFonts w:ascii="Arial" w:eastAsia="Arial" w:hAnsi="Arial" w:cs="Arial"/>
                <w:b/>
                <w:i/>
                <w:color w:val="8EA0AB"/>
                <w:sz w:val="14"/>
                <w:u w:val="single"/>
              </w:rPr>
              <w:t>Table of Contents</w:t>
            </w:r>
          </w:hyperlink>
        </w:p>
        <w:p w14:paraId="769EF66D" w14:textId="77777777" w:rsidR="001614AC" w:rsidRDefault="004468F9">
          <w:pPr>
            <w:spacing w:line="288" w:lineRule="auto"/>
            <w:rPr>
              <w:rFonts w:ascii="Arial" w:eastAsia="Arial" w:hAnsi="Arial" w:cs="Arial"/>
              <w:b/>
              <w:i/>
              <w:sz w:val="14"/>
            </w:rPr>
          </w:pPr>
          <w:hyperlink w:anchor="Section3" w:history="1">
            <w:r>
              <w:rPr>
                <w:rFonts w:ascii="Arial" w:eastAsia="Arial" w:hAnsi="Arial" w:cs="Arial"/>
                <w:b/>
                <w:i/>
                <w:color w:val="8EA0AB"/>
                <w:sz w:val="14"/>
                <w:u w:val="single"/>
              </w:rPr>
              <w:t>Glossary</w:t>
            </w:r>
          </w:hyperlink>
        </w:p>
        <w:p w14:paraId="4B609AEC" w14:textId="77777777" w:rsidR="001614AC" w:rsidRDefault="004468F9">
          <w:pPr>
            <w:spacing w:line="288" w:lineRule="auto"/>
            <w:jc w:val="right"/>
            <w:outlineLvl w:val="2"/>
            <w:rPr>
              <w:rFonts w:ascii="Arial" w:eastAsia="Arial" w:hAnsi="Arial" w:cs="Arial"/>
              <w:b/>
              <w:color w:val="8EA0AB"/>
              <w:sz w:val="16"/>
              <w:u w:val="single"/>
            </w:rPr>
          </w:pPr>
          <w:r>
            <w:rPr>
              <w:rFonts w:ascii="Arial" w:eastAsia="Arial" w:hAnsi="Arial" w:cs="Arial"/>
              <w:b/>
              <w:sz w:val="16"/>
            </w:rPr>
            <w:t xml:space="preserve">Part I. Item 2. Management’s Discussion and Analysis of Financial Condition and Results of </w:t>
          </w:r>
          <w:r>
            <w:rPr>
              <w:rFonts w:ascii="Arial" w:eastAsia="Arial" w:hAnsi="Arial" w:cs="Arial"/>
              <w:b/>
              <w:sz w:val="16"/>
            </w:rPr>
            <w:t>Operations</w:t>
          </w:r>
        </w:p>
        <w:p w14:paraId="54243C28" w14:textId="77777777" w:rsidR="001614AC" w:rsidRDefault="001614AC">
          <w:pPr>
            <w:spacing w:after="30" w:line="288" w:lineRule="auto"/>
            <w:jc w:val="right"/>
            <w:rPr>
              <w:rFonts w:ascii="Arial" w:eastAsia="Arial" w:hAnsi="Arial" w:cs="Arial"/>
              <w:b/>
              <w:sz w:val="16"/>
            </w:rPr>
          </w:pPr>
        </w:p>
      </w:tc>
    </w:tr>
  </w:tbl>
  <w:p w14:paraId="50CE4D2D" w14:textId="77777777" w:rsidR="001614AC" w:rsidRDefault="001614AC">
    <w:pPr>
      <w:spacing w:line="288" w:lineRule="auto"/>
      <w:ind w:left="-90" w:right="-90"/>
      <w:rPr>
        <w:rFonts w:ascii="Arial" w:eastAsia="Arial" w:hAnsi="Arial" w:cs="Arial"/>
        <w:b/>
        <w:i/>
        <w:color w:val="8EA0AB"/>
        <w:sz w:val="16"/>
        <w:u w:val="single"/>
      </w:rPr>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465"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65"/>
    </w:tblGrid>
    <w:tr w:rsidR="001614AC" w14:paraId="36F68FBC" w14:textId="77777777">
      <w:trPr>
        <w:cantSplit/>
        <w:trHeight w:hRule="exact" w:val="795"/>
      </w:trPr>
      <w:tc>
        <w:tcPr>
          <w:tcW w:w="10260" w:type="dxa"/>
          <w:tcBorders>
            <w:top w:val="nil"/>
            <w:left w:val="nil"/>
            <w:bottom w:val="single" w:sz="8" w:space="0" w:color="000000"/>
            <w:right w:val="nil"/>
          </w:tcBorders>
          <w:tcMar>
            <w:top w:w="0" w:type="dxa"/>
            <w:left w:w="53" w:type="dxa"/>
            <w:bottom w:w="0" w:type="dxa"/>
            <w:right w:w="53" w:type="dxa"/>
          </w:tcMar>
        </w:tcPr>
        <w:p w14:paraId="0E450839" w14:textId="77777777" w:rsidR="001614AC" w:rsidRDefault="004468F9">
          <w:pPr>
            <w:spacing w:before="75" w:line="288" w:lineRule="auto"/>
            <w:rPr>
              <w:rFonts w:ascii="Arial" w:eastAsia="Arial" w:hAnsi="Arial" w:cs="Arial"/>
              <w:b/>
              <w:i/>
              <w:color w:val="8EA0AB"/>
              <w:sz w:val="14"/>
              <w:u w:val="single"/>
            </w:rPr>
          </w:pPr>
          <w:hyperlink w:anchor="Section2" w:history="1">
            <w:r>
              <w:rPr>
                <w:rFonts w:ascii="Arial" w:eastAsia="Arial" w:hAnsi="Arial" w:cs="Arial"/>
                <w:b/>
                <w:i/>
                <w:color w:val="8EA0AB"/>
                <w:sz w:val="14"/>
                <w:u w:val="single"/>
              </w:rPr>
              <w:t>Table of Contents</w:t>
            </w:r>
          </w:hyperlink>
        </w:p>
        <w:p w14:paraId="095936E5" w14:textId="77777777" w:rsidR="001614AC" w:rsidRDefault="004468F9">
          <w:pPr>
            <w:spacing w:line="288" w:lineRule="auto"/>
            <w:rPr>
              <w:rFonts w:ascii="Arial" w:eastAsia="Arial" w:hAnsi="Arial" w:cs="Arial"/>
              <w:b/>
              <w:i/>
              <w:sz w:val="14"/>
            </w:rPr>
          </w:pPr>
          <w:hyperlink w:anchor="Section3" w:history="1">
            <w:r>
              <w:rPr>
                <w:rFonts w:ascii="Arial" w:eastAsia="Arial" w:hAnsi="Arial" w:cs="Arial"/>
                <w:b/>
                <w:i/>
                <w:color w:val="8EA0AB"/>
                <w:sz w:val="14"/>
                <w:u w:val="single"/>
              </w:rPr>
              <w:t>Glossary</w:t>
            </w:r>
          </w:hyperlink>
        </w:p>
        <w:p w14:paraId="3E9BADE8" w14:textId="77777777" w:rsidR="001614AC" w:rsidRDefault="004468F9">
          <w:pPr>
            <w:spacing w:line="288" w:lineRule="auto"/>
            <w:jc w:val="right"/>
            <w:outlineLvl w:val="2"/>
            <w:rPr>
              <w:rFonts w:ascii="Arial" w:eastAsia="Arial" w:hAnsi="Arial" w:cs="Arial"/>
              <w:b/>
              <w:color w:val="8EA0AB"/>
              <w:sz w:val="16"/>
              <w:u w:val="single"/>
            </w:rPr>
          </w:pPr>
          <w:r>
            <w:rPr>
              <w:rFonts w:ascii="Arial" w:eastAsia="Arial" w:hAnsi="Arial" w:cs="Arial"/>
              <w:b/>
              <w:sz w:val="16"/>
            </w:rPr>
            <w:t xml:space="preserve">Part I. Item 2. </w:t>
          </w:r>
          <w:r>
            <w:rPr>
              <w:rFonts w:ascii="Arial" w:eastAsia="Arial" w:hAnsi="Arial" w:cs="Arial"/>
              <w:b/>
              <w:sz w:val="16"/>
            </w:rPr>
            <w:t>Management’s Discussion and Analysis of Financial Condition and Results of Operations</w:t>
          </w:r>
        </w:p>
        <w:p w14:paraId="756B7864" w14:textId="77777777" w:rsidR="001614AC" w:rsidRDefault="001614AC">
          <w:pPr>
            <w:spacing w:after="30" w:line="288" w:lineRule="auto"/>
            <w:jc w:val="right"/>
            <w:rPr>
              <w:rFonts w:ascii="Arial" w:eastAsia="Arial" w:hAnsi="Arial" w:cs="Arial"/>
              <w:b/>
              <w:sz w:val="16"/>
            </w:rPr>
          </w:pPr>
        </w:p>
      </w:tc>
    </w:tr>
  </w:tbl>
  <w:p w14:paraId="2BF4FF6E" w14:textId="77777777" w:rsidR="001614AC" w:rsidRDefault="001614AC">
    <w:pPr>
      <w:spacing w:line="288" w:lineRule="auto"/>
      <w:ind w:left="-90" w:right="-90"/>
      <w:rPr>
        <w:rFonts w:ascii="Arial" w:eastAsia="Arial" w:hAnsi="Arial" w:cs="Arial"/>
        <w:b/>
        <w:i/>
        <w:color w:val="8EA0AB"/>
        <w:sz w:val="16"/>
        <w:u w:val="single"/>
      </w:rPr>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465"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65"/>
    </w:tblGrid>
    <w:tr w:rsidR="001614AC" w14:paraId="28BC93BC" w14:textId="77777777">
      <w:trPr>
        <w:cantSplit/>
        <w:trHeight w:hRule="exact" w:val="795"/>
      </w:trPr>
      <w:tc>
        <w:tcPr>
          <w:tcW w:w="10260" w:type="dxa"/>
          <w:tcBorders>
            <w:top w:val="nil"/>
            <w:left w:val="nil"/>
            <w:bottom w:val="single" w:sz="8" w:space="0" w:color="000000"/>
            <w:right w:val="nil"/>
          </w:tcBorders>
          <w:tcMar>
            <w:top w:w="0" w:type="dxa"/>
            <w:left w:w="53" w:type="dxa"/>
            <w:bottom w:w="0" w:type="dxa"/>
            <w:right w:w="53" w:type="dxa"/>
          </w:tcMar>
        </w:tcPr>
        <w:p w14:paraId="7452BF2B" w14:textId="77777777" w:rsidR="001614AC" w:rsidRDefault="004468F9">
          <w:pPr>
            <w:spacing w:before="75" w:line="288" w:lineRule="auto"/>
            <w:rPr>
              <w:rFonts w:ascii="Arial" w:eastAsia="Arial" w:hAnsi="Arial" w:cs="Arial"/>
              <w:b/>
              <w:i/>
              <w:color w:val="8EA0AB"/>
              <w:sz w:val="14"/>
              <w:u w:val="single"/>
            </w:rPr>
          </w:pPr>
          <w:hyperlink w:anchor="Section2" w:history="1">
            <w:r>
              <w:rPr>
                <w:rFonts w:ascii="Arial" w:eastAsia="Arial" w:hAnsi="Arial" w:cs="Arial"/>
                <w:b/>
                <w:i/>
                <w:color w:val="8EA0AB"/>
                <w:sz w:val="14"/>
                <w:u w:val="single"/>
              </w:rPr>
              <w:t>Table of Contents</w:t>
            </w:r>
          </w:hyperlink>
        </w:p>
        <w:p w14:paraId="257CC265" w14:textId="77777777" w:rsidR="001614AC" w:rsidRDefault="004468F9">
          <w:pPr>
            <w:spacing w:line="288" w:lineRule="auto"/>
            <w:rPr>
              <w:rFonts w:ascii="Arial" w:eastAsia="Arial" w:hAnsi="Arial" w:cs="Arial"/>
              <w:b/>
              <w:i/>
              <w:sz w:val="14"/>
            </w:rPr>
          </w:pPr>
          <w:hyperlink w:anchor="Section3" w:history="1">
            <w:r>
              <w:rPr>
                <w:rFonts w:ascii="Arial" w:eastAsia="Arial" w:hAnsi="Arial" w:cs="Arial"/>
                <w:b/>
                <w:i/>
                <w:color w:val="8EA0AB"/>
                <w:sz w:val="14"/>
                <w:u w:val="single"/>
              </w:rPr>
              <w:t>Glossary</w:t>
            </w:r>
          </w:hyperlink>
        </w:p>
        <w:p w14:paraId="3E3A5437" w14:textId="77777777" w:rsidR="001614AC" w:rsidRDefault="004468F9">
          <w:pPr>
            <w:spacing w:line="288" w:lineRule="auto"/>
            <w:jc w:val="right"/>
            <w:outlineLvl w:val="2"/>
            <w:rPr>
              <w:rFonts w:ascii="Arial" w:eastAsia="Arial" w:hAnsi="Arial" w:cs="Arial"/>
              <w:b/>
              <w:color w:val="8EA0AB"/>
              <w:sz w:val="16"/>
              <w:u w:val="single"/>
            </w:rPr>
          </w:pPr>
          <w:r>
            <w:rPr>
              <w:rFonts w:ascii="Arial" w:eastAsia="Arial" w:hAnsi="Arial" w:cs="Arial"/>
              <w:b/>
              <w:sz w:val="16"/>
            </w:rPr>
            <w:t xml:space="preserve">Part I. Item 2. </w:t>
          </w:r>
          <w:r>
            <w:rPr>
              <w:rFonts w:ascii="Arial" w:eastAsia="Arial" w:hAnsi="Arial" w:cs="Arial"/>
              <w:b/>
              <w:sz w:val="16"/>
            </w:rPr>
            <w:t>Management’s Discussion and Analysis of Financial Condition and Results of Operations</w:t>
          </w:r>
        </w:p>
        <w:p w14:paraId="5EBD8C4F" w14:textId="77777777" w:rsidR="001614AC" w:rsidRDefault="001614AC">
          <w:pPr>
            <w:spacing w:after="30" w:line="288" w:lineRule="auto"/>
            <w:jc w:val="right"/>
            <w:rPr>
              <w:rFonts w:ascii="Arial" w:eastAsia="Arial" w:hAnsi="Arial" w:cs="Arial"/>
              <w:b/>
              <w:sz w:val="16"/>
            </w:rPr>
          </w:pPr>
        </w:p>
      </w:tc>
    </w:tr>
  </w:tbl>
  <w:p w14:paraId="657C4F63" w14:textId="77777777" w:rsidR="001614AC" w:rsidRDefault="001614AC">
    <w:pPr>
      <w:spacing w:line="288" w:lineRule="auto"/>
      <w:ind w:left="-90" w:right="-90"/>
      <w:rPr>
        <w:rFonts w:ascii="Arial" w:eastAsia="Arial" w:hAnsi="Arial" w:cs="Arial"/>
        <w:b/>
        <w:i/>
        <w:color w:val="8EA0AB"/>
        <w:sz w:val="16"/>
        <w:u w:val="single"/>
      </w:rPr>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465"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65"/>
    </w:tblGrid>
    <w:tr w:rsidR="001614AC" w14:paraId="53ED98B3" w14:textId="77777777">
      <w:trPr>
        <w:cantSplit/>
        <w:trHeight w:hRule="exact" w:val="795"/>
      </w:trPr>
      <w:tc>
        <w:tcPr>
          <w:tcW w:w="10260" w:type="dxa"/>
          <w:tcBorders>
            <w:top w:val="nil"/>
            <w:left w:val="nil"/>
            <w:bottom w:val="single" w:sz="8" w:space="0" w:color="000000"/>
            <w:right w:val="nil"/>
          </w:tcBorders>
          <w:tcMar>
            <w:top w:w="0" w:type="dxa"/>
            <w:left w:w="53" w:type="dxa"/>
            <w:bottom w:w="0" w:type="dxa"/>
            <w:right w:w="53" w:type="dxa"/>
          </w:tcMar>
        </w:tcPr>
        <w:p w14:paraId="7A03DDC2" w14:textId="77777777" w:rsidR="001614AC" w:rsidRDefault="004468F9">
          <w:pPr>
            <w:spacing w:before="75" w:line="288" w:lineRule="auto"/>
            <w:rPr>
              <w:rFonts w:ascii="Arial" w:eastAsia="Arial" w:hAnsi="Arial" w:cs="Arial"/>
              <w:b/>
              <w:i/>
              <w:color w:val="8EA0AB"/>
              <w:sz w:val="14"/>
              <w:u w:val="single"/>
            </w:rPr>
          </w:pPr>
          <w:hyperlink w:anchor="Section2" w:history="1">
            <w:r>
              <w:rPr>
                <w:rFonts w:ascii="Arial" w:eastAsia="Arial" w:hAnsi="Arial" w:cs="Arial"/>
                <w:b/>
                <w:i/>
                <w:color w:val="8EA0AB"/>
                <w:sz w:val="14"/>
                <w:u w:val="single"/>
              </w:rPr>
              <w:t>Table of Contents</w:t>
            </w:r>
          </w:hyperlink>
        </w:p>
        <w:p w14:paraId="015F54CA" w14:textId="77777777" w:rsidR="001614AC" w:rsidRDefault="004468F9">
          <w:pPr>
            <w:spacing w:line="288" w:lineRule="auto"/>
            <w:rPr>
              <w:rFonts w:ascii="Arial" w:eastAsia="Arial" w:hAnsi="Arial" w:cs="Arial"/>
              <w:b/>
              <w:i/>
              <w:sz w:val="14"/>
            </w:rPr>
          </w:pPr>
          <w:hyperlink w:anchor="Section3" w:history="1">
            <w:r>
              <w:rPr>
                <w:rFonts w:ascii="Arial" w:eastAsia="Arial" w:hAnsi="Arial" w:cs="Arial"/>
                <w:b/>
                <w:i/>
                <w:color w:val="8EA0AB"/>
                <w:sz w:val="14"/>
                <w:u w:val="single"/>
              </w:rPr>
              <w:t>Glossary</w:t>
            </w:r>
          </w:hyperlink>
        </w:p>
        <w:p w14:paraId="41447FDB" w14:textId="77777777" w:rsidR="001614AC" w:rsidRDefault="004468F9">
          <w:pPr>
            <w:spacing w:line="288" w:lineRule="auto"/>
            <w:jc w:val="right"/>
            <w:outlineLvl w:val="2"/>
            <w:rPr>
              <w:rFonts w:ascii="Arial" w:eastAsia="Arial" w:hAnsi="Arial" w:cs="Arial"/>
              <w:b/>
              <w:color w:val="8EA0AB"/>
              <w:sz w:val="16"/>
              <w:u w:val="single"/>
            </w:rPr>
          </w:pPr>
          <w:r>
            <w:rPr>
              <w:rFonts w:ascii="Arial" w:eastAsia="Arial" w:hAnsi="Arial" w:cs="Arial"/>
              <w:b/>
              <w:sz w:val="16"/>
            </w:rPr>
            <w:t xml:space="preserve">Part I. Item 2. </w:t>
          </w:r>
          <w:r>
            <w:rPr>
              <w:rFonts w:ascii="Arial" w:eastAsia="Arial" w:hAnsi="Arial" w:cs="Arial"/>
              <w:b/>
              <w:sz w:val="16"/>
            </w:rPr>
            <w:t>Management’s Discussion and Analysis of Financial Condition and Results of Operations</w:t>
          </w:r>
        </w:p>
        <w:p w14:paraId="7BE9D06B" w14:textId="77777777" w:rsidR="001614AC" w:rsidRDefault="001614AC">
          <w:pPr>
            <w:spacing w:after="30" w:line="288" w:lineRule="auto"/>
            <w:jc w:val="right"/>
            <w:rPr>
              <w:rFonts w:ascii="Arial" w:eastAsia="Arial" w:hAnsi="Arial" w:cs="Arial"/>
              <w:b/>
              <w:sz w:val="16"/>
            </w:rPr>
          </w:pPr>
        </w:p>
      </w:tc>
    </w:tr>
  </w:tbl>
  <w:p w14:paraId="5D07E05F" w14:textId="77777777" w:rsidR="001614AC" w:rsidRDefault="001614AC">
    <w:pPr>
      <w:spacing w:line="288" w:lineRule="auto"/>
      <w:ind w:left="-90" w:right="-90"/>
      <w:rPr>
        <w:rFonts w:ascii="Arial" w:eastAsia="Arial" w:hAnsi="Arial" w:cs="Arial"/>
        <w:b/>
        <w:i/>
        <w:color w:val="8EA0AB"/>
        <w:sz w:val="16"/>
        <w:u w:val="single"/>
      </w:rPr>
    </w:pP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465"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65"/>
    </w:tblGrid>
    <w:tr w:rsidR="001614AC" w14:paraId="2205B8A9" w14:textId="77777777">
      <w:trPr>
        <w:cantSplit/>
        <w:trHeight w:hRule="exact" w:val="795"/>
      </w:trPr>
      <w:tc>
        <w:tcPr>
          <w:tcW w:w="10260" w:type="dxa"/>
          <w:tcBorders>
            <w:top w:val="nil"/>
            <w:left w:val="nil"/>
            <w:bottom w:val="single" w:sz="8" w:space="0" w:color="000000"/>
            <w:right w:val="nil"/>
          </w:tcBorders>
          <w:tcMar>
            <w:top w:w="0" w:type="dxa"/>
            <w:left w:w="53" w:type="dxa"/>
            <w:bottom w:w="0" w:type="dxa"/>
            <w:right w:w="53" w:type="dxa"/>
          </w:tcMar>
        </w:tcPr>
        <w:p w14:paraId="742053BC" w14:textId="77777777" w:rsidR="001614AC" w:rsidRDefault="004468F9">
          <w:pPr>
            <w:spacing w:before="75" w:line="288" w:lineRule="auto"/>
            <w:rPr>
              <w:rFonts w:ascii="Arial" w:eastAsia="Arial" w:hAnsi="Arial" w:cs="Arial"/>
              <w:b/>
              <w:i/>
              <w:color w:val="8EA0AB"/>
              <w:sz w:val="14"/>
              <w:u w:val="single"/>
            </w:rPr>
          </w:pPr>
          <w:hyperlink w:anchor="Section2" w:history="1">
            <w:r>
              <w:rPr>
                <w:rFonts w:ascii="Arial" w:eastAsia="Arial" w:hAnsi="Arial" w:cs="Arial"/>
                <w:b/>
                <w:i/>
                <w:color w:val="8EA0AB"/>
                <w:sz w:val="14"/>
                <w:u w:val="single"/>
              </w:rPr>
              <w:t>Table of Contents</w:t>
            </w:r>
          </w:hyperlink>
        </w:p>
        <w:p w14:paraId="173957C6" w14:textId="77777777" w:rsidR="001614AC" w:rsidRDefault="004468F9">
          <w:pPr>
            <w:spacing w:line="288" w:lineRule="auto"/>
            <w:rPr>
              <w:rFonts w:ascii="Arial" w:eastAsia="Arial" w:hAnsi="Arial" w:cs="Arial"/>
              <w:b/>
              <w:i/>
              <w:sz w:val="14"/>
            </w:rPr>
          </w:pPr>
          <w:hyperlink w:anchor="Section3" w:history="1">
            <w:r>
              <w:rPr>
                <w:rFonts w:ascii="Arial" w:eastAsia="Arial" w:hAnsi="Arial" w:cs="Arial"/>
                <w:b/>
                <w:i/>
                <w:color w:val="8EA0AB"/>
                <w:sz w:val="14"/>
                <w:u w:val="single"/>
              </w:rPr>
              <w:t>Glossary</w:t>
            </w:r>
          </w:hyperlink>
        </w:p>
        <w:p w14:paraId="0DE8FFCE" w14:textId="77777777" w:rsidR="001614AC" w:rsidRDefault="004468F9">
          <w:pPr>
            <w:spacing w:line="288" w:lineRule="auto"/>
            <w:jc w:val="right"/>
            <w:outlineLvl w:val="2"/>
            <w:rPr>
              <w:rFonts w:ascii="Arial" w:eastAsia="Arial" w:hAnsi="Arial" w:cs="Arial"/>
              <w:b/>
              <w:color w:val="8EA0AB"/>
              <w:sz w:val="16"/>
              <w:u w:val="single"/>
            </w:rPr>
          </w:pPr>
          <w:r>
            <w:rPr>
              <w:rFonts w:ascii="Arial" w:eastAsia="Arial" w:hAnsi="Arial" w:cs="Arial"/>
              <w:b/>
              <w:sz w:val="16"/>
            </w:rPr>
            <w:t>Part I. Item 2. Management’s Discussion and Analysis of Financial Condition and Results of Operations</w:t>
          </w:r>
        </w:p>
        <w:p w14:paraId="3EAA3024" w14:textId="77777777" w:rsidR="001614AC" w:rsidRDefault="001614AC">
          <w:pPr>
            <w:spacing w:after="30" w:line="288" w:lineRule="auto"/>
            <w:jc w:val="right"/>
            <w:rPr>
              <w:rFonts w:ascii="Arial" w:eastAsia="Arial" w:hAnsi="Arial" w:cs="Arial"/>
              <w:b/>
              <w:sz w:val="16"/>
            </w:rPr>
          </w:pPr>
        </w:p>
      </w:tc>
    </w:tr>
  </w:tbl>
  <w:p w14:paraId="5089EE3B" w14:textId="77777777" w:rsidR="001614AC" w:rsidRDefault="001614AC">
    <w:pPr>
      <w:spacing w:line="288" w:lineRule="auto"/>
      <w:ind w:left="-90" w:right="-90"/>
      <w:rPr>
        <w:rFonts w:ascii="Arial" w:eastAsia="Arial" w:hAnsi="Arial" w:cs="Arial"/>
        <w:b/>
        <w:i/>
        <w:color w:val="8EA0AB"/>
        <w:sz w:val="16"/>
        <w:u w:val="single"/>
      </w:rPr>
    </w:pP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465"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65"/>
    </w:tblGrid>
    <w:tr w:rsidR="001614AC" w14:paraId="1BD7DBB0" w14:textId="77777777">
      <w:trPr>
        <w:cantSplit/>
        <w:trHeight w:hRule="exact" w:val="795"/>
      </w:trPr>
      <w:tc>
        <w:tcPr>
          <w:tcW w:w="10260" w:type="dxa"/>
          <w:tcBorders>
            <w:top w:val="nil"/>
            <w:left w:val="nil"/>
            <w:bottom w:val="single" w:sz="8" w:space="0" w:color="000000"/>
            <w:right w:val="nil"/>
          </w:tcBorders>
          <w:tcMar>
            <w:top w:w="0" w:type="dxa"/>
            <w:left w:w="53" w:type="dxa"/>
            <w:bottom w:w="0" w:type="dxa"/>
            <w:right w:w="53" w:type="dxa"/>
          </w:tcMar>
        </w:tcPr>
        <w:p w14:paraId="4D62F88D" w14:textId="77777777" w:rsidR="001614AC" w:rsidRDefault="004468F9">
          <w:pPr>
            <w:spacing w:before="75" w:line="288" w:lineRule="auto"/>
            <w:rPr>
              <w:rFonts w:ascii="Arial" w:eastAsia="Arial" w:hAnsi="Arial" w:cs="Arial"/>
              <w:b/>
              <w:i/>
              <w:color w:val="8EA0AB"/>
              <w:sz w:val="14"/>
              <w:u w:val="single"/>
            </w:rPr>
          </w:pPr>
          <w:hyperlink w:anchor="Section2" w:history="1">
            <w:r>
              <w:rPr>
                <w:rFonts w:ascii="Arial" w:eastAsia="Arial" w:hAnsi="Arial" w:cs="Arial"/>
                <w:b/>
                <w:i/>
                <w:color w:val="8EA0AB"/>
                <w:sz w:val="14"/>
                <w:u w:val="single"/>
              </w:rPr>
              <w:t>Table of Contents</w:t>
            </w:r>
          </w:hyperlink>
        </w:p>
        <w:p w14:paraId="68E60785" w14:textId="77777777" w:rsidR="001614AC" w:rsidRDefault="004468F9">
          <w:pPr>
            <w:spacing w:line="288" w:lineRule="auto"/>
            <w:rPr>
              <w:rFonts w:ascii="Arial" w:eastAsia="Arial" w:hAnsi="Arial" w:cs="Arial"/>
              <w:b/>
              <w:i/>
              <w:sz w:val="14"/>
            </w:rPr>
          </w:pPr>
          <w:hyperlink w:anchor="Section3" w:history="1">
            <w:r>
              <w:rPr>
                <w:rFonts w:ascii="Arial" w:eastAsia="Arial" w:hAnsi="Arial" w:cs="Arial"/>
                <w:b/>
                <w:i/>
                <w:color w:val="8EA0AB"/>
                <w:sz w:val="14"/>
                <w:u w:val="single"/>
              </w:rPr>
              <w:t>Glossary</w:t>
            </w:r>
          </w:hyperlink>
        </w:p>
        <w:p w14:paraId="5BBB7266" w14:textId="77777777" w:rsidR="001614AC" w:rsidRDefault="004468F9">
          <w:pPr>
            <w:spacing w:line="288" w:lineRule="auto"/>
            <w:jc w:val="right"/>
            <w:outlineLvl w:val="2"/>
            <w:rPr>
              <w:rFonts w:ascii="Arial" w:eastAsia="Arial" w:hAnsi="Arial" w:cs="Arial"/>
              <w:b/>
              <w:color w:val="8EA0AB"/>
              <w:sz w:val="16"/>
              <w:u w:val="single"/>
            </w:rPr>
          </w:pPr>
          <w:r>
            <w:rPr>
              <w:rFonts w:ascii="Arial" w:eastAsia="Arial" w:hAnsi="Arial" w:cs="Arial"/>
              <w:b/>
              <w:sz w:val="16"/>
            </w:rPr>
            <w:t>Part I. Item 2. Management’s Discussion and Analysis of Financial Condition and Results of Operations</w:t>
          </w:r>
        </w:p>
        <w:p w14:paraId="4120A146" w14:textId="77777777" w:rsidR="001614AC" w:rsidRDefault="001614AC">
          <w:pPr>
            <w:spacing w:after="30" w:line="288" w:lineRule="auto"/>
            <w:jc w:val="right"/>
            <w:rPr>
              <w:rFonts w:ascii="Arial" w:eastAsia="Arial" w:hAnsi="Arial" w:cs="Arial"/>
              <w:b/>
              <w:sz w:val="16"/>
            </w:rPr>
          </w:pPr>
        </w:p>
      </w:tc>
    </w:tr>
  </w:tbl>
  <w:p w14:paraId="4313BFEF" w14:textId="77777777" w:rsidR="001614AC" w:rsidRDefault="001614AC">
    <w:pPr>
      <w:spacing w:line="288" w:lineRule="auto"/>
      <w:ind w:left="-90" w:right="-90"/>
      <w:rPr>
        <w:rFonts w:ascii="Arial" w:eastAsia="Arial" w:hAnsi="Arial" w:cs="Arial"/>
        <w:b/>
        <w:i/>
        <w:color w:val="8EA0AB"/>
        <w:sz w:val="16"/>
        <w:u w:val="single"/>
      </w:rPr>
    </w:pP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465"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65"/>
    </w:tblGrid>
    <w:tr w:rsidR="001614AC" w14:paraId="50429562" w14:textId="77777777">
      <w:trPr>
        <w:cantSplit/>
        <w:trHeight w:hRule="exact" w:val="795"/>
      </w:trPr>
      <w:tc>
        <w:tcPr>
          <w:tcW w:w="10260" w:type="dxa"/>
          <w:tcBorders>
            <w:top w:val="nil"/>
            <w:left w:val="nil"/>
            <w:bottom w:val="single" w:sz="8" w:space="0" w:color="000000"/>
            <w:right w:val="nil"/>
          </w:tcBorders>
          <w:tcMar>
            <w:top w:w="0" w:type="dxa"/>
            <w:left w:w="53" w:type="dxa"/>
            <w:bottom w:w="0" w:type="dxa"/>
            <w:right w:w="53" w:type="dxa"/>
          </w:tcMar>
        </w:tcPr>
        <w:p w14:paraId="769C4D05" w14:textId="77777777" w:rsidR="001614AC" w:rsidRDefault="004468F9">
          <w:pPr>
            <w:spacing w:before="75" w:line="288" w:lineRule="auto"/>
            <w:rPr>
              <w:rFonts w:ascii="Arial" w:eastAsia="Arial" w:hAnsi="Arial" w:cs="Arial"/>
              <w:b/>
              <w:i/>
              <w:color w:val="8EA0AB"/>
              <w:sz w:val="14"/>
              <w:u w:val="single"/>
            </w:rPr>
          </w:pPr>
          <w:hyperlink w:anchor="Section2" w:history="1">
            <w:r>
              <w:rPr>
                <w:rFonts w:ascii="Arial" w:eastAsia="Arial" w:hAnsi="Arial" w:cs="Arial"/>
                <w:b/>
                <w:i/>
                <w:color w:val="8EA0AB"/>
                <w:sz w:val="14"/>
                <w:u w:val="single"/>
              </w:rPr>
              <w:t>Table of Contents</w:t>
            </w:r>
          </w:hyperlink>
        </w:p>
        <w:p w14:paraId="6543A78F" w14:textId="77777777" w:rsidR="001614AC" w:rsidRDefault="004468F9">
          <w:pPr>
            <w:spacing w:line="288" w:lineRule="auto"/>
            <w:rPr>
              <w:rFonts w:ascii="Arial" w:eastAsia="Arial" w:hAnsi="Arial" w:cs="Arial"/>
              <w:b/>
              <w:i/>
              <w:sz w:val="14"/>
            </w:rPr>
          </w:pPr>
          <w:hyperlink w:anchor="Section3" w:history="1">
            <w:r>
              <w:rPr>
                <w:rFonts w:ascii="Arial" w:eastAsia="Arial" w:hAnsi="Arial" w:cs="Arial"/>
                <w:b/>
                <w:i/>
                <w:color w:val="8EA0AB"/>
                <w:sz w:val="14"/>
                <w:u w:val="single"/>
              </w:rPr>
              <w:t>Glossary</w:t>
            </w:r>
          </w:hyperlink>
        </w:p>
        <w:p w14:paraId="6F8004C5" w14:textId="77777777" w:rsidR="001614AC" w:rsidRDefault="004468F9">
          <w:pPr>
            <w:spacing w:line="288" w:lineRule="auto"/>
            <w:jc w:val="right"/>
            <w:outlineLvl w:val="2"/>
            <w:rPr>
              <w:rFonts w:ascii="Arial" w:eastAsia="Arial" w:hAnsi="Arial" w:cs="Arial"/>
              <w:b/>
              <w:color w:val="8EA0AB"/>
              <w:sz w:val="16"/>
              <w:u w:val="single"/>
            </w:rPr>
          </w:pPr>
          <w:r>
            <w:rPr>
              <w:rFonts w:ascii="Arial" w:eastAsia="Arial" w:hAnsi="Arial" w:cs="Arial"/>
              <w:b/>
              <w:sz w:val="16"/>
            </w:rPr>
            <w:t xml:space="preserve">Part I. Item 2. Management’s </w:t>
          </w:r>
          <w:r>
            <w:rPr>
              <w:rFonts w:ascii="Arial" w:eastAsia="Arial" w:hAnsi="Arial" w:cs="Arial"/>
              <w:b/>
              <w:sz w:val="16"/>
            </w:rPr>
            <w:t>Discussion and Analysis of Financial Condition and Results of Operations</w:t>
          </w:r>
        </w:p>
        <w:p w14:paraId="1D43E205" w14:textId="77777777" w:rsidR="001614AC" w:rsidRDefault="001614AC">
          <w:pPr>
            <w:spacing w:after="30" w:line="288" w:lineRule="auto"/>
            <w:jc w:val="right"/>
            <w:rPr>
              <w:rFonts w:ascii="Arial" w:eastAsia="Arial" w:hAnsi="Arial" w:cs="Arial"/>
              <w:b/>
              <w:sz w:val="16"/>
            </w:rPr>
          </w:pPr>
        </w:p>
      </w:tc>
    </w:tr>
  </w:tbl>
  <w:p w14:paraId="2569B9F4" w14:textId="77777777" w:rsidR="001614AC" w:rsidRDefault="001614AC">
    <w:pPr>
      <w:spacing w:line="288" w:lineRule="auto"/>
      <w:ind w:left="-90" w:right="-90"/>
      <w:rPr>
        <w:rFonts w:ascii="Arial" w:eastAsia="Arial" w:hAnsi="Arial" w:cs="Arial"/>
        <w:b/>
        <w:i/>
        <w:color w:val="8EA0AB"/>
        <w:sz w:val="16"/>
        <w:u w:val="single"/>
      </w:rPr>
    </w:pP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DF6BF7" w14:textId="77777777" w:rsidR="001614AC" w:rsidRDefault="004468F9">
    <w:pPr>
      <w:spacing w:line="288" w:lineRule="auto"/>
      <w:ind w:left="-90" w:right="-90"/>
      <w:rPr>
        <w:rFonts w:ascii="Arial" w:eastAsia="Arial" w:hAnsi="Arial" w:cs="Arial"/>
        <w:b/>
        <w:i/>
        <w:sz w:val="14"/>
      </w:rPr>
    </w:pPr>
    <w:hyperlink w:anchor="Section2" w:history="1">
      <w:r>
        <w:rPr>
          <w:rFonts w:ascii="Arial" w:eastAsia="Arial" w:hAnsi="Arial" w:cs="Arial"/>
          <w:b/>
          <w:i/>
          <w:color w:val="8EA0AB"/>
          <w:sz w:val="14"/>
          <w:u w:val="single"/>
        </w:rPr>
        <w:t>Table of Contents</w:t>
      </w:r>
    </w:hyperlink>
  </w:p>
  <w:p w14:paraId="103DB1C8" w14:textId="77777777" w:rsidR="001614AC" w:rsidRDefault="004468F9">
    <w:pPr>
      <w:spacing w:line="288" w:lineRule="auto"/>
      <w:ind w:left="-90" w:right="-90"/>
      <w:rPr>
        <w:rFonts w:ascii="Arial" w:eastAsia="Arial" w:hAnsi="Arial" w:cs="Arial"/>
        <w:b/>
        <w:i/>
        <w:sz w:val="14"/>
      </w:rPr>
    </w:pPr>
    <w:hyperlink w:anchor="Section3" w:history="1">
      <w:r>
        <w:rPr>
          <w:rFonts w:ascii="Arial" w:eastAsia="Arial" w:hAnsi="Arial" w:cs="Arial"/>
          <w:b/>
          <w:i/>
          <w:color w:val="8EA0AB"/>
          <w:sz w:val="14"/>
          <w:u w:val="single"/>
        </w:rPr>
        <w:t>Glossary</w:t>
      </w:r>
    </w:hyperlink>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A4DE72" w14:textId="77777777" w:rsidR="001614AC" w:rsidRDefault="004468F9">
    <w:pPr>
      <w:spacing w:line="288" w:lineRule="auto"/>
      <w:ind w:right="-90"/>
      <w:rPr>
        <w:rFonts w:ascii="Arial" w:eastAsia="Arial" w:hAnsi="Arial" w:cs="Arial"/>
        <w:b/>
        <w:i/>
        <w:sz w:val="14"/>
      </w:rPr>
    </w:pPr>
    <w:hyperlink w:anchor="Section2" w:history="1">
      <w:r>
        <w:rPr>
          <w:rFonts w:ascii="Arial" w:eastAsia="Arial" w:hAnsi="Arial" w:cs="Arial"/>
          <w:b/>
          <w:i/>
          <w:color w:val="8EA0AB"/>
          <w:sz w:val="14"/>
          <w:u w:val="single"/>
        </w:rPr>
        <w:t>Table of Contents</w:t>
      </w:r>
    </w:hyperlink>
  </w:p>
  <w:p w14:paraId="57F6940E" w14:textId="77777777" w:rsidR="001614AC" w:rsidRDefault="004468F9">
    <w:pPr>
      <w:spacing w:line="288" w:lineRule="auto"/>
      <w:ind w:right="-90"/>
      <w:rPr>
        <w:rFonts w:ascii="Arial" w:eastAsia="Arial" w:hAnsi="Arial" w:cs="Arial"/>
        <w:b/>
        <w:i/>
        <w:sz w:val="14"/>
      </w:rPr>
    </w:pPr>
    <w:hyperlink w:anchor="Section3" w:history="1">
      <w:r>
        <w:rPr>
          <w:rFonts w:ascii="Arial" w:eastAsia="Arial" w:hAnsi="Arial" w:cs="Arial"/>
          <w:b/>
          <w:i/>
          <w:color w:val="8EA0AB"/>
          <w:sz w:val="14"/>
          <w:u w:val="single"/>
        </w:rPr>
        <w:t>Glossary</w:t>
      </w:r>
    </w:hyperlink>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B91BA9" w14:textId="77777777" w:rsidR="001614AC" w:rsidRDefault="004468F9">
    <w:pPr>
      <w:spacing w:line="288" w:lineRule="auto"/>
      <w:ind w:left="-90" w:right="-90"/>
      <w:rPr>
        <w:rFonts w:ascii="Arial" w:eastAsia="Arial" w:hAnsi="Arial" w:cs="Arial"/>
        <w:b/>
        <w:i/>
        <w:sz w:val="14"/>
      </w:rPr>
    </w:pPr>
    <w:hyperlink w:anchor="Section2" w:history="1">
      <w:r>
        <w:rPr>
          <w:rFonts w:ascii="Arial" w:eastAsia="Arial" w:hAnsi="Arial" w:cs="Arial"/>
          <w:b/>
          <w:i/>
          <w:color w:val="8EA0AB"/>
          <w:sz w:val="14"/>
          <w:u w:val="single"/>
        </w:rPr>
        <w:t>Table of Contents</w:t>
      </w:r>
    </w:hyperlink>
  </w:p>
  <w:p w14:paraId="0E66EAA1" w14:textId="77777777" w:rsidR="001614AC" w:rsidRDefault="004468F9">
    <w:pPr>
      <w:spacing w:line="288" w:lineRule="auto"/>
      <w:ind w:left="-90" w:right="-90"/>
      <w:rPr>
        <w:rFonts w:ascii="Arial" w:eastAsia="Arial" w:hAnsi="Arial" w:cs="Arial"/>
        <w:b/>
        <w:i/>
        <w:sz w:val="14"/>
      </w:rPr>
    </w:pPr>
    <w:hyperlink w:anchor="Section3" w:history="1">
      <w:r>
        <w:rPr>
          <w:rFonts w:ascii="Arial" w:eastAsia="Arial" w:hAnsi="Arial" w:cs="Arial"/>
          <w:b/>
          <w:i/>
          <w:color w:val="8EA0AB"/>
          <w:sz w:val="14"/>
          <w:u w:val="single"/>
        </w:rPr>
        <w:t>Glossary</w:t>
      </w:r>
    </w:hyperlink>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09AFAD" w14:textId="77777777" w:rsidR="001614AC" w:rsidRDefault="004468F9">
    <w:pPr>
      <w:spacing w:before="100" w:after="100" w:line="288" w:lineRule="auto"/>
      <w:ind w:left="-90" w:right="-90" w:firstLine="450"/>
      <w:rPr>
        <w:rFonts w:ascii="Arial" w:eastAsia="Arial" w:hAnsi="Arial" w:cs="Arial"/>
        <w:b/>
        <w:i/>
        <w:sz w:val="16"/>
      </w:rPr>
    </w:pPr>
    <w:hyperlink w:anchor="Section2" w:history="1">
      <w:r>
        <w:rPr>
          <w:rFonts w:ascii="Arial" w:eastAsia="Arial" w:hAnsi="Arial" w:cs="Arial"/>
          <w:b/>
          <w:i/>
          <w:color w:val="8EA0AB"/>
          <w:sz w:val="16"/>
          <w:u w:val="single"/>
        </w:rPr>
        <w:t>Table of Contents</w:t>
      </w:r>
    </w:hyperlink>
  </w:p>
  <w:p w14:paraId="41A5691F" w14:textId="77777777" w:rsidR="001614AC" w:rsidRDefault="004468F9">
    <w:pPr>
      <w:spacing w:before="100" w:after="100" w:line="288" w:lineRule="auto"/>
      <w:ind w:left="-90" w:right="-90" w:firstLine="450"/>
      <w:rPr>
        <w:rFonts w:ascii="Arial" w:eastAsia="Arial" w:hAnsi="Arial" w:cs="Arial"/>
        <w:b/>
        <w:i/>
        <w:sz w:val="16"/>
      </w:rPr>
    </w:pPr>
    <w:hyperlink w:anchor="Section3" w:history="1">
      <w:r>
        <w:rPr>
          <w:rFonts w:ascii="Arial" w:eastAsia="Arial" w:hAnsi="Arial" w:cs="Arial"/>
          <w:b/>
          <w:i/>
          <w:color w:val="8EA0AB"/>
          <w:sz w:val="16"/>
          <w:u w:val="single"/>
        </w:rPr>
        <w:t>Glossary</w:t>
      </w:r>
    </w:hyperlink>
  </w:p>
  <w:p w14:paraId="01BEABF9" w14:textId="77777777" w:rsidR="001614AC" w:rsidRDefault="004468F9">
    <w:pPr>
      <w:spacing w:before="100" w:after="100" w:line="288" w:lineRule="auto"/>
      <w:ind w:left="-90" w:right="-90" w:firstLine="450"/>
      <w:jc w:val="right"/>
      <w:outlineLvl w:val="1"/>
      <w:rPr>
        <w:rFonts w:ascii="Arial" w:eastAsia="Arial" w:hAnsi="Arial" w:cs="Arial"/>
        <w:b/>
        <w:i/>
        <w:sz w:val="18"/>
      </w:rPr>
    </w:pPr>
    <w:r>
      <w:rPr>
        <w:rFonts w:ascii="Arial" w:eastAsia="Arial" w:hAnsi="Arial" w:cs="Arial"/>
        <w:b/>
        <w:sz w:val="18"/>
      </w:rPr>
      <w:t xml:space="preserve">Part I. Item 2. Management’s Discussion and Analysis of Financial Condition and Results of </w:t>
    </w:r>
    <w:r>
      <w:rPr>
        <w:rFonts w:ascii="Arial" w:eastAsia="Arial" w:hAnsi="Arial" w:cs="Arial"/>
        <w:b/>
        <w:sz w:val="18"/>
      </w:rPr>
      <w:t>Operations</w:t>
    </w:r>
  </w:p>
  <w:p w14:paraId="0AD81D8B" w14:textId="77777777" w:rsidR="001614AC" w:rsidRDefault="004468F9">
    <w:pPr>
      <w:spacing w:before="100" w:after="100" w:line="288" w:lineRule="auto"/>
      <w:ind w:left="-90" w:right="-90" w:firstLine="450"/>
      <w:jc w:val="center"/>
      <w:rPr>
        <w:rFonts w:ascii="Arial" w:eastAsia="Arial" w:hAnsi="Arial" w:cs="Arial"/>
        <w:b/>
        <w:i/>
        <w:sz w:val="18"/>
      </w:rPr>
    </w:pPr>
    <w:r>
      <w:rPr>
        <w:rFonts w:ascii="Arial" w:eastAsia="Arial" w:hAnsi="Arial" w:cs="Arial"/>
        <w:b/>
        <w:sz w:val="18"/>
      </w:rPr>
      <w:t>______________________________________________________________________________________________________</w:t>
    </w:r>
  </w:p>
  <w:p w14:paraId="1FF205D0" w14:textId="77777777" w:rsidR="001614AC" w:rsidRDefault="001614AC">
    <w:pPr>
      <w:spacing w:before="100"/>
      <w:ind w:left="-90" w:right="-90" w:firstLine="450"/>
      <w:jc w:val="center"/>
      <w:rPr>
        <w:rFonts w:ascii="Arial" w:eastAsia="Arial" w:hAnsi="Arial" w:cs="Arial"/>
        <w:b/>
        <w:i/>
        <w:sz w:val="18"/>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A92FFD" w14:textId="77777777" w:rsidR="001614AC" w:rsidRDefault="004468F9">
    <w:pPr>
      <w:spacing w:line="288" w:lineRule="auto"/>
      <w:rPr>
        <w:rFonts w:ascii="Arial" w:eastAsia="Arial" w:hAnsi="Arial" w:cs="Arial"/>
        <w:b/>
        <w:i/>
        <w:sz w:val="14"/>
      </w:rPr>
    </w:pPr>
    <w:hyperlink w:anchor="Section2" w:history="1">
      <w:r>
        <w:rPr>
          <w:rFonts w:ascii="Arial" w:eastAsia="Arial" w:hAnsi="Arial" w:cs="Arial"/>
          <w:b/>
          <w:i/>
          <w:color w:val="8EA0AB"/>
          <w:sz w:val="14"/>
          <w:u w:val="single"/>
        </w:rPr>
        <w:t>Table of Contents</w:t>
      </w:r>
    </w:hyperlink>
    <w:r>
      <w:rPr>
        <w:rFonts w:ascii="Arial" w:eastAsia="Arial" w:hAnsi="Arial" w:cs="Arial"/>
        <w:b/>
        <w:i/>
        <w:color w:val="8EA0AB"/>
        <w:sz w:val="14"/>
        <w:u w:val="single"/>
      </w:rPr>
      <w:br/>
    </w:r>
    <w:hyperlink w:anchor="Section3" w:history="1">
      <w:r>
        <w:rPr>
          <w:rFonts w:ascii="Arial" w:eastAsia="Arial" w:hAnsi="Arial" w:cs="Arial"/>
          <w:b/>
          <w:i/>
          <w:color w:val="8EA0AB"/>
          <w:sz w:val="14"/>
          <w:u w:val="single"/>
        </w:rPr>
        <w:t>Glossary</w:t>
      </w:r>
    </w:hyperlink>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EC5744" w14:textId="77777777" w:rsidR="001614AC" w:rsidRDefault="004468F9">
    <w:pPr>
      <w:spacing w:line="288" w:lineRule="auto"/>
      <w:ind w:left="-90" w:right="-90"/>
      <w:rPr>
        <w:rFonts w:ascii="Arial" w:eastAsia="Arial" w:hAnsi="Arial" w:cs="Arial"/>
        <w:b/>
        <w:i/>
        <w:sz w:val="14"/>
      </w:rPr>
    </w:pPr>
    <w:hyperlink w:anchor="Section2" w:history="1">
      <w:r>
        <w:rPr>
          <w:rFonts w:ascii="Arial" w:eastAsia="Arial" w:hAnsi="Arial" w:cs="Arial"/>
          <w:b/>
          <w:i/>
          <w:color w:val="8EA0AB"/>
          <w:sz w:val="14"/>
          <w:u w:val="single"/>
        </w:rPr>
        <w:t>Table of Contents</w:t>
      </w:r>
    </w:hyperlink>
  </w:p>
  <w:p w14:paraId="7BDCB3A0" w14:textId="77777777" w:rsidR="001614AC" w:rsidRDefault="004468F9">
    <w:pPr>
      <w:spacing w:line="288" w:lineRule="auto"/>
      <w:ind w:left="-90" w:right="-90"/>
      <w:rPr>
        <w:rFonts w:ascii="Arial" w:eastAsia="Arial" w:hAnsi="Arial" w:cs="Arial"/>
        <w:b/>
        <w:i/>
        <w:sz w:val="14"/>
      </w:rPr>
    </w:pPr>
    <w:hyperlink w:anchor="Section3" w:history="1">
      <w:r>
        <w:rPr>
          <w:rFonts w:ascii="Arial" w:eastAsia="Arial" w:hAnsi="Arial" w:cs="Arial"/>
          <w:b/>
          <w:i/>
          <w:color w:val="8EA0AB"/>
          <w:sz w:val="14"/>
          <w:u w:val="single"/>
        </w:rPr>
        <w:t>Glossary</w:t>
      </w:r>
    </w:hyperlink>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465"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27"/>
      <w:gridCol w:w="7038"/>
    </w:tblGrid>
    <w:tr w:rsidR="001614AC" w14:paraId="312CD0FA" w14:textId="77777777">
      <w:trPr>
        <w:cantSplit/>
        <w:trHeight w:hRule="exact" w:val="840"/>
      </w:trPr>
      <w:tc>
        <w:tcPr>
          <w:tcW w:w="3360" w:type="dxa"/>
          <w:tcBorders>
            <w:top w:val="nil"/>
            <w:left w:val="nil"/>
            <w:bottom w:val="single" w:sz="8" w:space="0" w:color="000000"/>
            <w:right w:val="nil"/>
          </w:tcBorders>
          <w:tcMar>
            <w:top w:w="0" w:type="dxa"/>
            <w:left w:w="53" w:type="dxa"/>
            <w:bottom w:w="0" w:type="dxa"/>
            <w:right w:w="53" w:type="dxa"/>
          </w:tcMar>
        </w:tcPr>
        <w:p w14:paraId="41901BC7" w14:textId="77777777" w:rsidR="001614AC" w:rsidRDefault="004468F9">
          <w:pPr>
            <w:spacing w:before="75" w:line="288" w:lineRule="auto"/>
            <w:rPr>
              <w:rFonts w:ascii="Arial" w:eastAsia="Arial" w:hAnsi="Arial" w:cs="Arial"/>
              <w:b/>
              <w:i/>
              <w:color w:val="8EA0AB"/>
              <w:sz w:val="14"/>
              <w:u w:val="single"/>
            </w:rPr>
          </w:pPr>
          <w:hyperlink w:anchor="Section2" w:history="1">
            <w:r>
              <w:rPr>
                <w:rFonts w:ascii="Arial" w:eastAsia="Arial" w:hAnsi="Arial" w:cs="Arial"/>
                <w:b/>
                <w:i/>
                <w:color w:val="8EA0AB"/>
                <w:sz w:val="14"/>
                <w:u w:val="single"/>
              </w:rPr>
              <w:t>Table of Contents</w:t>
            </w:r>
          </w:hyperlink>
        </w:p>
        <w:p w14:paraId="50868120" w14:textId="77777777" w:rsidR="001614AC" w:rsidRDefault="004468F9">
          <w:pPr>
            <w:spacing w:after="30" w:line="288" w:lineRule="auto"/>
            <w:rPr>
              <w:rFonts w:ascii="Arial" w:eastAsia="Arial" w:hAnsi="Arial" w:cs="Arial"/>
              <w:b/>
              <w:i/>
              <w:sz w:val="14"/>
            </w:rPr>
          </w:pPr>
          <w:hyperlink w:anchor="Section3" w:history="1">
            <w:r>
              <w:rPr>
                <w:rFonts w:ascii="Arial" w:eastAsia="Arial" w:hAnsi="Arial" w:cs="Arial"/>
                <w:b/>
                <w:i/>
                <w:color w:val="8EA0AB"/>
                <w:sz w:val="14"/>
                <w:u w:val="single"/>
              </w:rPr>
              <w:t>Glossary</w:t>
            </w:r>
          </w:hyperlink>
        </w:p>
      </w:tc>
      <w:tc>
        <w:tcPr>
          <w:tcW w:w="6900" w:type="dxa"/>
          <w:tcBorders>
            <w:top w:val="nil"/>
            <w:left w:val="nil"/>
            <w:bottom w:val="single" w:sz="8" w:space="0" w:color="000000"/>
            <w:right w:val="nil"/>
          </w:tcBorders>
          <w:tcMar>
            <w:top w:w="0" w:type="dxa"/>
            <w:left w:w="53" w:type="dxa"/>
            <w:bottom w:w="0" w:type="dxa"/>
            <w:right w:w="53" w:type="dxa"/>
          </w:tcMar>
          <w:vAlign w:val="bottom"/>
        </w:tcPr>
        <w:p w14:paraId="53148EAD" w14:textId="77777777" w:rsidR="001614AC" w:rsidRDefault="004468F9">
          <w:pPr>
            <w:spacing w:before="75" w:line="288" w:lineRule="auto"/>
            <w:jc w:val="right"/>
          </w:pPr>
          <w:r>
            <w:rPr>
              <w:rFonts w:ascii="Arial" w:eastAsia="Arial" w:hAnsi="Arial" w:cs="Arial"/>
              <w:b/>
              <w:color w:val="000000"/>
              <w:sz w:val="16"/>
            </w:rPr>
            <w:t>Radian Group Inc.</w:t>
          </w:r>
        </w:p>
        <w:p w14:paraId="56B26BD2" w14:textId="77777777" w:rsidR="001614AC" w:rsidRDefault="004468F9">
          <w:pPr>
            <w:spacing w:line="288" w:lineRule="auto"/>
            <w:jc w:val="right"/>
          </w:pPr>
          <w:r>
            <w:rPr>
              <w:rFonts w:ascii="Arial" w:eastAsia="Arial" w:hAnsi="Arial" w:cs="Arial"/>
              <w:b/>
              <w:color w:val="000000"/>
              <w:sz w:val="16"/>
            </w:rPr>
            <w:t xml:space="preserve">Notes to </w:t>
          </w:r>
          <w:r>
            <w:rPr>
              <w:rFonts w:ascii="Arial" w:eastAsia="Arial" w:hAnsi="Arial" w:cs="Arial"/>
              <w:b/>
              <w:color w:val="000000"/>
              <w:sz w:val="16"/>
            </w:rPr>
            <w:t>Unaudited Condensed Consolidated Financial Statements</w:t>
          </w:r>
        </w:p>
        <w:p w14:paraId="15DF437D" w14:textId="77777777" w:rsidR="001614AC" w:rsidRDefault="001614AC">
          <w:pPr>
            <w:spacing w:after="30" w:line="288" w:lineRule="auto"/>
            <w:jc w:val="right"/>
          </w:pPr>
        </w:p>
      </w:tc>
    </w:tr>
  </w:tbl>
  <w:p w14:paraId="1F59D400" w14:textId="77777777" w:rsidR="001614AC" w:rsidRDefault="001614AC">
    <w:pPr>
      <w:spacing w:line="288" w:lineRule="auto"/>
      <w:ind w:left="-90" w:right="-90"/>
      <w:rPr>
        <w:rFonts w:ascii="Arial" w:eastAsia="Arial" w:hAnsi="Arial" w:cs="Arial"/>
        <w:b/>
        <w:i/>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styleLink w:val="BigBoxSYMBOL"/>
    <w:lvl w:ilvl="0">
      <w:start w:val="1"/>
      <w:numFmt w:val="decimal"/>
      <w:lvlText w:val="■"/>
      <w:lvlJc w:val="left"/>
      <w:pPr>
        <w:tabs>
          <w:tab w:val="num" w:pos="720"/>
        </w:tabs>
        <w:ind w:left="720" w:hanging="360"/>
      </w:p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1" w15:restartNumberingAfterBreak="0">
    <w:nsid w:val="00000006"/>
    <w:multiLevelType w:val="multilevel"/>
    <w:tmpl w:val="00000001"/>
    <w:lvl w:ilvl="0">
      <w:start w:val="1"/>
      <w:numFmt w:val="decimal"/>
      <w:lvlText w:val="■"/>
      <w:lvlJc w:val="left"/>
      <w:pPr>
        <w:tabs>
          <w:tab w:val="num" w:pos="360"/>
        </w:tabs>
        <w:ind w:left="720" w:hanging="360"/>
      </w:pPr>
      <w:rPr>
        <w:rFonts w:ascii="Arial" w:eastAsia="Arial" w:hAnsi="Arial" w:cs="Arial"/>
        <w:color w:val="668092"/>
        <w:sz w:val="18"/>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2" w15:restartNumberingAfterBreak="0">
    <w:nsid w:val="00000007"/>
    <w:multiLevelType w:val="multilevel"/>
    <w:tmpl w:val="00000001"/>
    <w:lvl w:ilvl="0">
      <w:start w:val="1"/>
      <w:numFmt w:val="decimal"/>
      <w:lvlText w:val="■"/>
      <w:lvlJc w:val="left"/>
      <w:pPr>
        <w:tabs>
          <w:tab w:val="num" w:pos="360"/>
        </w:tabs>
        <w:ind w:left="720" w:hanging="360"/>
      </w:pPr>
      <w:rPr>
        <w:rFonts w:ascii="Arial" w:eastAsia="Arial" w:hAnsi="Arial" w:cs="Arial"/>
        <w:color w:val="668092"/>
        <w:sz w:val="18"/>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3" w15:restartNumberingAfterBreak="0">
    <w:nsid w:val="00000008"/>
    <w:multiLevelType w:val="multilevel"/>
    <w:tmpl w:val="00000001"/>
    <w:lvl w:ilvl="0">
      <w:start w:val="1"/>
      <w:numFmt w:val="decimal"/>
      <w:lvlText w:val="■"/>
      <w:lvlJc w:val="left"/>
      <w:pPr>
        <w:tabs>
          <w:tab w:val="num" w:pos="360"/>
        </w:tabs>
        <w:ind w:left="720" w:hanging="360"/>
      </w:pPr>
      <w:rPr>
        <w:rFonts w:ascii="Arial" w:eastAsia="Arial" w:hAnsi="Arial" w:cs="Arial"/>
        <w:color w:val="668092"/>
        <w:sz w:val="18"/>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4" w15:restartNumberingAfterBreak="0">
    <w:nsid w:val="0000000F"/>
    <w:multiLevelType w:val="multilevel"/>
    <w:tmpl w:val="00000001"/>
    <w:lvl w:ilvl="0">
      <w:start w:val="1"/>
      <w:numFmt w:val="decimal"/>
      <w:lvlText w:val="■"/>
      <w:lvlJc w:val="left"/>
      <w:pPr>
        <w:tabs>
          <w:tab w:val="num" w:pos="360"/>
        </w:tabs>
        <w:ind w:left="720" w:hanging="360"/>
      </w:pPr>
      <w:rPr>
        <w:rFonts w:ascii="Arial" w:eastAsia="Arial" w:hAnsi="Arial" w:cs="Arial"/>
        <w:color w:val="668092"/>
        <w:sz w:val="18"/>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5" w15:restartNumberingAfterBreak="0">
    <w:nsid w:val="00000012"/>
    <w:multiLevelType w:val="multilevel"/>
    <w:tmpl w:val="00000001"/>
    <w:lvl w:ilvl="0">
      <w:start w:val="1"/>
      <w:numFmt w:val="decimal"/>
      <w:lvlText w:val="■"/>
      <w:lvlJc w:val="left"/>
      <w:pPr>
        <w:tabs>
          <w:tab w:val="num" w:pos="360"/>
        </w:tabs>
        <w:ind w:left="720" w:hanging="360"/>
      </w:pPr>
      <w:rPr>
        <w:rFonts w:ascii="Arial" w:eastAsia="Arial" w:hAnsi="Arial" w:cs="Arial"/>
        <w:color w:val="668092"/>
        <w:sz w:val="18"/>
      </w:rPr>
    </w:lvl>
    <w:lvl w:ilvl="1">
      <w:start w:val="1"/>
      <w:numFmt w:val="lowerLetter"/>
      <w:lvlText w:val="■"/>
      <w:lvlJc w:val="left"/>
      <w:pPr>
        <w:tabs>
          <w:tab w:val="num" w:pos="1440"/>
        </w:tabs>
        <w:ind w:left="1440" w:hanging="360"/>
      </w:pPr>
    </w:lvl>
    <w:lvl w:ilvl="2">
      <w:start w:val="1"/>
      <w:numFmt w:val="lowerRoman"/>
      <w:lvlText w:val="■"/>
      <w:lvlJc w:val="left"/>
      <w:pPr>
        <w:tabs>
          <w:tab w:val="num" w:pos="2160"/>
        </w:tabs>
        <w:ind w:left="2160" w:hanging="180"/>
      </w:pPr>
    </w:lvl>
    <w:lvl w:ilvl="3">
      <w:start w:val="1"/>
      <w:numFmt w:val="decimal"/>
      <w:lvlText w:val="■"/>
      <w:lvlJc w:val="left"/>
      <w:pPr>
        <w:tabs>
          <w:tab w:val="num" w:pos="2880"/>
        </w:tabs>
        <w:ind w:left="2880" w:hanging="360"/>
      </w:pPr>
    </w:lvl>
    <w:lvl w:ilvl="4">
      <w:start w:val="1"/>
      <w:numFmt w:val="lowerLetter"/>
      <w:lvlText w:val="■"/>
      <w:lvlJc w:val="left"/>
      <w:pPr>
        <w:tabs>
          <w:tab w:val="num" w:pos="3600"/>
        </w:tabs>
        <w:ind w:left="3600" w:hanging="360"/>
      </w:pPr>
    </w:lvl>
    <w:lvl w:ilvl="5">
      <w:start w:val="1"/>
      <w:numFmt w:val="lowerRoman"/>
      <w:lvlText w:val="■"/>
      <w:lvlJc w:val="left"/>
      <w:pPr>
        <w:tabs>
          <w:tab w:val="num" w:pos="4320"/>
        </w:tabs>
        <w:ind w:left="4320" w:hanging="180"/>
      </w:pPr>
    </w:lvl>
    <w:lvl w:ilvl="6">
      <w:start w:val="1"/>
      <w:numFmt w:val="decimal"/>
      <w:lvlText w:val="■"/>
      <w:lvlJc w:val="left"/>
      <w:pPr>
        <w:tabs>
          <w:tab w:val="num" w:pos="5040"/>
        </w:tabs>
        <w:ind w:left="5040" w:hanging="360"/>
      </w:pPr>
    </w:lvl>
    <w:lvl w:ilvl="7">
      <w:start w:val="1"/>
      <w:numFmt w:val="lowerLetter"/>
      <w:lvlText w:val="■"/>
      <w:lvlJc w:val="left"/>
      <w:pPr>
        <w:tabs>
          <w:tab w:val="num" w:pos="5760"/>
        </w:tabs>
        <w:ind w:left="5760" w:hanging="360"/>
      </w:pPr>
    </w:lvl>
    <w:lvl w:ilvl="8">
      <w:start w:val="1"/>
      <w:numFmt w:val="lowerRoman"/>
      <w:lvlText w:val="■"/>
      <w:lvlJc w:val="left"/>
      <w:pPr>
        <w:tabs>
          <w:tab w:val="num" w:pos="6480"/>
        </w:tabs>
        <w:ind w:left="6480" w:hanging="180"/>
      </w:pPr>
    </w:lvl>
  </w:abstractNum>
  <w:abstractNum w:abstractNumId="6" w15:restartNumberingAfterBreak="0">
    <w:nsid w:val="00000013"/>
    <w:multiLevelType w:val="multilevel"/>
    <w:tmpl w:val="00000013"/>
    <w:styleLink w:val="NumericNumberedNUMBERED"/>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1F"/>
    <w:multiLevelType w:val="multilevel"/>
    <w:tmpl w:val="00000013"/>
    <w:lvl w:ilvl="0">
      <w:start w:val="1"/>
      <w:numFmt w:val="decimal"/>
      <w:lvlText w:val="(%1)"/>
      <w:lvlJc w:val="left"/>
      <w:pPr>
        <w:tabs>
          <w:tab w:val="num" w:pos="360"/>
        </w:tabs>
        <w:ind w:left="720" w:hanging="360"/>
      </w:pPr>
      <w:rPr>
        <w:rFonts w:ascii="Arial" w:eastAsia="Arial" w:hAnsi="Arial" w:cs="Arial"/>
        <w:color w:val="64615D"/>
        <w:sz w:val="1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20"/>
    <w:multiLevelType w:val="multilevel"/>
    <w:tmpl w:val="00000013"/>
    <w:lvl w:ilvl="0">
      <w:start w:val="1"/>
      <w:numFmt w:val="decimal"/>
      <w:lvlText w:val="(%1)"/>
      <w:lvlJc w:val="left"/>
      <w:pPr>
        <w:tabs>
          <w:tab w:val="num" w:pos="360"/>
        </w:tabs>
        <w:ind w:left="720" w:hanging="360"/>
      </w:pPr>
      <w:rPr>
        <w:rFonts w:ascii="Arial" w:eastAsia="Arial" w:hAnsi="Arial" w:cs="Arial"/>
        <w:color w:val="64615D"/>
        <w:sz w:val="1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24"/>
    <w:multiLevelType w:val="multilevel"/>
    <w:tmpl w:val="00000013"/>
    <w:lvl w:ilvl="0">
      <w:start w:val="1"/>
      <w:numFmt w:val="decimal"/>
      <w:lvlText w:val="(%1)"/>
      <w:lvlJc w:val="left"/>
      <w:pPr>
        <w:tabs>
          <w:tab w:val="num" w:pos="360"/>
        </w:tabs>
        <w:ind w:left="720" w:hanging="360"/>
      </w:pPr>
      <w:rPr>
        <w:rFonts w:ascii="Arial" w:eastAsia="Arial" w:hAnsi="Arial" w:cs="Arial"/>
        <w:color w:val="64615D"/>
        <w:sz w:val="1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0000025"/>
    <w:multiLevelType w:val="multilevel"/>
    <w:tmpl w:val="00000013"/>
    <w:lvl w:ilvl="0">
      <w:start w:val="1"/>
      <w:numFmt w:val="decimal"/>
      <w:lvlText w:val="(%1)"/>
      <w:lvlJc w:val="left"/>
      <w:pPr>
        <w:tabs>
          <w:tab w:val="num" w:pos="360"/>
        </w:tabs>
        <w:ind w:left="720" w:hanging="360"/>
      </w:pPr>
      <w:rPr>
        <w:rFonts w:ascii="Arial" w:eastAsia="Arial" w:hAnsi="Arial" w:cs="Arial"/>
        <w:color w:val="64615D"/>
        <w:sz w:val="1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000002D"/>
    <w:multiLevelType w:val="multilevel"/>
    <w:tmpl w:val="00000013"/>
    <w:lvl w:ilvl="0">
      <w:start w:val="1"/>
      <w:numFmt w:val="decimal"/>
      <w:lvlText w:val="(%1)"/>
      <w:lvlJc w:val="left"/>
      <w:pPr>
        <w:tabs>
          <w:tab w:val="num" w:pos="360"/>
        </w:tabs>
        <w:ind w:left="720" w:hanging="360"/>
      </w:pPr>
      <w:rPr>
        <w:rFonts w:ascii="Arial" w:eastAsia="Arial" w:hAnsi="Arial" w:cs="Arial"/>
        <w:color w:val="64615D"/>
        <w:sz w:val="1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0000030"/>
    <w:multiLevelType w:val="multilevel"/>
    <w:tmpl w:val="00000013"/>
    <w:lvl w:ilvl="0">
      <w:start w:val="1"/>
      <w:numFmt w:val="decimal"/>
      <w:lvlText w:val="(%1)"/>
      <w:lvlJc w:val="left"/>
      <w:pPr>
        <w:tabs>
          <w:tab w:val="num" w:pos="360"/>
        </w:tabs>
        <w:ind w:left="720" w:hanging="360"/>
      </w:pPr>
      <w:rPr>
        <w:rFonts w:ascii="Arial" w:eastAsia="Arial" w:hAnsi="Arial" w:cs="Arial"/>
        <w:color w:val="64615D"/>
        <w:sz w:val="1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0000046"/>
    <w:multiLevelType w:val="multilevel"/>
    <w:tmpl w:val="00000013"/>
    <w:lvl w:ilvl="0">
      <w:start w:val="1"/>
      <w:numFmt w:val="decimal"/>
      <w:lvlText w:val="(%1)"/>
      <w:lvlJc w:val="left"/>
      <w:pPr>
        <w:tabs>
          <w:tab w:val="num" w:pos="360"/>
        </w:tabs>
        <w:ind w:left="720" w:hanging="360"/>
      </w:pPr>
      <w:rPr>
        <w:rFonts w:ascii="Arial" w:eastAsia="Arial" w:hAnsi="Arial" w:cs="Arial"/>
        <w:color w:val="64615D"/>
        <w:sz w:val="1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00000047"/>
    <w:multiLevelType w:val="multilevel"/>
    <w:tmpl w:val="00000013"/>
    <w:lvl w:ilvl="0">
      <w:start w:val="1"/>
      <w:numFmt w:val="decimal"/>
      <w:lvlText w:val="(%1)"/>
      <w:lvlJc w:val="left"/>
      <w:pPr>
        <w:tabs>
          <w:tab w:val="num" w:pos="360"/>
        </w:tabs>
        <w:ind w:left="720" w:hanging="360"/>
      </w:pPr>
      <w:rPr>
        <w:rFonts w:ascii="Arial" w:eastAsia="Arial" w:hAnsi="Arial" w:cs="Arial"/>
        <w:color w:val="64615D"/>
        <w:sz w:val="1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00000048"/>
    <w:multiLevelType w:val="multilevel"/>
    <w:tmpl w:val="00000013"/>
    <w:lvl w:ilvl="0">
      <w:start w:val="1"/>
      <w:numFmt w:val="decimal"/>
      <w:lvlText w:val="(%1)"/>
      <w:lvlJc w:val="left"/>
      <w:pPr>
        <w:tabs>
          <w:tab w:val="num" w:pos="360"/>
        </w:tabs>
        <w:ind w:left="720" w:hanging="360"/>
      </w:pPr>
      <w:rPr>
        <w:rFonts w:ascii="Arial" w:eastAsia="Arial" w:hAnsi="Arial" w:cs="Arial"/>
        <w:color w:val="64615D"/>
        <w:sz w:val="1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00000049"/>
    <w:multiLevelType w:val="multilevel"/>
    <w:tmpl w:val="00000013"/>
    <w:lvl w:ilvl="0">
      <w:start w:val="1"/>
      <w:numFmt w:val="decimal"/>
      <w:lvlText w:val="(%1)"/>
      <w:lvlJc w:val="left"/>
      <w:pPr>
        <w:tabs>
          <w:tab w:val="num" w:pos="360"/>
        </w:tabs>
        <w:ind w:left="720" w:hanging="360"/>
      </w:pPr>
      <w:rPr>
        <w:rFonts w:ascii="Arial" w:eastAsia="Arial" w:hAnsi="Arial" w:cs="Arial"/>
        <w:color w:val="64615D"/>
        <w:sz w:val="1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0000004B"/>
    <w:multiLevelType w:val="multilevel"/>
    <w:tmpl w:val="00000013"/>
    <w:lvl w:ilvl="0">
      <w:start w:val="1"/>
      <w:numFmt w:val="decimal"/>
      <w:lvlText w:val="(%1)"/>
      <w:lvlJc w:val="left"/>
      <w:pPr>
        <w:tabs>
          <w:tab w:val="num" w:pos="360"/>
        </w:tabs>
        <w:ind w:left="720" w:hanging="360"/>
      </w:pPr>
      <w:rPr>
        <w:rFonts w:ascii="Arial" w:eastAsia="Arial" w:hAnsi="Arial" w:cs="Arial"/>
        <w:color w:val="64615D"/>
        <w:sz w:val="1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00000054"/>
    <w:multiLevelType w:val="multilevel"/>
    <w:tmpl w:val="00000013"/>
    <w:lvl w:ilvl="0">
      <w:start w:val="1"/>
      <w:numFmt w:val="decimal"/>
      <w:lvlText w:val="(%1)"/>
      <w:lvlJc w:val="left"/>
      <w:pPr>
        <w:tabs>
          <w:tab w:val="num" w:pos="360"/>
        </w:tabs>
        <w:ind w:left="720" w:hanging="360"/>
      </w:pPr>
      <w:rPr>
        <w:rFonts w:ascii="Arial" w:eastAsia="Arial" w:hAnsi="Arial" w:cs="Arial"/>
        <w:color w:val="64615D"/>
        <w:sz w:val="1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00000074"/>
    <w:multiLevelType w:val="multilevel"/>
    <w:tmpl w:val="00000013"/>
    <w:lvl w:ilvl="0">
      <w:start w:val="1"/>
      <w:numFmt w:val="decimal"/>
      <w:lvlText w:val="(%1)"/>
      <w:lvlJc w:val="left"/>
      <w:pPr>
        <w:tabs>
          <w:tab w:val="num" w:pos="360"/>
        </w:tabs>
        <w:ind w:left="720" w:hanging="360"/>
      </w:pPr>
      <w:rPr>
        <w:rFonts w:ascii="Arial" w:eastAsia="Arial" w:hAnsi="Arial" w:cs="Arial"/>
        <w:color w:val="64615D"/>
        <w:sz w:val="1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0000007A"/>
    <w:multiLevelType w:val="multilevel"/>
    <w:tmpl w:val="00000013"/>
    <w:lvl w:ilvl="0">
      <w:start w:val="1"/>
      <w:numFmt w:val="decimal"/>
      <w:lvlText w:val="(%1)"/>
      <w:lvlJc w:val="left"/>
      <w:pPr>
        <w:tabs>
          <w:tab w:val="num" w:pos="360"/>
        </w:tabs>
        <w:ind w:left="720" w:hanging="360"/>
      </w:pPr>
      <w:rPr>
        <w:rFonts w:ascii="Arial" w:eastAsia="Arial" w:hAnsi="Arial" w:cs="Arial"/>
        <w:color w:val="64615D"/>
        <w:sz w:val="1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0000007B"/>
    <w:multiLevelType w:val="multilevel"/>
    <w:tmpl w:val="00000013"/>
    <w:lvl w:ilvl="0">
      <w:start w:val="1"/>
      <w:numFmt w:val="decimal"/>
      <w:lvlText w:val="(%1)"/>
      <w:lvlJc w:val="left"/>
      <w:pPr>
        <w:tabs>
          <w:tab w:val="num" w:pos="360"/>
        </w:tabs>
        <w:ind w:left="720" w:hanging="360"/>
      </w:pPr>
      <w:rPr>
        <w:rFonts w:ascii="Arial" w:eastAsia="Arial" w:hAnsi="Arial" w:cs="Arial"/>
        <w:color w:val="64615D"/>
        <w:sz w:val="1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00000084"/>
    <w:multiLevelType w:val="multilevel"/>
    <w:tmpl w:val="00000013"/>
    <w:lvl w:ilvl="0">
      <w:start w:val="1"/>
      <w:numFmt w:val="decimal"/>
      <w:lvlText w:val="(%1)"/>
      <w:lvlJc w:val="left"/>
      <w:pPr>
        <w:tabs>
          <w:tab w:val="num" w:pos="360"/>
        </w:tabs>
        <w:ind w:left="720" w:hanging="360"/>
      </w:pPr>
      <w:rPr>
        <w:rFonts w:ascii="Arial" w:eastAsia="Arial" w:hAnsi="Arial" w:cs="Arial"/>
        <w:color w:val="64615D"/>
        <w:sz w:val="1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00000087"/>
    <w:multiLevelType w:val="multilevel"/>
    <w:tmpl w:val="00000013"/>
    <w:lvl w:ilvl="0">
      <w:start w:val="1"/>
      <w:numFmt w:val="decimal"/>
      <w:lvlText w:val="(%1)"/>
      <w:lvlJc w:val="left"/>
      <w:pPr>
        <w:tabs>
          <w:tab w:val="num" w:pos="360"/>
        </w:tabs>
        <w:ind w:left="720" w:hanging="360"/>
      </w:pPr>
      <w:rPr>
        <w:rFonts w:ascii="Arial" w:eastAsia="Arial" w:hAnsi="Arial" w:cs="Arial"/>
        <w:color w:val="64615D"/>
        <w:sz w:val="1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0000008A"/>
    <w:multiLevelType w:val="multilevel"/>
    <w:tmpl w:val="00000013"/>
    <w:lvl w:ilvl="0">
      <w:start w:val="1"/>
      <w:numFmt w:val="decimal"/>
      <w:lvlText w:val="(%1)"/>
      <w:lvlJc w:val="left"/>
      <w:pPr>
        <w:tabs>
          <w:tab w:val="num" w:pos="360"/>
        </w:tabs>
        <w:ind w:left="720" w:hanging="360"/>
      </w:pPr>
      <w:rPr>
        <w:rFonts w:ascii="Arial" w:eastAsia="Arial" w:hAnsi="Arial" w:cs="Arial"/>
        <w:color w:val="64615D"/>
        <w:sz w:val="1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0000008B"/>
    <w:multiLevelType w:val="multilevel"/>
    <w:tmpl w:val="00000013"/>
    <w:lvl w:ilvl="0">
      <w:start w:val="1"/>
      <w:numFmt w:val="decimal"/>
      <w:lvlText w:val="(%1)"/>
      <w:lvlJc w:val="left"/>
      <w:pPr>
        <w:tabs>
          <w:tab w:val="num" w:pos="360"/>
        </w:tabs>
        <w:ind w:left="720" w:hanging="360"/>
      </w:pPr>
      <w:rPr>
        <w:rFonts w:ascii="Arial" w:eastAsia="Arial" w:hAnsi="Arial" w:cs="Arial"/>
        <w:color w:val="64615D"/>
        <w:sz w:val="1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0000008C"/>
    <w:multiLevelType w:val="multilevel"/>
    <w:tmpl w:val="00000013"/>
    <w:lvl w:ilvl="0">
      <w:start w:val="1"/>
      <w:numFmt w:val="decimal"/>
      <w:lvlText w:val="(%1)"/>
      <w:lvlJc w:val="left"/>
      <w:pPr>
        <w:tabs>
          <w:tab w:val="num" w:pos="360"/>
        </w:tabs>
        <w:ind w:left="720" w:hanging="360"/>
      </w:pPr>
      <w:rPr>
        <w:rFonts w:ascii="Arial" w:eastAsia="Arial" w:hAnsi="Arial" w:cs="Arial"/>
        <w:color w:val="64615D"/>
        <w:sz w:val="1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000000A1"/>
    <w:multiLevelType w:val="multilevel"/>
    <w:tmpl w:val="00000013"/>
    <w:lvl w:ilvl="0">
      <w:start w:val="1"/>
      <w:numFmt w:val="decimal"/>
      <w:lvlText w:val="(%1)"/>
      <w:lvlJc w:val="left"/>
      <w:pPr>
        <w:tabs>
          <w:tab w:val="num" w:pos="360"/>
        </w:tabs>
        <w:ind w:left="720" w:hanging="360"/>
      </w:pPr>
      <w:rPr>
        <w:rFonts w:ascii="Arial" w:eastAsia="Arial" w:hAnsi="Arial" w:cs="Arial"/>
        <w:color w:val="64615D"/>
        <w:sz w:val="1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000000A2"/>
    <w:multiLevelType w:val="multilevel"/>
    <w:tmpl w:val="00000013"/>
    <w:lvl w:ilvl="0">
      <w:start w:val="1"/>
      <w:numFmt w:val="decimal"/>
      <w:lvlText w:val="(%1)"/>
      <w:lvlJc w:val="left"/>
      <w:pPr>
        <w:tabs>
          <w:tab w:val="num" w:pos="360"/>
        </w:tabs>
        <w:ind w:left="720" w:hanging="360"/>
      </w:pPr>
      <w:rPr>
        <w:rFonts w:ascii="Arial" w:eastAsia="Arial" w:hAnsi="Arial" w:cs="Arial"/>
        <w:color w:val="64615D"/>
        <w:sz w:val="1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000000A3"/>
    <w:multiLevelType w:val="multilevel"/>
    <w:tmpl w:val="00000013"/>
    <w:lvl w:ilvl="0">
      <w:start w:val="1"/>
      <w:numFmt w:val="decimal"/>
      <w:lvlText w:val="(%1)"/>
      <w:lvlJc w:val="left"/>
      <w:pPr>
        <w:tabs>
          <w:tab w:val="num" w:pos="360"/>
        </w:tabs>
        <w:ind w:left="720" w:hanging="360"/>
      </w:pPr>
      <w:rPr>
        <w:rFonts w:ascii="Arial" w:eastAsia="Arial" w:hAnsi="Arial" w:cs="Arial"/>
        <w:color w:val="64615D"/>
        <w:sz w:val="1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000000AB"/>
    <w:multiLevelType w:val="multilevel"/>
    <w:tmpl w:val="00000013"/>
    <w:lvl w:ilvl="0">
      <w:start w:val="1"/>
      <w:numFmt w:val="decimal"/>
      <w:lvlText w:val="(%1)"/>
      <w:lvlJc w:val="left"/>
      <w:pPr>
        <w:tabs>
          <w:tab w:val="num" w:pos="360"/>
        </w:tabs>
        <w:ind w:left="720" w:hanging="360"/>
      </w:pPr>
      <w:rPr>
        <w:rFonts w:ascii="Arial" w:eastAsia="Arial" w:hAnsi="Arial" w:cs="Arial"/>
        <w:color w:val="64615D"/>
        <w:sz w:val="1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000000AC"/>
    <w:multiLevelType w:val="multilevel"/>
    <w:tmpl w:val="00000013"/>
    <w:lvl w:ilvl="0">
      <w:start w:val="1"/>
      <w:numFmt w:val="decimal"/>
      <w:lvlText w:val="(%1)"/>
      <w:lvlJc w:val="left"/>
      <w:pPr>
        <w:tabs>
          <w:tab w:val="num" w:pos="360"/>
        </w:tabs>
        <w:ind w:left="720" w:hanging="360"/>
      </w:pPr>
      <w:rPr>
        <w:rFonts w:ascii="Arial" w:eastAsia="Arial" w:hAnsi="Arial" w:cs="Arial"/>
        <w:color w:val="64615D"/>
        <w:sz w:val="1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000000B0"/>
    <w:multiLevelType w:val="multilevel"/>
    <w:tmpl w:val="00000013"/>
    <w:lvl w:ilvl="0">
      <w:start w:val="1"/>
      <w:numFmt w:val="decimal"/>
      <w:lvlText w:val="(%1)"/>
      <w:lvlJc w:val="left"/>
      <w:pPr>
        <w:tabs>
          <w:tab w:val="num" w:pos="360"/>
        </w:tabs>
        <w:ind w:left="720" w:hanging="360"/>
      </w:pPr>
      <w:rPr>
        <w:rFonts w:ascii="Arial" w:eastAsia="Arial" w:hAnsi="Arial" w:cs="Arial"/>
        <w:color w:val="64615D"/>
        <w:sz w:val="1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000000B7"/>
    <w:multiLevelType w:val="multilevel"/>
    <w:tmpl w:val="00000013"/>
    <w:lvl w:ilvl="0">
      <w:start w:val="1"/>
      <w:numFmt w:val="decimal"/>
      <w:lvlText w:val="(%1)"/>
      <w:lvlJc w:val="left"/>
      <w:pPr>
        <w:tabs>
          <w:tab w:val="num" w:pos="360"/>
        </w:tabs>
        <w:ind w:left="720" w:hanging="360"/>
      </w:pPr>
      <w:rPr>
        <w:rFonts w:ascii="Arial" w:eastAsia="Arial" w:hAnsi="Arial" w:cs="Arial"/>
        <w:color w:val="64615D"/>
        <w:sz w:val="1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000000B8"/>
    <w:multiLevelType w:val="multilevel"/>
    <w:tmpl w:val="00000013"/>
    <w:lvl w:ilvl="0">
      <w:start w:val="1"/>
      <w:numFmt w:val="decimal"/>
      <w:lvlText w:val="(%1)"/>
      <w:lvlJc w:val="left"/>
      <w:pPr>
        <w:tabs>
          <w:tab w:val="num" w:pos="360"/>
        </w:tabs>
        <w:ind w:left="720" w:hanging="360"/>
      </w:pPr>
      <w:rPr>
        <w:rFonts w:ascii="Arial" w:eastAsia="Arial" w:hAnsi="Arial" w:cs="Arial"/>
        <w:color w:val="64615D"/>
        <w:sz w:val="1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000000BB"/>
    <w:multiLevelType w:val="multilevel"/>
    <w:tmpl w:val="00000013"/>
    <w:lvl w:ilvl="0">
      <w:start w:val="1"/>
      <w:numFmt w:val="decimal"/>
      <w:lvlText w:val="(%1)"/>
      <w:lvlJc w:val="left"/>
      <w:pPr>
        <w:tabs>
          <w:tab w:val="num" w:pos="360"/>
        </w:tabs>
        <w:ind w:left="720" w:hanging="360"/>
      </w:pPr>
      <w:rPr>
        <w:rFonts w:ascii="Arial" w:eastAsia="Arial" w:hAnsi="Arial" w:cs="Arial"/>
        <w:color w:val="64615D"/>
        <w:sz w:val="1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000000BC"/>
    <w:multiLevelType w:val="multilevel"/>
    <w:tmpl w:val="00000013"/>
    <w:lvl w:ilvl="0">
      <w:start w:val="1"/>
      <w:numFmt w:val="decimal"/>
      <w:lvlText w:val="(%1)"/>
      <w:lvlJc w:val="left"/>
      <w:pPr>
        <w:tabs>
          <w:tab w:val="num" w:pos="360"/>
        </w:tabs>
        <w:ind w:left="720" w:hanging="360"/>
      </w:pPr>
      <w:rPr>
        <w:rFonts w:ascii="Arial" w:eastAsia="Arial" w:hAnsi="Arial" w:cs="Arial"/>
        <w:color w:val="64615D"/>
        <w:sz w:val="1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000000BD"/>
    <w:multiLevelType w:val="multilevel"/>
    <w:tmpl w:val="00000013"/>
    <w:lvl w:ilvl="0">
      <w:start w:val="1"/>
      <w:numFmt w:val="decimal"/>
      <w:lvlText w:val="(%1)"/>
      <w:lvlJc w:val="left"/>
      <w:pPr>
        <w:tabs>
          <w:tab w:val="num" w:pos="360"/>
        </w:tabs>
        <w:ind w:left="720" w:hanging="360"/>
      </w:pPr>
      <w:rPr>
        <w:rFonts w:ascii="Arial" w:eastAsia="Arial" w:hAnsi="Arial" w:cs="Arial"/>
        <w:color w:val="64615D"/>
        <w:sz w:val="1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000000BF"/>
    <w:multiLevelType w:val="multilevel"/>
    <w:tmpl w:val="00000013"/>
    <w:lvl w:ilvl="0">
      <w:start w:val="1"/>
      <w:numFmt w:val="decimal"/>
      <w:lvlText w:val="(%1)"/>
      <w:lvlJc w:val="left"/>
      <w:pPr>
        <w:tabs>
          <w:tab w:val="num" w:pos="360"/>
        </w:tabs>
        <w:ind w:left="720" w:hanging="360"/>
      </w:pPr>
      <w:rPr>
        <w:rFonts w:ascii="Arial" w:eastAsia="Arial" w:hAnsi="Arial" w:cs="Arial"/>
        <w:color w:val="64615D"/>
        <w:sz w:val="1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000000C2"/>
    <w:multiLevelType w:val="multilevel"/>
    <w:tmpl w:val="00000013"/>
    <w:lvl w:ilvl="0">
      <w:start w:val="1"/>
      <w:numFmt w:val="decimal"/>
      <w:lvlText w:val="(%1)"/>
      <w:lvlJc w:val="left"/>
      <w:pPr>
        <w:tabs>
          <w:tab w:val="num" w:pos="360"/>
        </w:tabs>
        <w:ind w:left="720" w:hanging="360"/>
      </w:pPr>
      <w:rPr>
        <w:rFonts w:ascii="Arial" w:eastAsia="Arial" w:hAnsi="Arial" w:cs="Arial"/>
        <w:color w:val="64615D"/>
        <w:sz w:val="1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15:restartNumberingAfterBreak="0">
    <w:nsid w:val="000000C5"/>
    <w:multiLevelType w:val="multilevel"/>
    <w:tmpl w:val="00000013"/>
    <w:lvl w:ilvl="0">
      <w:start w:val="1"/>
      <w:numFmt w:val="decimal"/>
      <w:lvlText w:val="(%1)"/>
      <w:lvlJc w:val="left"/>
      <w:pPr>
        <w:tabs>
          <w:tab w:val="num" w:pos="360"/>
        </w:tabs>
        <w:ind w:left="720" w:hanging="360"/>
      </w:pPr>
      <w:rPr>
        <w:rFonts w:ascii="Arial" w:eastAsia="Arial" w:hAnsi="Arial" w:cs="Arial"/>
        <w:color w:val="64615D"/>
        <w:sz w:val="1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000000C8"/>
    <w:multiLevelType w:val="multilevel"/>
    <w:tmpl w:val="00000013"/>
    <w:lvl w:ilvl="0">
      <w:start w:val="1"/>
      <w:numFmt w:val="decimal"/>
      <w:lvlText w:val="(%1)"/>
      <w:lvlJc w:val="left"/>
      <w:pPr>
        <w:tabs>
          <w:tab w:val="num" w:pos="360"/>
        </w:tabs>
        <w:ind w:left="720" w:hanging="360"/>
      </w:pPr>
      <w:rPr>
        <w:rFonts w:ascii="Arial" w:eastAsia="Arial" w:hAnsi="Arial" w:cs="Arial"/>
        <w:color w:val="64615D"/>
        <w:sz w:val="1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15:restartNumberingAfterBreak="0">
    <w:nsid w:val="000000CB"/>
    <w:multiLevelType w:val="multilevel"/>
    <w:tmpl w:val="00000013"/>
    <w:lvl w:ilvl="0">
      <w:start w:val="1"/>
      <w:numFmt w:val="decimal"/>
      <w:lvlText w:val="(%1)"/>
      <w:lvlJc w:val="left"/>
      <w:pPr>
        <w:tabs>
          <w:tab w:val="num" w:pos="360"/>
        </w:tabs>
        <w:ind w:left="720" w:hanging="360"/>
      </w:pPr>
      <w:rPr>
        <w:rFonts w:ascii="Arial" w:eastAsia="Arial" w:hAnsi="Arial" w:cs="Arial"/>
        <w:color w:val="64615D"/>
        <w:sz w:val="1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noLeading/>
    <w:suppressTopSpacingWP/>
    <w:compatSetting w:name="compatibilityMode" w:uri="http://schemas.microsoft.com/office/word" w:val="12"/>
    <w:compatSetting w:name="useWord2013TrackBottomHyphenation" w:uri="http://schemas.microsoft.com/office/word" w:val="1"/>
  </w:compat>
  <w:rsids>
    <w:rsidRoot w:val="00A77B3E"/>
    <w:rsid w:val="001614AC"/>
    <w:rsid w:val="004468F9"/>
    <w:rsid w:val="008455C6"/>
    <w:rsid w:val="00A77B3E"/>
    <w:rsid w:val="00CA2A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60DAC3"/>
  <w15:docId w15:val="{E64E689A-97D1-4E8D-A989-FDC632CE7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kern w:val="16"/>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BigBoxSYMBOL">
    <w:name w:val="BigBoxSYMBOL■"/>
    <w:pPr>
      <w:numPr>
        <w:numId w:val="1"/>
      </w:numPr>
    </w:pPr>
  </w:style>
  <w:style w:type="numbering" w:customStyle="1" w:styleId="NumericNumberedNUMBERED">
    <w:name w:val="NumericNumberedNUMBERED"/>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header" Target="header8.xml"/><Relationship Id="rId26" Type="http://schemas.openxmlformats.org/officeDocument/2006/relationships/header" Target="header12.xml"/><Relationship Id="rId39" Type="http://schemas.openxmlformats.org/officeDocument/2006/relationships/header" Target="header25.xml"/><Relationship Id="rId21" Type="http://schemas.openxmlformats.org/officeDocument/2006/relationships/footer" Target="footer6.xml"/><Relationship Id="rId34" Type="http://schemas.openxmlformats.org/officeDocument/2006/relationships/header" Target="header20.xml"/><Relationship Id="rId42" Type="http://schemas.openxmlformats.org/officeDocument/2006/relationships/footer" Target="footer8.xml"/><Relationship Id="rId47" Type="http://schemas.openxmlformats.org/officeDocument/2006/relationships/header" Target="header31.xml"/><Relationship Id="rId50" Type="http://schemas.openxmlformats.org/officeDocument/2006/relationships/header" Target="header34.xml"/><Relationship Id="rId55" Type="http://schemas.openxmlformats.org/officeDocument/2006/relationships/hyperlink" Target="wurl://docs.v1/doc:9e0e2ebaa9bb4f1db5759979eb124a47" TargetMode="Externa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eader" Target="header7.xml"/><Relationship Id="rId20" Type="http://schemas.openxmlformats.org/officeDocument/2006/relationships/footer" Target="footer5.xml"/><Relationship Id="rId29" Type="http://schemas.openxmlformats.org/officeDocument/2006/relationships/header" Target="header15.xml"/><Relationship Id="rId41" Type="http://schemas.openxmlformats.org/officeDocument/2006/relationships/header" Target="header27.xml"/><Relationship Id="rId54" Type="http://schemas.openxmlformats.org/officeDocument/2006/relationships/hyperlink" Target="wurl://docs.v1/doc:f549d737288e4bf8a19353c99b8ac0b8" TargetMode="External"/><Relationship Id="rId62"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header" Target="header18.xml"/><Relationship Id="rId37" Type="http://schemas.openxmlformats.org/officeDocument/2006/relationships/header" Target="header23.xml"/><Relationship Id="rId40" Type="http://schemas.openxmlformats.org/officeDocument/2006/relationships/header" Target="header26.xml"/><Relationship Id="rId45" Type="http://schemas.openxmlformats.org/officeDocument/2006/relationships/image" Target="media/image2.png"/><Relationship Id="rId53" Type="http://schemas.openxmlformats.org/officeDocument/2006/relationships/header" Target="header37.xml"/><Relationship Id="rId58" Type="http://schemas.openxmlformats.org/officeDocument/2006/relationships/hyperlink" Target="http://www.sec.gov/Archives/edgar/data/890926/000089092621000029/radianproxy2021.htm" TargetMode="External"/><Relationship Id="rId5" Type="http://schemas.openxmlformats.org/officeDocument/2006/relationships/footnotes" Target="footnotes.xml"/><Relationship Id="rId15" Type="http://schemas.openxmlformats.org/officeDocument/2006/relationships/header" Target="header6.xml"/><Relationship Id="rId23" Type="http://schemas.openxmlformats.org/officeDocument/2006/relationships/footer" Target="footer7.xml"/><Relationship Id="rId28" Type="http://schemas.openxmlformats.org/officeDocument/2006/relationships/header" Target="header14.xml"/><Relationship Id="rId36" Type="http://schemas.openxmlformats.org/officeDocument/2006/relationships/header" Target="header22.xml"/><Relationship Id="rId49" Type="http://schemas.openxmlformats.org/officeDocument/2006/relationships/header" Target="header33.xml"/><Relationship Id="rId57" Type="http://schemas.openxmlformats.org/officeDocument/2006/relationships/hyperlink" Target="wurl://docs.v1/doc:700d8a94feb0449a819d4cc9e0ca0301" TargetMode="External"/><Relationship Id="rId61"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4.xml"/><Relationship Id="rId31" Type="http://schemas.openxmlformats.org/officeDocument/2006/relationships/header" Target="header17.xml"/><Relationship Id="rId44" Type="http://schemas.openxmlformats.org/officeDocument/2006/relationships/header" Target="header29.xml"/><Relationship Id="rId52" Type="http://schemas.openxmlformats.org/officeDocument/2006/relationships/header" Target="header36.xml"/><Relationship Id="rId60" Type="http://schemas.openxmlformats.org/officeDocument/2006/relationships/hyperlink" Target="wurl://docs.v1/doc:adf3bf080a584223a9ede849b5cbeb54"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 Id="rId22" Type="http://schemas.openxmlformats.org/officeDocument/2006/relationships/header" Target="header9.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header" Target="header21.xml"/><Relationship Id="rId43" Type="http://schemas.openxmlformats.org/officeDocument/2006/relationships/header" Target="header28.xml"/><Relationship Id="rId48" Type="http://schemas.openxmlformats.org/officeDocument/2006/relationships/header" Target="header32.xml"/><Relationship Id="rId56" Type="http://schemas.openxmlformats.org/officeDocument/2006/relationships/hyperlink" Target="wurl://docs.v1/doc:ae73dd1afccb4e5792460e1abbb7796e" TargetMode="External"/><Relationship Id="rId8" Type="http://schemas.openxmlformats.org/officeDocument/2006/relationships/header" Target="header1.xml"/><Relationship Id="rId51" Type="http://schemas.openxmlformats.org/officeDocument/2006/relationships/header" Target="header35.xml"/><Relationship Id="rId3" Type="http://schemas.openxmlformats.org/officeDocument/2006/relationships/settings" Target="settings.xml"/><Relationship Id="rId12" Type="http://schemas.openxmlformats.org/officeDocument/2006/relationships/header" Target="header3.xml"/><Relationship Id="rId17" Type="http://schemas.openxmlformats.org/officeDocument/2006/relationships/footer" Target="footer3.xml"/><Relationship Id="rId25" Type="http://schemas.openxmlformats.org/officeDocument/2006/relationships/header" Target="header11.xml"/><Relationship Id="rId33" Type="http://schemas.openxmlformats.org/officeDocument/2006/relationships/header" Target="header19.xml"/><Relationship Id="rId38" Type="http://schemas.openxmlformats.org/officeDocument/2006/relationships/header" Target="header24.xml"/><Relationship Id="rId46" Type="http://schemas.openxmlformats.org/officeDocument/2006/relationships/header" Target="header30.xml"/><Relationship Id="rId59" Type="http://schemas.openxmlformats.org/officeDocument/2006/relationships/hyperlink" Target="wurl://docs.v1/doc:da833f879bd8499e923d321db6e37a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35232</Words>
  <Characters>200824</Characters>
  <Application>Microsoft Office Word</Application>
  <DocSecurity>0</DocSecurity>
  <Lines>1673</Lines>
  <Paragraphs>471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RDN.10Q.06.30.2021</dc:title>
  <cp:lastModifiedBy>Tague, Loretta</cp:lastModifiedBy>
  <cp:revision>3</cp:revision>
  <dcterms:created xsi:type="dcterms:W3CDTF">2021-08-06T19:46:00Z</dcterms:created>
  <dcterms:modified xsi:type="dcterms:W3CDTF">2021-08-06T19:47:00Z</dcterms:modified>
</cp:coreProperties>
</file>